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Tetanus</w:t>
      </w:r>
    </w:p>
    <w:p>
      <w:pPr>
        <w:spacing w:before="0" w:after="160"/>
      </w:pPr>
      <w:r>
        <w:rPr>
          <w:rFonts w:ascii="Calibri" w:hAnsi="Calibri"/>
          <w:b/>
          <w:i w:val="0"/>
          <w:color w:val="212121"/>
          <w:sz w:val="22"/>
        </w:rPr>
        <w:t xml:space="preserve">AKA </w:t>
      </w:r>
      <w:r>
        <w:rPr>
          <w:rFonts w:ascii="Calibri" w:hAnsi="Calibri"/>
          <w:b w:val="0"/>
          <w:i w:val="0"/>
          <w:color w:val="212121"/>
          <w:sz w:val="22"/>
        </w:rPr>
        <w:t>i.e., Lockjaw; Neonatal tetanus (“Navel-ill”, tetanus neonatorum); Maternal tetanus; Dhanurvata (Ayurvedic term); Clostridium tetani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Tetanus is an acute, non-communicable neurological disease caused by tetanospasmin, a potent neurotoxin produced by the spore-forming anaerobic bacterium Clostridium tetani when its spores germinate in a wound or in a contaminated umbilical stump. The toxin travels retrogradely up motor nerves to the central nervous system, where it blocks the release of the inhibitory neurotransmitters GABA and glycine, producing unopposed muscle contraction that manifests as generalised rigidity and violent, painful spasms. It cannot be transmitted from person to person, and in the Indian public-health context its two most important forms are neonatal tetanus (from unclean cord care) and maternal tetanus (following unclean delivery or abortion).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was validated by the WHO as having eliminated maternal and neonatal tetanus (MNT) in 2015 — defined as fewer than 1 neonatal tetanus case per 1,000 live births in every district — and the entire WHO South-East Asia Region has maintained MNT elimination since 2016. Elimination does not mean eradication: non-neonatal (adult and childhood) tetanus continues to occur through contaminated wounds, and globally an estimated 7,700 newborns still died of neonatal tetanus in 2021 (an 84% reduction from about 46,900 in 2000), with the remaining burden concentrated in Africa and parts of South-East Asia.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Tetanus is a clinical diagnosis — laboratory tests neither confirm nor exclude it and treatment must never await results. Diagnosis rests on the characteristic picture in a patient with a plausible portal of entry and absent or incomplete immunisation: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onset of trismus (lockjaw) and/or generalised muscle rigidity in a fully conscious patient, without another explanation;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reflex muscle spasms provoked by minimal stimuli (light, sound, touch), with preserved sensorium and normal cerebrospinal fluid;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“spatula test” — reflex masseter contraction (biting down) instead of a gag when the posterior pharynx is touched with a spatula;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compatible portal of entry (puncture wound, contaminated laceration, burn, unhealed umbilical stump, chronic ulcer or ear discharge) — though the wound may be trivial, healed, or unidentifiable in up to a fifth of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absent, uncertain, or incomplete tetanus toxoid immunisation and/or a serum tetanus antitoxin level below the protective threshold of 0.1 IU/mL;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 neonate: normal feeding and crying for the first 2 days of life, then between days 3–28 an inability to suck, excessive crying, stiffness and spasms.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Tetanus is described both by clinical form (determined by the site of toxin action) and by severity. The four clinical forms are:</w:t>
      </w:r>
    </w:p>
    <w:p>
      <w:pPr>
        <w:spacing w:before="0" w:after="80"/>
      </w:pPr>
      <w:r>
        <w:rPr>
          <w:rFonts w:ascii="Calibri" w:hAnsi="Calibri"/>
          <w:b w:val="0"/>
          <w:i w:val="0"/>
          <w:color w:val="212121"/>
          <w:sz w:val="21"/>
        </w:rPr>
        <w:t>(1) Generalised tetanus — the most common form (over 80% of cases), producing a descending pattern of trismus, risus sardonicus, neck and trunk rigidity, opisthotonus and generalised reflex spasms, often with autonomic instability;</w:t>
      </w:r>
    </w:p>
    <w:p>
      <w:pPr>
        <w:spacing w:before="0" w:after="80"/>
      </w:pPr>
      <w:r>
        <w:rPr>
          <w:rFonts w:ascii="Calibri" w:hAnsi="Calibri"/>
          <w:b w:val="0"/>
          <w:i w:val="0"/>
          <w:color w:val="212121"/>
          <w:sz w:val="21"/>
        </w:rPr>
        <w:t>(2) Neonatal tetanus — a generalised form in newborns of inadequately immunised mothers, arising from contamination of the umbilical stump, presenting 4–14 days after birth (mean ~7 days) with failure to suck, rigidity and spasms; historically the largest share of India’s tetanus deaths;</w:t>
      </w:r>
    </w:p>
    <w:p>
      <w:pPr>
        <w:spacing w:before="0" w:after="80"/>
      </w:pPr>
      <w:r>
        <w:rPr>
          <w:rFonts w:ascii="Calibri" w:hAnsi="Calibri"/>
          <w:b w:val="0"/>
          <w:i w:val="0"/>
          <w:color w:val="212121"/>
          <w:sz w:val="21"/>
        </w:rPr>
        <w:t>(3) Localised tetanus — persistent rigidity of muscles near the wound, usually mild (case-fatality below 1%) but able to progress to generalised disease; and</w:t>
      </w:r>
    </w:p>
    <w:p>
      <w:pPr>
        <w:spacing w:before="0" w:after="80"/>
      </w:pPr>
      <w:r>
        <w:rPr>
          <w:rFonts w:ascii="Calibri" w:hAnsi="Calibri"/>
          <w:b w:val="0"/>
          <w:i w:val="0"/>
          <w:color w:val="212121"/>
          <w:sz w:val="21"/>
        </w:rPr>
        <w:t>(4) Cephalic tetanus — a rare form following head/face wounds or chronic otitis media, with a short incubation (1–2 days) and cranial-nerve palsies (especially facial), which may also generalise.</w:t>
      </w:r>
    </w:p>
    <w:p>
      <w:pPr>
        <w:spacing w:before="0" w:after="80"/>
      </w:pPr>
      <w:r>
        <w:rPr>
          <w:rFonts w:ascii="Calibri" w:hAnsi="Calibri"/>
          <w:b w:val="0"/>
          <w:i w:val="0"/>
          <w:color w:val="212121"/>
          <w:sz w:val="21"/>
        </w:rPr>
        <w:t>Severity is graded by the Ablett classification: Grade I (mild — mild trismus, no respiratory or swallowing difficulty), Grade II (moderate — trismus, rigidity, short spasms, mild dysphagia), Grade III (severe — prolonged spasms, severe dysphagia, respiratory embarrassment, tachycardia) and Grade IV (very severe — Grade III plus violent autonomic dysfunction).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Clostridium tetani spores: The causative organism is a ubiquitous anaerobic, spore-forming bacillus whose highly resistant spores are found in soil, dust, and animal and human faeces worldwide, especially in warm, damp, agricultural environments.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Portal of entry (wounds): Spores enter through puncture wounds, lacerations contaminated with soil/manure, burns, crush injuries, chronic ulcers, otitis media, or an unhealed umbilical stump; deep, necrotic, poorly oxygenated wounds favour germination.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Anaerobic conditions: Devitalised tissue, foreign bodies and co-infection lower the local oxygen tension, allowing spores to germinate into toxin-producing vegetative bacilli.</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Tetanospasmin (neurotoxin): The germinating bacteria release tetanospasmin, which is transported retrogradely along motor axons to the spinal cord and brainstem, where it blocks inhibitory GABA/glycine release, causing unopposed excitation, rigidity and spasms.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Absent or waning immunity: Tetanus is a disease of the unimmunised or under-immunised — no natural immunity follows infection, protection is entirely vaccine-derived, and antitoxin wanes to near the minimal protective level roughly 10 years after the last dose.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Unclean birth and cord-care practices: Delivery by unskilled attendants, cutting the cord with an unsterile instrument, and applying substances such as cow dung, ash or ghee to the umbilical stump are the classic causes of neonatal tetanus in South Asia.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(0–28 days)</w:t>
            </w:r>
          </w:p>
        </w:tc>
        <w:tc>
          <w:tcPr>
            <w:tcW w:type="dxa" w:w="4276"/>
            <w:vAlign w:val="top"/>
          </w:tcPr>
          <w:p>
            <w:pPr>
              <w:spacing w:after="60" w:line="259" w:lineRule="auto"/>
            </w:pPr>
            <w:r>
              <w:rPr>
                <w:rFonts w:ascii="Calibri" w:hAnsi="Calibri"/>
                <w:b w:val="0"/>
                <w:i w:val="0"/>
                <w:color w:val="212121"/>
                <w:sz w:val="19"/>
              </w:rPr>
              <w:t>Newborns of inadequately immunised mothers have no transplacental antitoxin; contamination of the umbilical stump with C. tetani spores (unsterile cord-cutting or traditional substances applied to the stump) allows toxin production, presenting 4–14 days after birth as failure to suck, rigidity and spasms.</w:t>
            </w:r>
          </w:p>
          <w:p>
            <w:pPr>
              <w:spacing w:after="40" w:before="60" w:line="259" w:lineRule="auto"/>
            </w:pPr>
            <w:r>
              <w:rPr>
                <w:rFonts w:ascii="Calibri" w:hAnsi="Calibri"/>
                <w:b w:val="0"/>
                <w:i w:val="0"/>
                <w:color w:val="212121"/>
                <w:sz w:val="19"/>
              </w:rPr>
              <w:t>Globally about 7,700 newborns died of neonatal tetanus in 2021 — an 84% reduction from roughly 46,900 in 2000.</w:t>
            </w:r>
          </w:p>
          <w:p>
            <w:pPr>
              <w:spacing w:after="40" w:line="252" w:lineRule="auto"/>
            </w:pPr>
            <w:hyperlink r:id="rId9">
              <w:r>
                <w:rPr>
                  <w:rFonts w:ascii="Calibri" w:hAnsi="Calibri" w:cs="Calibri"/>
                  <w:sz w:val="18"/>
                  <w:color w:val="1155CC"/>
                  <w:u w:val="single"/>
                </w:rPr>
                <w:t xml:space="preserve">who.int — tetanus fact sheet</w:t>
              </w:r>
            </w:hyperlink>
          </w:p>
          <w:p>
            <w:pPr>
              <w:spacing w:before="60" w:after="40"/>
            </w:pPr>
            <w:r>
              <w:rPr>
                <w:rFonts w:ascii="Calibri" w:hAnsi="Calibri"/>
                <w:b w:val="0"/>
                <w:i w:val="0"/>
                <w:color w:val="5A5A5A"/>
                <w:sz w:val="18"/>
              </w:rPr>
              <w:t>#neonataltetanus  #umbilicalstump  #cleancordcare  #sixcleans  #maternalimmunisation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Vaccine-derived antitoxin wanes with age and boosters are often missed, so older adults are frequently under-protected; they also heal wounds poorly and tolerate spasms, autonomic storms and prolonged ventilation badly, giving the highest case-fatality of any group.</w:t>
            </w:r>
          </w:p>
          <w:p>
            <w:pPr>
              <w:spacing w:after="40" w:before="60" w:line="259" w:lineRule="auto"/>
            </w:pPr>
            <w:r>
              <w:rPr>
                <w:rFonts w:ascii="Calibri" w:hAnsi="Calibri"/>
                <w:b w:val="0"/>
                <w:i w:val="0"/>
                <w:color w:val="212121"/>
                <w:sz w:val="19"/>
              </w:rPr>
              <w:t>Tetanus deaths cluster in older adults — in US surveillance (2009–2018) every one of the 19 deaths occurred in persons aged 55 years and older, and mortality is highest at ≥ 70 years.</w:t>
            </w:r>
          </w:p>
          <w:p>
            <w:pPr>
              <w:spacing w:after="40" w:line="252" w:lineRule="auto"/>
            </w:pPr>
            <w:hyperlink r:id="rId10">
              <w:r>
                <w:rPr>
                  <w:rFonts w:ascii="Calibri" w:hAnsi="Calibri" w:cs="Calibri"/>
                  <w:sz w:val="18"/>
                  <w:color w:val="1155CC"/>
                  <w:u w:val="single"/>
                </w:rPr>
                <w:t xml:space="preserve">cdc.gov — Pink Book, Tetanus</w:t>
              </w:r>
            </w:hyperlink>
          </w:p>
          <w:p>
            <w:pPr>
              <w:spacing w:before="60" w:after="40"/>
            </w:pPr>
            <w:r>
              <w:rPr>
                <w:rFonts w:ascii="Calibri" w:hAnsi="Calibri"/>
                <w:b w:val="0"/>
                <w:i w:val="0"/>
                <w:color w:val="5A5A5A"/>
                <w:sz w:val="18"/>
              </w:rPr>
              <w:t>#waningimmunity  #booster  #elderly  #highcasefatality  #Td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 (15–59 years)</w:t>
            </w:r>
          </w:p>
        </w:tc>
        <w:tc>
          <w:tcPr>
            <w:tcW w:type="dxa" w:w="4276"/>
            <w:vAlign w:val="top"/>
          </w:tcPr>
          <w:p>
            <w:pPr>
              <w:spacing w:after="60" w:line="259" w:lineRule="auto"/>
            </w:pPr>
            <w:r>
              <w:rPr>
                <w:rFonts w:ascii="Calibri" w:hAnsi="Calibri"/>
                <w:b w:val="0"/>
                <w:i w:val="0"/>
                <w:color w:val="212121"/>
                <w:sz w:val="19"/>
              </w:rPr>
              <w:t>With neonatal tetanus controlled in India, most cases now occur in adolescents and adults who sustain contaminated wounds — agricultural, road-traffic and occupational injuries — and who never completed or never received a primary vaccine course as children.</w:t>
            </w:r>
          </w:p>
          <w:p>
            <w:pPr>
              <w:spacing w:after="40" w:before="60" w:line="259" w:lineRule="auto"/>
            </w:pPr>
            <w:r>
              <w:rPr>
                <w:rFonts w:ascii="Calibri" w:hAnsi="Calibri"/>
                <w:b w:val="0"/>
                <w:i w:val="0"/>
                <w:color w:val="212121"/>
                <w:sz w:val="19"/>
              </w:rPr>
              <w:t>Generalised tetanus, the form typical of injured adults, accounts for more than 80% of all tetanus cases.</w:t>
            </w:r>
          </w:p>
          <w:p>
            <w:pPr>
              <w:spacing w:after="40" w:line="252" w:lineRule="auto"/>
            </w:pPr>
            <w:hyperlink r:id="rId10">
              <w:r>
                <w:rPr>
                  <w:rFonts w:ascii="Calibri" w:hAnsi="Calibri" w:cs="Calibri"/>
                  <w:sz w:val="18"/>
                  <w:color w:val="1155CC"/>
                  <w:u w:val="single"/>
                </w:rPr>
                <w:t xml:space="preserve">cdc.gov — Pink Book, Tetanus</w:t>
              </w:r>
            </w:hyperlink>
          </w:p>
          <w:p>
            <w:pPr>
              <w:spacing w:before="60" w:after="40"/>
            </w:pPr>
            <w:r>
              <w:rPr>
                <w:rFonts w:ascii="Calibri" w:hAnsi="Calibri"/>
                <w:b w:val="0"/>
                <w:i w:val="0"/>
                <w:color w:val="5A5A5A"/>
                <w:sz w:val="18"/>
              </w:rPr>
              <w:t>#adulttetanus  #occupationalinjury  #agriculture  #roadtrafficinjury  #woundcare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Men predominate in most adult (non-neonatal) tetanus series because they sustain more outdoor occupational, agricultural and road-traffic wounds; conversely, women of reproductive age carry the specific risk of maternal (obstetric) tetanus after unclean delivery or abortion.</w:t>
            </w:r>
          </w:p>
          <w:p>
            <w:pPr>
              <w:spacing w:after="40" w:before="60" w:line="259" w:lineRule="auto"/>
            </w:pPr>
            <w:r>
              <w:rPr>
                <w:rFonts w:ascii="Calibri" w:hAnsi="Calibri"/>
                <w:b w:val="0"/>
                <w:i w:val="0"/>
                <w:color w:val="212121"/>
                <w:sz w:val="19"/>
              </w:rPr>
              <w:t>Adult tetanus shows a consistent male preponderance across hospital case series, reflecting greater exposure to contaminated injuries.</w:t>
            </w:r>
          </w:p>
          <w:p>
            <w:pPr>
              <w:spacing w:before="60" w:after="40"/>
            </w:pPr>
            <w:r>
              <w:rPr>
                <w:rFonts w:ascii="Calibri" w:hAnsi="Calibri"/>
                <w:b w:val="0"/>
                <w:i w:val="0"/>
                <w:color w:val="5A5A5A"/>
                <w:sz w:val="18"/>
              </w:rPr>
              <w:t>#male  #occupational  #maternaltetanus  #reproductiveage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low-literacy, under-immunised populations</w:t>
            </w:r>
          </w:p>
        </w:tc>
        <w:tc>
          <w:tcPr>
            <w:tcW w:type="dxa" w:w="4276"/>
            <w:vAlign w:val="top"/>
          </w:tcPr>
          <w:p>
            <w:pPr>
              <w:spacing w:after="60" w:line="259" w:lineRule="auto"/>
            </w:pPr>
            <w:r>
              <w:rPr>
                <w:rFonts w:ascii="Calibri" w:hAnsi="Calibri"/>
                <w:b w:val="0"/>
                <w:i w:val="0"/>
                <w:color w:val="212121"/>
                <w:sz w:val="19"/>
              </w:rPr>
              <w:t>Poverty concentrates risk through low vaccination coverage, home deliveries by unskilled attendants, barefoot manual labour and delayed or unaffordable wound and intensive care — the same conditions that sustain tetanus where it persists.</w:t>
            </w:r>
          </w:p>
          <w:p>
            <w:pPr>
              <w:spacing w:after="40" w:before="60" w:line="259" w:lineRule="auto"/>
            </w:pPr>
            <w:r>
              <w:rPr>
                <w:rFonts w:ascii="Calibri" w:hAnsi="Calibri"/>
                <w:b w:val="0"/>
                <w:i w:val="0"/>
                <w:color w:val="212121"/>
                <w:sz w:val="19"/>
              </w:rPr>
              <w:t>Maternal and neonatal tetanus still persists as a public-health problem in 8 lower-coverage countries (Afghanistan, Angola, Central African Republic, Nigeria, Pakistan, Papua New Guinea, Somalia and Yemen); India is not among them.</w:t>
            </w:r>
          </w:p>
          <w:p>
            <w:pPr>
              <w:spacing w:after="40" w:line="252" w:lineRule="auto"/>
            </w:pPr>
            <w:hyperlink r:id="rId11">
              <w:r>
                <w:rPr>
                  <w:rFonts w:ascii="Calibri" w:hAnsi="Calibri" w:cs="Calibri"/>
                  <w:sz w:val="18"/>
                  <w:color w:val="1155CC"/>
                  <w:u w:val="single"/>
                </w:rPr>
                <w:t xml:space="preserve">who.int — immunization coverage fact sheet</w:t>
              </w:r>
            </w:hyperlink>
          </w:p>
          <w:p>
            <w:pPr>
              <w:spacing w:before="60" w:after="40"/>
            </w:pPr>
            <w:r>
              <w:rPr>
                <w:rFonts w:ascii="Calibri" w:hAnsi="Calibri"/>
                <w:b w:val="0"/>
                <w:i w:val="0"/>
                <w:color w:val="5A5A5A"/>
                <w:sz w:val="18"/>
              </w:rPr>
              <w:t>#poverty  #lowcoverage  #accesstocare  #healthequity  #ruralhealth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India, home deliveries</w:t>
            </w:r>
          </w:p>
        </w:tc>
        <w:tc>
          <w:tcPr>
            <w:tcW w:type="dxa" w:w="4276"/>
            <w:vAlign w:val="top"/>
          </w:tcPr>
          <w:p>
            <w:pPr>
              <w:spacing w:after="60" w:line="259" w:lineRule="auto"/>
            </w:pPr>
            <w:r>
              <w:rPr>
                <w:rFonts w:ascii="Calibri" w:hAnsi="Calibri"/>
                <w:b w:val="0"/>
                <w:i w:val="0"/>
                <w:color w:val="212121"/>
                <w:sz w:val="19"/>
              </w:rPr>
              <w:t>Home births attended by untrained personnel, cord-cutting with sickles or unsterile blades and application of dung/ash/ghee to the stump were the historic engine of neonatal tetanus in rural and remote India; institutional delivery and clean-cord practice have driven this down.</w:t>
            </w:r>
          </w:p>
          <w:p>
            <w:pPr>
              <w:spacing w:after="40" w:before="60" w:line="259" w:lineRule="auto"/>
            </w:pPr>
            <w:r>
              <w:rPr>
                <w:rFonts w:ascii="Calibri" w:hAnsi="Calibri"/>
                <w:b w:val="0"/>
                <w:i w:val="0"/>
                <w:color w:val="212121"/>
                <w:sz w:val="19"/>
              </w:rPr>
              <w:t>India was validated as having eliminated maternal and neonatal tetanus in 2015, and the WHO South-East Asia Region has maintained MNT elimination since 2016.</w:t>
            </w:r>
          </w:p>
          <w:p>
            <w:pPr>
              <w:spacing w:after="40" w:line="252" w:lineRule="auto"/>
            </w:pPr>
            <w:hyperlink r:id="rId12">
              <w:r>
                <w:rPr>
                  <w:rFonts w:ascii="Calibri" w:hAnsi="Calibri" w:cs="Calibri"/>
                  <w:sz w:val="18"/>
                  <w:color w:val="1155CC"/>
                  <w:u w:val="single"/>
                </w:rPr>
                <w:t xml:space="preserve">who.int (SEARO) — immunization</w:t>
              </w:r>
            </w:hyperlink>
          </w:p>
          <w:p>
            <w:pPr>
              <w:spacing w:before="60" w:after="40"/>
            </w:pPr>
            <w:r>
              <w:rPr>
                <w:rFonts w:ascii="Calibri" w:hAnsi="Calibri"/>
                <w:b w:val="0"/>
                <w:i w:val="0"/>
                <w:color w:val="5A5A5A"/>
                <w:sz w:val="18"/>
              </w:rPr>
              <w:t>#ruralIndia  #homedelivery  #institutionaldelivery  #MNTelimination  #skilledbirthattendant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 / climate</w:t>
            </w:r>
          </w:p>
        </w:tc>
        <w:tc>
          <w:tcPr>
            <w:tcW w:type="dxa" w:w="2160"/>
            <w:vAlign w:val="top"/>
          </w:tcPr>
          <w:p>
            <w:pPr>
              <w:spacing w:after="40" w:before="0" w:line="259" w:lineRule="auto"/>
            </w:pPr>
            <w:r>
              <w:rPr>
                <w:rFonts w:ascii="Calibri" w:hAnsi="Calibri"/>
                <w:b w:val="0"/>
                <w:i w:val="0"/>
                <w:color w:val="212121"/>
                <w:sz w:val="19"/>
              </w:rPr>
              <w:t>Agricultural, warm, humid, soil-rich areas</w:t>
            </w:r>
          </w:p>
        </w:tc>
        <w:tc>
          <w:tcPr>
            <w:tcW w:type="dxa" w:w="4276"/>
            <w:vAlign w:val="top"/>
          </w:tcPr>
          <w:p>
            <w:pPr>
              <w:spacing w:after="60" w:line="259" w:lineRule="auto"/>
            </w:pPr>
            <w:r>
              <w:rPr>
                <w:rFonts w:ascii="Calibri" w:hAnsi="Calibri"/>
                <w:b w:val="0"/>
                <w:i w:val="0"/>
                <w:color w:val="212121"/>
                <w:sz w:val="19"/>
              </w:rPr>
              <w:t>C. tetani spores are abundant in cultivated soil, dust and animal manure and survive for years; hot, humid farming regions with barefoot fieldwork and animal husbandry maximise the chance of spore-contaminated wounds.</w:t>
            </w:r>
          </w:p>
          <w:p>
            <w:pPr>
              <w:spacing w:after="40" w:before="60" w:line="259" w:lineRule="auto"/>
            </w:pPr>
            <w:r>
              <w:rPr>
                <w:rFonts w:ascii="Calibri" w:hAnsi="Calibri"/>
                <w:b w:val="0"/>
                <w:i w:val="0"/>
                <w:color w:val="212121"/>
                <w:sz w:val="19"/>
              </w:rPr>
              <w:t>In 2020 over 11,750 tetanus cases were reported globally (including 2,230 in neonates), with most cases reported from countries in Africa and South-East Asia.</w:t>
            </w:r>
          </w:p>
          <w:p>
            <w:pPr>
              <w:spacing w:after="40" w:line="252" w:lineRule="auto"/>
            </w:pPr>
            <w:hyperlink r:id="rId13">
              <w:r>
                <w:rPr>
                  <w:rFonts w:ascii="Calibri" w:hAnsi="Calibri" w:cs="Calibri"/>
                  <w:sz w:val="18"/>
                  <w:color w:val="1155CC"/>
                  <w:u w:val="single"/>
                </w:rPr>
                <w:t xml:space="preserve">cdc.gov — Yellow Book, Tetanus</w:t>
              </w:r>
            </w:hyperlink>
          </w:p>
          <w:p>
            <w:pPr>
              <w:spacing w:before="60" w:after="40"/>
            </w:pPr>
            <w:r>
              <w:rPr>
                <w:rFonts w:ascii="Calibri" w:hAnsi="Calibri"/>
                <w:b w:val="0"/>
                <w:i w:val="0"/>
                <w:color w:val="5A5A5A"/>
                <w:sz w:val="18"/>
              </w:rPr>
              <w:t>#soilspores  #agriculture  #barefoot  #tropical  #animalmanure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Immunisation status</w:t>
            </w:r>
          </w:p>
        </w:tc>
        <w:tc>
          <w:tcPr>
            <w:tcW w:type="dxa" w:w="2160"/>
            <w:vAlign w:val="top"/>
          </w:tcPr>
          <w:p>
            <w:pPr>
              <w:spacing w:after="40" w:before="0" w:line="259" w:lineRule="auto"/>
            </w:pPr>
            <w:r>
              <w:rPr>
                <w:rFonts w:ascii="Calibri" w:hAnsi="Calibri"/>
                <w:b w:val="0"/>
                <w:i w:val="0"/>
                <w:color w:val="212121"/>
                <w:sz w:val="19"/>
              </w:rPr>
              <w:t>Unimmunised / incompletely vaccinated / no recent booster</w:t>
            </w:r>
          </w:p>
        </w:tc>
        <w:tc>
          <w:tcPr>
            <w:tcW w:type="dxa" w:w="4276"/>
            <w:vAlign w:val="top"/>
          </w:tcPr>
          <w:p>
            <w:pPr>
              <w:spacing w:after="60" w:line="259" w:lineRule="auto"/>
            </w:pPr>
            <w:r>
              <w:rPr>
                <w:rFonts w:ascii="Calibri" w:hAnsi="Calibri"/>
                <w:b w:val="0"/>
                <w:i w:val="0"/>
                <w:color w:val="212121"/>
                <w:sz w:val="19"/>
              </w:rPr>
              <w:t>Tetanus is almost entirely a disease of inadequate immunisation; protection is vaccine-derived, no lasting immunity follows infection, and antitoxin falls toward the minimal protective level about a decade after the last dose, so adults who never complete boosters lose protection.</w:t>
            </w:r>
          </w:p>
          <w:p>
            <w:pPr>
              <w:spacing w:after="40" w:before="60" w:line="259" w:lineRule="auto"/>
            </w:pPr>
            <w:r>
              <w:rPr>
                <w:rFonts w:ascii="Calibri" w:hAnsi="Calibri"/>
                <w:b w:val="0"/>
                <w:i w:val="0"/>
                <w:color w:val="212121"/>
                <w:sz w:val="19"/>
              </w:rPr>
              <w:t>By 10 years after the last dose, most persons have antitoxin levels that only approach the minimal protective level, and CDC recommends a Td/Tdap booster every 10 years.</w:t>
            </w:r>
          </w:p>
          <w:p>
            <w:pPr>
              <w:spacing w:after="40" w:line="252" w:lineRule="auto"/>
            </w:pPr>
            <w:hyperlink r:id="rId10">
              <w:r>
                <w:rPr>
                  <w:rFonts w:ascii="Calibri" w:hAnsi="Calibri" w:cs="Calibri"/>
                  <w:sz w:val="18"/>
                  <w:color w:val="1155CC"/>
                  <w:u w:val="single"/>
                </w:rPr>
                <w:t xml:space="preserve">cdc.gov — Pink Book, Tetanus</w:t>
              </w:r>
            </w:hyperlink>
          </w:p>
          <w:p>
            <w:pPr>
              <w:spacing w:before="60" w:after="40"/>
            </w:pPr>
            <w:r>
              <w:rPr>
                <w:rFonts w:ascii="Calibri" w:hAnsi="Calibri"/>
                <w:b w:val="0"/>
                <w:i w:val="0"/>
                <w:color w:val="5A5A5A"/>
                <w:sz w:val="18"/>
              </w:rPr>
              <w:t>#unvaccinated  #booster  #Td  #Tdap  #antitoxin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Injection drug use</w:t>
            </w:r>
          </w:p>
        </w:tc>
        <w:tc>
          <w:tcPr>
            <w:tcW w:type="dxa" w:w="2160"/>
            <w:vAlign w:val="top"/>
          </w:tcPr>
          <w:p>
            <w:pPr>
              <w:spacing w:after="40" w:before="0" w:line="259" w:lineRule="auto"/>
            </w:pPr>
            <w:r>
              <w:rPr>
                <w:rFonts w:ascii="Calibri" w:hAnsi="Calibri"/>
                <w:b w:val="0"/>
                <w:i w:val="0"/>
                <w:color w:val="212121"/>
                <w:sz w:val="19"/>
              </w:rPr>
              <w:t>People who inject drugs</w:t>
            </w:r>
          </w:p>
        </w:tc>
        <w:tc>
          <w:tcPr>
            <w:tcW w:type="dxa" w:w="4276"/>
            <w:vAlign w:val="top"/>
          </w:tcPr>
          <w:p>
            <w:pPr>
              <w:spacing w:after="60" w:line="259" w:lineRule="auto"/>
            </w:pPr>
            <w:r>
              <w:rPr>
                <w:rFonts w:ascii="Calibri" w:hAnsi="Calibri"/>
                <w:b w:val="0"/>
                <w:i w:val="0"/>
                <w:color w:val="212121"/>
                <w:sz w:val="19"/>
              </w:rPr>
              <w:t>Non-sterile injecting — especially subcutaneous “skin-popping” and heroin adulterants — introduces spores into poorly oxygenated tissue, and this group is often under-immunised; injection drug use is a recognised risk factor for adult tetanus.</w:t>
            </w:r>
          </w:p>
          <w:p>
            <w:pPr>
              <w:spacing w:after="40" w:before="60" w:line="259" w:lineRule="auto"/>
            </w:pPr>
            <w:r>
              <w:rPr>
                <w:rFonts w:ascii="Calibri" w:hAnsi="Calibri"/>
                <w:b w:val="0"/>
                <w:i w:val="0"/>
                <w:color w:val="212121"/>
                <w:sz w:val="19"/>
              </w:rPr>
              <w:t>Repeated non-sterile injection into subcutaneous tissue creates the anaerobic, contaminated conditions that favour C. tetani germination.</w:t>
            </w:r>
          </w:p>
          <w:p>
            <w:pPr>
              <w:spacing w:before="60" w:after="40"/>
            </w:pPr>
            <w:r>
              <w:rPr>
                <w:rFonts w:ascii="Calibri" w:hAnsi="Calibri"/>
                <w:b w:val="0"/>
                <w:i w:val="0"/>
                <w:color w:val="5A5A5A"/>
                <w:sz w:val="18"/>
              </w:rPr>
              <w:t>#injectiondruguse  #skinpopping  #harmreduction  #anaerobicwound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Unsafe procedures / practices</w:t>
            </w:r>
          </w:p>
        </w:tc>
        <w:tc>
          <w:tcPr>
            <w:tcW w:type="dxa" w:w="2160"/>
            <w:vAlign w:val="top"/>
          </w:tcPr>
          <w:p>
            <w:pPr>
              <w:spacing w:after="40" w:before="0" w:line="259" w:lineRule="auto"/>
            </w:pPr>
            <w:r>
              <w:rPr>
                <w:rFonts w:ascii="Calibri" w:hAnsi="Calibri"/>
                <w:b w:val="0"/>
                <w:i w:val="0"/>
                <w:color w:val="212121"/>
                <w:sz w:val="19"/>
              </w:rPr>
              <w:t>Ear-piercing, tattooing, unsterile minor procedures, barefoot walking</w:t>
            </w:r>
          </w:p>
        </w:tc>
        <w:tc>
          <w:tcPr>
            <w:tcW w:type="dxa" w:w="4276"/>
            <w:vAlign w:val="top"/>
          </w:tcPr>
          <w:p>
            <w:pPr>
              <w:spacing w:after="60" w:line="259" w:lineRule="auto"/>
            </w:pPr>
            <w:r>
              <w:rPr>
                <w:rFonts w:ascii="Calibri" w:hAnsi="Calibri"/>
                <w:b w:val="0"/>
                <w:i w:val="0"/>
                <w:color w:val="212121"/>
                <w:sz w:val="19"/>
              </w:rPr>
              <w:t>Any breach of skin with a contaminated instrument — ear- and body-piercing, tattooing, unsterile injections, ritual scarification, or a thorn/nail penetrating a bare foot — can inoculate spores; wounds contaminated with dirt, animal or human excreta or saliva carry the greatest risk.</w:t>
            </w:r>
          </w:p>
          <w:p>
            <w:pPr>
              <w:spacing w:after="40" w:before="60" w:line="259" w:lineRule="auto"/>
            </w:pPr>
            <w:r>
              <w:rPr>
                <w:rFonts w:ascii="Calibri" w:hAnsi="Calibri"/>
                <w:b w:val="0"/>
                <w:i w:val="0"/>
                <w:color w:val="212121"/>
                <w:sz w:val="19"/>
              </w:rPr>
              <w:t>Wounds contaminated with dirt, faeces or saliva, and deep puncture, crush or burn wounds, carry the highest risk of tetanus.</w:t>
            </w:r>
          </w:p>
          <w:p>
            <w:pPr>
              <w:spacing w:after="40" w:line="252" w:lineRule="auto"/>
            </w:pPr>
            <w:hyperlink r:id="rId13">
              <w:r>
                <w:rPr>
                  <w:rFonts w:ascii="Calibri" w:hAnsi="Calibri" w:cs="Calibri"/>
                  <w:sz w:val="18"/>
                  <w:color w:val="1155CC"/>
                  <w:u w:val="single"/>
                </w:rPr>
                <w:t xml:space="preserve">cdc.gov — Yellow Book, Tetanus</w:t>
              </w:r>
            </w:hyperlink>
          </w:p>
          <w:p>
            <w:pPr>
              <w:spacing w:before="60" w:after="40"/>
            </w:pPr>
            <w:r>
              <w:rPr>
                <w:rFonts w:ascii="Calibri" w:hAnsi="Calibri"/>
                <w:b w:val="0"/>
                <w:i w:val="0"/>
                <w:color w:val="5A5A5A"/>
                <w:sz w:val="18"/>
              </w:rPr>
              <w:t>#earpiercing  #tattoo  #puncturewound  #barefoot  #unsterileinstrument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Birth &amp; cord-care practices</w:t>
            </w:r>
          </w:p>
        </w:tc>
        <w:tc>
          <w:tcPr>
            <w:tcW w:type="dxa" w:w="2160"/>
            <w:vAlign w:val="top"/>
          </w:tcPr>
          <w:p>
            <w:pPr>
              <w:spacing w:after="40" w:before="0" w:line="259" w:lineRule="auto"/>
            </w:pPr>
            <w:r>
              <w:rPr>
                <w:rFonts w:ascii="Calibri" w:hAnsi="Calibri"/>
                <w:b w:val="0"/>
                <w:i w:val="0"/>
                <w:color w:val="212121"/>
                <w:sz w:val="19"/>
              </w:rPr>
              <w:t>Unclean delivery and traditional cord applications</w:t>
            </w:r>
          </w:p>
        </w:tc>
        <w:tc>
          <w:tcPr>
            <w:tcW w:type="dxa" w:w="4276"/>
            <w:vAlign w:val="top"/>
          </w:tcPr>
          <w:p>
            <w:pPr>
              <w:spacing w:after="60" w:line="259" w:lineRule="auto"/>
            </w:pPr>
            <w:r>
              <w:rPr>
                <w:rFonts w:ascii="Calibri" w:hAnsi="Calibri"/>
                <w:b w:val="0"/>
                <w:i w:val="0"/>
                <w:color w:val="212121"/>
                <w:sz w:val="19"/>
              </w:rPr>
              <w:t>Cutting the cord with an unsterile blade and applying cow dung, ash, mud or ghee to the umbilical stump directly seed spores into devitalised tissue — the classic mechanism of neonatal tetanus, preventable by the WHO “six cleans”.</w:t>
            </w:r>
          </w:p>
          <w:p>
            <w:pPr>
              <w:spacing w:after="40" w:before="60" w:line="259" w:lineRule="auto"/>
            </w:pPr>
            <w:r>
              <w:rPr>
                <w:rFonts w:ascii="Calibri" w:hAnsi="Calibri"/>
                <w:b w:val="0"/>
                <w:i w:val="0"/>
                <w:color w:val="212121"/>
                <w:sz w:val="19"/>
              </w:rPr>
              <w:t>Neonatal tetanus results from infection of the unhealed umbilical stump, particularly when the stump is cut with an unsterile instrument.</w:t>
            </w:r>
          </w:p>
          <w:p>
            <w:pPr>
              <w:spacing w:after="40" w:line="252" w:lineRule="auto"/>
            </w:pPr>
            <w:hyperlink r:id="rId10">
              <w:r>
                <w:rPr>
                  <w:rFonts w:ascii="Calibri" w:hAnsi="Calibri" w:cs="Calibri"/>
                  <w:sz w:val="18"/>
                  <w:color w:val="1155CC"/>
                  <w:u w:val="single"/>
                </w:rPr>
                <w:t xml:space="preserve">cdc.gov — Pink Book, Tetanus</w:t>
              </w:r>
            </w:hyperlink>
          </w:p>
          <w:p>
            <w:pPr>
              <w:spacing w:before="60" w:after="40"/>
            </w:pPr>
            <w:r>
              <w:rPr>
                <w:rFonts w:ascii="Calibri" w:hAnsi="Calibri"/>
                <w:b w:val="0"/>
                <w:i w:val="0"/>
                <w:color w:val="5A5A5A"/>
                <w:sz w:val="18"/>
              </w:rPr>
              <w:t>#sixcleans  #cordcare  #cowdung  #cleandelivery  #neonatal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mothers and infants</w:t>
            </w:r>
          </w:p>
        </w:tc>
        <w:tc>
          <w:tcPr>
            <w:tcW w:type="dxa" w:w="4276"/>
            <w:vAlign w:val="top"/>
          </w:tcPr>
          <w:p>
            <w:pPr>
              <w:spacing w:after="60" w:line="259" w:lineRule="auto"/>
            </w:pPr>
            <w:r>
              <w:rPr>
                <w:rFonts w:ascii="Calibri" w:hAnsi="Calibri"/>
                <w:b w:val="0"/>
                <w:i w:val="0"/>
                <w:color w:val="212121"/>
                <w:sz w:val="19"/>
              </w:rPr>
              <w:t>Diet does not cause tetanus, but maternal and childhood undernutrition impairs wound healing and immune competence and clusters with the poverty, low immunisation and home-delivery conditions that drive tetanus; there is no direct dietary trigger.</w:t>
            </w:r>
          </w:p>
          <w:p>
            <w:pPr>
              <w:spacing w:before="60" w:after="40"/>
            </w:pPr>
            <w:r>
              <w:rPr>
                <w:rFonts w:ascii="Calibri" w:hAnsi="Calibri"/>
                <w:b w:val="0"/>
                <w:i w:val="0"/>
                <w:color w:val="5A5A5A"/>
                <w:sz w:val="18"/>
              </w:rPr>
              <w:t>#malnutrition  #woundhealing  #maternalnutrition  #indirectrisk</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inheritance</w:t>
            </w:r>
          </w:p>
        </w:tc>
        <w:tc>
          <w:tcPr>
            <w:tcW w:type="dxa" w:w="2160"/>
            <w:vAlign w:val="top"/>
          </w:tcPr>
          <w:p>
            <w:pPr>
              <w:spacing w:after="40" w:before="0" w:line="259" w:lineRule="auto"/>
            </w:pPr>
            <w:r>
              <w:rPr>
                <w:rFonts w:ascii="Calibri" w:hAnsi="Calibri"/>
                <w:b w:val="0"/>
                <w:i w:val="0"/>
                <w:color w:val="212121"/>
                <w:sz w:val="19"/>
              </w:rPr>
              <w:t>No inherited predisposition</w:t>
            </w:r>
          </w:p>
        </w:tc>
        <w:tc>
          <w:tcPr>
            <w:tcW w:type="dxa" w:w="4276"/>
            <w:vAlign w:val="top"/>
          </w:tcPr>
          <w:p>
            <w:pPr>
              <w:spacing w:after="60" w:line="259" w:lineRule="auto"/>
            </w:pPr>
            <w:r>
              <w:rPr>
                <w:rFonts w:ascii="Calibri" w:hAnsi="Calibri"/>
                <w:b w:val="0"/>
                <w:i w:val="0"/>
                <w:color w:val="212121"/>
                <w:sz w:val="19"/>
              </w:rPr>
              <w:t>Tetanus is toxin-mediated and confers no genetic susceptibility — individual risk is determined almost entirely by immunisation status and exposure, not by heredity. Family ‘clustering’ reflects shared unimmunised status and birth practices, not genes.</w:t>
            </w:r>
          </w:p>
          <w:p>
            <w:pPr>
              <w:spacing w:before="60" w:after="40"/>
            </w:pPr>
            <w:r>
              <w:rPr>
                <w:rFonts w:ascii="Calibri" w:hAnsi="Calibri"/>
                <w:b w:val="0"/>
                <w:i w:val="0"/>
                <w:color w:val="5A5A5A"/>
                <w:sz w:val="18"/>
              </w:rPr>
              <w:t>#toxinmediated  #acquiredimmunity  #nogeneticrisk  #vaccinepreventable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w:t>
            </w:r>
          </w:p>
        </w:tc>
        <w:tc>
          <w:tcPr>
            <w:tcW w:type="dxa" w:w="4276"/>
            <w:vAlign w:val="top"/>
          </w:tcPr>
          <w:p>
            <w:pPr>
              <w:spacing w:after="60" w:line="259" w:lineRule="auto"/>
            </w:pPr>
            <w:r>
              <w:rPr>
                <w:rFonts w:ascii="Calibri" w:hAnsi="Calibri"/>
                <w:b w:val="0"/>
                <w:i w:val="0"/>
                <w:color w:val="212121"/>
                <w:sz w:val="19"/>
              </w:rPr>
              <w:t>Diabetics develop chronic foot ulcers and poorly healing, poorly perfused wounds that serve as anaerobic portals of entry, have impaired immunity, and are over-represented among adult tetanus admissions with worse outcomes; coexisting diabetes complicates intensive-care management.</w:t>
            </w:r>
          </w:p>
          <w:p>
            <w:pPr>
              <w:spacing w:before="60" w:after="40"/>
            </w:pPr>
            <w:r>
              <w:rPr>
                <w:rFonts w:ascii="Calibri" w:hAnsi="Calibri"/>
                <w:b w:val="0"/>
                <w:i w:val="0"/>
                <w:color w:val="5A5A5A"/>
                <w:sz w:val="18"/>
              </w:rPr>
              <w:t>#diabetes  #footulcer  #chronicwound  #impairedhealing  #portalofentry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suppurative otitis media</w:t>
            </w:r>
          </w:p>
        </w:tc>
        <w:tc>
          <w:tcPr>
            <w:tcW w:type="dxa" w:w="2160"/>
            <w:vAlign w:val="top"/>
          </w:tcPr>
          <w:p>
            <w:pPr>
              <w:spacing w:after="40" w:before="0" w:line="259" w:lineRule="auto"/>
            </w:pPr>
            <w:r>
              <w:rPr>
                <w:rFonts w:ascii="Calibri" w:hAnsi="Calibri"/>
                <w:b w:val="0"/>
                <w:i w:val="0"/>
                <w:color w:val="212121"/>
                <w:sz w:val="19"/>
              </w:rPr>
              <w:t>Children with chronic ear discharge</w:t>
            </w:r>
          </w:p>
        </w:tc>
        <w:tc>
          <w:tcPr>
            <w:tcW w:type="dxa" w:w="4276"/>
            <w:vAlign w:val="top"/>
          </w:tcPr>
          <w:p>
            <w:pPr>
              <w:spacing w:after="60" w:line="259" w:lineRule="auto"/>
            </w:pPr>
            <w:r>
              <w:rPr>
                <w:rFonts w:ascii="Calibri" w:hAnsi="Calibri"/>
                <w:b w:val="0"/>
                <w:i w:val="0"/>
                <w:color w:val="212121"/>
                <w:sz w:val="19"/>
              </w:rPr>
              <w:t>A chronically discharging middle ear is a well-recognised portal of entry for C. tetani in Indian children, producing otogenic (often cephalic) tetanus with cranial-nerve involvement; the ear should always be examined as a possible source when no skin wound is found.</w:t>
            </w:r>
          </w:p>
          <w:p>
            <w:pPr>
              <w:spacing w:before="60" w:after="40"/>
            </w:pPr>
            <w:r>
              <w:rPr>
                <w:rFonts w:ascii="Calibri" w:hAnsi="Calibri"/>
                <w:b w:val="0"/>
                <w:i w:val="0"/>
                <w:color w:val="5A5A5A"/>
                <w:sz w:val="18"/>
              </w:rPr>
              <w:t>#otogenictetanus  #CSOM  #cephalictetanus  #eardischarge  #pediatric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wounds &amp; skin ulcers</w:t>
            </w:r>
          </w:p>
        </w:tc>
        <w:tc>
          <w:tcPr>
            <w:tcW w:type="dxa" w:w="2160"/>
            <w:vAlign w:val="top"/>
          </w:tcPr>
          <w:p>
            <w:pPr>
              <w:spacing w:after="40" w:before="0" w:line="259" w:lineRule="auto"/>
            </w:pPr>
            <w:r>
              <w:rPr>
                <w:rFonts w:ascii="Calibri" w:hAnsi="Calibri"/>
                <w:b w:val="0"/>
                <w:i w:val="0"/>
                <w:color w:val="212121"/>
                <w:sz w:val="19"/>
              </w:rPr>
              <w:t>Patients with leg ulcers, gangrene, burns, open fractures</w:t>
            </w:r>
          </w:p>
        </w:tc>
        <w:tc>
          <w:tcPr>
            <w:tcW w:type="dxa" w:w="4276"/>
            <w:vAlign w:val="top"/>
          </w:tcPr>
          <w:p>
            <w:pPr>
              <w:spacing w:after="60" w:line="259" w:lineRule="auto"/>
            </w:pPr>
            <w:r>
              <w:rPr>
                <w:rFonts w:ascii="Calibri" w:hAnsi="Calibri"/>
                <w:b w:val="0"/>
                <w:i w:val="0"/>
                <w:color w:val="212121"/>
                <w:sz w:val="19"/>
              </w:rPr>
              <w:t>Any chronic ulcer, gangrenous or burnt area, or open fracture provides devitalised, low-oxygen tissue ideal for spore germination; such wounds are classified as ‘tetanus-prone’ and mandate immunoglobulin plus toxoid if immunisation is uncertain.</w:t>
            </w:r>
          </w:p>
          <w:p>
            <w:pPr>
              <w:spacing w:before="60" w:after="40"/>
            </w:pPr>
            <w:r>
              <w:rPr>
                <w:rFonts w:ascii="Calibri" w:hAnsi="Calibri"/>
                <w:b w:val="0"/>
                <w:i w:val="0"/>
                <w:color w:val="5A5A5A"/>
                <w:sz w:val="18"/>
              </w:rPr>
              <w:t>#chroniculcer  #burns  #gangrene  #tetanusprone  #devitalisedtissue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Postpartum / post-abortal state</w:t>
            </w:r>
          </w:p>
        </w:tc>
        <w:tc>
          <w:tcPr>
            <w:tcW w:type="dxa" w:w="2160"/>
            <w:vAlign w:val="top"/>
          </w:tcPr>
          <w:p>
            <w:pPr>
              <w:spacing w:after="40" w:before="0" w:line="259" w:lineRule="auto"/>
            </w:pPr>
            <w:r>
              <w:rPr>
                <w:rFonts w:ascii="Calibri" w:hAnsi="Calibri"/>
                <w:b w:val="0"/>
                <w:i w:val="0"/>
                <w:color w:val="212121"/>
                <w:sz w:val="19"/>
              </w:rPr>
              <w:t>Recently delivered or post-abortion women</w:t>
            </w:r>
          </w:p>
        </w:tc>
        <w:tc>
          <w:tcPr>
            <w:tcW w:type="dxa" w:w="4276"/>
            <w:vAlign w:val="top"/>
          </w:tcPr>
          <w:p>
            <w:pPr>
              <w:spacing w:after="60" w:line="259" w:lineRule="auto"/>
            </w:pPr>
            <w:r>
              <w:rPr>
                <w:rFonts w:ascii="Calibri" w:hAnsi="Calibri"/>
                <w:b w:val="0"/>
                <w:i w:val="0"/>
                <w:color w:val="212121"/>
                <w:sz w:val="19"/>
              </w:rPr>
              <w:t>Maternal tetanus follows unclean delivery, instrumentation or unsafe abortion, when spores are introduced into the uterus or perineum within 6 weeks of the end of pregnancy; it is grouped with neonatal tetanus as the MNT the immunisation programme targets.</w:t>
            </w:r>
          </w:p>
          <w:p>
            <w:pPr>
              <w:spacing w:after="40" w:line="252" w:lineRule="auto"/>
            </w:pPr>
            <w:hyperlink r:id="rId9">
              <w:r>
                <w:rPr>
                  <w:rFonts w:ascii="Calibri" w:hAnsi="Calibri" w:cs="Calibri"/>
                  <w:sz w:val="18"/>
                  <w:color w:val="1155CC"/>
                  <w:u w:val="single"/>
                </w:rPr>
                <w:t xml:space="preserve">who.int — tetanus fact sheet</w:t>
              </w:r>
            </w:hyperlink>
          </w:p>
          <w:p>
            <w:pPr>
              <w:spacing w:before="60" w:after="40"/>
            </w:pPr>
            <w:r>
              <w:rPr>
                <w:rFonts w:ascii="Calibri" w:hAnsi="Calibri"/>
                <w:b w:val="0"/>
                <w:i w:val="0"/>
                <w:color w:val="5A5A5A"/>
                <w:sz w:val="18"/>
              </w:rPr>
              <w:t>#maternaltetanus  #unsafeabortion  #puerperium  #MNT  #obstetric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neither prevents nor causes tetanus; however physically demanding outdoor, agricultural and manual work raises the frequency of contaminated wounds that act as portals of entry. During recovery, graded physiotherapy prevents contractures and deconditioning.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food or nutrient causes or prevents tetanus. Undernutrition indirectly impairs wound healing and immunity and coexists with high-risk social conditions; during illness the hypermetabolic, spasm-driven state demands aggressive nutritional support.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role in causation, but in established tetanus a quiet, dark, low-stimulation environment that protects rest is essential nursing care because light, noise and touch trigger reflex spasms.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use is not an established risk factor for acquiring tetanus; smoking-related lung disease can worsen respiratory reserve during the prolonged ventilation that severe tetanus may require.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alcohol misuse and injection drug use are associated with adult tetanus through under-immunisation, non-sterile injection and neglected contaminated wounds; alcohol withdrawal can also confound the picture in the ICU.</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does not influence acquisition. Survivors of prolonged, painful spasms and ICU care, and mothers of infants lost to neonatal tetanus, are at risk of anxiety, depression and post-traumatic stress and benefit from psychological support.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Clean water underpins wound irrigation, hand hygiene and the ‘clean surface/clean hands’ elements of safe delivery; contaminated water and soil are reservoirs of spores. Adequate hydration also matters in the hypermetabolic, autonomically unstable patient.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the single most important behavioural determinant: aseptic wound care, hand hygiene, sterile instruments and the WHO ‘six cleans’ of delivery (clean hands, surface, blade, cord tie, cord stump and no unclean applications) prevent both wound and neonatal tetanus.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Tetanus is provoked by a defined event — a puncture, laceration, burn, crush, animal bite, unsterile injection, ear-piercing, unhealed umbilical stump or unclean delivery. Deep, dirty, devitalised wounds are ‘tetanus-prone’ and demand prophylaxis based on immunisation status.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tetanus antitoxin level (IU/mL)</w:t>
            </w:r>
          </w:p>
        </w:tc>
        <w:tc>
          <w:tcPr>
            <w:tcW w:type="dxa" w:w="1655"/>
            <w:vAlign w:val="top"/>
          </w:tcPr>
          <w:p>
            <w:pPr>
              <w:spacing w:after="40" w:before="0" w:line="259" w:lineRule="auto"/>
            </w:pPr>
            <w:r>
              <w:rPr>
                <w:rFonts w:ascii="Calibri" w:hAnsi="Calibri"/>
                <w:b w:val="0"/>
                <w:i w:val="0"/>
                <w:color w:val="212121"/>
                <w:sz w:val="19"/>
              </w:rPr>
              <w:t>All ages; injured/exposed persons</w:t>
            </w:r>
          </w:p>
        </w:tc>
        <w:tc>
          <w:tcPr>
            <w:tcW w:type="dxa" w:w="1512"/>
            <w:vAlign w:val="top"/>
          </w:tcPr>
          <w:p>
            <w:pPr>
              <w:spacing w:after="40" w:before="0" w:line="259" w:lineRule="auto"/>
            </w:pPr>
            <w:r>
              <w:rPr>
                <w:rFonts w:ascii="Calibri" w:hAnsi="Calibri"/>
                <w:b w:val="0"/>
                <w:i w:val="0"/>
                <w:color w:val="212121"/>
                <w:sz w:val="19"/>
              </w:rPr>
              <w:t>≥ 0.1 IU/mL (protective)</w:t>
            </w:r>
          </w:p>
        </w:tc>
        <w:tc>
          <w:tcPr>
            <w:tcW w:type="dxa" w:w="1512"/>
            <w:vAlign w:val="top"/>
          </w:tcPr>
          <w:p>
            <w:pPr>
              <w:spacing w:after="40" w:before="0" w:line="259" w:lineRule="auto"/>
            </w:pPr>
            <w:r>
              <w:rPr>
                <w:rFonts w:ascii="Calibri" w:hAnsi="Calibri"/>
                <w:b w:val="0"/>
                <w:i w:val="0"/>
                <w:color w:val="212121"/>
                <w:sz w:val="19"/>
              </w:rPr>
              <w:t>&lt; 0.1 IU/mL (susceptible)</w:t>
            </w:r>
          </w:p>
        </w:tc>
        <w:tc>
          <w:tcPr>
            <w:tcW w:type="dxa" w:w="1468"/>
            <w:vAlign w:val="top"/>
          </w:tcPr>
          <w:p>
            <w:pPr>
              <w:spacing w:after="60" w:line="259" w:lineRule="auto"/>
            </w:pPr>
            <w:r>
              <w:rPr>
                <w:rFonts w:ascii="Calibri" w:hAnsi="Calibri"/>
                <w:b w:val="0"/>
                <w:i w:val="0"/>
                <w:color w:val="212121"/>
                <w:sz w:val="19"/>
              </w:rPr>
              <w:t>Protection is vaccine-derived; levels wane ~10 years after the last dose</w:t>
            </w:r>
          </w:p>
          <w:p>
            <w:pPr>
              <w:spacing w:after="40" w:line="252" w:lineRule="auto"/>
            </w:pPr>
            <w:hyperlink r:id="rId10">
              <w:r>
                <w:rPr>
                  <w:rFonts w:ascii="Calibri" w:hAnsi="Calibri" w:cs="Calibri"/>
                  <w:sz w:val="18"/>
                  <w:color w:val="1155CC"/>
                  <w:u w:val="single"/>
                </w:rPr>
                <w:t xml:space="preserve">https://www.cdc.gov/pinkbook/hcp/table-of-contents/chapter-21-tetanus.html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Completed primary TTCV doses (lifetime)</w:t>
            </w:r>
          </w:p>
        </w:tc>
        <w:tc>
          <w:tcPr>
            <w:tcW w:type="dxa" w:w="1655"/>
            <w:vAlign w:val="top"/>
          </w:tcPr>
          <w:p>
            <w:pPr>
              <w:spacing w:after="40" w:before="0" w:line="259" w:lineRule="auto"/>
            </w:pPr>
            <w:r>
              <w:rPr>
                <w:rFonts w:ascii="Calibri" w:hAnsi="Calibri"/>
                <w:b w:val="0"/>
                <w:i w:val="0"/>
                <w:color w:val="212121"/>
                <w:sz w:val="19"/>
              </w:rPr>
              <w:t>Children and adults</w:t>
            </w:r>
          </w:p>
        </w:tc>
        <w:tc>
          <w:tcPr>
            <w:tcW w:type="dxa" w:w="1512"/>
            <w:vAlign w:val="top"/>
          </w:tcPr>
          <w:p>
            <w:pPr>
              <w:spacing w:after="40" w:before="0" w:line="259" w:lineRule="auto"/>
            </w:pPr>
            <w:r>
              <w:rPr>
                <w:rFonts w:ascii="Calibri" w:hAnsi="Calibri"/>
                <w:b w:val="0"/>
                <w:i w:val="0"/>
                <w:color w:val="212121"/>
                <w:sz w:val="19"/>
              </w:rPr>
              <w:t>≥ 3 primary doses + age-appropriate boosters (6 doses lifetime)</w:t>
            </w:r>
          </w:p>
        </w:tc>
        <w:tc>
          <w:tcPr>
            <w:tcW w:type="dxa" w:w="1512"/>
            <w:vAlign w:val="top"/>
          </w:tcPr>
          <w:p>
            <w:pPr>
              <w:spacing w:after="40" w:before="0" w:line="259" w:lineRule="auto"/>
            </w:pPr>
            <w:r>
              <w:rPr>
                <w:rFonts w:ascii="Calibri" w:hAnsi="Calibri"/>
                <w:b w:val="0"/>
                <w:i w:val="0"/>
                <w:color w:val="212121"/>
                <w:sz w:val="19"/>
              </w:rPr>
              <w:t>&lt; 3 doses or uncertain history</w:t>
            </w:r>
          </w:p>
        </w:tc>
        <w:tc>
          <w:tcPr>
            <w:tcW w:type="dxa" w:w="1468"/>
            <w:vAlign w:val="top"/>
          </w:tcPr>
          <w:p>
            <w:pPr>
              <w:spacing w:after="60" w:line="259" w:lineRule="auto"/>
            </w:pPr>
            <w:r>
              <w:rPr>
                <w:rFonts w:ascii="Calibri" w:hAnsi="Calibri"/>
                <w:b w:val="0"/>
                <w:i w:val="0"/>
                <w:color w:val="212121"/>
                <w:sz w:val="19"/>
              </w:rPr>
              <w:t>WHO recommends 6 TTCV doses (3 primary + 3 booster) across the lifespan</w:t>
            </w:r>
          </w:p>
          <w:p>
            <w:pPr>
              <w:spacing w:after="40" w:line="252" w:lineRule="auto"/>
            </w:pPr>
            <w:hyperlink r:id="rId9">
              <w:r>
                <w:rPr>
                  <w:rFonts w:ascii="Calibri" w:hAnsi="Calibri" w:cs="Calibri"/>
                  <w:sz w:val="18"/>
                  <w:color w:val="1155CC"/>
                  <w:u w:val="single"/>
                </w:rPr>
                <w:t xml:space="preserve">https://www.who.int/news-room/fact-sheets/detail/tetanus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Years since last tetanus booster</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 10 years</w:t>
            </w:r>
          </w:p>
        </w:tc>
        <w:tc>
          <w:tcPr>
            <w:tcW w:type="dxa" w:w="1512"/>
            <w:vAlign w:val="top"/>
          </w:tcPr>
          <w:p>
            <w:pPr>
              <w:spacing w:after="40" w:before="0" w:line="259" w:lineRule="auto"/>
            </w:pPr>
            <w:r>
              <w:rPr>
                <w:rFonts w:ascii="Calibri" w:hAnsi="Calibri"/>
                <w:b w:val="0"/>
                <w:i w:val="0"/>
                <w:color w:val="212121"/>
                <w:sz w:val="19"/>
              </w:rPr>
              <w:t>&gt; 10 years (or &gt; 5 years for a dirty/tetanus-prone wound)</w:t>
            </w:r>
          </w:p>
        </w:tc>
        <w:tc>
          <w:tcPr>
            <w:tcW w:type="dxa" w:w="1468"/>
            <w:vAlign w:val="top"/>
          </w:tcPr>
          <w:p>
            <w:pPr>
              <w:spacing w:after="60" w:line="259" w:lineRule="auto"/>
            </w:pPr>
            <w:r>
              <w:rPr>
                <w:rFonts w:ascii="Calibri" w:hAnsi="Calibri"/>
                <w:b w:val="0"/>
                <w:i w:val="0"/>
                <w:color w:val="212121"/>
                <w:sz w:val="19"/>
              </w:rPr>
              <w:t>Booster interval; shorten to 5 years for high-risk wounds</w:t>
            </w:r>
          </w:p>
          <w:p>
            <w:pPr>
              <w:spacing w:after="40" w:line="252" w:lineRule="auto"/>
            </w:pPr>
            <w:hyperlink r:id="rId14">
              <w:r>
                <w:rPr>
                  <w:rFonts w:ascii="Calibri" w:hAnsi="Calibri" w:cs="Calibri"/>
                  <w:sz w:val="18"/>
                  <w:color w:val="1155CC"/>
                  <w:u w:val="single"/>
                </w:rPr>
                <w:t xml:space="preserve">https://www.cdc.gov/tetanus/about/index.html</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Antenatal TT/Td doses in a previously unvaccinated pregnancy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 2 doses in the current pregnancy</w:t>
            </w:r>
          </w:p>
        </w:tc>
        <w:tc>
          <w:tcPr>
            <w:tcW w:type="dxa" w:w="1512"/>
            <w:vAlign w:val="top"/>
          </w:tcPr>
          <w:p>
            <w:pPr>
              <w:spacing w:after="40" w:before="0" w:line="259" w:lineRule="auto"/>
            </w:pPr>
            <w:r>
              <w:rPr>
                <w:rFonts w:ascii="Calibri" w:hAnsi="Calibri"/>
                <w:b w:val="0"/>
                <w:i w:val="0"/>
                <w:color w:val="212121"/>
                <w:sz w:val="19"/>
              </w:rPr>
              <w:t>0–1 dose / no antenatal immunisation</w:t>
            </w:r>
          </w:p>
        </w:tc>
        <w:tc>
          <w:tcPr>
            <w:tcW w:type="dxa" w:w="1468"/>
            <w:vAlign w:val="top"/>
          </w:tcPr>
          <w:p>
            <w:pPr>
              <w:spacing w:after="60" w:line="259" w:lineRule="auto"/>
            </w:pPr>
            <w:r>
              <w:rPr>
                <w:rFonts w:ascii="Calibri" w:hAnsi="Calibri"/>
                <w:b w:val="0"/>
                <w:i w:val="0"/>
                <w:color w:val="212121"/>
                <w:sz w:val="19"/>
              </w:rPr>
              <w:t>Two TTCV doses in a previously unvaccinated pregnancy protect mother and newborn</w:t>
            </w:r>
          </w:p>
          <w:p>
            <w:pPr>
              <w:spacing w:after="40" w:line="252" w:lineRule="auto"/>
            </w:pPr>
            <w:hyperlink r:id="rId13">
              <w:r>
                <w:rPr>
                  <w:rFonts w:ascii="Calibri" w:hAnsi="Calibri" w:cs="Calibri"/>
                  <w:sz w:val="18"/>
                  <w:color w:val="1155CC"/>
                  <w:u w:val="single"/>
                </w:rPr>
                <w:t xml:space="preserve">https://wwwnc.cdc.gov/travel/yellowbook/2024/infections-diseases/tetanus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WHO ‘six cleans’ of delivery</w:t>
            </w:r>
          </w:p>
        </w:tc>
        <w:tc>
          <w:tcPr>
            <w:tcW w:type="dxa" w:w="1655"/>
            <w:vAlign w:val="top"/>
          </w:tcPr>
          <w:p>
            <w:pPr>
              <w:spacing w:after="40" w:before="0" w:line="259" w:lineRule="auto"/>
            </w:pPr>
            <w:r>
              <w:rPr>
                <w:rFonts w:ascii="Calibri" w:hAnsi="Calibri"/>
                <w:b w:val="0"/>
                <w:i w:val="0"/>
                <w:color w:val="212121"/>
                <w:sz w:val="19"/>
              </w:rPr>
              <w:t>Mothers and newborns</w:t>
            </w:r>
          </w:p>
        </w:tc>
        <w:tc>
          <w:tcPr>
            <w:tcW w:type="dxa" w:w="1512"/>
            <w:vAlign w:val="top"/>
          </w:tcPr>
          <w:p>
            <w:pPr>
              <w:spacing w:after="40" w:before="0" w:line="259" w:lineRule="auto"/>
            </w:pPr>
            <w:r>
              <w:rPr>
                <w:rFonts w:ascii="Calibri" w:hAnsi="Calibri"/>
                <w:b w:val="0"/>
                <w:i w:val="0"/>
                <w:color w:val="212121"/>
                <w:sz w:val="19"/>
              </w:rPr>
              <w:t>All six cleans observed (skilled/institutional birth)</w:t>
            </w:r>
          </w:p>
        </w:tc>
        <w:tc>
          <w:tcPr>
            <w:tcW w:type="dxa" w:w="1512"/>
            <w:vAlign w:val="top"/>
          </w:tcPr>
          <w:p>
            <w:pPr>
              <w:spacing w:after="40" w:before="0" w:line="259" w:lineRule="auto"/>
            </w:pPr>
            <w:r>
              <w:rPr>
                <w:rFonts w:ascii="Calibri" w:hAnsi="Calibri"/>
                <w:b w:val="0"/>
                <w:i w:val="0"/>
                <w:color w:val="212121"/>
                <w:sz w:val="19"/>
              </w:rPr>
              <w:t>Any breach; home birth by unskilled attendant</w:t>
            </w:r>
          </w:p>
        </w:tc>
        <w:tc>
          <w:tcPr>
            <w:tcW w:type="dxa" w:w="1468"/>
            <w:vAlign w:val="top"/>
          </w:tcPr>
          <w:p>
            <w:pPr>
              <w:spacing w:after="60" w:line="259" w:lineRule="auto"/>
            </w:pPr>
            <w:r>
              <w:rPr>
                <w:rFonts w:ascii="Calibri" w:hAnsi="Calibri"/>
                <w:b w:val="0"/>
                <w:i w:val="0"/>
                <w:color w:val="212121"/>
                <w:sz w:val="19"/>
              </w:rPr>
              <w:t>Prevents neonatal and maternal tetanus</w:t>
            </w:r>
          </w:p>
          <w:p>
            <w:pPr>
              <w:spacing w:after="40" w:line="252" w:lineRule="auto"/>
            </w:pPr>
            <w:hyperlink r:id="rId10">
              <w:r>
                <w:rPr>
                  <w:rFonts w:ascii="Calibri" w:hAnsi="Calibri" w:cs="Calibri"/>
                  <w:sz w:val="18"/>
                  <w:color w:val="1155CC"/>
                  <w:u w:val="single"/>
                </w:rPr>
                <w:t xml:space="preserve">https://www.cdc.gov/pinkbook/hcp/table-of-contents/chapter-21-tetanus.html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Umbilical cord care</w:t>
            </w:r>
          </w:p>
        </w:tc>
        <w:tc>
          <w:tcPr>
            <w:tcW w:type="dxa" w:w="1655"/>
            <w:vAlign w:val="top"/>
          </w:tcPr>
          <w:p>
            <w:pPr>
              <w:spacing w:after="40" w:before="0" w:line="259" w:lineRule="auto"/>
            </w:pPr>
            <w:r>
              <w:rPr>
                <w:rFonts w:ascii="Calibri" w:hAnsi="Calibri"/>
                <w:b w:val="0"/>
                <w:i w:val="0"/>
                <w:color w:val="212121"/>
                <w:sz w:val="19"/>
              </w:rPr>
              <w:t>Neonates</w:t>
            </w:r>
          </w:p>
        </w:tc>
        <w:tc>
          <w:tcPr>
            <w:tcW w:type="dxa" w:w="1512"/>
            <w:vAlign w:val="top"/>
          </w:tcPr>
          <w:p>
            <w:pPr>
              <w:spacing w:after="40" w:before="0" w:line="259" w:lineRule="auto"/>
            </w:pPr>
            <w:r>
              <w:rPr>
                <w:rFonts w:ascii="Calibri" w:hAnsi="Calibri"/>
                <w:b w:val="0"/>
                <w:i w:val="0"/>
                <w:color w:val="212121"/>
                <w:sz w:val="19"/>
              </w:rPr>
              <w:t>Sterile cutting; clean, dry cord (or chlorhexidine per protocol); nothing applied</w:t>
            </w:r>
          </w:p>
        </w:tc>
        <w:tc>
          <w:tcPr>
            <w:tcW w:type="dxa" w:w="1512"/>
            <w:vAlign w:val="top"/>
          </w:tcPr>
          <w:p>
            <w:pPr>
              <w:spacing w:after="40" w:before="0" w:line="259" w:lineRule="auto"/>
            </w:pPr>
            <w:r>
              <w:rPr>
                <w:rFonts w:ascii="Calibri" w:hAnsi="Calibri"/>
                <w:b w:val="0"/>
                <w:i w:val="0"/>
                <w:color w:val="212121"/>
                <w:sz w:val="19"/>
              </w:rPr>
              <w:t>Unsterile blade; cow dung / ash / ghee applied to stump</w:t>
            </w:r>
          </w:p>
        </w:tc>
        <w:tc>
          <w:tcPr>
            <w:tcW w:type="dxa" w:w="1468"/>
            <w:vAlign w:val="top"/>
          </w:tcPr>
          <w:p>
            <w:pPr>
              <w:spacing w:after="60" w:line="259" w:lineRule="auto"/>
            </w:pPr>
            <w:r>
              <w:rPr>
                <w:rFonts w:ascii="Calibri" w:hAnsi="Calibri"/>
                <w:b w:val="0"/>
                <w:i w:val="0"/>
                <w:color w:val="212121"/>
                <w:sz w:val="19"/>
              </w:rPr>
              <w:t>Contaminated stump is the classic route of neonatal tetanus</w:t>
            </w:r>
          </w:p>
          <w:p>
            <w:pPr>
              <w:spacing w:after="40" w:line="252" w:lineRule="auto"/>
            </w:pPr>
            <w:hyperlink r:id="rId15">
              <w:r>
                <w:rPr>
                  <w:rFonts w:ascii="Calibri" w:hAnsi="Calibri" w:cs="Calibri"/>
                  <w:sz w:val="18"/>
                  <w:color w:val="1155CC"/>
                  <w:u w:val="single"/>
                </w:rPr>
                <w:t xml:space="preserve">https://www.cdc.gov/tetanus/hcp/clinical-overview/index.html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Wound risk category</w:t>
            </w:r>
          </w:p>
        </w:tc>
        <w:tc>
          <w:tcPr>
            <w:tcW w:type="dxa" w:w="1655"/>
            <w:vAlign w:val="top"/>
          </w:tcPr>
          <w:p>
            <w:pPr>
              <w:spacing w:after="40" w:before="0" w:line="259" w:lineRule="auto"/>
            </w:pPr>
            <w:r>
              <w:rPr>
                <w:rFonts w:ascii="Calibri" w:hAnsi="Calibri"/>
                <w:b w:val="0"/>
                <w:i w:val="0"/>
                <w:color w:val="212121"/>
                <w:sz w:val="19"/>
              </w:rPr>
              <w:t>Injured patients</w:t>
            </w:r>
          </w:p>
        </w:tc>
        <w:tc>
          <w:tcPr>
            <w:tcW w:type="dxa" w:w="1512"/>
            <w:vAlign w:val="top"/>
          </w:tcPr>
          <w:p>
            <w:pPr>
              <w:spacing w:after="40" w:before="0" w:line="259" w:lineRule="auto"/>
            </w:pPr>
            <w:r>
              <w:rPr>
                <w:rFonts w:ascii="Calibri" w:hAnsi="Calibri"/>
                <w:b w:val="0"/>
                <w:i w:val="0"/>
                <w:color w:val="212121"/>
                <w:sz w:val="19"/>
              </w:rPr>
              <w:t>Clean, minor wound, promptly cleaned</w:t>
            </w:r>
          </w:p>
        </w:tc>
        <w:tc>
          <w:tcPr>
            <w:tcW w:type="dxa" w:w="1512"/>
            <w:vAlign w:val="top"/>
          </w:tcPr>
          <w:p>
            <w:pPr>
              <w:spacing w:after="40" w:before="0" w:line="259" w:lineRule="auto"/>
            </w:pPr>
            <w:r>
              <w:rPr>
                <w:rFonts w:ascii="Calibri" w:hAnsi="Calibri"/>
                <w:b w:val="0"/>
                <w:i w:val="0"/>
                <w:color w:val="212121"/>
                <w:sz w:val="19"/>
              </w:rPr>
              <w:t>Deep puncture, crush, burn, or soil/faeces/saliva contamination</w:t>
            </w:r>
          </w:p>
        </w:tc>
        <w:tc>
          <w:tcPr>
            <w:tcW w:type="dxa" w:w="1468"/>
            <w:vAlign w:val="top"/>
          </w:tcPr>
          <w:p>
            <w:pPr>
              <w:spacing w:after="60" w:line="259" w:lineRule="auto"/>
            </w:pPr>
            <w:r>
              <w:rPr>
                <w:rFonts w:ascii="Calibri" w:hAnsi="Calibri"/>
                <w:b w:val="0"/>
                <w:i w:val="0"/>
                <w:color w:val="212121"/>
                <w:sz w:val="19"/>
              </w:rPr>
              <w:t>Tetanus-prone wounds need immunoglobulin plus toxoid if immunity uncertain</w:t>
            </w:r>
          </w:p>
          <w:p>
            <w:pPr>
              <w:spacing w:after="40" w:line="252" w:lineRule="auto"/>
            </w:pPr>
            <w:hyperlink r:id="rId13">
              <w:r>
                <w:rPr>
                  <w:rFonts w:ascii="Calibri" w:hAnsi="Calibri" w:cs="Calibri"/>
                  <w:sz w:val="18"/>
                  <w:color w:val="1155CC"/>
                  <w:u w:val="single"/>
                </w:rPr>
                <w:t xml:space="preserve">https://wwwnc.cdc.gov/travel/yellowbook/2024/infections-diseases/tetanus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Incubation period (exposure to first symptom)</w:t>
            </w:r>
          </w:p>
        </w:tc>
        <w:tc>
          <w:tcPr>
            <w:tcW w:type="dxa" w:w="1655"/>
            <w:vAlign w:val="top"/>
          </w:tcPr>
          <w:p>
            <w:pPr>
              <w:spacing w:after="40" w:before="0" w:line="259" w:lineRule="auto"/>
            </w:pPr>
            <w:r>
              <w:rPr>
                <w:rFonts w:ascii="Calibri" w:hAnsi="Calibri"/>
                <w:b w:val="0"/>
                <w:i w:val="0"/>
                <w:color w:val="212121"/>
                <w:sz w:val="19"/>
              </w:rPr>
              <w:t>All forms</w:t>
            </w:r>
          </w:p>
        </w:tc>
        <w:tc>
          <w:tcPr>
            <w:tcW w:type="dxa" w:w="1512"/>
            <w:vAlign w:val="top"/>
          </w:tcPr>
          <w:p>
            <w:pPr>
              <w:spacing w:after="40" w:before="0" w:line="259" w:lineRule="auto"/>
            </w:pPr>
            <w:r>
              <w:rPr>
                <w:rFonts w:ascii="Calibri" w:hAnsi="Calibri"/>
                <w:b w:val="0"/>
                <w:i w:val="0"/>
                <w:color w:val="212121"/>
                <w:sz w:val="19"/>
              </w:rPr>
              <w:t>Longer incubation (&gt; 10 days) — milder disease</w:t>
            </w:r>
          </w:p>
        </w:tc>
        <w:tc>
          <w:tcPr>
            <w:tcW w:type="dxa" w:w="1512"/>
            <w:vAlign w:val="top"/>
          </w:tcPr>
          <w:p>
            <w:pPr>
              <w:spacing w:after="40" w:before="0" w:line="259" w:lineRule="auto"/>
            </w:pPr>
            <w:r>
              <w:rPr>
                <w:rFonts w:ascii="Calibri" w:hAnsi="Calibri"/>
                <w:b w:val="0"/>
                <w:i w:val="0"/>
                <w:color w:val="212121"/>
                <w:sz w:val="19"/>
              </w:rPr>
              <w:t>Short incubation &lt; 7 days, or onset time &lt; 48 h — severe disease</w:t>
            </w:r>
          </w:p>
        </w:tc>
        <w:tc>
          <w:tcPr>
            <w:tcW w:type="dxa" w:w="1468"/>
            <w:vAlign w:val="top"/>
          </w:tcPr>
          <w:p>
            <w:pPr>
              <w:spacing w:after="60" w:line="259" w:lineRule="auto"/>
            </w:pPr>
            <w:r>
              <w:rPr>
                <w:rFonts w:ascii="Calibri" w:hAnsi="Calibri"/>
                <w:b w:val="0"/>
                <w:i w:val="0"/>
                <w:color w:val="212121"/>
                <w:sz w:val="19"/>
              </w:rPr>
              <w:t>Short incubation and onset predict worse prognosis</w:t>
            </w:r>
          </w:p>
          <w:p>
            <w:pPr>
              <w:spacing w:after="40" w:line="252" w:lineRule="auto"/>
            </w:pPr>
            <w:hyperlink r:id="rId16">
              <w:r>
                <w:rPr>
                  <w:rFonts w:ascii="Calibri" w:hAnsi="Calibri" w:cs="Calibri"/>
                  <w:sz w:val="18"/>
                  <w:color w:val="1155CC"/>
                  <w:u w:val="single"/>
                </w:rPr>
                <w:t xml:space="preserve">https://www.ncbi.nlm.nih.gov/books/NBK482484/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Non-sterile injecting / alcohol misuse</w:t>
            </w:r>
          </w:p>
        </w:tc>
        <w:tc>
          <w:tcPr>
            <w:tcW w:type="dxa" w:w="1655"/>
            <w:vAlign w:val="top"/>
          </w:tcPr>
          <w:p>
            <w:pPr>
              <w:spacing w:after="40" w:before="0" w:line="259" w:lineRule="auto"/>
            </w:pPr>
            <w:r>
              <w:rPr>
                <w:rFonts w:ascii="Calibri" w:hAnsi="Calibri"/>
                <w:b w:val="0"/>
                <w:i w:val="0"/>
                <w:color w:val="212121"/>
                <w:sz w:val="19"/>
              </w:rPr>
              <w:t>People who inject drugs; heavy drinkers</w:t>
            </w:r>
          </w:p>
        </w:tc>
        <w:tc>
          <w:tcPr>
            <w:tcW w:type="dxa" w:w="1512"/>
            <w:vAlign w:val="top"/>
          </w:tcPr>
          <w:p>
            <w:pPr>
              <w:spacing w:after="40" w:before="0" w:line="259" w:lineRule="auto"/>
            </w:pPr>
            <w:r>
              <w:rPr>
                <w:rFonts w:ascii="Calibri" w:hAnsi="Calibri"/>
                <w:b w:val="0"/>
                <w:i w:val="0"/>
                <w:color w:val="212121"/>
                <w:sz w:val="19"/>
              </w:rPr>
              <w:t>No non-sterile injecting; sterile equipment</w:t>
            </w:r>
          </w:p>
        </w:tc>
        <w:tc>
          <w:tcPr>
            <w:tcW w:type="dxa" w:w="1512"/>
            <w:vAlign w:val="top"/>
          </w:tcPr>
          <w:p>
            <w:pPr>
              <w:spacing w:after="40" w:before="0" w:line="259" w:lineRule="auto"/>
            </w:pPr>
            <w:r>
              <w:rPr>
                <w:rFonts w:ascii="Calibri" w:hAnsi="Calibri"/>
                <w:b w:val="0"/>
                <w:i w:val="0"/>
                <w:color w:val="212121"/>
                <w:sz w:val="19"/>
              </w:rPr>
              <w:t>Skin-popping / shared or non-sterile injection</w:t>
            </w:r>
          </w:p>
        </w:tc>
        <w:tc>
          <w:tcPr>
            <w:tcW w:type="dxa" w:w="1468"/>
            <w:vAlign w:val="top"/>
          </w:tcPr>
          <w:p>
            <w:pPr>
              <w:spacing w:after="60" w:line="259" w:lineRule="auto"/>
            </w:pPr>
            <w:r>
              <w:rPr>
                <w:rFonts w:ascii="Calibri" w:hAnsi="Calibri"/>
                <w:b w:val="0"/>
                <w:i w:val="0"/>
                <w:color w:val="212121"/>
                <w:sz w:val="19"/>
              </w:rPr>
              <w:t>Recognised route for adult tetanus in under-immunised users</w:t>
            </w:r>
          </w:p>
          <w:p>
            <w:pPr>
              <w:spacing w:after="40" w:line="252" w:lineRule="auto"/>
            </w:pPr>
            <w:hyperlink r:id="rId16">
              <w:r>
                <w:rPr>
                  <w:rFonts w:ascii="Calibri" w:hAnsi="Calibri" w:cs="Calibri"/>
                  <w:sz w:val="18"/>
                  <w:color w:val="1155CC"/>
                  <w:u w:val="single"/>
                </w:rPr>
                <w:t xml:space="preserve">https://www.ncbi.nlm.nih.gov/books/NBK482484/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Serum tetanus antitoxin (anti-toxin IgG)</w:t>
            </w:r>
          </w:p>
        </w:tc>
        <w:tc>
          <w:tcPr>
            <w:tcW w:type="dxa" w:w="892"/>
            <w:vAlign w:val="top"/>
          </w:tcPr>
          <w:p>
            <w:pPr>
              <w:spacing w:after="40" w:before="0" w:line="259" w:lineRule="auto"/>
            </w:pPr>
            <w:r>
              <w:rPr>
                <w:rFonts w:ascii="Calibri" w:hAnsi="Calibri"/>
                <w:b w:val="0"/>
                <w:i w:val="0"/>
                <w:color w:val="212121"/>
                <w:sz w:val="16"/>
              </w:rPr>
              <w:t>Tetanus antibody assay (ELISA/agglutination)</w:t>
            </w:r>
          </w:p>
        </w:tc>
        <w:tc>
          <w:tcPr>
            <w:tcW w:type="dxa" w:w="950"/>
            <w:vAlign w:val="top"/>
          </w:tcPr>
          <w:p>
            <w:pPr>
              <w:spacing w:after="40" w:before="0" w:line="259" w:lineRule="auto"/>
            </w:pPr>
            <w:r>
              <w:rPr>
                <w:rFonts w:ascii="Calibri" w:hAnsi="Calibri"/>
                <w:b w:val="0"/>
                <w:i w:val="0"/>
                <w:color w:val="212121"/>
                <w:sz w:val="16"/>
              </w:rPr>
              <w:t>≥ 0.1 IU/mL</w:t>
            </w:r>
          </w:p>
        </w:tc>
        <w:tc>
          <w:tcPr>
            <w:tcW w:type="dxa" w:w="950"/>
            <w:vAlign w:val="top"/>
          </w:tcPr>
          <w:p>
            <w:pPr>
              <w:spacing w:after="40" w:before="0" w:line="259" w:lineRule="auto"/>
            </w:pPr>
            <w:r>
              <w:rPr>
                <w:rFonts w:ascii="Calibri" w:hAnsi="Calibri"/>
                <w:b w:val="0"/>
                <w:i w:val="0"/>
                <w:color w:val="212121"/>
                <w:sz w:val="16"/>
              </w:rPr>
              <w:t>&lt; 0.1 IU/mL</w:t>
            </w:r>
          </w:p>
        </w:tc>
        <w:tc>
          <w:tcPr>
            <w:tcW w:type="dxa" w:w="1036"/>
            <w:vAlign w:val="top"/>
          </w:tcPr>
          <w:p>
            <w:pPr>
              <w:spacing w:after="40" w:before="0" w:line="259" w:lineRule="auto"/>
            </w:pPr>
            <w:r>
              <w:rPr>
                <w:rFonts w:ascii="Calibri" w:hAnsi="Calibri"/>
                <w:b w:val="0"/>
                <w:i w:val="0"/>
                <w:color w:val="212121"/>
                <w:sz w:val="16"/>
              </w:rPr>
              <w:t>Supports susceptibility; a protective level makes tetanus less likely but does not exclude it. Never delay treatment for the result</w:t>
            </w:r>
          </w:p>
        </w:tc>
        <w:tc>
          <w:tcPr>
            <w:tcW w:type="dxa" w:w="1036"/>
            <w:vAlign w:val="top"/>
          </w:tcPr>
          <w:p>
            <w:pPr>
              <w:spacing w:after="40" w:before="0" w:line="259" w:lineRule="auto"/>
            </w:pPr>
            <w:r>
              <w:rPr>
                <w:rFonts w:ascii="Calibri" w:hAnsi="Calibri"/>
                <w:b w:val="0"/>
                <w:i w:val="0"/>
                <w:color w:val="212121"/>
                <w:sz w:val="16"/>
              </w:rPr>
              <w:t>Unimmunised/uncertain-history patients, injured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Diagnosis remains clinical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Wound Gram stain &amp; anaerobic culture</w:t>
            </w:r>
          </w:p>
        </w:tc>
        <w:tc>
          <w:tcPr>
            <w:tcW w:type="dxa" w:w="892"/>
            <w:vAlign w:val="top"/>
          </w:tcPr>
          <w:p>
            <w:pPr>
              <w:spacing w:after="40" w:before="0" w:line="259" w:lineRule="auto"/>
            </w:pPr>
            <w:r>
              <w:rPr>
                <w:rFonts w:ascii="Calibri" w:hAnsi="Calibri"/>
                <w:b w:val="0"/>
                <w:i w:val="0"/>
                <w:color w:val="212121"/>
                <w:sz w:val="16"/>
              </w:rPr>
              <w:t>C. tetani culture</w:t>
            </w:r>
          </w:p>
        </w:tc>
        <w:tc>
          <w:tcPr>
            <w:tcW w:type="dxa" w:w="950"/>
            <w:vAlign w:val="top"/>
          </w:tcPr>
          <w:p>
            <w:pPr>
              <w:spacing w:after="40" w:before="0" w:line="259" w:lineRule="auto"/>
            </w:pPr>
            <w:r>
              <w:rPr>
                <w:rFonts w:ascii="Calibri" w:hAnsi="Calibri"/>
                <w:b w:val="0"/>
                <w:i w:val="0"/>
                <w:color w:val="212121"/>
                <w:sz w:val="16"/>
              </w:rPr>
              <w:t>No organism isolated</w:t>
            </w:r>
          </w:p>
        </w:tc>
        <w:tc>
          <w:tcPr>
            <w:tcW w:type="dxa" w:w="950"/>
            <w:vAlign w:val="top"/>
          </w:tcPr>
          <w:p>
            <w:pPr>
              <w:spacing w:after="40" w:before="0" w:line="259" w:lineRule="auto"/>
            </w:pPr>
            <w:r>
              <w:rPr>
                <w:rFonts w:ascii="Calibri" w:hAnsi="Calibri"/>
                <w:b w:val="0"/>
                <w:i w:val="0"/>
                <w:color w:val="212121"/>
                <w:sz w:val="16"/>
              </w:rPr>
              <w:t>Gram-positive ‘drumstick’ bacilli / C. tetani isolated</w:t>
            </w:r>
          </w:p>
        </w:tc>
        <w:tc>
          <w:tcPr>
            <w:tcW w:type="dxa" w:w="1036"/>
            <w:vAlign w:val="top"/>
          </w:tcPr>
          <w:p>
            <w:pPr>
              <w:spacing w:after="40" w:before="0" w:line="259" w:lineRule="auto"/>
            </w:pPr>
            <w:r>
              <w:rPr>
                <w:rFonts w:ascii="Calibri" w:hAnsi="Calibri"/>
                <w:b w:val="0"/>
                <w:i w:val="0"/>
                <w:color w:val="212121"/>
                <w:sz w:val="16"/>
              </w:rPr>
              <w:t>Low sensitivity — organism recovered in only a minority of wounds; a negative culture never rules out tetanus</w:t>
            </w:r>
          </w:p>
        </w:tc>
        <w:tc>
          <w:tcPr>
            <w:tcW w:type="dxa" w:w="1036"/>
            <w:vAlign w:val="top"/>
          </w:tcPr>
          <w:p>
            <w:pPr>
              <w:spacing w:after="40" w:before="0" w:line="259" w:lineRule="auto"/>
            </w:pPr>
            <w:r>
              <w:rPr>
                <w:rFonts w:ascii="Calibri" w:hAnsi="Calibri"/>
                <w:b w:val="0"/>
                <w:i w:val="0"/>
                <w:color w:val="212121"/>
                <w:sz w:val="16"/>
              </w:rPr>
              <w:t>Patients with an identifiable contaminated wound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Low-yield</w:t>
            </w:r>
          </w:p>
        </w:tc>
        <w:tc>
          <w:tcPr>
            <w:tcW w:type="dxa" w:w="720"/>
            <w:vAlign w:val="top"/>
          </w:tcPr>
          <w:p>
            <w:pPr>
              <w:spacing w:after="40" w:before="0" w:line="259" w:lineRule="auto"/>
            </w:pPr>
            <w:r>
              <w:rPr>
                <w:rFonts w:ascii="Calibri" w:hAnsi="Calibri"/>
                <w:b w:val="0"/>
                <w:i w:val="0"/>
                <w:color w:val="212121"/>
                <w:sz w:val="16"/>
              </w:rPr>
              <w:t>Culture positive in roughly a third of cases at best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creatine kinase (CK)</w:t>
            </w:r>
          </w:p>
        </w:tc>
        <w:tc>
          <w:tcPr>
            <w:tcW w:type="dxa" w:w="892"/>
            <w:vAlign w:val="top"/>
          </w:tcPr>
          <w:p>
            <w:pPr>
              <w:spacing w:after="40" w:before="0" w:line="259" w:lineRule="auto"/>
            </w:pPr>
            <w:r>
              <w:rPr>
                <w:rFonts w:ascii="Calibri" w:hAnsi="Calibri"/>
                <w:b w:val="0"/>
                <w:i w:val="0"/>
                <w:color w:val="212121"/>
                <w:sz w:val="16"/>
              </w:rPr>
              <w:t>Muscle enzyme panel</w:t>
            </w:r>
          </w:p>
        </w:tc>
        <w:tc>
          <w:tcPr>
            <w:tcW w:type="dxa" w:w="950"/>
            <w:vAlign w:val="top"/>
          </w:tcPr>
          <w:p>
            <w:pPr>
              <w:spacing w:after="40" w:before="0" w:line="259" w:lineRule="auto"/>
            </w:pPr>
            <w:r>
              <w:rPr>
                <w:rFonts w:ascii="Calibri" w:hAnsi="Calibri"/>
                <w:b w:val="0"/>
                <w:i w:val="0"/>
                <w:color w:val="212121"/>
                <w:sz w:val="16"/>
              </w:rPr>
              <w:t>≈ 30–200 U/L</w:t>
            </w:r>
          </w:p>
        </w:tc>
        <w:tc>
          <w:tcPr>
            <w:tcW w:type="dxa" w:w="950"/>
            <w:vAlign w:val="top"/>
          </w:tcPr>
          <w:p>
            <w:pPr>
              <w:spacing w:after="40" w:before="0" w:line="259" w:lineRule="auto"/>
            </w:pPr>
            <w:r>
              <w:rPr>
                <w:rFonts w:ascii="Calibri" w:hAnsi="Calibri"/>
                <w:b w:val="0"/>
                <w:i w:val="0"/>
                <w:color w:val="212121"/>
                <w:sz w:val="16"/>
              </w:rPr>
              <w:t>Markedly elevated</w:t>
            </w:r>
          </w:p>
        </w:tc>
        <w:tc>
          <w:tcPr>
            <w:tcW w:type="dxa" w:w="1036"/>
            <w:vAlign w:val="top"/>
          </w:tcPr>
          <w:p>
            <w:pPr>
              <w:spacing w:after="40" w:before="0" w:line="259" w:lineRule="auto"/>
            </w:pPr>
            <w:r>
              <w:rPr>
                <w:rFonts w:ascii="Calibri" w:hAnsi="Calibri"/>
                <w:b w:val="0"/>
                <w:i w:val="0"/>
                <w:color w:val="212121"/>
                <w:sz w:val="16"/>
              </w:rPr>
              <w:t>Sustained rigidity and spasms cause rhabdomyolysis; a rising CK flags risk of myoglobinuric acute kidney injury</w:t>
            </w:r>
          </w:p>
        </w:tc>
        <w:tc>
          <w:tcPr>
            <w:tcW w:type="dxa" w:w="1036"/>
            <w:vAlign w:val="top"/>
          </w:tcPr>
          <w:p>
            <w:pPr>
              <w:spacing w:after="40" w:before="0" w:line="259" w:lineRule="auto"/>
            </w:pPr>
            <w:r>
              <w:rPr>
                <w:rFonts w:ascii="Calibri" w:hAnsi="Calibri"/>
                <w:b w:val="0"/>
                <w:i w:val="0"/>
                <w:color w:val="212121"/>
                <w:sz w:val="16"/>
              </w:rPr>
              <w:t>Severe (Ablett III–IV) tetanus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Track alongside renal function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Renal function &amp; electrolytes</w:t>
            </w:r>
          </w:p>
        </w:tc>
        <w:tc>
          <w:tcPr>
            <w:tcW w:type="dxa" w:w="892"/>
            <w:vAlign w:val="top"/>
          </w:tcPr>
          <w:p>
            <w:pPr>
              <w:spacing w:after="40" w:before="0" w:line="259" w:lineRule="auto"/>
            </w:pPr>
            <w:r>
              <w:rPr>
                <w:rFonts w:ascii="Calibri" w:hAnsi="Calibri"/>
                <w:b w:val="0"/>
                <w:i w:val="0"/>
                <w:color w:val="212121"/>
                <w:sz w:val="16"/>
              </w:rPr>
              <w:t>Urea, creatinine, Na⁺/K⁺/Ca²⁺</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Rising creatinine; deranged electrolytes</w:t>
            </w:r>
          </w:p>
        </w:tc>
        <w:tc>
          <w:tcPr>
            <w:tcW w:type="dxa" w:w="1036"/>
            <w:vAlign w:val="top"/>
          </w:tcPr>
          <w:p>
            <w:pPr>
              <w:spacing w:after="40" w:before="0" w:line="259" w:lineRule="auto"/>
            </w:pPr>
            <w:r>
              <w:rPr>
                <w:rFonts w:ascii="Calibri" w:hAnsi="Calibri"/>
                <w:b w:val="0"/>
                <w:i w:val="0"/>
                <w:color w:val="212121"/>
                <w:sz w:val="16"/>
              </w:rPr>
              <w:t>Autonomic instability, rhabdomyolysis and prolonged ICU stay threaten the kidneys; hypocalcaemia is an important mimic to exclude</w:t>
            </w:r>
          </w:p>
        </w:tc>
        <w:tc>
          <w:tcPr>
            <w:tcW w:type="dxa" w:w="1036"/>
            <w:vAlign w:val="top"/>
          </w:tcPr>
          <w:p>
            <w:pPr>
              <w:spacing w:after="40" w:before="0" w:line="259" w:lineRule="auto"/>
            </w:pPr>
            <w:r>
              <w:rPr>
                <w:rFonts w:ascii="Calibri" w:hAnsi="Calibri"/>
                <w:b w:val="0"/>
                <w:i w:val="0"/>
                <w:color w:val="212121"/>
                <w:sz w:val="16"/>
              </w:rPr>
              <w:t>Severe tetanus, autonomic dysfunction</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Exclude hypocalcaemic tetany as a differential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Arterial blood gas &amp; SpO₂</w:t>
            </w:r>
          </w:p>
        </w:tc>
        <w:tc>
          <w:tcPr>
            <w:tcW w:type="dxa" w:w="892"/>
            <w:vAlign w:val="top"/>
          </w:tcPr>
          <w:p>
            <w:pPr>
              <w:spacing w:after="40" w:before="0" w:line="259" w:lineRule="auto"/>
            </w:pPr>
            <w:r>
              <w:rPr>
                <w:rFonts w:ascii="Calibri" w:hAnsi="Calibri"/>
                <w:b w:val="0"/>
                <w:i w:val="0"/>
                <w:color w:val="212121"/>
                <w:sz w:val="16"/>
              </w:rPr>
              <w:t>Respiratory monitoring</w:t>
            </w:r>
          </w:p>
        </w:tc>
        <w:tc>
          <w:tcPr>
            <w:tcW w:type="dxa" w:w="950"/>
            <w:vAlign w:val="top"/>
          </w:tcPr>
          <w:p>
            <w:pPr>
              <w:spacing w:after="40" w:before="0" w:line="259" w:lineRule="auto"/>
            </w:pPr>
            <w:r>
              <w:rPr>
                <w:rFonts w:ascii="Calibri" w:hAnsi="Calibri"/>
                <w:b w:val="0"/>
                <w:i w:val="0"/>
                <w:color w:val="212121"/>
                <w:sz w:val="16"/>
              </w:rPr>
              <w:t>Normal pH/PaO₂/PaCO₂</w:t>
            </w:r>
          </w:p>
        </w:tc>
        <w:tc>
          <w:tcPr>
            <w:tcW w:type="dxa" w:w="950"/>
            <w:vAlign w:val="top"/>
          </w:tcPr>
          <w:p>
            <w:pPr>
              <w:spacing w:after="40" w:before="0" w:line="259" w:lineRule="auto"/>
            </w:pPr>
            <w:r>
              <w:rPr>
                <w:rFonts w:ascii="Calibri" w:hAnsi="Calibri"/>
                <w:b w:val="0"/>
                <w:i w:val="0"/>
                <w:color w:val="212121"/>
                <w:sz w:val="16"/>
              </w:rPr>
              <w:t>Hypoxaemia / hypercapnia / acidosis</w:t>
            </w:r>
          </w:p>
        </w:tc>
        <w:tc>
          <w:tcPr>
            <w:tcW w:type="dxa" w:w="1036"/>
            <w:vAlign w:val="top"/>
          </w:tcPr>
          <w:p>
            <w:pPr>
              <w:spacing w:after="40" w:before="0" w:line="259" w:lineRule="auto"/>
            </w:pPr>
            <w:r>
              <w:rPr>
                <w:rFonts w:ascii="Calibri" w:hAnsi="Calibri"/>
                <w:b w:val="0"/>
                <w:i w:val="0"/>
                <w:color w:val="212121"/>
                <w:sz w:val="16"/>
              </w:rPr>
              <w:t>Laryngospasm, chest-wall rigidity and spasm-related apnoea cause respiratory failure — the leading direct cause of death</w:t>
            </w:r>
          </w:p>
        </w:tc>
        <w:tc>
          <w:tcPr>
            <w:tcW w:type="dxa" w:w="1036"/>
            <w:vAlign w:val="top"/>
          </w:tcPr>
          <w:p>
            <w:pPr>
              <w:spacing w:after="40" w:before="0" w:line="259" w:lineRule="auto"/>
            </w:pPr>
            <w:r>
              <w:rPr>
                <w:rFonts w:ascii="Calibri" w:hAnsi="Calibri"/>
                <w:b w:val="0"/>
                <w:i w:val="0"/>
                <w:color w:val="212121"/>
                <w:sz w:val="16"/>
              </w:rPr>
              <w:t>Grade III–IV tetanus, neonates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monitoring</w:t>
            </w:r>
          </w:p>
        </w:tc>
        <w:tc>
          <w:tcPr>
            <w:tcW w:type="dxa" w:w="720"/>
            <w:vAlign w:val="top"/>
          </w:tcPr>
          <w:p>
            <w:pPr>
              <w:spacing w:after="40" w:before="0" w:line="259" w:lineRule="auto"/>
            </w:pPr>
            <w:r>
              <w:rPr>
                <w:rFonts w:ascii="Calibri" w:hAnsi="Calibri"/>
                <w:b w:val="0"/>
                <w:i w:val="0"/>
                <w:color w:val="212121"/>
                <w:sz w:val="16"/>
              </w:rPr>
              <w:t>Guides timing of intubation/ventilation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Exclusion</w:t>
            </w:r>
          </w:p>
        </w:tc>
        <w:tc>
          <w:tcPr>
            <w:tcW w:type="dxa" w:w="1036"/>
            <w:vAlign w:val="top"/>
          </w:tcPr>
          <w:p>
            <w:pPr>
              <w:spacing w:after="40" w:before="0" w:line="259" w:lineRule="auto"/>
            </w:pPr>
            <w:r>
              <w:rPr>
                <w:rFonts w:ascii="Calibri" w:hAnsi="Calibri"/>
                <w:b w:val="0"/>
                <w:i w:val="0"/>
                <w:color w:val="212121"/>
                <w:sz w:val="16"/>
              </w:rPr>
              <w:t>CSF analysis / toxicology / calcium</w:t>
            </w:r>
          </w:p>
        </w:tc>
        <w:tc>
          <w:tcPr>
            <w:tcW w:type="dxa" w:w="892"/>
            <w:vAlign w:val="top"/>
          </w:tcPr>
          <w:p>
            <w:pPr>
              <w:spacing w:after="40" w:before="0" w:line="259" w:lineRule="auto"/>
            </w:pPr>
            <w:r>
              <w:rPr>
                <w:rFonts w:ascii="Calibri" w:hAnsi="Calibri"/>
                <w:b w:val="0"/>
                <w:i w:val="0"/>
                <w:color w:val="212121"/>
                <w:sz w:val="16"/>
              </w:rPr>
              <w:t>Differential-diagnosis workup</w:t>
            </w:r>
          </w:p>
        </w:tc>
        <w:tc>
          <w:tcPr>
            <w:tcW w:type="dxa" w:w="950"/>
            <w:vAlign w:val="top"/>
          </w:tcPr>
          <w:p>
            <w:pPr>
              <w:spacing w:after="40" w:before="0" w:line="259" w:lineRule="auto"/>
            </w:pPr>
            <w:r>
              <w:rPr>
                <w:rFonts w:ascii="Calibri" w:hAnsi="Calibri"/>
                <w:b w:val="0"/>
                <w:i w:val="0"/>
                <w:color w:val="212121"/>
                <w:sz w:val="16"/>
              </w:rPr>
              <w:t>Normal CSF; no toxin; normal Ca²⁺</w:t>
            </w:r>
          </w:p>
        </w:tc>
        <w:tc>
          <w:tcPr>
            <w:tcW w:type="dxa" w:w="950"/>
            <w:vAlign w:val="top"/>
          </w:tcPr>
          <w:p>
            <w:pPr>
              <w:spacing w:after="40" w:before="0" w:line="259" w:lineRule="auto"/>
            </w:pPr>
            <w:r>
              <w:rPr>
                <w:rFonts w:ascii="Calibri" w:hAnsi="Calibri"/>
                <w:b w:val="0"/>
                <w:i w:val="0"/>
                <w:color w:val="212121"/>
                <w:sz w:val="16"/>
              </w:rPr>
              <w:t>Normal CSF with rigidity supports tetanus; abnormal results point elsewhere</w:t>
            </w:r>
          </w:p>
        </w:tc>
        <w:tc>
          <w:tcPr>
            <w:tcW w:type="dxa" w:w="1036"/>
            <w:vAlign w:val="top"/>
          </w:tcPr>
          <w:p>
            <w:pPr>
              <w:spacing w:after="40" w:before="0" w:line="259" w:lineRule="auto"/>
            </w:pPr>
            <w:r>
              <w:rPr>
                <w:rFonts w:ascii="Calibri" w:hAnsi="Calibri"/>
                <w:b w:val="0"/>
                <w:i w:val="0"/>
                <w:color w:val="212121"/>
                <w:sz w:val="16"/>
              </w:rPr>
              <w:t>Used to exclude mimics — meningitis/encephalitis, strychnine poisoning, dystonic drug reaction, hypocalcaemic tetany and rabies</w:t>
            </w:r>
          </w:p>
        </w:tc>
        <w:tc>
          <w:tcPr>
            <w:tcW w:type="dxa" w:w="1036"/>
            <w:vAlign w:val="top"/>
          </w:tcPr>
          <w:p>
            <w:pPr>
              <w:spacing w:after="40" w:before="0" w:line="259" w:lineRule="auto"/>
            </w:pPr>
            <w:r>
              <w:rPr>
                <w:rFonts w:ascii="Calibri" w:hAnsi="Calibri"/>
                <w:b w:val="0"/>
                <w:i w:val="0"/>
                <w:color w:val="212121"/>
                <w:sz w:val="16"/>
              </w:rPr>
              <w:t>Atypical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Normal sensorium with normal CSF is characteristic of tetanus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Trismus, neck/jaw stiffness, difficulty swallowing, spasms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early features of generalised tetanus in a conscious patient</w:t>
            </w:r>
          </w:p>
        </w:tc>
        <w:tc>
          <w:tcPr>
            <w:tcW w:type="dxa" w:w="1036"/>
            <w:vAlign w:val="top"/>
          </w:tcPr>
          <w:p>
            <w:pPr>
              <w:spacing w:after="40" w:before="0" w:line="259" w:lineRule="auto"/>
            </w:pPr>
            <w:r>
              <w:rPr>
                <w:rFonts w:ascii="Calibri" w:hAnsi="Calibri"/>
                <w:b w:val="0"/>
                <w:i w:val="0"/>
                <w:color w:val="212121"/>
                <w:sz w:val="16"/>
              </w:rPr>
              <w:t>Injured adults, neonates (poor feeding), children with ear discharge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Trismus is the commonest presenting complaint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Portal of entry &amp; event</w:t>
            </w:r>
          </w:p>
        </w:tc>
        <w:tc>
          <w:tcPr>
            <w:tcW w:type="dxa" w:w="979"/>
            <w:vAlign w:val="top"/>
          </w:tcPr>
          <w:p>
            <w:pPr>
              <w:spacing w:after="40" w:before="0" w:line="259" w:lineRule="auto"/>
            </w:pPr>
            <w:r>
              <w:rPr>
                <w:rFonts w:ascii="Calibri" w:hAnsi="Calibri"/>
                <w:b w:val="0"/>
                <w:i w:val="0"/>
                <w:color w:val="212121"/>
                <w:sz w:val="16"/>
              </w:rPr>
              <w:t>Wound, burn, puncture, ear discharge, delivery/abortion, umbilical care</w:t>
            </w:r>
          </w:p>
        </w:tc>
        <w:tc>
          <w:tcPr>
            <w:tcW w:type="dxa" w:w="950"/>
            <w:vAlign w:val="top"/>
          </w:tcPr>
          <w:p>
            <w:pPr>
              <w:spacing w:after="40" w:before="0" w:line="259" w:lineRule="auto"/>
            </w:pPr>
            <w:r>
              <w:rPr>
                <w:rFonts w:ascii="Calibri" w:hAnsi="Calibri"/>
                <w:b w:val="0"/>
                <w:i w:val="0"/>
                <w:color w:val="212121"/>
                <w:sz w:val="16"/>
              </w:rPr>
              <w:t>No identifiable portal (does not exclude)</w:t>
            </w:r>
          </w:p>
        </w:tc>
        <w:tc>
          <w:tcPr>
            <w:tcW w:type="dxa" w:w="950"/>
            <w:vAlign w:val="top"/>
          </w:tcPr>
          <w:p>
            <w:pPr>
              <w:spacing w:after="40" w:before="0" w:line="259" w:lineRule="auto"/>
            </w:pPr>
            <w:r>
              <w:rPr>
                <w:rFonts w:ascii="Calibri" w:hAnsi="Calibri"/>
                <w:b w:val="0"/>
                <w:i w:val="0"/>
                <w:color w:val="212121"/>
                <w:sz w:val="16"/>
              </w:rPr>
              <w:t>Contaminated/deep wound, unclean delivery, unhealed stump</w:t>
            </w:r>
          </w:p>
        </w:tc>
        <w:tc>
          <w:tcPr>
            <w:tcW w:type="dxa" w:w="1036"/>
            <w:vAlign w:val="top"/>
          </w:tcPr>
          <w:p>
            <w:pPr>
              <w:spacing w:after="40" w:before="0" w:line="259" w:lineRule="auto"/>
            </w:pPr>
            <w:r>
              <w:rPr>
                <w:rFonts w:ascii="Calibri" w:hAnsi="Calibri"/>
                <w:b w:val="0"/>
                <w:i w:val="0"/>
                <w:color w:val="212121"/>
                <w:sz w:val="16"/>
              </w:rPr>
              <w:t>Establishes plausible spore entry and guides prophylaxis; the wound may be trivial or healed</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ask about ears, feet and obstetric events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history</w:t>
            </w:r>
          </w:p>
        </w:tc>
        <w:tc>
          <w:tcPr>
            <w:tcW w:type="dxa" w:w="979"/>
            <w:vAlign w:val="top"/>
          </w:tcPr>
          <w:p>
            <w:pPr>
              <w:spacing w:after="40" w:before="0" w:line="259" w:lineRule="auto"/>
            </w:pPr>
            <w:r>
              <w:rPr>
                <w:rFonts w:ascii="Calibri" w:hAnsi="Calibri"/>
                <w:b w:val="0"/>
                <w:i w:val="0"/>
                <w:color w:val="212121"/>
                <w:sz w:val="16"/>
              </w:rPr>
              <w:t>Number and timing of tetanus toxoid doses / boosters</w:t>
            </w:r>
          </w:p>
        </w:tc>
        <w:tc>
          <w:tcPr>
            <w:tcW w:type="dxa" w:w="950"/>
            <w:vAlign w:val="top"/>
          </w:tcPr>
          <w:p>
            <w:pPr>
              <w:spacing w:after="40" w:before="0" w:line="259" w:lineRule="auto"/>
            </w:pPr>
            <w:r>
              <w:rPr>
                <w:rFonts w:ascii="Calibri" w:hAnsi="Calibri"/>
                <w:b w:val="0"/>
                <w:i w:val="0"/>
                <w:color w:val="212121"/>
                <w:sz w:val="16"/>
              </w:rPr>
              <w:t>Fully immunised, booster within 10 years</w:t>
            </w:r>
          </w:p>
        </w:tc>
        <w:tc>
          <w:tcPr>
            <w:tcW w:type="dxa" w:w="950"/>
            <w:vAlign w:val="top"/>
          </w:tcPr>
          <w:p>
            <w:pPr>
              <w:spacing w:after="40" w:before="0" w:line="259" w:lineRule="auto"/>
            </w:pPr>
            <w:r>
              <w:rPr>
                <w:rFonts w:ascii="Calibri" w:hAnsi="Calibri"/>
                <w:b w:val="0"/>
                <w:i w:val="0"/>
                <w:color w:val="212121"/>
                <w:sz w:val="16"/>
              </w:rPr>
              <w:t>Absent, uncertain or &gt; 10 years since booster</w:t>
            </w:r>
          </w:p>
        </w:tc>
        <w:tc>
          <w:tcPr>
            <w:tcW w:type="dxa" w:w="1036"/>
            <w:vAlign w:val="top"/>
          </w:tcPr>
          <w:p>
            <w:pPr>
              <w:spacing w:after="40" w:before="0" w:line="259" w:lineRule="auto"/>
            </w:pPr>
            <w:r>
              <w:rPr>
                <w:rFonts w:ascii="Calibri" w:hAnsi="Calibri"/>
                <w:b w:val="0"/>
                <w:i w:val="0"/>
                <w:color w:val="212121"/>
                <w:sz w:val="16"/>
              </w:rPr>
              <w:t>Under-immunisation strongly supports the diagnosis and dictates immunoglobulin/toxoid</w:t>
            </w:r>
          </w:p>
        </w:tc>
        <w:tc>
          <w:tcPr>
            <w:tcW w:type="dxa" w:w="1036"/>
            <w:vAlign w:val="top"/>
          </w:tcPr>
          <w:p>
            <w:pPr>
              <w:spacing w:after="40" w:before="0" w:line="259" w:lineRule="auto"/>
            </w:pPr>
            <w:r>
              <w:rPr>
                <w:rFonts w:ascii="Calibri" w:hAnsi="Calibri"/>
                <w:b w:val="0"/>
                <w:i w:val="0"/>
                <w:color w:val="212121"/>
                <w:sz w:val="16"/>
              </w:rPr>
              <w:t>All ages; pregnant women;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Immunity wanes ~10 years after last dose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test</w:t>
            </w:r>
          </w:p>
        </w:tc>
        <w:tc>
          <w:tcPr>
            <w:tcW w:type="dxa" w:w="950"/>
            <w:vAlign w:val="top"/>
          </w:tcPr>
          <w:p>
            <w:pPr>
              <w:spacing w:after="40" w:before="0" w:line="259" w:lineRule="auto"/>
            </w:pPr>
            <w:r>
              <w:rPr>
                <w:rFonts w:ascii="Calibri" w:hAnsi="Calibri"/>
                <w:b w:val="0"/>
                <w:i w:val="0"/>
                <w:color w:val="212121"/>
                <w:sz w:val="16"/>
              </w:rPr>
              <w:t>Spatula (‘tongue-blade’) test</w:t>
            </w:r>
          </w:p>
        </w:tc>
        <w:tc>
          <w:tcPr>
            <w:tcW w:type="dxa" w:w="979"/>
            <w:vAlign w:val="top"/>
          </w:tcPr>
          <w:p>
            <w:pPr>
              <w:spacing w:after="40" w:before="0" w:line="259" w:lineRule="auto"/>
            </w:pPr>
            <w:r>
              <w:rPr>
                <w:rFonts w:ascii="Calibri" w:hAnsi="Calibri"/>
                <w:b w:val="0"/>
                <w:i w:val="0"/>
                <w:color w:val="212121"/>
                <w:sz w:val="16"/>
              </w:rPr>
              <w:t>Response to touching posterior pharynx with a spatula</w:t>
            </w:r>
          </w:p>
        </w:tc>
        <w:tc>
          <w:tcPr>
            <w:tcW w:type="dxa" w:w="950"/>
            <w:vAlign w:val="top"/>
          </w:tcPr>
          <w:p>
            <w:pPr>
              <w:spacing w:after="40" w:before="0" w:line="259" w:lineRule="auto"/>
            </w:pPr>
            <w:r>
              <w:rPr>
                <w:rFonts w:ascii="Calibri" w:hAnsi="Calibri"/>
                <w:b w:val="0"/>
                <w:i w:val="0"/>
                <w:color w:val="212121"/>
                <w:sz w:val="16"/>
              </w:rPr>
              <w:t>Gag reflex (patient expels spatula) — negative</w:t>
            </w:r>
          </w:p>
        </w:tc>
        <w:tc>
          <w:tcPr>
            <w:tcW w:type="dxa" w:w="950"/>
            <w:vAlign w:val="top"/>
          </w:tcPr>
          <w:p>
            <w:pPr>
              <w:spacing w:after="40" w:before="0" w:line="259" w:lineRule="auto"/>
            </w:pPr>
            <w:r>
              <w:rPr>
                <w:rFonts w:ascii="Calibri" w:hAnsi="Calibri"/>
                <w:b w:val="0"/>
                <w:i w:val="0"/>
                <w:color w:val="212121"/>
                <w:sz w:val="16"/>
              </w:rPr>
              <w:t>Reflex masseter spasm (patient bites the spatula) — positive</w:t>
            </w:r>
          </w:p>
        </w:tc>
        <w:tc>
          <w:tcPr>
            <w:tcW w:type="dxa" w:w="1036"/>
            <w:vAlign w:val="top"/>
          </w:tcPr>
          <w:p>
            <w:pPr>
              <w:spacing w:after="40" w:before="0" w:line="259" w:lineRule="auto"/>
            </w:pPr>
            <w:r>
              <w:rPr>
                <w:rFonts w:ascii="Calibri" w:hAnsi="Calibri"/>
                <w:b w:val="0"/>
                <w:i w:val="0"/>
                <w:color w:val="212121"/>
                <w:sz w:val="16"/>
              </w:rPr>
              <w:t>A simple, safe bedside test that is highly suggestive when positive</w:t>
            </w:r>
          </w:p>
        </w:tc>
        <w:tc>
          <w:tcPr>
            <w:tcW w:type="dxa" w:w="1036"/>
            <w:vAlign w:val="top"/>
          </w:tcPr>
          <w:p>
            <w:pPr>
              <w:spacing w:after="40" w:before="0" w:line="259" w:lineRule="auto"/>
            </w:pPr>
            <w:r>
              <w:rPr>
                <w:rFonts w:ascii="Calibri" w:hAnsi="Calibri"/>
                <w:b w:val="0"/>
                <w:i w:val="0"/>
                <w:color w:val="212121"/>
                <w:sz w:val="16"/>
              </w:rPr>
              <w:t>Conscious patients with suspected trismus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 at the bedside; avoids delay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Muscle tone &amp; posture</w:t>
            </w:r>
          </w:p>
        </w:tc>
        <w:tc>
          <w:tcPr>
            <w:tcW w:type="dxa" w:w="979"/>
            <w:vAlign w:val="top"/>
          </w:tcPr>
          <w:p>
            <w:pPr>
              <w:spacing w:after="40" w:before="0" w:line="259" w:lineRule="auto"/>
            </w:pPr>
            <w:r>
              <w:rPr>
                <w:rFonts w:ascii="Calibri" w:hAnsi="Calibri"/>
                <w:b w:val="0"/>
                <w:i w:val="0"/>
                <w:color w:val="212121"/>
                <w:sz w:val="16"/>
              </w:rPr>
              <w:t>Risus sardonicus, board-like abdominal rigidity, opisthotonus, clenched neonatal fists/dorsiflexed feet</w:t>
            </w:r>
          </w:p>
        </w:tc>
        <w:tc>
          <w:tcPr>
            <w:tcW w:type="dxa" w:w="950"/>
            <w:vAlign w:val="top"/>
          </w:tcPr>
          <w:p>
            <w:pPr>
              <w:spacing w:after="40" w:before="0" w:line="259" w:lineRule="auto"/>
            </w:pPr>
            <w:r>
              <w:rPr>
                <w:rFonts w:ascii="Calibri" w:hAnsi="Calibri"/>
                <w:b w:val="0"/>
                <w:i w:val="0"/>
                <w:color w:val="212121"/>
                <w:sz w:val="16"/>
              </w:rPr>
              <w:t>Normal tone and posture</w:t>
            </w:r>
          </w:p>
        </w:tc>
        <w:tc>
          <w:tcPr>
            <w:tcW w:type="dxa" w:w="950"/>
            <w:vAlign w:val="top"/>
          </w:tcPr>
          <w:p>
            <w:pPr>
              <w:spacing w:after="40" w:before="0" w:line="259" w:lineRule="auto"/>
            </w:pPr>
            <w:r>
              <w:rPr>
                <w:rFonts w:ascii="Calibri" w:hAnsi="Calibri"/>
                <w:b w:val="0"/>
                <w:i w:val="0"/>
                <w:color w:val="212121"/>
                <w:sz w:val="16"/>
              </w:rPr>
              <w:t>Sustained rigidity with characteristic posturing</w:t>
            </w:r>
          </w:p>
        </w:tc>
        <w:tc>
          <w:tcPr>
            <w:tcW w:type="dxa" w:w="1036"/>
            <w:vAlign w:val="top"/>
          </w:tcPr>
          <w:p>
            <w:pPr>
              <w:spacing w:after="40" w:before="0" w:line="259" w:lineRule="auto"/>
            </w:pPr>
            <w:r>
              <w:rPr>
                <w:rFonts w:ascii="Calibri" w:hAnsi="Calibri"/>
                <w:b w:val="0"/>
                <w:i w:val="0"/>
                <w:color w:val="212121"/>
                <w:sz w:val="16"/>
              </w:rPr>
              <w:t>Hallmark motor signs of tetanus with preserved consciousness</w:t>
            </w:r>
          </w:p>
        </w:tc>
        <w:tc>
          <w:tcPr>
            <w:tcW w:type="dxa" w:w="1036"/>
            <w:vAlign w:val="top"/>
          </w:tcPr>
          <w:p>
            <w:pPr>
              <w:spacing w:after="40" w:before="0" w:line="259" w:lineRule="auto"/>
            </w:pPr>
            <w:r>
              <w:rPr>
                <w:rFonts w:ascii="Calibri" w:hAnsi="Calibri"/>
                <w:b w:val="0"/>
                <w:i w:val="0"/>
                <w:color w:val="212121"/>
                <w:sz w:val="16"/>
              </w:rPr>
              <w:t>Generalised and neonatal tetanus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Consciousness is preserved throughout spasms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Reflex spasms &amp; autonomic status</w:t>
            </w:r>
          </w:p>
        </w:tc>
        <w:tc>
          <w:tcPr>
            <w:tcW w:type="dxa" w:w="979"/>
            <w:vAlign w:val="top"/>
          </w:tcPr>
          <w:p>
            <w:pPr>
              <w:spacing w:after="40" w:before="0" w:line="259" w:lineRule="auto"/>
            </w:pPr>
            <w:r>
              <w:rPr>
                <w:rFonts w:ascii="Calibri" w:hAnsi="Calibri"/>
                <w:b w:val="0"/>
                <w:i w:val="0"/>
                <w:color w:val="212121"/>
                <w:sz w:val="16"/>
              </w:rPr>
              <w:t>Stimulus-induced spasms; BP, heart rate, temperature, sweating</w:t>
            </w:r>
          </w:p>
        </w:tc>
        <w:tc>
          <w:tcPr>
            <w:tcW w:type="dxa" w:w="950"/>
            <w:vAlign w:val="top"/>
          </w:tcPr>
          <w:p>
            <w:pPr>
              <w:spacing w:after="40" w:before="0" w:line="259" w:lineRule="auto"/>
            </w:pPr>
            <w:r>
              <w:rPr>
                <w:rFonts w:ascii="Calibri" w:hAnsi="Calibri"/>
                <w:b w:val="0"/>
                <w:i w:val="0"/>
                <w:color w:val="212121"/>
                <w:sz w:val="16"/>
              </w:rPr>
              <w:t>No spasms; stable vitals</w:t>
            </w:r>
          </w:p>
        </w:tc>
        <w:tc>
          <w:tcPr>
            <w:tcW w:type="dxa" w:w="950"/>
            <w:vAlign w:val="top"/>
          </w:tcPr>
          <w:p>
            <w:pPr>
              <w:spacing w:after="40" w:before="0" w:line="259" w:lineRule="auto"/>
            </w:pPr>
            <w:r>
              <w:rPr>
                <w:rFonts w:ascii="Calibri" w:hAnsi="Calibri"/>
                <w:b w:val="0"/>
                <w:i w:val="0"/>
                <w:color w:val="212121"/>
                <w:sz w:val="16"/>
              </w:rPr>
              <w:t>Spasms on minimal stimuli; labile BP, tachyarrhythmia, hyperpyrexia, profuse sweating</w:t>
            </w:r>
          </w:p>
        </w:tc>
        <w:tc>
          <w:tcPr>
            <w:tcW w:type="dxa" w:w="1036"/>
            <w:vAlign w:val="top"/>
          </w:tcPr>
          <w:p>
            <w:pPr>
              <w:spacing w:after="40" w:before="0" w:line="259" w:lineRule="auto"/>
            </w:pPr>
            <w:r>
              <w:rPr>
                <w:rFonts w:ascii="Calibri" w:hAnsi="Calibri"/>
                <w:b w:val="0"/>
                <w:i w:val="0"/>
                <w:color w:val="212121"/>
                <w:sz w:val="16"/>
              </w:rPr>
              <w:t>Defines severity (Ablett grade) and heralds life-threatening autonomic dysfunction</w:t>
            </w:r>
          </w:p>
        </w:tc>
        <w:tc>
          <w:tcPr>
            <w:tcW w:type="dxa" w:w="1036"/>
            <w:vAlign w:val="top"/>
          </w:tcPr>
          <w:p>
            <w:pPr>
              <w:spacing w:after="40" w:before="0" w:line="259" w:lineRule="auto"/>
            </w:pPr>
            <w:r>
              <w:rPr>
                <w:rFonts w:ascii="Calibri" w:hAnsi="Calibri"/>
                <w:b w:val="0"/>
                <w:i w:val="0"/>
                <w:color w:val="212121"/>
                <w:sz w:val="16"/>
              </w:rPr>
              <w:t>Ablett grade III–IV; ICU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monitoring</w:t>
            </w:r>
          </w:p>
        </w:tc>
        <w:tc>
          <w:tcPr>
            <w:tcW w:type="dxa" w:w="720"/>
            <w:vAlign w:val="top"/>
          </w:tcPr>
          <w:p>
            <w:pPr>
              <w:spacing w:after="40" w:before="0" w:line="259" w:lineRule="auto"/>
            </w:pPr>
            <w:r>
              <w:rPr>
                <w:rFonts w:ascii="Calibri" w:hAnsi="Calibri"/>
                <w:b w:val="0"/>
                <w:i w:val="0"/>
                <w:color w:val="212121"/>
                <w:sz w:val="16"/>
              </w:rPr>
              <w:t>Autonomic storms are a major cause of death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Trismus (lockjaw)</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Sustained masseter spasm limiting mouth opening — the earliest and commonest symptom of generalised tetanus.</w:t>
            </w:r>
          </w:p>
        </w:tc>
      </w:tr>
      <w:tr>
        <w:trPr>
          <w:cantSplit/>
        </w:trPr>
        <w:tc>
          <w:tcPr>
            <w:tcW w:type="dxa" w:w="2304"/>
            <w:vAlign w:val="top"/>
          </w:tcPr>
          <w:p>
            <w:pPr>
              <w:spacing w:after="40" w:before="0" w:line="259" w:lineRule="auto"/>
            </w:pPr>
            <w:r>
              <w:rPr>
                <w:rFonts w:ascii="Calibri" w:hAnsi="Calibri"/>
                <w:b/>
                <w:i w:val="0"/>
                <w:color w:val="212121"/>
                <w:sz w:val="19"/>
              </w:rPr>
              <w:t>Stiffness of the jaw, neck and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Descending rigidity as the toxin blocks inhibitory neurons; often the first thing the patient notices after trismus.</w:t>
            </w:r>
          </w:p>
        </w:tc>
      </w:tr>
      <w:tr>
        <w:trPr>
          <w:cantSplit/>
        </w:trPr>
        <w:tc>
          <w:tcPr>
            <w:tcW w:type="dxa" w:w="2304"/>
            <w:vAlign w:val="top"/>
          </w:tcPr>
          <w:p>
            <w:pPr>
              <w:spacing w:after="40" w:before="0" w:line="259" w:lineRule="auto"/>
            </w:pPr>
            <w:r>
              <w:rPr>
                <w:rFonts w:ascii="Calibri" w:hAnsi="Calibri"/>
                <w:b/>
                <w:i w:val="0"/>
                <w:color w:val="212121"/>
                <w:sz w:val="19"/>
              </w:rPr>
              <w:t>Difficulty swallowing (dysphagia)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Pharyngeal and masticatory rigidity impair swallowing and raise aspiration risk.</w:t>
            </w:r>
          </w:p>
        </w:tc>
      </w:tr>
      <w:tr>
        <w:trPr>
          <w:cantSplit/>
        </w:trPr>
        <w:tc>
          <w:tcPr>
            <w:tcW w:type="dxa" w:w="2304"/>
            <w:vAlign w:val="top"/>
          </w:tcPr>
          <w:p>
            <w:pPr>
              <w:spacing w:after="40" w:before="0" w:line="259" w:lineRule="auto"/>
            </w:pPr>
            <w:r>
              <w:rPr>
                <w:rFonts w:ascii="Calibri" w:hAnsi="Calibri"/>
                <w:b/>
                <w:i w:val="0"/>
                <w:color w:val="212121"/>
                <w:sz w:val="19"/>
              </w:rPr>
              <w:t>Painful generalised muscle spasms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violent, painful whole-body contractions triggered by light, noise or touch, with the patient fully awake.</w:t>
            </w:r>
          </w:p>
        </w:tc>
      </w:tr>
      <w:tr>
        <w:trPr>
          <w:cantSplit/>
        </w:trPr>
        <w:tc>
          <w:tcPr>
            <w:tcW w:type="dxa" w:w="2304"/>
            <w:vAlign w:val="top"/>
          </w:tcPr>
          <w:p>
            <w:pPr>
              <w:spacing w:after="40" w:before="0" w:line="259" w:lineRule="auto"/>
            </w:pPr>
            <w:r>
              <w:rPr>
                <w:rFonts w:ascii="Calibri" w:hAnsi="Calibri"/>
                <w:b/>
                <w:i w:val="0"/>
                <w:color w:val="212121"/>
                <w:sz w:val="19"/>
              </w:rPr>
              <w:t>‘Sardonic smile’ appearance (risus sardonicus)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Facial-muscle rigidity fixes the eyebrows and lips into a grimace-like smile.</w:t>
            </w:r>
          </w:p>
        </w:tc>
      </w:tr>
      <w:tr>
        <w:trPr>
          <w:cantSplit/>
        </w:trPr>
        <w:tc>
          <w:tcPr>
            <w:tcW w:type="dxa" w:w="2304"/>
            <w:vAlign w:val="top"/>
          </w:tcPr>
          <w:p>
            <w:pPr>
              <w:spacing w:after="40" w:before="0" w:line="259" w:lineRule="auto"/>
            </w:pPr>
            <w:r>
              <w:rPr>
                <w:rFonts w:ascii="Calibri" w:hAnsi="Calibri"/>
                <w:b/>
                <w:i w:val="0"/>
                <w:color w:val="212121"/>
                <w:sz w:val="19"/>
              </w:rPr>
              <w:t>Abdominal wall rigidity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Board-like, tender abdominal stiffness that can mimic a surgical abdomen.</w:t>
            </w:r>
          </w:p>
        </w:tc>
      </w:tr>
      <w:tr>
        <w:trPr>
          <w:cantSplit/>
        </w:trPr>
        <w:tc>
          <w:tcPr>
            <w:tcW w:type="dxa" w:w="2304"/>
            <w:vAlign w:val="top"/>
          </w:tcPr>
          <w:p>
            <w:pPr>
              <w:spacing w:after="40" w:before="0" w:line="259" w:lineRule="auto"/>
            </w:pPr>
            <w:r>
              <w:rPr>
                <w:rFonts w:ascii="Calibri" w:hAnsi="Calibri"/>
                <w:b/>
                <w:i w:val="0"/>
                <w:color w:val="212121"/>
                <w:sz w:val="19"/>
              </w:rPr>
              <w:t>Restlessness, irritability and profuse 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non-specific features and, later, manifestations of autonomic overactivity.</w:t>
            </w:r>
          </w:p>
        </w:tc>
      </w:tr>
      <w:tr>
        <w:trPr>
          <w:cantSplit/>
        </w:trPr>
        <w:tc>
          <w:tcPr>
            <w:tcW w:type="dxa" w:w="2304"/>
            <w:vAlign w:val="top"/>
          </w:tcPr>
          <w:p>
            <w:pPr>
              <w:spacing w:after="40" w:before="0" w:line="259" w:lineRule="auto"/>
            </w:pPr>
            <w:r>
              <w:rPr>
                <w:rFonts w:ascii="Calibri" w:hAnsi="Calibri"/>
                <w:b/>
                <w:i w:val="0"/>
                <w:color w:val="212121"/>
                <w:sz w:val="19"/>
              </w:rPr>
              <w:t>Difficulty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chest-wall rigidity, laryngospasm or prolonged spasms — the most dangerous symptom, driving respiratory failure.</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accompany the muscular hyperactivity; high fever suggests infection or severe autonomic dysfunction.</w:t>
            </w:r>
          </w:p>
        </w:tc>
      </w:tr>
      <w:tr>
        <w:trPr>
          <w:cantSplit/>
        </w:trPr>
        <w:tc>
          <w:tcPr>
            <w:tcW w:type="dxa" w:w="2304"/>
            <w:vAlign w:val="top"/>
          </w:tcPr>
          <w:p>
            <w:pPr>
              <w:spacing w:after="40" w:before="0" w:line="259" w:lineRule="auto"/>
            </w:pPr>
            <w:r>
              <w:rPr>
                <w:rFonts w:ascii="Calibri" w:hAnsi="Calibri"/>
                <w:b/>
                <w:i w:val="0"/>
                <w:color w:val="212121"/>
                <w:sz w:val="19"/>
              </w:rPr>
              <w:t>Neonatal: inability to suck and excessive crying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newborn that fed and cried normally for the first 2 days then between days 3–28 cannot suck, becomes stiff and cries excessively — the classic neonatal presentation.</w:t>
            </w:r>
          </w:p>
        </w:tc>
      </w:tr>
      <w:tr>
        <w:trPr>
          <w:cantSplit/>
        </w:trPr>
        <w:tc>
          <w:tcPr>
            <w:tcW w:type="dxa" w:w="2304"/>
            <w:vAlign w:val="top"/>
          </w:tcPr>
          <w:p>
            <w:pPr>
              <w:spacing w:after="40" w:before="0" w:line="259" w:lineRule="auto"/>
            </w:pPr>
            <w:r>
              <w:rPr>
                <w:rFonts w:ascii="Calibri" w:hAnsi="Calibri"/>
                <w:b/>
                <w:i w:val="0"/>
                <w:color w:val="212121"/>
                <w:sz w:val="19"/>
              </w:rPr>
              <w:t>Back arching (opisthotonus)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Severe hyperextension of the spine during intense spasms in moderate-to-severe disease.</w:t>
            </w:r>
          </w:p>
        </w:tc>
      </w:tr>
      <w:tr>
        <w:trPr>
          <w:cantSplit/>
        </w:trPr>
        <w:tc>
          <w:tcPr>
            <w:tcW w:type="dxa" w:w="2304"/>
            <w:vAlign w:val="top"/>
          </w:tcPr>
          <w:p>
            <w:pPr>
              <w:spacing w:after="40" w:before="0" w:line="259" w:lineRule="auto"/>
            </w:pPr>
            <w:r>
              <w:rPr>
                <w:rFonts w:ascii="Calibri" w:hAnsi="Calibri"/>
                <w:b/>
                <w:i w:val="0"/>
                <w:color w:val="212121"/>
                <w:sz w:val="19"/>
              </w:rPr>
              <w:t>Facial weakness / drooping (cephalic form)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Cranial-nerve palsy — usually the facial nerve — following a head wound or chronic ear discharge in cephalic tetanus.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Trismus / reduced inter-incisor distance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masseter spasm limiting jaw opening on examination.</w:t>
            </w:r>
          </w:p>
        </w:tc>
      </w:tr>
      <w:tr>
        <w:trPr>
          <w:cantSplit/>
        </w:trPr>
        <w:tc>
          <w:tcPr>
            <w:tcW w:type="dxa" w:w="3456"/>
            <w:vAlign w:val="top"/>
          </w:tcPr>
          <w:p>
            <w:pPr>
              <w:spacing w:after="40" w:before="0" w:line="259" w:lineRule="auto"/>
            </w:pPr>
            <w:r>
              <w:rPr>
                <w:rFonts w:ascii="Calibri" w:hAnsi="Calibri"/>
                <w:b/>
                <w:i w:val="0"/>
                <w:color w:val="212121"/>
                <w:sz w:val="19"/>
              </w:rPr>
              <w:t>Risus sardonicus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Fixed sardonic grin from sustained facial-muscle contraction — highly characteristic.</w:t>
            </w:r>
          </w:p>
        </w:tc>
      </w:tr>
      <w:tr>
        <w:trPr>
          <w:cantSplit/>
        </w:trPr>
        <w:tc>
          <w:tcPr>
            <w:tcW w:type="dxa" w:w="3456"/>
            <w:vAlign w:val="top"/>
          </w:tcPr>
          <w:p>
            <w:pPr>
              <w:spacing w:after="40" w:before="0" w:line="259" w:lineRule="auto"/>
            </w:pPr>
            <w:r>
              <w:rPr>
                <w:rFonts w:ascii="Calibri" w:hAnsi="Calibri"/>
                <w:b/>
                <w:i w:val="0"/>
                <w:color w:val="212121"/>
                <w:sz w:val="19"/>
              </w:rPr>
              <w:t>Generalised rigidity with preserved consciousness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Continuous muscle rigidity while the patient remains fully alert — a hallmark distinguishing tetanus from seizures/encephalitis.</w:t>
            </w:r>
          </w:p>
        </w:tc>
      </w:tr>
      <w:tr>
        <w:trPr>
          <w:cantSplit/>
        </w:trPr>
        <w:tc>
          <w:tcPr>
            <w:tcW w:type="dxa" w:w="3456"/>
            <w:vAlign w:val="top"/>
          </w:tcPr>
          <w:p>
            <w:pPr>
              <w:spacing w:after="40" w:before="0" w:line="259" w:lineRule="auto"/>
            </w:pPr>
            <w:r>
              <w:rPr>
                <w:rFonts w:ascii="Calibri" w:hAnsi="Calibri"/>
                <w:b/>
                <w:i w:val="0"/>
                <w:color w:val="212121"/>
                <w:sz w:val="19"/>
              </w:rPr>
              <w:t>Stimulus-induced reflex spasms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Paroxysmal, painful spasms triggered by light, sound, touch or suctioning; may cause cyanosis and apnoea.</w:t>
            </w:r>
          </w:p>
        </w:tc>
      </w:tr>
      <w:tr>
        <w:trPr>
          <w:cantSplit/>
        </w:trPr>
        <w:tc>
          <w:tcPr>
            <w:tcW w:type="dxa" w:w="3456"/>
            <w:vAlign w:val="top"/>
          </w:tcPr>
          <w:p>
            <w:pPr>
              <w:spacing w:after="40" w:before="0" w:line="259" w:lineRule="auto"/>
            </w:pPr>
            <w:r>
              <w:rPr>
                <w:rFonts w:ascii="Calibri" w:hAnsi="Calibri"/>
                <w:b/>
                <w:i w:val="0"/>
                <w:color w:val="212121"/>
                <w:sz w:val="19"/>
              </w:rPr>
              <w:t>Board-like abdominal and paraspinal rigidity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Rigid, tender trunk musculature; opisthotonus in severe cases.</w:t>
            </w:r>
          </w:p>
        </w:tc>
      </w:tr>
      <w:tr>
        <w:trPr>
          <w:cantSplit/>
        </w:trPr>
        <w:tc>
          <w:tcPr>
            <w:tcW w:type="dxa" w:w="3456"/>
            <w:vAlign w:val="top"/>
          </w:tcPr>
          <w:p>
            <w:pPr>
              <w:spacing w:after="40" w:before="0" w:line="259" w:lineRule="auto"/>
            </w:pPr>
            <w:r>
              <w:rPr>
                <w:rFonts w:ascii="Calibri" w:hAnsi="Calibri"/>
                <w:b/>
                <w:i w:val="0"/>
                <w:color w:val="212121"/>
                <w:sz w:val="19"/>
              </w:rPr>
              <w:t>Positive spatula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Reflex biting on a tongue-blade touching the posterior pharynx — a simple, specific bedside sign.</w:t>
            </w:r>
          </w:p>
        </w:tc>
      </w:tr>
      <w:tr>
        <w:trPr>
          <w:cantSplit/>
        </w:trPr>
        <w:tc>
          <w:tcPr>
            <w:tcW w:type="dxa" w:w="3456"/>
            <w:vAlign w:val="top"/>
          </w:tcPr>
          <w:p>
            <w:pPr>
              <w:spacing w:after="40" w:before="0" w:line="259" w:lineRule="auto"/>
            </w:pPr>
            <w:r>
              <w:rPr>
                <w:rFonts w:ascii="Calibri" w:hAnsi="Calibri"/>
                <w:b/>
                <w:i w:val="0"/>
                <w:color w:val="212121"/>
                <w:sz w:val="19"/>
              </w:rPr>
              <w:t>Autonomic instability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Labile hypertension, tachy-/bradyarrhythmias, hyperpyrexia and drenching sweats in Ablett grade III–IV disease.</w:t>
            </w:r>
          </w:p>
        </w:tc>
      </w:tr>
      <w:tr>
        <w:trPr>
          <w:cantSplit/>
        </w:trPr>
        <w:tc>
          <w:tcPr>
            <w:tcW w:type="dxa" w:w="3456"/>
            <w:vAlign w:val="top"/>
          </w:tcPr>
          <w:p>
            <w:pPr>
              <w:spacing w:after="40" w:before="0" w:line="259" w:lineRule="auto"/>
            </w:pPr>
            <w:r>
              <w:rPr>
                <w:rFonts w:ascii="Calibri" w:hAnsi="Calibri"/>
                <w:b/>
                <w:i w:val="0"/>
                <w:color w:val="212121"/>
                <w:sz w:val="19"/>
              </w:rPr>
              <w:t>Neonatal posture: clenched fists, dorsiflexed feet, rigidity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Stiff, spasming neonate unable to suck, often with a contaminated or infected umbilical stump.</w:t>
            </w:r>
          </w:p>
        </w:tc>
      </w:tr>
      <w:tr>
        <w:trPr>
          <w:cantSplit/>
        </w:trPr>
        <w:tc>
          <w:tcPr>
            <w:tcW w:type="dxa" w:w="3456"/>
            <w:vAlign w:val="top"/>
          </w:tcPr>
          <w:p>
            <w:pPr>
              <w:spacing w:after="40" w:before="0" w:line="259" w:lineRule="auto"/>
            </w:pPr>
            <w:r>
              <w:rPr>
                <w:rFonts w:ascii="Calibri" w:hAnsi="Calibri"/>
                <w:b/>
                <w:i w:val="0"/>
                <w:color w:val="212121"/>
                <w:sz w:val="19"/>
              </w:rPr>
              <w:t>Identifiable portal of entry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wound, ulcer, burn or discharging ear may be found — but is trivial, healed or absent in a substantial minority.</w:t>
            </w:r>
          </w:p>
        </w:tc>
      </w:tr>
      <w:tr>
        <w:trPr>
          <w:cantSplit/>
        </w:trPr>
        <w:tc>
          <w:tcPr>
            <w:tcW w:type="dxa" w:w="3456"/>
            <w:vAlign w:val="top"/>
          </w:tcPr>
          <w:p>
            <w:pPr>
              <w:spacing w:after="40" w:before="0" w:line="259" w:lineRule="auto"/>
            </w:pPr>
            <w:r>
              <w:rPr>
                <w:rFonts w:ascii="Calibri" w:hAnsi="Calibri"/>
                <w:b/>
                <w:i w:val="0"/>
                <w:color w:val="212121"/>
                <w:sz w:val="19"/>
              </w:rPr>
              <w:t>Cranial-nerve palsy (cephalic tetanus)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Facial or other cranial-nerve weakness with a short incubation after head/ear injury.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Laryngospasm and upper-airway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from chest-wall rigidity and prolonged spasms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Generalised reflex spasms causing hypoxia and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Autonomic dysfunction — labile hypertension, tachy-/bradyarrhythmias, hyperpyrexia, cardiac arrest</w:t>
            </w:r>
          </w:p>
        </w:tc>
        <w:tc>
          <w:tcPr>
            <w:tcW w:type="dxa" w:w="2980"/>
            <w:vAlign w:val="top"/>
          </w:tcPr>
          <w:p>
            <w:pPr>
              <w:spacing w:after="40" w:before="0" w:line="259" w:lineRule="auto"/>
            </w:pPr>
            <w:r>
              <w:rPr>
                <w:rFonts w:ascii="Calibri" w:hAnsi="Calibri"/>
                <w:b w:val="0"/>
                <w:i w:val="0"/>
                <w:color w:val="212121"/>
                <w:sz w:val="19"/>
              </w:rPr>
              <w:t>Direct consequences of unopposed neuromuscular excitation and toxin-driven autonomic storm; respiratory failure and autonomic instability are the leading causes of death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ventilator-associated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Vertebral and long-bone fractures from violent spasms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Rhabdomyolysis and myoglobinuric 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(DVT / pulmonary embolism) from immobilisation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sores, nosocomial infections and sepsis during prolonged ICU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Tongue laceration and dysphagia-related malnutrition</w:t>
            </w:r>
          </w:p>
        </w:tc>
        <w:tc>
          <w:tcPr>
            <w:tcW w:type="dxa" w:w="2980"/>
            <w:vAlign w:val="top"/>
          </w:tcPr>
          <w:p>
            <w:pPr>
              <w:spacing w:after="40" w:before="0" w:line="259" w:lineRule="auto"/>
            </w:pPr>
            <w:r>
              <w:rPr>
                <w:rFonts w:ascii="Calibri" w:hAnsi="Calibri"/>
                <w:b w:val="0"/>
                <w:i w:val="0"/>
                <w:color w:val="212121"/>
                <w:sz w:val="19"/>
              </w:rPr>
              <w:t>Result from sustained muscular hyperactivity, aspiration and the weeks of intensive care and immobilisation that severe tetanus requires; aspiration pneumonia is found in a high proportion of fatal cases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(highest in neonates, the elderly and where intensive care is unavailable)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Hypoxic-ischaemic brain injury from prolonged spasms/apnoea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death and neurodevelopmental impairment in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contractures, muscle weakness and prolonged physical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Post-intensive-care syndrome, anxiety, depression and post-traumatic stress</w:t>
            </w:r>
          </w:p>
        </w:tc>
        <w:tc>
          <w:tcPr>
            <w:tcW w:type="dxa" w:w="2980"/>
            <w:vAlign w:val="top"/>
          </w:tcPr>
          <w:p>
            <w:pPr>
              <w:spacing w:after="40" w:before="0" w:line="259" w:lineRule="auto"/>
            </w:pPr>
            <w:r>
              <w:rPr>
                <w:rFonts w:ascii="Calibri" w:hAnsi="Calibri"/>
                <w:b w:val="0"/>
                <w:i w:val="0"/>
                <w:color w:val="212121"/>
                <w:sz w:val="19"/>
              </w:rPr>
              <w:t>Irreversible or long-term outcomes of severe disease and its intensive-care course; entirely preventable through immunisation and clean birth/wound practices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foot ulcers and poorly healing, poorly perfused wounds act as anaerobic portals of entry; diabetics are over-represented among adult tetanus admissions and their glycaemic and infective status complicates intensive-care management.</w:t>
            </w:r>
          </w:p>
        </w:tc>
      </w:tr>
      <w:tr>
        <w:trPr>
          <w:cantSplit/>
        </w:trPr>
        <w:tc>
          <w:tcPr>
            <w:tcW w:type="dxa" w:w="2232"/>
            <w:vAlign w:val="top"/>
          </w:tcPr>
          <w:p>
            <w:pPr>
              <w:spacing w:after="40" w:before="0" w:line="259" w:lineRule="auto"/>
            </w:pPr>
            <w:r>
              <w:rPr>
                <w:rFonts w:ascii="Calibri" w:hAnsi="Calibri"/>
                <w:b/>
                <w:i w:val="0"/>
                <w:color w:val="212121"/>
                <w:sz w:val="19"/>
              </w:rPr>
              <w:t>Chronic suppurative otitis media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chronically discharging middle ear is a classic portal of entry for otogenic and cephalic tetanus, especially in Indian children.</w:t>
            </w:r>
          </w:p>
        </w:tc>
      </w:tr>
      <w:tr>
        <w:trPr>
          <w:cantSplit/>
        </w:trPr>
        <w:tc>
          <w:tcPr>
            <w:tcW w:type="dxa" w:w="2232"/>
            <w:vAlign w:val="top"/>
          </w:tcPr>
          <w:p>
            <w:pPr>
              <w:spacing w:after="40" w:before="0" w:line="259" w:lineRule="auto"/>
            </w:pPr>
            <w:r>
              <w:rPr>
                <w:rFonts w:ascii="Calibri" w:hAnsi="Calibri"/>
                <w:b/>
                <w:i w:val="0"/>
                <w:color w:val="212121"/>
                <w:sz w:val="19"/>
              </w:rPr>
              <w:t>Chronic skin ulcers, gangrene and burns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Devitalised, low-oxygen tissue provides ideal conditions for spore germination; such tetanus-prone wounds mandate immunoglobulin plus toxoid when immunity is uncertain.</w:t>
            </w:r>
          </w:p>
        </w:tc>
      </w:tr>
      <w:tr>
        <w:trPr>
          <w:cantSplit/>
        </w:trPr>
        <w:tc>
          <w:tcPr>
            <w:tcW w:type="dxa" w:w="2232"/>
            <w:vAlign w:val="top"/>
          </w:tcPr>
          <w:p>
            <w:pPr>
              <w:spacing w:after="40" w:before="0" w:line="259" w:lineRule="auto"/>
            </w:pPr>
            <w:r>
              <w:rPr>
                <w:rFonts w:ascii="Calibri" w:hAnsi="Calibri"/>
                <w:b/>
                <w:i w:val="0"/>
                <w:color w:val="212121"/>
                <w:sz w:val="19"/>
              </w:rPr>
              <w:t>Injection-drug-use infections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Non-sterile injecting introduces spores into subcutaneous tissue in an often under-immunised group; associated blood-borne infections further complicate care.</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Dysphagia, spasms and impaired airway protection lead to aspiration; pneumonia is a frequent secondary infection and a common contributor to death in tetanus.</w:t>
            </w:r>
          </w:p>
          <w:p>
            <w:pPr>
              <w:spacing w:after="40" w:before="0" w:line="259" w:lineRule="auto"/>
            </w:pPr>
            <w:r>
              <w:rPr>
                <w:rFonts w:ascii="Calibri" w:hAnsi="Calibri"/>
                <w:b/>
                <w:i w:val="0"/>
                <w:color w:val="212121"/>
                <w:sz w:val="19"/>
              </w:rPr>
              <w:t>Up to 50–70% (autopsy series)</w:t>
            </w:r>
          </w:p>
        </w:tc>
      </w:tr>
      <w:tr>
        <w:trPr>
          <w:cantSplit/>
        </w:trPr>
        <w:tc>
          <w:tcPr>
            <w:tcW w:type="dxa" w:w="2232"/>
            <w:vAlign w:val="top"/>
          </w:tcPr>
          <w:p>
            <w:pPr>
              <w:spacing w:after="40" w:before="0" w:line="259" w:lineRule="auto"/>
            </w:pPr>
            <w:r>
              <w:rPr>
                <w:rFonts w:ascii="Calibri" w:hAnsi="Calibri"/>
                <w:b/>
                <w:i w:val="0"/>
                <w:color w:val="212121"/>
                <w:sz w:val="19"/>
              </w:rPr>
              <w:t>Autonomic cardiovascular dysfunction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Toxin action on the autonomic nervous system produces labile blood pressure, arrhythmias and hyperpyrexia in severe tetanus — a major cause of mortality.</w:t>
            </w:r>
          </w:p>
        </w:tc>
      </w:tr>
      <w:tr>
        <w:trPr>
          <w:cantSplit/>
        </w:trPr>
        <w:tc>
          <w:tcPr>
            <w:tcW w:type="dxa" w:w="2232"/>
            <w:vAlign w:val="top"/>
          </w:tcPr>
          <w:p>
            <w:pPr>
              <w:spacing w:after="40" w:before="0" w:line="259" w:lineRule="auto"/>
            </w:pPr>
            <w:r>
              <w:rPr>
                <w:rFonts w:ascii="Calibri" w:hAnsi="Calibri"/>
                <w:b/>
                <w:i w:val="0"/>
                <w:color w:val="212121"/>
                <w:sz w:val="19"/>
              </w:rPr>
              <w:t>Rhabdomyolysis &amp; acute kidney injury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Sustained rigidity and spasms break down muscle, releasing myoglobin that can precipitate acute kidney injury.</w:t>
            </w:r>
          </w:p>
        </w:tc>
      </w:tr>
      <w:tr>
        <w:trPr>
          <w:cantSplit/>
        </w:trPr>
        <w:tc>
          <w:tcPr>
            <w:tcW w:type="dxa" w:w="2232"/>
            <w:vAlign w:val="top"/>
          </w:tcPr>
          <w:p>
            <w:pPr>
              <w:spacing w:after="40" w:before="0" w:line="259" w:lineRule="auto"/>
            </w:pPr>
            <w:r>
              <w:rPr>
                <w:rFonts w:ascii="Calibri" w:hAnsi="Calibri"/>
                <w:b/>
                <w:i w:val="0"/>
                <w:color w:val="212121"/>
                <w:sz w:val="19"/>
              </w:rPr>
              <w:t>Venous thromboembolism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Prolonged immobilisation, sedation and critical illness raise the risk of deep-vein thrombosis and pulmonary embolism.</w:t>
            </w:r>
          </w:p>
        </w:tc>
      </w:tr>
      <w:tr>
        <w:trPr>
          <w:cantSplit/>
        </w:trPr>
        <w:tc>
          <w:tcPr>
            <w:tcW w:type="dxa" w:w="2232"/>
            <w:vAlign w:val="top"/>
          </w:tcPr>
          <w:p>
            <w:pPr>
              <w:spacing w:after="40" w:before="0" w:line="259" w:lineRule="auto"/>
            </w:pPr>
            <w:r>
              <w:rPr>
                <w:rFonts w:ascii="Calibri" w:hAnsi="Calibri"/>
                <w:b/>
                <w:i w:val="0"/>
                <w:color w:val="212121"/>
                <w:sz w:val="19"/>
              </w:rPr>
              <w:t>Neonatal sepsis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Neonatal tetanus and neonatal sepsis share the same root cause — unclean delivery and cord contamination — and frequently coexist in the sick newborn.</w:t>
            </w:r>
          </w:p>
        </w:tc>
      </w:tr>
      <w:tr>
        <w:trPr>
          <w:cantSplit/>
        </w:trPr>
        <w:tc>
          <w:tcPr>
            <w:tcW w:type="dxa" w:w="2232"/>
            <w:vAlign w:val="top"/>
          </w:tcPr>
          <w:p>
            <w:pPr>
              <w:spacing w:after="40" w:before="0" w:line="259" w:lineRule="auto"/>
            </w:pPr>
            <w:r>
              <w:rPr>
                <w:rFonts w:ascii="Calibri" w:hAnsi="Calibri"/>
                <w:b/>
                <w:i w:val="0"/>
                <w:color w:val="212121"/>
                <w:sz w:val="19"/>
              </w:rPr>
              <w:t>Post-traumatic stress &amp; depression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Survivors of prolonged painful spasms and ICU care, and mothers bereaved by neonatal tetanus, are at high risk of PTSD, anxiety and depression.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childhood tetanus-containing vaccine schedule and keep to booster doses — WHO advises 6 TTCV doses across life, with a Td/Tdap booster every 10 years for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every pregnant woman receives protective tetanus immunisation (2 TTCV doses in a previously unvaccinated pregnancy) to protect both mother and newborn.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Deliver in a health facility with a skilled attendant, and never apply cow dung, ash, mud or ghee to the umbilical stump — keep the cord clean and dry.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every wound promptly with soap and clean water, remove dirt and dead tissue, and seek care for deep, dirty, puncture, crush or burn wounds.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healed or trivial wound can still cause tetanus, and that surviving tetanus does NOT confer immunity — vaccination is still required.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any tetanus-prone wound, seek assessment for tetanus immunoglobulin plus toxoid if immunisation is absent, incomplete or the last booster was over 5 years ago.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 and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home-birth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and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and under-immunised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suspected tetanus as a medical emergency — begin management on clinical grounds without waiting for tests.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human tetanus immunoglobulin to neutralise unbound toxin, plus wound debridement and metronidazole (or penicillin) to eradicate the organism.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spasms with benzodiazepines (and magnesium sulfate/neuromuscular blockade as needed) in an intensive-care setting.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Nurse the patient in a quiet, dark, low-stimulation environment and secure the airway early; anticipate weeks of ventilation in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(or complete) active immunisation with tetanus toxoid during recovery, because the disease itself gives no protection.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suspected/confirmed tetanus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with tetanus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Ablett grade III–IV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teams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closed protective footwear during farming, construction and outdoor manual work to prevent penetrating foot wounds.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gloves and protective equipment when handling soil, manure, tools and machinery.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walking barefoot in fields, on soil and around animals where spores are abundant.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tetanus boosters up to date for occupations with a high injury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and 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Construction and 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walk barefoot outdoors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spasms are controlled, begin graded physiotherapy and passive movements to prevent contractures and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Reposition regularly and use pressure-area care to prevent bed sores during prolonged immobilisation.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thromboprophylaxis and early mobilisation as tolerated to reduce venous thromboembolism.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rehabilitation gradually over the weeks-to-months recovery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tetanus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and rehabilitation teams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of severe (grade III–IV) tetanus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high-calorie, high-protein nutritional support (usually via nasogastric or enteral feeding) to meet the hypermetabolic demands of continuous muscle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Guard against aspiration during feeding given trismus and dysphagia — use a secured airway and appropriate feeding route.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correct electrolyte disturbances driven by autonomic instability and rhabdomyolysis.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maternal and childhood nutrition in the community to aid wound healing and immune competence.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tetanus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mothers and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Nurse the patient in a quiet, darkened, low-stimulation room to minimise spasm-provoking light, noise and touch.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Cluster nursing interventions and use adequate sedation so rest is not repeatedly interrupted by handling.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sleep–wake cycle to reduce ICU delirium during a prolonged stay.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tetanus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with tetanus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nursing teams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preserve respiratory reserve, which is critical if prolonged ventilation is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use to support general wound healing and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contaminated wounds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possible ventilation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injection drug use; where it occurs, use sterile equipment and needle-exchange services and never inject subcutaneously (‘skin-popping’).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people who inject drugs and those with alcohol dependence are fully tetanus-immunised, as both are recognised high-risk, under-immunised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neglect contaminated wounds — seek prompt wound care and tetanus prophylaxis.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inject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Under-immunised high-risk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survivors of severe tetanus for post-traumatic stress, anxiety and depression after a frightening, painful ICU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bereavement and psychological support to mothers and families affected by neonatal tetanus.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analgesia and reassurance during illness, remembering that consciousness is preserved throughout the spasms.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survivors to community rehabilitation and mental-health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Tetanus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Bereaved parents (neonatal tetanus)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and rehabilitation teams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tetanus" TargetMode="External"/><Relationship Id="rId10" Type="http://schemas.openxmlformats.org/officeDocument/2006/relationships/hyperlink" Target="https://www.cdc.gov/pinkbook/hcp/table-of-contents/chapter-21-tetanus.html" TargetMode="External"/><Relationship Id="rId11" Type="http://schemas.openxmlformats.org/officeDocument/2006/relationships/hyperlink" Target="https://www.who.int/news-room/fact-sheets/detail/immunization-coverage" TargetMode="External"/><Relationship Id="rId12" Type="http://schemas.openxmlformats.org/officeDocument/2006/relationships/hyperlink" Target="https://www.who.int/southeastasia/health-topics/immunization" TargetMode="External"/><Relationship Id="rId13" Type="http://schemas.openxmlformats.org/officeDocument/2006/relationships/hyperlink" Target="https://wwwnc.cdc.gov/travel/yellowbook/2024/infections-diseases/tetanus" TargetMode="External"/><Relationship Id="rId14" Type="http://schemas.openxmlformats.org/officeDocument/2006/relationships/hyperlink" Target="https://www.cdc.gov/tetanus/about/index.html" TargetMode="External"/><Relationship Id="rId15" Type="http://schemas.openxmlformats.org/officeDocument/2006/relationships/hyperlink" Target="https://www.cdc.gov/tetanus/hcp/clinical-overview/index.html" TargetMode="External"/><Relationship Id="rId16" Type="http://schemas.openxmlformats.org/officeDocument/2006/relationships/hyperlink" Target="https://www.ncbi.nlm.nih.gov/books/NBK482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