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Pertussis (whooping cough)</w:t>
      </w:r>
    </w:p>
    <w:p>
      <w:pPr>
        <w:spacing w:before="0" w:after="160"/>
      </w:pPr>
      <w:r>
        <w:rPr>
          <w:rFonts w:ascii="Calibri" w:hAnsi="Calibri"/>
          <w:b/>
          <w:i w:val="0"/>
          <w:color w:val="212121"/>
          <w:sz w:val="22"/>
        </w:rPr>
        <w:t xml:space="preserve">AKA </w:t>
      </w:r>
      <w:r>
        <w:rPr>
          <w:rFonts w:ascii="Calibri" w:hAnsi="Calibri"/>
          <w:b w:val="0"/>
          <w:i w:val="0"/>
          <w:color w:val="212121"/>
          <w:sz w:val="22"/>
        </w:rPr>
        <w:t>i.e., Whooping cough, 100-day cough, Kali khansi, Bordetella pertussis infection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Pertussis is a highly contagious acute respiratory infection caused by the gram-negative coccobacillus Bordetella pertussis. It is classically characterised by paroxysms of severe coughing that often end in a high-pitched inspiratory “whoop” and post-tussive vomiting, produced by toxin-mediated damage to the ciliated respiratory epithelium. The illness is most dangerous in young unimmunised infants, in whom it can cause apnoea, pneumonia, encephalopathy and death, and it is largely preventable through timely vaccination.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Pertussis remains a major but under-recognised infection in India. A 2025 Indian review estimated that India accounts for roughly 26.5% of all global pertussis cases, and Indian case numbers are widely believed to be under-reported because national surveillance is largely passive and laboratory confirmation is limited. Globally, modelling estimated 24.1 million cases and about 160,700 deaths in children under 5 years in 2014, with infants under 1 year — the group at greatest risk in India — accounting for roughly 85,900 (53%) of those deaths.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Pertussis is diagnosed on a compatible clinical case definition supported, where possible, by laboratory confirmation from a nasopharyngeal specimen; a high index of suspicion is essential because early (catarrhal) disease mimics a common cold: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Clinical case definition: a cough lasting ≥ 2 weeks with at least one of paroxysms of coughing, inspiratory “whoop”, or post-tussive vomiting, without another apparent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Polymerase chain reaction (PCR, targeting IS481) on a nasopharyngeal swab or aspirate — the preferred test, most sensitive within the first 3–4 weeks of cough (sensitivity ~77–97%);</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Culture of B. pertussis on selective media (Regan-Lowe or Bordet-Gengou) — 100% specific and the reference standard, but slow and most useful in the first 2 weeks of cough;</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Anti-pertussis-toxin (anti-PT) IgG serology — useful ~2–12 weeks after cough onset in older, unrecently-vaccinated patients; not reliable in infants &lt; 6 months or recent vaccinees;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finding: marked leukocytosis with lymphocytosis (e.g. WBC &gt; 20,000/µL with &gt; 50% lymphocytes) is highly suggestive in an infant &lt; 3 months;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Epidemiological link to a laboratory-confirmed case supports a probable diagnosis during outbreaks.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Pertussis is described by the stage of illness, by the host/severity pattern, and by the causative Bordetella species; surveillance case classification adds a laboratory dimension:</w:t>
      </w:r>
    </w:p>
    <w:p>
      <w:pPr>
        <w:spacing w:before="0" w:after="80"/>
      </w:pPr>
      <w:r>
        <w:rPr>
          <w:rFonts w:ascii="Calibri" w:hAnsi="Calibri"/>
          <w:b w:val="0"/>
          <w:i w:val="0"/>
          <w:color w:val="212121"/>
          <w:sz w:val="21"/>
        </w:rPr>
        <w:t>(1) By clinical stage — the catarrhal stage (1–2 weeks of coryza, low-grade fever and mild cough), the paroxysmal stage (1–2 weeks up to 2–3 months of coughing fits, whoop and post-tussive vomiting, averaging ~15 attacks per 24 hours at peak), and the convalescent stage (weeks to months of gradually waning cough), giving the folk name “100-day cough”;</w:t>
      </w:r>
    </w:p>
    <w:p>
      <w:pPr>
        <w:spacing w:before="0" w:after="80"/>
      </w:pPr>
      <w:r>
        <w:rPr>
          <w:rFonts w:ascii="Calibri" w:hAnsi="Calibri"/>
          <w:b w:val="0"/>
          <w:i w:val="0"/>
          <w:color w:val="212121"/>
          <w:sz w:val="21"/>
        </w:rPr>
        <w:t>(2) By host and severity — classic disease in older children/adults; severe atypical infant disease in which apnoea, cyanosis or poor feeding dominate and the whoop may be absent; and attenuated, cold-like illness in partially vaccinated or previously infected individuals;</w:t>
      </w:r>
    </w:p>
    <w:p>
      <w:pPr>
        <w:spacing w:before="0" w:after="80"/>
      </w:pPr>
      <w:r>
        <w:rPr>
          <w:rFonts w:ascii="Calibri" w:hAnsi="Calibri"/>
          <w:b w:val="0"/>
          <w:i w:val="0"/>
          <w:color w:val="212121"/>
          <w:sz w:val="21"/>
        </w:rPr>
        <w:t>(3) By organism — typical pertussis due to Bordetella pertussis, milder illness due to Bordetella parapertussis, and occasional Bordetella holmesii infection; only B. pertussis produces pertussis toxin;</w:t>
      </w:r>
    </w:p>
    <w:p>
      <w:pPr>
        <w:spacing w:before="0" w:after="80"/>
      </w:pPr>
      <w:r>
        <w:rPr>
          <w:rFonts w:ascii="Calibri" w:hAnsi="Calibri"/>
          <w:b w:val="0"/>
          <w:i w:val="0"/>
          <w:color w:val="212121"/>
          <w:sz w:val="21"/>
        </w:rPr>
        <w:t>(4) By surveillance status — clinical/probable case (meets clinical definition ± epidemiological link) versus confirmed case (culture- or PCR-positive), used for outbreak reporting.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Bordetella pertussis infection: A fastidious gram-negative coccobacillus that attaches to and multiplies on ciliated respiratory epithelium; humans are the only reservoir and spread is by respiratory droplets, with very high secondary attack rates in close contacts.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Toxin-mediated mucosal injury: Pertussis toxin (causing lymphocytosis and impaired immune signalling), tracheal cytotoxin (destroying ciliated cells), and adenylate-cyclase toxin together paralyse mucociliary clearance and drive the paroxysmal cough.</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Non- or incomplete vaccination: Missing or delayed primary DTP doses leaves infants unprotected; India remains among the ten countries with the largest numbers of unvaccinated/under-vaccinated children, sustaining transmission.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Waning vaccine immunity: Protection declines in the years after the primary series and boosters, so older children, adolescents and adults become susceptible and act as reservoirs that infect infants.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Close respiratory contact / crowding: Household, daycare, school and hospital contact with an infectious (often mildly symptomatic) case is the usual route by which vulnerable infants are exposed.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Pathogen adaptation: Circulation of ptxP3 and pertactin-deficient, ‘vaccine-escape’ strains, and emerging macrolide-resistant B. pertussis, contributes to resurgence and treatment challenges.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&lt; 1 year (especially &lt; 3 months)</w:t>
            </w:r>
          </w:p>
        </w:tc>
        <w:tc>
          <w:tcPr>
            <w:tcW w:type="dxa" w:w="4276"/>
            <w:vAlign w:val="top"/>
          </w:tcPr>
          <w:p>
            <w:pPr>
              <w:spacing w:after="60" w:line="259" w:lineRule="auto"/>
            </w:pPr>
            <w:r>
              <w:rPr>
                <w:rFonts w:ascii="Calibri" w:hAnsi="Calibri"/>
                <w:b w:val="0"/>
                <w:i w:val="0"/>
                <w:color w:val="212121"/>
                <w:sz w:val="19"/>
              </w:rPr>
              <w:t>Too young to be fully vaccinated and with narrow airways, infants develop the most severe disease; apnoea and cyanosis rather than a whoop may be the only signs, and the primary series is not completed until about 14 weeks of age.</w:t>
            </w:r>
          </w:p>
          <w:p>
            <w:pPr>
              <w:spacing w:after="40" w:before="60" w:line="259" w:lineRule="auto"/>
            </w:pPr>
            <w:r>
              <w:rPr>
                <w:rFonts w:ascii="Calibri" w:hAnsi="Calibri"/>
                <w:b w:val="0"/>
                <w:i w:val="0"/>
                <w:color w:val="212121"/>
                <w:sz w:val="19"/>
              </w:rPr>
              <w:t>In infants under 1 year the most common complications are apnoea (68%) and pneumonia (22%); infants under 1 year account for roughly 85,900 (53%) of global under-5 pertussis deaths.</w:t>
            </w:r>
          </w:p>
          <w:p>
            <w:pPr>
              <w:spacing w:after="40" w:line="252" w:lineRule="auto"/>
            </w:pPr>
            <w:hyperlink r:id="rId9">
              <w:r>
                <w:rPr>
                  <w:rFonts w:ascii="Calibri" w:hAnsi="Calibri" w:cs="Calibri"/>
                  <w:sz w:val="18"/>
                  <w:color w:val="1155CC"/>
                  <w:u w:val="single"/>
                </w:rPr>
                <w:t xml:space="preserve">cdc.gov — pertussis clinical features</w:t>
              </w:r>
            </w:hyperlink>
          </w:p>
          <w:p>
            <w:pPr>
              <w:spacing w:before="60" w:after="40"/>
            </w:pPr>
            <w:r>
              <w:rPr>
                <w:rFonts w:ascii="Calibri" w:hAnsi="Calibri"/>
                <w:b w:val="0"/>
                <w:i w:val="0"/>
                <w:color w:val="5A5A5A"/>
                <w:sz w:val="18"/>
              </w:rPr>
              <w:t>#infants  #apnoea  #unvaccinated  #neonatal  #highrisk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 &amp; adults</w:t>
            </w:r>
          </w:p>
        </w:tc>
        <w:tc>
          <w:tcPr>
            <w:tcW w:type="dxa" w:w="4276"/>
            <w:vAlign w:val="top"/>
          </w:tcPr>
          <w:p>
            <w:pPr>
              <w:spacing w:after="60" w:line="259" w:lineRule="auto"/>
            </w:pPr>
            <w:r>
              <w:rPr>
                <w:rFonts w:ascii="Calibri" w:hAnsi="Calibri"/>
                <w:b w:val="0"/>
                <w:i w:val="0"/>
                <w:color w:val="212121"/>
                <w:sz w:val="19"/>
              </w:rPr>
              <w:t>Immunity from childhood vaccination or past infection wanes over years, so adolescents and adults get mild, often unrecognised, prolonged coughs and become the main source that transmits pertussis to vulnerable infants at home.</w:t>
            </w:r>
          </w:p>
          <w:p>
            <w:pPr>
              <w:spacing w:after="40" w:before="60" w:line="259" w:lineRule="auto"/>
            </w:pPr>
            <w:r>
              <w:rPr>
                <w:rFonts w:ascii="Calibri" w:hAnsi="Calibri"/>
                <w:b w:val="0"/>
                <w:i w:val="0"/>
                <w:color w:val="212121"/>
                <w:sz w:val="19"/>
              </w:rPr>
              <w:t>A 2025 Indian review highlights waning immunity and low booster uptake and calls for adolescent/adult Tdap booster programmes; India is estimated to contribute ~26.5% of global pertussis cases.</w:t>
            </w:r>
          </w:p>
          <w:p>
            <w:pPr>
              <w:spacing w:after="40" w:line="252" w:lineRule="auto"/>
            </w:pPr>
            <w:hyperlink r:id="rId10">
              <w:r>
                <w:rPr>
                  <w:rFonts w:ascii="Calibri" w:hAnsi="Calibri" w:cs="Calibri"/>
                  <w:sz w:val="18"/>
                  <w:color w:val="1155CC"/>
                  <w:u w:val="single"/>
                </w:rPr>
                <w:t xml:space="preserve">pubmed.ncbi.nlm.nih.gov/40221094</w:t>
              </w:r>
            </w:hyperlink>
          </w:p>
          <w:p>
            <w:pPr>
              <w:spacing w:before="60" w:after="40"/>
            </w:pPr>
            <w:r>
              <w:rPr>
                <w:rFonts w:ascii="Calibri" w:hAnsi="Calibri"/>
                <w:b w:val="0"/>
                <w:i w:val="0"/>
                <w:color w:val="5A5A5A"/>
                <w:sz w:val="18"/>
              </w:rPr>
              <w:t>#waningimmunity  #reservoir  #Tdap  #adults  #underdiagnosed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adolescents/adults; both sexes in infancy</w:t>
            </w:r>
          </w:p>
        </w:tc>
        <w:tc>
          <w:tcPr>
            <w:tcW w:type="dxa" w:w="4276"/>
            <w:vAlign w:val="top"/>
          </w:tcPr>
          <w:p>
            <w:pPr>
              <w:spacing w:after="60" w:line="259" w:lineRule="auto"/>
            </w:pPr>
            <w:r>
              <w:rPr>
                <w:rFonts w:ascii="Calibri" w:hAnsi="Calibri"/>
                <w:b w:val="0"/>
                <w:i w:val="0"/>
                <w:color w:val="212121"/>
                <w:sz w:val="19"/>
              </w:rPr>
              <w:t>Infant risk is similar in boys and girls, but several surveillance datasets report a modest female predominance among reported adolescent and adult cases, partly reflecting caregiving contact and health-seeking patterns.</w:t>
            </w:r>
          </w:p>
          <w:p>
            <w:pPr>
              <w:spacing w:after="40" w:before="60" w:line="259" w:lineRule="auto"/>
            </w:pPr>
            <w:r>
              <w:rPr>
                <w:rFonts w:ascii="Calibri" w:hAnsi="Calibri"/>
                <w:b w:val="0"/>
                <w:i w:val="0"/>
                <w:color w:val="212121"/>
                <w:sz w:val="19"/>
              </w:rPr>
              <w:t>Sex differences are small; severe infant disease and death occur in both sexes and are driven by age and immunisation status rather than sex.</w:t>
            </w:r>
          </w:p>
          <w:p>
            <w:pPr>
              <w:spacing w:before="60" w:after="40"/>
            </w:pPr>
            <w:r>
              <w:rPr>
                <w:rFonts w:ascii="Calibri" w:hAnsi="Calibri"/>
                <w:b w:val="0"/>
                <w:i w:val="0"/>
                <w:color w:val="5A5A5A"/>
                <w:sz w:val="18"/>
              </w:rPr>
              <w:t>#sex  #adolescents  #caregivers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&amp; overcrowded households, urban slums, migrants</w:t>
            </w:r>
          </w:p>
        </w:tc>
        <w:tc>
          <w:tcPr>
            <w:tcW w:type="dxa" w:w="4276"/>
            <w:vAlign w:val="top"/>
          </w:tcPr>
          <w:p>
            <w:pPr>
              <w:spacing w:after="60" w:line="259" w:lineRule="auto"/>
            </w:pPr>
            <w:r>
              <w:rPr>
                <w:rFonts w:ascii="Calibri" w:hAnsi="Calibri"/>
                <w:b w:val="0"/>
                <w:i w:val="0"/>
                <w:color w:val="212121"/>
                <w:sz w:val="19"/>
              </w:rPr>
              <w:t>Crowding, delayed or missed immunisation, limited access to diagnosis and higher close-contact density increase both exposure and the chance that infant cases go unrecognised until severe.</w:t>
            </w:r>
          </w:p>
          <w:p>
            <w:pPr>
              <w:spacing w:after="40" w:before="60" w:line="259" w:lineRule="auto"/>
            </w:pPr>
            <w:r>
              <w:rPr>
                <w:rFonts w:ascii="Calibri" w:hAnsi="Calibri"/>
                <w:b w:val="0"/>
                <w:i w:val="0"/>
                <w:color w:val="212121"/>
                <w:sz w:val="19"/>
              </w:rPr>
              <w:t>India is one of the ten countries with the largest numbers of zero-dose and under-vaccinated children; globally about 13.5 million infants received no DTP dose and a further ~6 million were under-vaccinated.</w:t>
            </w:r>
          </w:p>
          <w:p>
            <w:pPr>
              <w:spacing w:after="40" w:line="252" w:lineRule="auto"/>
            </w:pPr>
            <w:hyperlink r:id="rId11">
              <w:r>
                <w:rPr>
                  <w:rFonts w:ascii="Calibri" w:hAnsi="Calibri" w:cs="Calibri"/>
                  <w:sz w:val="18"/>
                  <w:color w:val="1155CC"/>
                  <w:u w:val="single"/>
                </w:rPr>
                <w:t xml:space="preserve">who.int — immunization coverage</w:t>
              </w:r>
            </w:hyperlink>
          </w:p>
          <w:p>
            <w:pPr>
              <w:spacing w:before="60" w:after="40"/>
            </w:pPr>
            <w:r>
              <w:rPr>
                <w:rFonts w:ascii="Calibri" w:hAnsi="Calibri"/>
                <w:b w:val="0"/>
                <w:i w:val="0"/>
                <w:color w:val="5A5A5A"/>
                <w:sz w:val="18"/>
              </w:rPr>
              <w:t>#zerodose  #crowding  #slums  #accessgap  #UIP</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country</w:t>
            </w:r>
          </w:p>
        </w:tc>
        <w:tc>
          <w:tcPr>
            <w:tcW w:type="dxa" w:w="2160"/>
            <w:vAlign w:val="top"/>
          </w:tcPr>
          <w:p>
            <w:pPr>
              <w:spacing w:after="40" w:before="0" w:line="259" w:lineRule="auto"/>
            </w:pPr>
            <w:r>
              <w:rPr>
                <w:rFonts w:ascii="Calibri" w:hAnsi="Calibri"/>
                <w:b w:val="0"/>
                <w:i w:val="0"/>
                <w:color w:val="212121"/>
                <w:sz w:val="19"/>
              </w:rPr>
              <w:t>Low- and middle-income countries, incl. India &amp; South Asia</w:t>
            </w:r>
          </w:p>
        </w:tc>
        <w:tc>
          <w:tcPr>
            <w:tcW w:type="dxa" w:w="4276"/>
            <w:vAlign w:val="top"/>
          </w:tcPr>
          <w:p>
            <w:pPr>
              <w:spacing w:after="60" w:line="259" w:lineRule="auto"/>
            </w:pPr>
            <w:r>
              <w:rPr>
                <w:rFonts w:ascii="Calibri" w:hAnsi="Calibri"/>
                <w:b w:val="0"/>
                <w:i w:val="0"/>
                <w:color w:val="212121"/>
                <w:sz w:val="19"/>
              </w:rPr>
              <w:t>High birth cohorts, pockets of low coverage and passive surveillance concentrate severe pertussis and deaths in LMICs; India carries a large share of the global burden.</w:t>
            </w:r>
          </w:p>
          <w:p>
            <w:pPr>
              <w:spacing w:after="40" w:before="60" w:line="259" w:lineRule="auto"/>
            </w:pPr>
            <w:r>
              <w:rPr>
                <w:rFonts w:ascii="Calibri" w:hAnsi="Calibri"/>
                <w:b w:val="0"/>
                <w:i w:val="0"/>
                <w:color w:val="212121"/>
                <w:sz w:val="19"/>
              </w:rPr>
              <w:t>Global modelling estimated 24.1 million pertussis cases and 160,700 deaths in children &lt; 5 years in 2014, the burden concentrated in low- and middle-income regions.</w:t>
            </w:r>
          </w:p>
          <w:p>
            <w:pPr>
              <w:spacing w:after="40" w:line="252" w:lineRule="auto"/>
            </w:pPr>
            <w:hyperlink r:id="rId12">
              <w:r>
                <w:rPr>
                  <w:rFonts w:ascii="Calibri" w:hAnsi="Calibri" w:cs="Calibri"/>
                  <w:sz w:val="18"/>
                  <w:color w:val="1155CC"/>
                  <w:u w:val="single"/>
                </w:rPr>
                <w:t xml:space="preserve">pubmed.ncbi.nlm.nih.gov/28623146</w:t>
              </w:r>
            </w:hyperlink>
          </w:p>
          <w:p>
            <w:pPr>
              <w:spacing w:before="60" w:after="40"/>
            </w:pPr>
            <w:r>
              <w:rPr>
                <w:rFonts w:ascii="Calibri" w:hAnsi="Calibri"/>
                <w:b w:val="0"/>
                <w:i w:val="0"/>
                <w:color w:val="5A5A5A"/>
                <w:sz w:val="18"/>
              </w:rPr>
              <w:t>#LMIC  #SouthAsia  #globalburden  #underfive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Immunisation-programme setting</w:t>
            </w:r>
          </w:p>
        </w:tc>
        <w:tc>
          <w:tcPr>
            <w:tcW w:type="dxa" w:w="2160"/>
            <w:vAlign w:val="top"/>
          </w:tcPr>
          <w:p>
            <w:pPr>
              <w:spacing w:after="40" w:before="0" w:line="259" w:lineRule="auto"/>
            </w:pPr>
            <w:r>
              <w:rPr>
                <w:rFonts w:ascii="Calibri" w:hAnsi="Calibri"/>
                <w:b w:val="0"/>
                <w:i w:val="0"/>
                <w:color w:val="212121"/>
                <w:sz w:val="19"/>
              </w:rPr>
              <w:t>Areas of low/interrupted DTP coverage (rural, NE &amp; tribal belts, conflict/migration)</w:t>
            </w:r>
          </w:p>
        </w:tc>
        <w:tc>
          <w:tcPr>
            <w:tcW w:type="dxa" w:w="4276"/>
            <w:vAlign w:val="top"/>
          </w:tcPr>
          <w:p>
            <w:pPr>
              <w:spacing w:after="60" w:line="259" w:lineRule="auto"/>
            </w:pPr>
            <w:r>
              <w:rPr>
                <w:rFonts w:ascii="Calibri" w:hAnsi="Calibri"/>
                <w:b w:val="0"/>
                <w:i w:val="0"/>
                <w:color w:val="212121"/>
                <w:sz w:val="19"/>
              </w:rPr>
              <w:t>Even where national coverage is high, districts with supply interruptions, vaccine hesitancy or hard-to-reach populations sustain transmission, and Indian cases are further hidden by reliance on passive surveillance and diagnostic gaps.</w:t>
            </w:r>
          </w:p>
          <w:p>
            <w:pPr>
              <w:spacing w:after="40" w:before="60" w:line="259" w:lineRule="auto"/>
            </w:pPr>
            <w:r>
              <w:rPr>
                <w:rFonts w:ascii="Calibri" w:hAnsi="Calibri"/>
                <w:b w:val="0"/>
                <w:i w:val="0"/>
                <w:color w:val="212121"/>
                <w:sz w:val="19"/>
              </w:rPr>
              <w:t>Indian reviews conclude pertussis is under-estimated because of passive surveillance and diagnostic challenges, so recorded case counts understate the true burden.</w:t>
            </w:r>
          </w:p>
          <w:p>
            <w:pPr>
              <w:spacing w:after="40" w:line="252" w:lineRule="auto"/>
            </w:pPr>
            <w:hyperlink r:id="rId13">
              <w:r>
                <w:rPr>
                  <w:rFonts w:ascii="Calibri" w:hAnsi="Calibri" w:cs="Calibri"/>
                  <w:sz w:val="18"/>
                  <w:color w:val="1155CC"/>
                  <w:u w:val="single"/>
                </w:rPr>
                <w:t xml:space="preserve">pubmed.ncbi.nlm.nih.gov/36522518</w:t>
              </w:r>
            </w:hyperlink>
          </w:p>
          <w:p>
            <w:pPr>
              <w:spacing w:before="60" w:after="40"/>
            </w:pPr>
            <w:r>
              <w:rPr>
                <w:rFonts w:ascii="Calibri" w:hAnsi="Calibri"/>
                <w:b w:val="0"/>
                <w:i w:val="0"/>
                <w:color w:val="5A5A5A"/>
                <w:sz w:val="18"/>
              </w:rPr>
              <w:t>#coveragegaps  #surveillance  #ruralindia  #hesitancy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Household tobacco smoke</w:t>
            </w:r>
          </w:p>
        </w:tc>
        <w:tc>
          <w:tcPr>
            <w:tcW w:type="dxa" w:w="2160"/>
            <w:vAlign w:val="top"/>
          </w:tcPr>
          <w:p>
            <w:pPr>
              <w:spacing w:after="40" w:before="0" w:line="259" w:lineRule="auto"/>
            </w:pPr>
            <w:r>
              <w:rPr>
                <w:rFonts w:ascii="Calibri" w:hAnsi="Calibri"/>
                <w:b w:val="0"/>
                <w:i w:val="0"/>
                <w:color w:val="212121"/>
                <w:sz w:val="19"/>
              </w:rPr>
              <w:t>Infants of parents who smoke; homes with indoor smoking</w:t>
            </w:r>
          </w:p>
        </w:tc>
        <w:tc>
          <w:tcPr>
            <w:tcW w:type="dxa" w:w="4276"/>
            <w:vAlign w:val="top"/>
          </w:tcPr>
          <w:p>
            <w:pPr>
              <w:spacing w:after="60" w:line="259" w:lineRule="auto"/>
            </w:pPr>
            <w:r>
              <w:rPr>
                <w:rFonts w:ascii="Calibri" w:hAnsi="Calibri"/>
                <w:b w:val="0"/>
                <w:i w:val="0"/>
                <w:color w:val="212121"/>
                <w:sz w:val="19"/>
              </w:rPr>
              <w:t>Environmental tobacco smoke impairs mucociliary clearance and airway defences, increasing the risk and severity of respiratory infections including pertussis in exposed infants.</w:t>
            </w:r>
          </w:p>
          <w:p>
            <w:pPr>
              <w:spacing w:after="40" w:before="60" w:line="259" w:lineRule="auto"/>
            </w:pPr>
            <w:r>
              <w:rPr>
                <w:rFonts w:ascii="Calibri" w:hAnsi="Calibri"/>
                <w:b w:val="0"/>
                <w:i w:val="0"/>
                <w:color w:val="212121"/>
                <w:sz w:val="19"/>
              </w:rPr>
              <w:t>Exposure to household tobacco smoke is a recognised, modifiable factor that worsens infant respiratory infection; a smoke-free home is advised for households with young infants.</w:t>
            </w:r>
          </w:p>
          <w:p>
            <w:pPr>
              <w:spacing w:before="60" w:after="40"/>
            </w:pPr>
            <w:r>
              <w:rPr>
                <w:rFonts w:ascii="Calibri" w:hAnsi="Calibri"/>
                <w:b w:val="0"/>
                <w:i w:val="0"/>
                <w:color w:val="5A5A5A"/>
                <w:sz w:val="18"/>
              </w:rPr>
              <w:t>#passivesmoke  #ETS  #infantlungs  #smokefreehome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Crowding / contact settings</w:t>
            </w:r>
          </w:p>
        </w:tc>
        <w:tc>
          <w:tcPr>
            <w:tcW w:type="dxa" w:w="2160"/>
            <w:vAlign w:val="top"/>
          </w:tcPr>
          <w:p>
            <w:pPr>
              <w:spacing w:after="40" w:before="0" w:line="259" w:lineRule="auto"/>
            </w:pPr>
            <w:r>
              <w:rPr>
                <w:rFonts w:ascii="Calibri" w:hAnsi="Calibri"/>
                <w:b w:val="0"/>
                <w:i w:val="0"/>
                <w:color w:val="212121"/>
                <w:sz w:val="19"/>
              </w:rPr>
              <w:t>Daycare, schools, joint families, hospitals</w:t>
            </w:r>
          </w:p>
        </w:tc>
        <w:tc>
          <w:tcPr>
            <w:tcW w:type="dxa" w:w="4276"/>
            <w:vAlign w:val="top"/>
          </w:tcPr>
          <w:p>
            <w:pPr>
              <w:spacing w:after="60" w:line="259" w:lineRule="auto"/>
            </w:pPr>
            <w:r>
              <w:rPr>
                <w:rFonts w:ascii="Calibri" w:hAnsi="Calibri"/>
                <w:b w:val="0"/>
                <w:i w:val="0"/>
                <w:color w:val="212121"/>
                <w:sz w:val="19"/>
              </w:rPr>
              <w:t>Pertussis spreads efficiently by droplets among close contacts; attendance at crowded settings and contact with an older sibling or adult with a lingering cough are common routes of infant infection.</w:t>
            </w:r>
          </w:p>
          <w:p>
            <w:pPr>
              <w:spacing w:after="40" w:before="60" w:line="259" w:lineRule="auto"/>
            </w:pPr>
            <w:r>
              <w:rPr>
                <w:rFonts w:ascii="Calibri" w:hAnsi="Calibri"/>
                <w:b w:val="0"/>
                <w:i w:val="0"/>
                <w:color w:val="212121"/>
                <w:sz w:val="19"/>
              </w:rPr>
              <w:t>Secondary attack rates among susceptible household contacts are very high, making close-contact settings key amplifiers of transmission.</w:t>
            </w:r>
          </w:p>
          <w:p>
            <w:pPr>
              <w:spacing w:after="40" w:line="252" w:lineRule="auto"/>
            </w:pPr>
            <w:hyperlink r:id="rId14">
              <w:r>
                <w:rPr>
                  <w:rFonts w:ascii="Calibri" w:hAnsi="Calibri" w:cs="Calibri"/>
                  <w:sz w:val="18"/>
                  <w:color w:val="1155CC"/>
                  <w:u w:val="single"/>
                </w:rPr>
                <w:t xml:space="preserve">cdc.gov — about whooping cough</w:t>
              </w:r>
            </w:hyperlink>
          </w:p>
          <w:p>
            <w:pPr>
              <w:spacing w:before="60" w:after="40"/>
            </w:pPr>
            <w:r>
              <w:rPr>
                <w:rFonts w:ascii="Calibri" w:hAnsi="Calibri"/>
                <w:b w:val="0"/>
                <w:i w:val="0"/>
                <w:color w:val="5A5A5A"/>
                <w:sz w:val="18"/>
              </w:rPr>
              <w:t>#droplets  #daycare  #households  #secondaryattack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Unimmunised close contacts</w:t>
            </w:r>
          </w:p>
        </w:tc>
        <w:tc>
          <w:tcPr>
            <w:tcW w:type="dxa" w:w="2160"/>
            <w:vAlign w:val="top"/>
          </w:tcPr>
          <w:p>
            <w:pPr>
              <w:spacing w:after="40" w:before="0" w:line="259" w:lineRule="auto"/>
            </w:pPr>
            <w:r>
              <w:rPr>
                <w:rFonts w:ascii="Calibri" w:hAnsi="Calibri"/>
                <w:b w:val="0"/>
                <w:i w:val="0"/>
                <w:color w:val="212121"/>
                <w:sz w:val="19"/>
              </w:rPr>
              <w:t>Families without cocooning / maternal Tdap</w:t>
            </w:r>
          </w:p>
        </w:tc>
        <w:tc>
          <w:tcPr>
            <w:tcW w:type="dxa" w:w="4276"/>
            <w:vAlign w:val="top"/>
          </w:tcPr>
          <w:p>
            <w:pPr>
              <w:spacing w:after="60" w:line="259" w:lineRule="auto"/>
            </w:pPr>
            <w:r>
              <w:rPr>
                <w:rFonts w:ascii="Calibri" w:hAnsi="Calibri"/>
                <w:b w:val="0"/>
                <w:i w:val="0"/>
                <w:color w:val="212121"/>
                <w:sz w:val="19"/>
              </w:rPr>
              <w:t>When mothers, caregivers and siblings are not boosted, infants lose the ‘cocoon’ of protection; maternal vaccination in pregnancy and boosting close contacts substantially reduce infant disease.</w:t>
            </w:r>
          </w:p>
          <w:p>
            <w:pPr>
              <w:spacing w:after="40" w:before="60" w:line="259" w:lineRule="auto"/>
            </w:pPr>
            <w:r>
              <w:rPr>
                <w:rFonts w:ascii="Calibri" w:hAnsi="Calibri"/>
                <w:b w:val="0"/>
                <w:i w:val="0"/>
                <w:color w:val="212121"/>
                <w:sz w:val="19"/>
              </w:rPr>
              <w:t>Maternal pertussis vaccination in pregnancy reduces infant hospitalisation by more than 90% and infant death by about 95% in the vulnerable early months.</w:t>
            </w:r>
          </w:p>
          <w:p>
            <w:pPr>
              <w:spacing w:after="40" w:line="252" w:lineRule="auto"/>
            </w:pPr>
            <w:hyperlink r:id="rId15">
              <w:r>
                <w:rPr>
                  <w:rFonts w:ascii="Calibri" w:hAnsi="Calibri" w:cs="Calibri"/>
                  <w:sz w:val="18"/>
                  <w:color w:val="1155CC"/>
                  <w:u w:val="single"/>
                </w:rPr>
                <w:t xml:space="preserve">ncbi.nlm.nih.gov — StatPearls: Pertussis</w:t>
              </w:r>
            </w:hyperlink>
          </w:p>
          <w:p>
            <w:pPr>
              <w:spacing w:before="60" w:after="40"/>
            </w:pPr>
            <w:r>
              <w:rPr>
                <w:rFonts w:ascii="Calibri" w:hAnsi="Calibri"/>
                <w:b w:val="0"/>
                <w:i w:val="0"/>
                <w:color w:val="5A5A5A"/>
                <w:sz w:val="18"/>
              </w:rPr>
              <w:t>#cocooning  #maternalTdap  #contacts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Infant feeding / nutrition</w:t>
            </w:r>
          </w:p>
        </w:tc>
        <w:tc>
          <w:tcPr>
            <w:tcW w:type="dxa" w:w="2160"/>
            <w:vAlign w:val="top"/>
          </w:tcPr>
          <w:p>
            <w:pPr>
              <w:spacing w:after="40" w:before="0" w:line="259" w:lineRule="auto"/>
            </w:pPr>
            <w:r>
              <w:rPr>
                <w:rFonts w:ascii="Calibri" w:hAnsi="Calibri"/>
                <w:b w:val="0"/>
                <w:i w:val="0"/>
                <w:color w:val="212121"/>
                <w:sz w:val="19"/>
              </w:rPr>
              <w:t>Non-breastfed, malnourished or low-birth-weight infants</w:t>
            </w:r>
          </w:p>
        </w:tc>
        <w:tc>
          <w:tcPr>
            <w:tcW w:type="dxa" w:w="4276"/>
            <w:vAlign w:val="top"/>
          </w:tcPr>
          <w:p>
            <w:pPr>
              <w:spacing w:after="60" w:line="259" w:lineRule="auto"/>
            </w:pPr>
            <w:r>
              <w:rPr>
                <w:rFonts w:ascii="Calibri" w:hAnsi="Calibri"/>
                <w:b w:val="0"/>
                <w:i w:val="0"/>
                <w:color w:val="212121"/>
                <w:sz w:val="19"/>
              </w:rPr>
              <w:t>Breast milk confers passive immunity and protects the airway; malnourished and low-birth-weight infants have weaker defences and less respiratory reserve, so they develop more severe pertussis and tolerate paroxysms and feeding interruption poorly.</w:t>
            </w:r>
          </w:p>
          <w:p>
            <w:pPr>
              <w:spacing w:after="40" w:before="60" w:line="259" w:lineRule="auto"/>
            </w:pPr>
            <w:r>
              <w:rPr>
                <w:rFonts w:ascii="Calibri" w:hAnsi="Calibri"/>
                <w:b w:val="0"/>
                <w:i w:val="0"/>
                <w:color w:val="212121"/>
                <w:sz w:val="19"/>
              </w:rPr>
              <w:t>Under-nutrition and low birth weight are recognised amplifiers of severity in infant respiratory infection; exclusive breastfeeding is protective.</w:t>
            </w:r>
          </w:p>
          <w:p>
            <w:pPr>
              <w:spacing w:before="60" w:after="40"/>
            </w:pPr>
            <w:r>
              <w:rPr>
                <w:rFonts w:ascii="Calibri" w:hAnsi="Calibri"/>
                <w:b w:val="0"/>
                <w:i w:val="0"/>
                <w:color w:val="5A5A5A"/>
                <w:sz w:val="18"/>
              </w:rPr>
              <w:t>#breastfeeding  #malnutrition  #LBW  #passiveimmunity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 during illness</w:t>
            </w:r>
          </w:p>
        </w:tc>
        <w:tc>
          <w:tcPr>
            <w:tcW w:type="dxa" w:w="2160"/>
            <w:vAlign w:val="top"/>
          </w:tcPr>
          <w:p>
            <w:pPr>
              <w:spacing w:after="40" w:before="0" w:line="259" w:lineRule="auto"/>
            </w:pPr>
            <w:r>
              <w:rPr>
                <w:rFonts w:ascii="Calibri" w:hAnsi="Calibri"/>
                <w:b w:val="0"/>
                <w:i w:val="0"/>
                <w:color w:val="212121"/>
                <w:sz w:val="19"/>
              </w:rPr>
              <w:t>Infants/children with repeated post-tussive vomiting</w:t>
            </w:r>
          </w:p>
        </w:tc>
        <w:tc>
          <w:tcPr>
            <w:tcW w:type="dxa" w:w="4276"/>
            <w:vAlign w:val="top"/>
          </w:tcPr>
          <w:p>
            <w:pPr>
              <w:spacing w:after="60" w:line="259" w:lineRule="auto"/>
            </w:pPr>
            <w:r>
              <w:rPr>
                <w:rFonts w:ascii="Calibri" w:hAnsi="Calibri"/>
                <w:b w:val="0"/>
                <w:i w:val="0"/>
                <w:color w:val="212121"/>
                <w:sz w:val="19"/>
              </w:rPr>
              <w:t>Repeated vomiting after coughing fits and reduced intake during paroxysmal illness cause dehydration, weight loss and electrolyte disturbance, especially in small infants.</w:t>
            </w:r>
          </w:p>
          <w:p>
            <w:pPr>
              <w:spacing w:after="40" w:before="60" w:line="259" w:lineRule="auto"/>
            </w:pPr>
            <w:r>
              <w:rPr>
                <w:rFonts w:ascii="Calibri" w:hAnsi="Calibri"/>
                <w:b w:val="0"/>
                <w:i w:val="0"/>
                <w:color w:val="212121"/>
                <w:sz w:val="19"/>
              </w:rPr>
              <w:t>Post-tussive vomiting is a core feature of the paroxysmal stage and, with poor feeding, drives dehydration and weight loss requiring nutritional support.</w:t>
            </w:r>
          </w:p>
          <w:p>
            <w:pPr>
              <w:spacing w:after="40" w:line="252" w:lineRule="auto"/>
            </w:pPr>
            <w:hyperlink r:id="rId9">
              <w:r>
                <w:rPr>
                  <w:rFonts w:ascii="Calibri" w:hAnsi="Calibri" w:cs="Calibri"/>
                  <w:sz w:val="18"/>
                  <w:color w:val="1155CC"/>
                  <w:u w:val="single"/>
                </w:rPr>
                <w:t xml:space="preserve">cdc.gov — pertussis clinical features</w:t>
              </w:r>
            </w:hyperlink>
          </w:p>
          <w:p>
            <w:pPr>
              <w:spacing w:before="60" w:after="40"/>
            </w:pPr>
            <w:r>
              <w:rPr>
                <w:rFonts w:ascii="Calibri" w:hAnsi="Calibri"/>
                <w:b w:val="0"/>
                <w:i w:val="0"/>
                <w:color w:val="5A5A5A"/>
                <w:sz w:val="18"/>
              </w:rPr>
              <w:t>#dehydration  #posttussivevomiting  #weightloss  #feeding</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Heritable predisposition</w:t>
            </w:r>
          </w:p>
        </w:tc>
        <w:tc>
          <w:tcPr>
            <w:tcW w:type="dxa" w:w="2160"/>
            <w:vAlign w:val="top"/>
          </w:tcPr>
          <w:p>
            <w:pPr>
              <w:spacing w:after="40" w:before="0" w:line="259" w:lineRule="auto"/>
            </w:pPr>
            <w:r>
              <w:rPr>
                <w:rFonts w:ascii="Calibri" w:hAnsi="Calibri"/>
                <w:b w:val="0"/>
                <w:i w:val="0"/>
                <w:color w:val="212121"/>
                <w:sz w:val="19"/>
              </w:rPr>
              <w:t>No strong hereditary predisposition; host immune competence matters</w:t>
            </w:r>
          </w:p>
        </w:tc>
        <w:tc>
          <w:tcPr>
            <w:tcW w:type="dxa" w:w="4276"/>
            <w:vAlign w:val="top"/>
          </w:tcPr>
          <w:p>
            <w:pPr>
              <w:spacing w:after="60" w:line="259" w:lineRule="auto"/>
            </w:pPr>
            <w:r>
              <w:rPr>
                <w:rFonts w:ascii="Calibri" w:hAnsi="Calibri"/>
                <w:b w:val="0"/>
                <w:i w:val="0"/>
                <w:color w:val="212121"/>
                <w:sz w:val="19"/>
              </w:rPr>
              <w:t>Susceptibility is determined chiefly by immunisation status, age and immune competence rather than by inherited genes; however, inborn errors of immunity blunt the response to both infection and vaccine.</w:t>
            </w:r>
          </w:p>
          <w:p>
            <w:pPr>
              <w:spacing w:after="40" w:before="60" w:line="259" w:lineRule="auto"/>
            </w:pPr>
            <w:r>
              <w:rPr>
                <w:rFonts w:ascii="Calibri" w:hAnsi="Calibri"/>
                <w:b w:val="0"/>
                <w:i w:val="0"/>
                <w:color w:val="212121"/>
                <w:sz w:val="19"/>
              </w:rPr>
              <w:t>There is no established single-gene inheritance for pertussis susceptibility; risk is dominated by vaccination status and age.</w:t>
            </w:r>
          </w:p>
          <w:p>
            <w:pPr>
              <w:spacing w:before="60" w:after="40"/>
            </w:pPr>
            <w:r>
              <w:rPr>
                <w:rFonts w:ascii="Calibri" w:hAnsi="Calibri"/>
                <w:b w:val="0"/>
                <w:i w:val="0"/>
                <w:color w:val="5A5A5A"/>
                <w:sz w:val="18"/>
              </w:rPr>
              <w:t>#hostimmunity  #nofamilialpattern  #immunocompetence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Primary immunodeficiency</w:t>
            </w:r>
          </w:p>
        </w:tc>
        <w:tc>
          <w:tcPr>
            <w:tcW w:type="dxa" w:w="2160"/>
            <w:vAlign w:val="top"/>
          </w:tcPr>
          <w:p>
            <w:pPr>
              <w:spacing w:after="40" w:before="0" w:line="259" w:lineRule="auto"/>
            </w:pPr>
            <w:r>
              <w:rPr>
                <w:rFonts w:ascii="Calibri" w:hAnsi="Calibri"/>
                <w:b w:val="0"/>
                <w:i w:val="0"/>
                <w:color w:val="212121"/>
                <w:sz w:val="19"/>
              </w:rPr>
              <w:t>Children with inborn errors of immunity</w:t>
            </w:r>
          </w:p>
        </w:tc>
        <w:tc>
          <w:tcPr>
            <w:tcW w:type="dxa" w:w="4276"/>
            <w:vAlign w:val="top"/>
          </w:tcPr>
          <w:p>
            <w:pPr>
              <w:spacing w:after="60" w:line="259" w:lineRule="auto"/>
            </w:pPr>
            <w:r>
              <w:rPr>
                <w:rFonts w:ascii="Calibri" w:hAnsi="Calibri"/>
                <w:b w:val="0"/>
                <w:i w:val="0"/>
                <w:color w:val="212121"/>
                <w:sz w:val="19"/>
              </w:rPr>
              <w:t>Genetic immune defects impair antibody and cellular responses, predisposing to severe, prolonged or atypical pertussis and to poorer vaccine protection.</w:t>
            </w:r>
          </w:p>
          <w:p>
            <w:pPr>
              <w:spacing w:after="40" w:before="60" w:line="259" w:lineRule="auto"/>
            </w:pPr>
            <w:r>
              <w:rPr>
                <w:rFonts w:ascii="Calibri" w:hAnsi="Calibri"/>
                <w:b w:val="0"/>
                <w:i w:val="0"/>
                <w:color w:val="212121"/>
                <w:sz w:val="19"/>
              </w:rPr>
              <w:t>Immunocompromising conditions increase the risk of severe pertussis infection.</w:t>
            </w:r>
          </w:p>
          <w:p>
            <w:pPr>
              <w:spacing w:after="40" w:line="252" w:lineRule="auto"/>
            </w:pPr>
            <w:hyperlink r:id="rId14">
              <w:r>
                <w:rPr>
                  <w:rFonts w:ascii="Calibri" w:hAnsi="Calibri" w:cs="Calibri"/>
                  <w:sz w:val="18"/>
                  <w:color w:val="1155CC"/>
                  <w:u w:val="single"/>
                </w:rPr>
                <w:t xml:space="preserve">cdc.gov — about whooping cough</w:t>
              </w:r>
            </w:hyperlink>
          </w:p>
          <w:p>
            <w:pPr>
              <w:spacing w:before="60" w:after="40"/>
            </w:pPr>
            <w:r>
              <w:rPr>
                <w:rFonts w:ascii="Calibri" w:hAnsi="Calibri"/>
                <w:b w:val="0"/>
                <w:i w:val="0"/>
                <w:color w:val="5A5A5A"/>
                <w:sz w:val="18"/>
              </w:rPr>
              <w:t>#immunodeficiency  #IEI  #severedisease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Immunisation status</w:t>
            </w:r>
          </w:p>
        </w:tc>
        <w:tc>
          <w:tcPr>
            <w:tcW w:type="dxa" w:w="2160"/>
            <w:vAlign w:val="top"/>
          </w:tcPr>
          <w:p>
            <w:pPr>
              <w:spacing w:after="40" w:before="0" w:line="259" w:lineRule="auto"/>
            </w:pPr>
            <w:r>
              <w:rPr>
                <w:rFonts w:ascii="Calibri" w:hAnsi="Calibri"/>
                <w:b w:val="0"/>
                <w:i w:val="0"/>
                <w:color w:val="212121"/>
                <w:sz w:val="19"/>
              </w:rPr>
              <w:t>Unvaccinated / incompletely vaccinated infants &amp; children</w:t>
            </w:r>
          </w:p>
        </w:tc>
        <w:tc>
          <w:tcPr>
            <w:tcW w:type="dxa" w:w="4276"/>
            <w:vAlign w:val="top"/>
          </w:tcPr>
          <w:p>
            <w:pPr>
              <w:spacing w:after="60" w:line="259" w:lineRule="auto"/>
            </w:pPr>
            <w:r>
              <w:rPr>
                <w:rFonts w:ascii="Calibri" w:hAnsi="Calibri"/>
                <w:b w:val="0"/>
                <w:i w:val="0"/>
                <w:color w:val="212121"/>
                <w:sz w:val="19"/>
              </w:rPr>
              <w:t>The single strongest determinant of who develops pertussis and who develops severe disease is the absence of an age-appropriate primary DTP series and boosters.</w:t>
            </w:r>
          </w:p>
          <w:p>
            <w:pPr>
              <w:spacing w:after="40" w:before="60" w:line="259" w:lineRule="auto"/>
            </w:pPr>
            <w:r>
              <w:rPr>
                <w:rFonts w:ascii="Calibri" w:hAnsi="Calibri"/>
                <w:b w:val="0"/>
                <w:i w:val="0"/>
                <w:color w:val="212121"/>
                <w:sz w:val="19"/>
              </w:rPr>
              <w:t>Infants are protected only after the primary DTP series; India remains among the ten countries with the most under- and un-vaccinated children.</w:t>
            </w:r>
          </w:p>
          <w:p>
            <w:pPr>
              <w:spacing w:after="40" w:line="252" w:lineRule="auto"/>
            </w:pPr>
            <w:hyperlink r:id="rId11">
              <w:r>
                <w:rPr>
                  <w:rFonts w:ascii="Calibri" w:hAnsi="Calibri" w:cs="Calibri"/>
                  <w:sz w:val="18"/>
                  <w:color w:val="1155CC"/>
                  <w:u w:val="single"/>
                </w:rPr>
                <w:t xml:space="preserve">who.int — immunization coverage</w:t>
              </w:r>
            </w:hyperlink>
          </w:p>
          <w:p>
            <w:pPr>
              <w:spacing w:before="60" w:after="40"/>
            </w:pPr>
            <w:r>
              <w:rPr>
                <w:rFonts w:ascii="Calibri" w:hAnsi="Calibri"/>
                <w:b w:val="0"/>
                <w:i w:val="0"/>
                <w:color w:val="5A5A5A"/>
                <w:sz w:val="18"/>
              </w:rPr>
              <w:t>#unvaccinated  #DTP  #UIP  #missedvaccine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Prematurity</w:t>
            </w:r>
          </w:p>
        </w:tc>
        <w:tc>
          <w:tcPr>
            <w:tcW w:type="dxa" w:w="2160"/>
            <w:vAlign w:val="top"/>
          </w:tcPr>
          <w:p>
            <w:pPr>
              <w:spacing w:after="40" w:before="0" w:line="259" w:lineRule="auto"/>
            </w:pPr>
            <w:r>
              <w:rPr>
                <w:rFonts w:ascii="Calibri" w:hAnsi="Calibri"/>
                <w:b w:val="0"/>
                <w:i w:val="0"/>
                <w:color w:val="212121"/>
                <w:sz w:val="19"/>
              </w:rPr>
              <w:t>Preterm &amp; low-birth-weight infants</w:t>
            </w:r>
          </w:p>
        </w:tc>
        <w:tc>
          <w:tcPr>
            <w:tcW w:type="dxa" w:w="4276"/>
            <w:vAlign w:val="top"/>
          </w:tcPr>
          <w:p>
            <w:pPr>
              <w:spacing w:after="60" w:line="259" w:lineRule="auto"/>
            </w:pPr>
            <w:r>
              <w:rPr>
                <w:rFonts w:ascii="Calibri" w:hAnsi="Calibri"/>
                <w:b w:val="0"/>
                <w:i w:val="0"/>
                <w:color w:val="212121"/>
                <w:sz w:val="19"/>
              </w:rPr>
              <w:t>Preterm infants receive less transplacental antibody, have smaller airways and reduced respiratory reserve, so they are especially prone to apnoea, hypoxia and severe pertussis.</w:t>
            </w:r>
          </w:p>
          <w:p>
            <w:pPr>
              <w:spacing w:after="40" w:before="60" w:line="259" w:lineRule="auto"/>
            </w:pPr>
            <w:r>
              <w:rPr>
                <w:rFonts w:ascii="Calibri" w:hAnsi="Calibri"/>
                <w:b w:val="0"/>
                <w:i w:val="0"/>
                <w:color w:val="212121"/>
                <w:sz w:val="19"/>
              </w:rPr>
              <w:t>Prematurity and very young age are consistently linked to the most severe, hospitalised and fatal infant pertussis.</w:t>
            </w:r>
          </w:p>
          <w:p>
            <w:pPr>
              <w:spacing w:after="40" w:line="252" w:lineRule="auto"/>
            </w:pPr>
            <w:hyperlink r:id="rId15">
              <w:r>
                <w:rPr>
                  <w:rFonts w:ascii="Calibri" w:hAnsi="Calibri" w:cs="Calibri"/>
                  <w:sz w:val="18"/>
                  <w:color w:val="1155CC"/>
                  <w:u w:val="single"/>
                </w:rPr>
                <w:t xml:space="preserve">ncbi.nlm.nih.gov — StatPearls: Pertussis</w:t>
              </w:r>
            </w:hyperlink>
          </w:p>
          <w:p>
            <w:pPr>
              <w:spacing w:before="60" w:after="40"/>
            </w:pPr>
            <w:r>
              <w:rPr>
                <w:rFonts w:ascii="Calibri" w:hAnsi="Calibri"/>
                <w:b w:val="0"/>
                <w:i w:val="0"/>
                <w:color w:val="5A5A5A"/>
                <w:sz w:val="18"/>
              </w:rPr>
              <w:t>#preterm  #apnoea  #NICU  #hypoxia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cardiorespiratory disease</w:t>
            </w:r>
          </w:p>
        </w:tc>
        <w:tc>
          <w:tcPr>
            <w:tcW w:type="dxa" w:w="2160"/>
            <w:vAlign w:val="top"/>
          </w:tcPr>
          <w:p>
            <w:pPr>
              <w:spacing w:after="40" w:before="0" w:line="259" w:lineRule="auto"/>
            </w:pPr>
            <w:r>
              <w:rPr>
                <w:rFonts w:ascii="Calibri" w:hAnsi="Calibri"/>
                <w:b w:val="0"/>
                <w:i w:val="0"/>
                <w:color w:val="212121"/>
                <w:sz w:val="19"/>
              </w:rPr>
              <w:t>Congenital heart disease, chronic lung disease, moderate–severe asthma</w:t>
            </w:r>
          </w:p>
        </w:tc>
        <w:tc>
          <w:tcPr>
            <w:tcW w:type="dxa" w:w="4276"/>
            <w:vAlign w:val="top"/>
          </w:tcPr>
          <w:p>
            <w:pPr>
              <w:spacing w:after="60" w:line="259" w:lineRule="auto"/>
            </w:pPr>
            <w:r>
              <w:rPr>
                <w:rFonts w:ascii="Calibri" w:hAnsi="Calibri"/>
                <w:b w:val="0"/>
                <w:i w:val="0"/>
                <w:color w:val="212121"/>
                <w:sz w:val="19"/>
              </w:rPr>
              <w:t>Underlying cardiopulmonary disease reduces the reserve to withstand paroxysms and hypoxia, so pertussis is more likely to precipitate respiratory failure or decompensation.</w:t>
            </w:r>
          </w:p>
          <w:p>
            <w:pPr>
              <w:spacing w:after="40" w:before="60" w:line="259" w:lineRule="auto"/>
            </w:pPr>
            <w:r>
              <w:rPr>
                <w:rFonts w:ascii="Calibri" w:hAnsi="Calibri"/>
                <w:b w:val="0"/>
                <w:i w:val="0"/>
                <w:color w:val="212121"/>
                <w:sz w:val="19"/>
              </w:rPr>
              <w:t>People with moderate-to-severe asthma or other chronic cardiopulmonary conditions are at increased risk of severe pertussis infection.</w:t>
            </w:r>
          </w:p>
          <w:p>
            <w:pPr>
              <w:spacing w:after="40" w:line="252" w:lineRule="auto"/>
            </w:pPr>
            <w:hyperlink r:id="rId14">
              <w:r>
                <w:rPr>
                  <w:rFonts w:ascii="Calibri" w:hAnsi="Calibri" w:cs="Calibri"/>
                  <w:sz w:val="18"/>
                  <w:color w:val="1155CC"/>
                  <w:u w:val="single"/>
                </w:rPr>
                <w:t xml:space="preserve">cdc.gov — about whooping cough</w:t>
              </w:r>
            </w:hyperlink>
          </w:p>
          <w:p>
            <w:pPr>
              <w:spacing w:before="60" w:after="40"/>
            </w:pPr>
            <w:r>
              <w:rPr>
                <w:rFonts w:ascii="Calibri" w:hAnsi="Calibri"/>
                <w:b w:val="0"/>
                <w:i w:val="0"/>
                <w:color w:val="5A5A5A"/>
                <w:sz w:val="18"/>
              </w:rPr>
              <w:t>#asthma  #CHD  #chroniclung  #respiratoryreserve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malignancy, immunosuppressive therapy</w:t>
            </w:r>
          </w:p>
        </w:tc>
        <w:tc>
          <w:tcPr>
            <w:tcW w:type="dxa" w:w="4276"/>
            <w:vAlign w:val="top"/>
          </w:tcPr>
          <w:p>
            <w:pPr>
              <w:spacing w:after="60" w:line="259" w:lineRule="auto"/>
            </w:pPr>
            <w:r>
              <w:rPr>
                <w:rFonts w:ascii="Calibri" w:hAnsi="Calibri"/>
                <w:b w:val="0"/>
                <w:i w:val="0"/>
                <w:color w:val="212121"/>
                <w:sz w:val="19"/>
              </w:rPr>
              <w:t>Acquired immunosuppression impairs clearance of B. pertussis and blunts vaccine responses, predisposing to prolonged, severe or atypical disease and complicating management.</w:t>
            </w:r>
          </w:p>
          <w:p>
            <w:pPr>
              <w:spacing w:after="40" w:before="60" w:line="259" w:lineRule="auto"/>
            </w:pPr>
            <w:r>
              <w:rPr>
                <w:rFonts w:ascii="Calibri" w:hAnsi="Calibri"/>
                <w:b w:val="0"/>
                <w:i w:val="0"/>
                <w:color w:val="212121"/>
                <w:sz w:val="19"/>
              </w:rPr>
              <w:t>Immunocompromising conditions are associated with more severe pertussis infection.</w:t>
            </w:r>
          </w:p>
          <w:p>
            <w:pPr>
              <w:spacing w:after="40" w:line="252" w:lineRule="auto"/>
            </w:pPr>
            <w:hyperlink r:id="rId14">
              <w:r>
                <w:rPr>
                  <w:rFonts w:ascii="Calibri" w:hAnsi="Calibri" w:cs="Calibri"/>
                  <w:sz w:val="18"/>
                  <w:color w:val="1155CC"/>
                  <w:u w:val="single"/>
                </w:rPr>
                <w:t xml:space="preserve">cdc.gov — about whooping cough</w:t>
              </w:r>
            </w:hyperlink>
          </w:p>
          <w:p>
            <w:pPr>
              <w:spacing w:before="60" w:after="40"/>
            </w:pPr>
            <w:r>
              <w:rPr>
                <w:rFonts w:ascii="Calibri" w:hAnsi="Calibri"/>
                <w:b w:val="0"/>
                <w:i w:val="0"/>
                <w:color w:val="5A5A5A"/>
                <w:sz w:val="18"/>
              </w:rPr>
              <w:t>#HIV  #immunosuppression  #prolongedcough  #atypical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 (esp. third trimester)</w:t>
            </w:r>
          </w:p>
        </w:tc>
        <w:tc>
          <w:tcPr>
            <w:tcW w:type="dxa" w:w="4276"/>
            <w:vAlign w:val="top"/>
          </w:tcPr>
          <w:p>
            <w:pPr>
              <w:spacing w:after="60" w:line="259" w:lineRule="auto"/>
            </w:pPr>
            <w:r>
              <w:rPr>
                <w:rFonts w:ascii="Calibri" w:hAnsi="Calibri"/>
                <w:b w:val="0"/>
                <w:i w:val="0"/>
                <w:color w:val="212121"/>
                <w:sz w:val="19"/>
              </w:rPr>
              <w:t>Pregnant women can acquire and transmit pertussis to the newborn; the third trimester is also the window for maternal Tdap, which transfers protective antibody to the infant.</w:t>
            </w:r>
          </w:p>
          <w:p>
            <w:pPr>
              <w:spacing w:after="40" w:before="60" w:line="259" w:lineRule="auto"/>
            </w:pPr>
            <w:r>
              <w:rPr>
                <w:rFonts w:ascii="Calibri" w:hAnsi="Calibri"/>
                <w:b w:val="0"/>
                <w:i w:val="0"/>
                <w:color w:val="212121"/>
                <w:sz w:val="19"/>
              </w:rPr>
              <w:t>Maternal vaccination at 27–36 weeks provides transplacental antibody and reduces infant hospitalisation by &gt; 90% and infant death by ~95% in early life.</w:t>
            </w:r>
          </w:p>
          <w:p>
            <w:pPr>
              <w:spacing w:after="40" w:line="252" w:lineRule="auto"/>
            </w:pPr>
            <w:hyperlink r:id="rId15">
              <w:r>
                <w:rPr>
                  <w:rFonts w:ascii="Calibri" w:hAnsi="Calibri" w:cs="Calibri"/>
                  <w:sz w:val="18"/>
                  <w:color w:val="1155CC"/>
                  <w:u w:val="single"/>
                </w:rPr>
                <w:t xml:space="preserve">ncbi.nlm.nih.gov — StatPearls: Pertussis</w:t>
              </w:r>
            </w:hyperlink>
          </w:p>
          <w:p>
            <w:pPr>
              <w:spacing w:before="60" w:after="40"/>
            </w:pPr>
            <w:r>
              <w:rPr>
                <w:rFonts w:ascii="Calibri" w:hAnsi="Calibri"/>
                <w:b w:val="0"/>
                <w:i w:val="0"/>
                <w:color w:val="5A5A5A"/>
                <w:sz w:val="18"/>
              </w:rPr>
              <w:t>#pregnancy  #maternalTdap  #transplacental  #newbornprotection</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is not a determinant of acquiring pertussis, but exertion and hyperventilation can trigger coughing paroxysms during illness, and crowded activity settings raise droplet exposure.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Nutrition does not cause pertussis, but malnutrition and low birth weight worsen severity, while post-tussive vomiting and poor feeding during paroxysms cause weight loss and dehydration; exclusive breastfeeding is protective for infants.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Paroxysms are typically worse at night and fragment sleep for the child and family; exhaustion follows coughing fits, though sleep itself does not alter susceptibility.</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Household and maternal tobacco smoke impair airway defences and are associated with more frequent and more severe infant respiratory infection, including pertussis; active smoking may worsen adult disease.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direct role in pertussis risk; heavy use may blunt immune responses in adults and impair a caregiver’s ability to monitor an infant for night-time apnoea.</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Prolonged coughing, sleepless nights and fear of infant apnoea cause significant caregiver stress and anxiety; mental state does not affect susceptibility but affects coping and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does not prevent infection but is important during the paroxysmal stage to offset losses from post-tussive vomiting and reduced intake.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role in pertussis susceptibility or clinical course.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Respiratory and hand hygiene, cough etiquette, early isolation and droplet precautions (patients are non-infectious after 5 days of appropriate macrolide) are central to limiting person-to-person spread.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Coughing paroxysms are commonly provoked by crying, feeding, swallowing, cold air, physical exertion, yawning or laughing, especially in infants.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Primary DTP doses completed by 14 weeks</w:t>
            </w:r>
          </w:p>
        </w:tc>
        <w:tc>
          <w:tcPr>
            <w:tcW w:type="dxa" w:w="1655"/>
            <w:vAlign w:val="top"/>
          </w:tcPr>
          <w:p>
            <w:pPr>
              <w:spacing w:after="40" w:before="0" w:line="259" w:lineRule="auto"/>
            </w:pPr>
            <w:r>
              <w:rPr>
                <w:rFonts w:ascii="Calibri" w:hAnsi="Calibri"/>
                <w:b w:val="0"/>
                <w:i w:val="0"/>
                <w:color w:val="212121"/>
                <w:sz w:val="19"/>
              </w:rPr>
              <w:t>Infants (UIP: 6, 10, 14 weeks)</w:t>
            </w:r>
          </w:p>
        </w:tc>
        <w:tc>
          <w:tcPr>
            <w:tcW w:type="dxa" w:w="1512"/>
            <w:vAlign w:val="top"/>
          </w:tcPr>
          <w:p>
            <w:pPr>
              <w:spacing w:after="40" w:before="0" w:line="259" w:lineRule="auto"/>
            </w:pPr>
            <w:r>
              <w:rPr>
                <w:rFonts w:ascii="Calibri" w:hAnsi="Calibri"/>
                <w:b w:val="0"/>
                <w:i w:val="0"/>
                <w:color w:val="212121"/>
                <w:sz w:val="19"/>
              </w:rPr>
              <w:t>3 doses on schedule</w:t>
            </w:r>
          </w:p>
        </w:tc>
        <w:tc>
          <w:tcPr>
            <w:tcW w:type="dxa" w:w="1512"/>
            <w:vAlign w:val="top"/>
          </w:tcPr>
          <w:p>
            <w:pPr>
              <w:spacing w:after="40" w:before="0" w:line="259" w:lineRule="auto"/>
            </w:pPr>
            <w:r>
              <w:rPr>
                <w:rFonts w:ascii="Calibri" w:hAnsi="Calibri"/>
                <w:b w:val="0"/>
                <w:i w:val="0"/>
                <w:color w:val="212121"/>
                <w:sz w:val="19"/>
              </w:rPr>
              <w:t>&lt; 3 doses / delayed</w:t>
            </w:r>
          </w:p>
        </w:tc>
        <w:tc>
          <w:tcPr>
            <w:tcW w:type="dxa" w:w="1468"/>
            <w:vAlign w:val="top"/>
          </w:tcPr>
          <w:p>
            <w:pPr>
              <w:spacing w:after="60" w:line="259" w:lineRule="auto"/>
            </w:pPr>
            <w:r>
              <w:rPr>
                <w:rFonts w:ascii="Calibri" w:hAnsi="Calibri"/>
                <w:b w:val="0"/>
                <w:i w:val="0"/>
                <w:color w:val="212121"/>
                <w:sz w:val="19"/>
              </w:rPr>
              <w:t>Protection is incomplete until the primary series is finished</w:t>
            </w:r>
          </w:p>
          <w:p>
            <w:pPr>
              <w:spacing w:after="40" w:line="252" w:lineRule="auto"/>
            </w:pPr>
            <w:hyperlink r:id="rId16">
              <w:r>
                <w:rPr>
                  <w:rFonts w:ascii="Calibri" w:hAnsi="Calibri" w:cs="Calibri"/>
                  <w:sz w:val="18"/>
                  <w:color w:val="1155CC"/>
                  <w:u w:val="single"/>
                </w:rPr>
                <w:t xml:space="preserve">https://www.who.int/health-topics/pertussis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Booster doses received</w:t>
            </w:r>
          </w:p>
        </w:tc>
        <w:tc>
          <w:tcPr>
            <w:tcW w:type="dxa" w:w="1655"/>
            <w:vAlign w:val="top"/>
          </w:tcPr>
          <w:p>
            <w:pPr>
              <w:spacing w:after="40" w:before="0" w:line="259" w:lineRule="auto"/>
            </w:pPr>
            <w:r>
              <w:rPr>
                <w:rFonts w:ascii="Calibri" w:hAnsi="Calibri"/>
                <w:b w:val="0"/>
                <w:i w:val="0"/>
                <w:color w:val="212121"/>
                <w:sz w:val="19"/>
              </w:rPr>
              <w:t>Toddlers &amp; children (2nd year; 5–6 yr)</w:t>
            </w:r>
          </w:p>
        </w:tc>
        <w:tc>
          <w:tcPr>
            <w:tcW w:type="dxa" w:w="1512"/>
            <w:vAlign w:val="top"/>
          </w:tcPr>
          <w:p>
            <w:pPr>
              <w:spacing w:after="40" w:before="0" w:line="259" w:lineRule="auto"/>
            </w:pPr>
            <w:r>
              <w:rPr>
                <w:rFonts w:ascii="Calibri" w:hAnsi="Calibri"/>
                <w:b w:val="0"/>
                <w:i w:val="0"/>
                <w:color w:val="212121"/>
                <w:sz w:val="19"/>
              </w:rPr>
              <w:t>Age-appropriate boosters given</w:t>
            </w:r>
          </w:p>
        </w:tc>
        <w:tc>
          <w:tcPr>
            <w:tcW w:type="dxa" w:w="1512"/>
            <w:vAlign w:val="top"/>
          </w:tcPr>
          <w:p>
            <w:pPr>
              <w:spacing w:after="40" w:before="0" w:line="259" w:lineRule="auto"/>
            </w:pPr>
            <w:r>
              <w:rPr>
                <w:rFonts w:ascii="Calibri" w:hAnsi="Calibri"/>
                <w:b w:val="0"/>
                <w:i w:val="0"/>
                <w:color w:val="212121"/>
                <w:sz w:val="19"/>
              </w:rPr>
              <w:t>Boosters missed</w:t>
            </w:r>
          </w:p>
        </w:tc>
        <w:tc>
          <w:tcPr>
            <w:tcW w:type="dxa" w:w="1468"/>
            <w:vAlign w:val="top"/>
          </w:tcPr>
          <w:p>
            <w:pPr>
              <w:spacing w:after="60" w:line="259" w:lineRule="auto"/>
            </w:pPr>
            <w:r>
              <w:rPr>
                <w:rFonts w:ascii="Calibri" w:hAnsi="Calibri"/>
                <w:b w:val="0"/>
                <w:i w:val="0"/>
                <w:color w:val="212121"/>
                <w:sz w:val="19"/>
              </w:rPr>
              <w:t>Boosters counter waning immunity</w:t>
            </w:r>
          </w:p>
          <w:p>
            <w:pPr>
              <w:spacing w:after="40" w:line="252" w:lineRule="auto"/>
            </w:pPr>
            <w:hyperlink r:id="rId16">
              <w:r>
                <w:rPr>
                  <w:rFonts w:ascii="Calibri" w:hAnsi="Calibri" w:cs="Calibri"/>
                  <w:sz w:val="18"/>
                  <w:color w:val="1155CC"/>
                  <w:u w:val="single"/>
                </w:rPr>
                <w:t xml:space="preserve">https://www.who.int/health-topics/pertussis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Maternal Tdap in pregnancy</w:t>
            </w:r>
          </w:p>
        </w:tc>
        <w:tc>
          <w:tcPr>
            <w:tcW w:type="dxa" w:w="1655"/>
            <w:vAlign w:val="top"/>
          </w:tcPr>
          <w:p>
            <w:pPr>
              <w:spacing w:after="40" w:before="0" w:line="259" w:lineRule="auto"/>
            </w:pPr>
            <w:r>
              <w:rPr>
                <w:rFonts w:ascii="Calibri" w:hAnsi="Calibri"/>
                <w:b w:val="0"/>
                <w:i w:val="0"/>
                <w:color w:val="212121"/>
                <w:sz w:val="19"/>
              </w:rPr>
              <w:t>Pregnant women</w:t>
            </w:r>
          </w:p>
        </w:tc>
        <w:tc>
          <w:tcPr>
            <w:tcW w:type="dxa" w:w="1512"/>
            <w:vAlign w:val="top"/>
          </w:tcPr>
          <w:p>
            <w:pPr>
              <w:spacing w:after="40" w:before="0" w:line="259" w:lineRule="auto"/>
            </w:pPr>
            <w:r>
              <w:rPr>
                <w:rFonts w:ascii="Calibri" w:hAnsi="Calibri"/>
                <w:b w:val="0"/>
                <w:i w:val="0"/>
                <w:color w:val="212121"/>
                <w:sz w:val="19"/>
              </w:rPr>
              <w:t>1 dose at 27–36 weeks</w:t>
            </w:r>
          </w:p>
        </w:tc>
        <w:tc>
          <w:tcPr>
            <w:tcW w:type="dxa" w:w="1512"/>
            <w:vAlign w:val="top"/>
          </w:tcPr>
          <w:p>
            <w:pPr>
              <w:spacing w:after="40" w:before="0" w:line="259" w:lineRule="auto"/>
            </w:pPr>
            <w:r>
              <w:rPr>
                <w:rFonts w:ascii="Calibri" w:hAnsi="Calibri"/>
                <w:b w:val="0"/>
                <w:i w:val="0"/>
                <w:color w:val="212121"/>
                <w:sz w:val="19"/>
              </w:rPr>
              <w:t>Not received</w:t>
            </w:r>
          </w:p>
        </w:tc>
        <w:tc>
          <w:tcPr>
            <w:tcW w:type="dxa" w:w="1468"/>
            <w:vAlign w:val="top"/>
          </w:tcPr>
          <w:p>
            <w:pPr>
              <w:spacing w:after="60" w:line="259" w:lineRule="auto"/>
            </w:pPr>
            <w:r>
              <w:rPr>
                <w:rFonts w:ascii="Calibri" w:hAnsi="Calibri"/>
                <w:b w:val="0"/>
                <w:i w:val="0"/>
                <w:color w:val="212121"/>
                <w:sz w:val="19"/>
              </w:rPr>
              <w:t>Transplacental antibody cuts infant hospitalisation &gt; 90%</w:t>
            </w:r>
          </w:p>
          <w:p>
            <w:pPr>
              <w:spacing w:after="40" w:line="252" w:lineRule="auto"/>
            </w:pPr>
            <w:hyperlink r:id="rId15">
              <w:r>
                <w:rPr>
                  <w:rFonts w:ascii="Calibri" w:hAnsi="Calibri" w:cs="Calibri"/>
                  <w:sz w:val="18"/>
                  <w:color w:val="1155CC"/>
                  <w:u w:val="single"/>
                </w:rPr>
                <w:t xml:space="preserve">https://www.ncbi.nlm.nih.gov/books/NBK519008/</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Coughing paroxysms per 24 h</w:t>
            </w:r>
          </w:p>
        </w:tc>
        <w:tc>
          <w:tcPr>
            <w:tcW w:type="dxa" w:w="1655"/>
            <w:vAlign w:val="top"/>
          </w:tcPr>
          <w:p>
            <w:pPr>
              <w:spacing w:after="40" w:before="0" w:line="259" w:lineRule="auto"/>
            </w:pPr>
            <w:r>
              <w:rPr>
                <w:rFonts w:ascii="Calibri" w:hAnsi="Calibri"/>
                <w:b w:val="0"/>
                <w:i w:val="0"/>
                <w:color w:val="212121"/>
                <w:sz w:val="19"/>
              </w:rPr>
              <w:t>Children with pertussis</w:t>
            </w:r>
          </w:p>
        </w:tc>
        <w:tc>
          <w:tcPr>
            <w:tcW w:type="dxa" w:w="1512"/>
            <w:vAlign w:val="top"/>
          </w:tcPr>
          <w:p>
            <w:pPr>
              <w:spacing w:after="40" w:before="0" w:line="259" w:lineRule="auto"/>
            </w:pPr>
            <w:r>
              <w:rPr>
                <w:rFonts w:ascii="Calibri" w:hAnsi="Calibri"/>
                <w:b w:val="0"/>
                <w:i w:val="0"/>
                <w:color w:val="212121"/>
                <w:sz w:val="19"/>
              </w:rPr>
              <w:t>0 (well)</w:t>
            </w:r>
          </w:p>
        </w:tc>
        <w:tc>
          <w:tcPr>
            <w:tcW w:type="dxa" w:w="1512"/>
            <w:vAlign w:val="top"/>
          </w:tcPr>
          <w:p>
            <w:pPr>
              <w:spacing w:after="40" w:before="0" w:line="259" w:lineRule="auto"/>
            </w:pPr>
            <w:r>
              <w:rPr>
                <w:rFonts w:ascii="Calibri" w:hAnsi="Calibri"/>
                <w:b w:val="0"/>
                <w:i w:val="0"/>
                <w:color w:val="212121"/>
                <w:sz w:val="19"/>
              </w:rPr>
              <w:t>Frequent fits (~≥15/24 h at peak)</w:t>
            </w:r>
          </w:p>
        </w:tc>
        <w:tc>
          <w:tcPr>
            <w:tcW w:type="dxa" w:w="1468"/>
            <w:vAlign w:val="top"/>
          </w:tcPr>
          <w:p>
            <w:pPr>
              <w:spacing w:after="60" w:line="259" w:lineRule="auto"/>
            </w:pPr>
            <w:r>
              <w:rPr>
                <w:rFonts w:ascii="Calibri" w:hAnsi="Calibri"/>
                <w:b w:val="0"/>
                <w:i w:val="0"/>
                <w:color w:val="212121"/>
                <w:sz w:val="19"/>
              </w:rPr>
              <w:t>Marks paroxysmal-stage severity</w:t>
            </w:r>
          </w:p>
          <w:p>
            <w:pPr>
              <w:spacing w:after="40" w:line="252" w:lineRule="auto"/>
            </w:pPr>
            <w:hyperlink r:id="rId9">
              <w:r>
                <w:rPr>
                  <w:rFonts w:ascii="Calibri" w:hAnsi="Calibri" w:cs="Calibri"/>
                  <w:sz w:val="18"/>
                  <w:color w:val="1155CC"/>
                  <w:u w:val="single"/>
                </w:rPr>
                <w:t xml:space="preserve">https://www.cdc.gov/pertussis/hcp/clinical-signs/index.html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Duration of paroxysmal cough</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&lt; 2 weeks self-limited URI</w:t>
            </w:r>
          </w:p>
        </w:tc>
        <w:tc>
          <w:tcPr>
            <w:tcW w:type="dxa" w:w="1512"/>
            <w:vAlign w:val="top"/>
          </w:tcPr>
          <w:p>
            <w:pPr>
              <w:spacing w:after="40" w:before="0" w:line="259" w:lineRule="auto"/>
            </w:pPr>
            <w:r>
              <w:rPr>
                <w:rFonts w:ascii="Calibri" w:hAnsi="Calibri"/>
                <w:b w:val="0"/>
                <w:i w:val="0"/>
                <w:color w:val="212121"/>
                <w:sz w:val="19"/>
              </w:rPr>
              <w:t>≥ 2 weeks paroxysmal cough</w:t>
            </w:r>
          </w:p>
        </w:tc>
        <w:tc>
          <w:tcPr>
            <w:tcW w:type="dxa" w:w="1468"/>
            <w:vAlign w:val="top"/>
          </w:tcPr>
          <w:p>
            <w:pPr>
              <w:spacing w:after="60" w:line="259" w:lineRule="auto"/>
            </w:pPr>
            <w:r>
              <w:rPr>
                <w:rFonts w:ascii="Calibri" w:hAnsi="Calibri"/>
                <w:b w:val="0"/>
                <w:i w:val="0"/>
                <w:color w:val="212121"/>
                <w:sz w:val="19"/>
              </w:rPr>
              <w:t>Meets clinical case definition for pertussis</w:t>
            </w:r>
          </w:p>
          <w:p>
            <w:pPr>
              <w:spacing w:after="40" w:line="252" w:lineRule="auto"/>
            </w:pPr>
            <w:hyperlink r:id="rId9">
              <w:r>
                <w:rPr>
                  <w:rFonts w:ascii="Calibri" w:hAnsi="Calibri" w:cs="Calibri"/>
                  <w:sz w:val="18"/>
                  <w:color w:val="1155CC"/>
                  <w:u w:val="single"/>
                </w:rPr>
                <w:t xml:space="preserve">https://www.cdc.gov/pertussis/hcp/clinical-signs/index.html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Apnoea episodes (infant)</w:t>
            </w:r>
          </w:p>
        </w:tc>
        <w:tc>
          <w:tcPr>
            <w:tcW w:type="dxa" w:w="1655"/>
            <w:vAlign w:val="top"/>
          </w:tcPr>
          <w:p>
            <w:pPr>
              <w:spacing w:after="40" w:before="0" w:line="259" w:lineRule="auto"/>
            </w:pPr>
            <w:r>
              <w:rPr>
                <w:rFonts w:ascii="Calibri" w:hAnsi="Calibri"/>
                <w:b w:val="0"/>
                <w:i w:val="0"/>
                <w:color w:val="212121"/>
                <w:sz w:val="19"/>
              </w:rPr>
              <w:t>Infants &lt; 6 months</w:t>
            </w:r>
          </w:p>
        </w:tc>
        <w:tc>
          <w:tcPr>
            <w:tcW w:type="dxa" w:w="1512"/>
            <w:vAlign w:val="top"/>
          </w:tcPr>
          <w:p>
            <w:pPr>
              <w:spacing w:after="40" w:before="0" w:line="259" w:lineRule="auto"/>
            </w:pPr>
            <w:r>
              <w:rPr>
                <w:rFonts w:ascii="Calibri" w:hAnsi="Calibri"/>
                <w:b w:val="0"/>
                <w:i w:val="0"/>
                <w:color w:val="212121"/>
                <w:sz w:val="19"/>
              </w:rPr>
              <w:t>None</w:t>
            </w:r>
          </w:p>
        </w:tc>
        <w:tc>
          <w:tcPr>
            <w:tcW w:type="dxa" w:w="1512"/>
            <w:vAlign w:val="top"/>
          </w:tcPr>
          <w:p>
            <w:pPr>
              <w:spacing w:after="40" w:before="0" w:line="259" w:lineRule="auto"/>
            </w:pPr>
            <w:r>
              <w:rPr>
                <w:rFonts w:ascii="Calibri" w:hAnsi="Calibri"/>
                <w:b w:val="0"/>
                <w:i w:val="0"/>
                <w:color w:val="212121"/>
                <w:sz w:val="19"/>
              </w:rPr>
              <w:t>Any apnoea/cyanosis</w:t>
            </w:r>
          </w:p>
        </w:tc>
        <w:tc>
          <w:tcPr>
            <w:tcW w:type="dxa" w:w="1468"/>
            <w:vAlign w:val="top"/>
          </w:tcPr>
          <w:p>
            <w:pPr>
              <w:spacing w:after="60" w:line="259" w:lineRule="auto"/>
            </w:pPr>
            <w:r>
              <w:rPr>
                <w:rFonts w:ascii="Calibri" w:hAnsi="Calibri"/>
                <w:b w:val="0"/>
                <w:i w:val="0"/>
                <w:color w:val="212121"/>
                <w:sz w:val="19"/>
              </w:rPr>
              <w:t>Red flag — admit and monitor</w:t>
            </w:r>
          </w:p>
          <w:p>
            <w:pPr>
              <w:spacing w:after="40" w:line="252" w:lineRule="auto"/>
            </w:pPr>
            <w:hyperlink r:id="rId9">
              <w:r>
                <w:rPr>
                  <w:rFonts w:ascii="Calibri" w:hAnsi="Calibri" w:cs="Calibri"/>
                  <w:sz w:val="18"/>
                  <w:color w:val="1155CC"/>
                  <w:u w:val="single"/>
                </w:rPr>
                <w:t xml:space="preserve">https://www.cdc.gov/pertussis/hcp/clinical-signs/index.html</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Peripheral oxygen saturation (SpO2) during paroxysm</w:t>
            </w:r>
          </w:p>
        </w:tc>
        <w:tc>
          <w:tcPr>
            <w:tcW w:type="dxa" w:w="1655"/>
            <w:vAlign w:val="top"/>
          </w:tcPr>
          <w:p>
            <w:pPr>
              <w:spacing w:after="40" w:before="0" w:line="259" w:lineRule="auto"/>
            </w:pPr>
            <w:r>
              <w:rPr>
                <w:rFonts w:ascii="Calibri" w:hAnsi="Calibri"/>
                <w:b w:val="0"/>
                <w:i w:val="0"/>
                <w:color w:val="212121"/>
                <w:sz w:val="19"/>
              </w:rPr>
              <w:t>Infants/children</w:t>
            </w:r>
          </w:p>
        </w:tc>
        <w:tc>
          <w:tcPr>
            <w:tcW w:type="dxa" w:w="1512"/>
            <w:vAlign w:val="top"/>
          </w:tcPr>
          <w:p>
            <w:pPr>
              <w:spacing w:after="40" w:before="0" w:line="259" w:lineRule="auto"/>
            </w:pPr>
            <w:r>
              <w:rPr>
                <w:rFonts w:ascii="Calibri" w:hAnsi="Calibri"/>
                <w:b w:val="0"/>
                <w:i w:val="0"/>
                <w:color w:val="212121"/>
                <w:sz w:val="19"/>
              </w:rPr>
              <w:t>≥ 94% on room air</w:t>
            </w:r>
          </w:p>
        </w:tc>
        <w:tc>
          <w:tcPr>
            <w:tcW w:type="dxa" w:w="1512"/>
            <w:vAlign w:val="top"/>
          </w:tcPr>
          <w:p>
            <w:pPr>
              <w:spacing w:after="40" w:before="0" w:line="259" w:lineRule="auto"/>
            </w:pPr>
            <w:r>
              <w:rPr>
                <w:rFonts w:ascii="Calibri" w:hAnsi="Calibri"/>
                <w:b w:val="0"/>
                <w:i w:val="0"/>
                <w:color w:val="212121"/>
                <w:sz w:val="19"/>
              </w:rPr>
              <w:t>&lt; 92% or cyanosis</w:t>
            </w:r>
          </w:p>
        </w:tc>
        <w:tc>
          <w:tcPr>
            <w:tcW w:type="dxa" w:w="1468"/>
            <w:vAlign w:val="top"/>
          </w:tcPr>
          <w:p>
            <w:pPr>
              <w:spacing w:after="60" w:line="259" w:lineRule="auto"/>
            </w:pPr>
            <w:r>
              <w:rPr>
                <w:rFonts w:ascii="Calibri" w:hAnsi="Calibri"/>
                <w:b w:val="0"/>
                <w:i w:val="0"/>
                <w:color w:val="212121"/>
                <w:sz w:val="19"/>
              </w:rPr>
              <w:t>Indicates hypoxia needing oxygen/support</w:t>
            </w:r>
          </w:p>
          <w:p>
            <w:pPr>
              <w:spacing w:after="40" w:line="252" w:lineRule="auto"/>
            </w:pPr>
            <w:hyperlink r:id="rId15">
              <w:r>
                <w:rPr>
                  <w:rFonts w:ascii="Calibri" w:hAnsi="Calibri" w:cs="Calibri"/>
                  <w:sz w:val="18"/>
                  <w:color w:val="1155CC"/>
                  <w:u w:val="single"/>
                </w:rPr>
                <w:t xml:space="preserve">https://www.ncbi.nlm.nih.gov/books/NBK519008/</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WBC / lymphocyte count</w:t>
            </w:r>
          </w:p>
        </w:tc>
        <w:tc>
          <w:tcPr>
            <w:tcW w:type="dxa" w:w="1655"/>
            <w:vAlign w:val="top"/>
          </w:tcPr>
          <w:p>
            <w:pPr>
              <w:spacing w:after="40" w:before="0" w:line="259" w:lineRule="auto"/>
            </w:pPr>
            <w:r>
              <w:rPr>
                <w:rFonts w:ascii="Calibri" w:hAnsi="Calibri"/>
                <w:b w:val="0"/>
                <w:i w:val="0"/>
                <w:color w:val="212121"/>
                <w:sz w:val="19"/>
              </w:rPr>
              <w:t>Infants &lt; 3 months</w:t>
            </w:r>
          </w:p>
        </w:tc>
        <w:tc>
          <w:tcPr>
            <w:tcW w:type="dxa" w:w="1512"/>
            <w:vAlign w:val="top"/>
          </w:tcPr>
          <w:p>
            <w:pPr>
              <w:spacing w:after="40" w:before="0" w:line="259" w:lineRule="auto"/>
            </w:pPr>
            <w:r>
              <w:rPr>
                <w:rFonts w:ascii="Calibri" w:hAnsi="Calibri"/>
                <w:b w:val="0"/>
                <w:i w:val="0"/>
                <w:color w:val="212121"/>
                <w:sz w:val="19"/>
              </w:rPr>
              <w:t>Age-normal WBC</w:t>
            </w:r>
          </w:p>
        </w:tc>
        <w:tc>
          <w:tcPr>
            <w:tcW w:type="dxa" w:w="1512"/>
            <w:vAlign w:val="top"/>
          </w:tcPr>
          <w:p>
            <w:pPr>
              <w:spacing w:after="40" w:before="0" w:line="259" w:lineRule="auto"/>
            </w:pPr>
            <w:r>
              <w:rPr>
                <w:rFonts w:ascii="Calibri" w:hAnsi="Calibri"/>
                <w:b w:val="0"/>
                <w:i w:val="0"/>
                <w:color w:val="212121"/>
                <w:sz w:val="19"/>
              </w:rPr>
              <w:t>WBC &gt; 20,000/µL with &gt; 50% lymphocytes</w:t>
            </w:r>
          </w:p>
        </w:tc>
        <w:tc>
          <w:tcPr>
            <w:tcW w:type="dxa" w:w="1468"/>
            <w:vAlign w:val="top"/>
          </w:tcPr>
          <w:p>
            <w:pPr>
              <w:spacing w:after="60" w:line="259" w:lineRule="auto"/>
            </w:pPr>
            <w:r>
              <w:rPr>
                <w:rFonts w:ascii="Calibri" w:hAnsi="Calibri"/>
                <w:b w:val="0"/>
                <w:i w:val="0"/>
                <w:color w:val="212121"/>
                <w:sz w:val="19"/>
              </w:rPr>
              <w:t>Extreme leukocytosis (&gt;50,000) linked to pulmonary hypertension and death</w:t>
            </w:r>
          </w:p>
          <w:p>
            <w:pPr>
              <w:spacing w:after="40" w:line="252" w:lineRule="auto"/>
            </w:pPr>
            <w:hyperlink r:id="rId15">
              <w:r>
                <w:rPr>
                  <w:rFonts w:ascii="Calibri" w:hAnsi="Calibri" w:cs="Calibri"/>
                  <w:sz w:val="18"/>
                  <w:color w:val="1155CC"/>
                  <w:u w:val="single"/>
                </w:rPr>
                <w:t xml:space="preserve">https://www.ncbi.nlm.nih.gov/books/NBK519008/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Household tobacco smoke exposure</w:t>
            </w:r>
          </w:p>
        </w:tc>
        <w:tc>
          <w:tcPr>
            <w:tcW w:type="dxa" w:w="1655"/>
            <w:vAlign w:val="top"/>
          </w:tcPr>
          <w:p>
            <w:pPr>
              <w:spacing w:after="40" w:before="0" w:line="259" w:lineRule="auto"/>
            </w:pPr>
            <w:r>
              <w:rPr>
                <w:rFonts w:ascii="Calibri" w:hAnsi="Calibri"/>
                <w:b w:val="0"/>
                <w:i w:val="0"/>
                <w:color w:val="212121"/>
                <w:sz w:val="19"/>
              </w:rPr>
              <w:t>Infants at home</w:t>
            </w:r>
          </w:p>
        </w:tc>
        <w:tc>
          <w:tcPr>
            <w:tcW w:type="dxa" w:w="1512"/>
            <w:vAlign w:val="top"/>
          </w:tcPr>
          <w:p>
            <w:pPr>
              <w:spacing w:after="40" w:before="0" w:line="259" w:lineRule="auto"/>
            </w:pPr>
            <w:r>
              <w:rPr>
                <w:rFonts w:ascii="Calibri" w:hAnsi="Calibri"/>
                <w:b w:val="0"/>
                <w:i w:val="0"/>
                <w:color w:val="212121"/>
                <w:sz w:val="19"/>
              </w:rPr>
              <w:t>0 (smoke-free home)</w:t>
            </w:r>
          </w:p>
        </w:tc>
        <w:tc>
          <w:tcPr>
            <w:tcW w:type="dxa" w:w="1512"/>
            <w:vAlign w:val="top"/>
          </w:tcPr>
          <w:p>
            <w:pPr>
              <w:spacing w:after="40" w:before="0" w:line="259" w:lineRule="auto"/>
            </w:pPr>
            <w:r>
              <w:rPr>
                <w:rFonts w:ascii="Calibri" w:hAnsi="Calibri"/>
                <w:b w:val="0"/>
                <w:i w:val="0"/>
                <w:color w:val="212121"/>
                <w:sz w:val="19"/>
              </w:rPr>
              <w:t>Any indoor smoking</w:t>
            </w:r>
          </w:p>
        </w:tc>
        <w:tc>
          <w:tcPr>
            <w:tcW w:type="dxa" w:w="1468"/>
            <w:vAlign w:val="top"/>
          </w:tcPr>
          <w:p>
            <w:pPr>
              <w:spacing w:after="40" w:before="0" w:line="259" w:lineRule="auto"/>
            </w:pPr>
            <w:r>
              <w:rPr>
                <w:rFonts w:ascii="Calibri" w:hAnsi="Calibri"/>
                <w:b w:val="0"/>
                <w:i w:val="0"/>
                <w:color w:val="212121"/>
                <w:sz w:val="19"/>
              </w:rPr>
              <w:t>Passive smoke worsens infant respiratory infection</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Days of effective macrolide before non-infectious</w:t>
            </w:r>
          </w:p>
        </w:tc>
        <w:tc>
          <w:tcPr>
            <w:tcW w:type="dxa" w:w="1655"/>
            <w:vAlign w:val="top"/>
          </w:tcPr>
          <w:p>
            <w:pPr>
              <w:spacing w:after="40" w:before="0" w:line="259" w:lineRule="auto"/>
            </w:pPr>
            <w:r>
              <w:rPr>
                <w:rFonts w:ascii="Calibri" w:hAnsi="Calibri"/>
                <w:b w:val="0"/>
                <w:i w:val="0"/>
                <w:color w:val="212121"/>
                <w:sz w:val="19"/>
              </w:rPr>
              <w:t>Cases &amp; contacts</w:t>
            </w:r>
          </w:p>
        </w:tc>
        <w:tc>
          <w:tcPr>
            <w:tcW w:type="dxa" w:w="1512"/>
            <w:vAlign w:val="top"/>
          </w:tcPr>
          <w:p>
            <w:pPr>
              <w:spacing w:after="40" w:before="0" w:line="259" w:lineRule="auto"/>
            </w:pPr>
            <w:r>
              <w:rPr>
                <w:rFonts w:ascii="Calibri" w:hAnsi="Calibri"/>
                <w:b w:val="0"/>
                <w:i w:val="0"/>
                <w:color w:val="212121"/>
                <w:sz w:val="19"/>
              </w:rPr>
              <w:t>Isolate until ≥ 5 days completed</w:t>
            </w:r>
          </w:p>
        </w:tc>
        <w:tc>
          <w:tcPr>
            <w:tcW w:type="dxa" w:w="1512"/>
            <w:vAlign w:val="top"/>
          </w:tcPr>
          <w:p>
            <w:pPr>
              <w:spacing w:after="40" w:before="0" w:line="259" w:lineRule="auto"/>
            </w:pPr>
            <w:r>
              <w:rPr>
                <w:rFonts w:ascii="Calibri" w:hAnsi="Calibri"/>
                <w:b w:val="0"/>
                <w:i w:val="0"/>
                <w:color w:val="212121"/>
                <w:sz w:val="19"/>
              </w:rPr>
              <w:t>&lt; 5 days / untreated</w:t>
            </w:r>
          </w:p>
        </w:tc>
        <w:tc>
          <w:tcPr>
            <w:tcW w:type="dxa" w:w="1468"/>
            <w:vAlign w:val="top"/>
          </w:tcPr>
          <w:p>
            <w:pPr>
              <w:spacing w:after="60" w:line="259" w:lineRule="auto"/>
            </w:pPr>
            <w:r>
              <w:rPr>
                <w:rFonts w:ascii="Calibri" w:hAnsi="Calibri"/>
                <w:b w:val="0"/>
                <w:i w:val="0"/>
                <w:color w:val="212121"/>
                <w:sz w:val="19"/>
              </w:rPr>
              <w:t>Untreated cases remain infectious for weeks</w:t>
            </w:r>
          </w:p>
          <w:p>
            <w:pPr>
              <w:spacing w:after="40" w:line="252" w:lineRule="auto"/>
            </w:pPr>
            <w:hyperlink r:id="rId15">
              <w:r>
                <w:rPr>
                  <w:rFonts w:ascii="Calibri" w:hAnsi="Calibri" w:cs="Calibri"/>
                  <w:sz w:val="18"/>
                  <w:color w:val="1155CC"/>
                  <w:u w:val="single"/>
                </w:rPr>
                <w:t xml:space="preserve">https://www.ncbi.nlm.nih.gov/books/NBK519008/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Time from cough onset to antibiotics/PEP</w:t>
            </w:r>
          </w:p>
        </w:tc>
        <w:tc>
          <w:tcPr>
            <w:tcW w:type="dxa" w:w="1655"/>
            <w:vAlign w:val="top"/>
          </w:tcPr>
          <w:p>
            <w:pPr>
              <w:spacing w:after="40" w:before="0" w:line="259" w:lineRule="auto"/>
            </w:pPr>
            <w:r>
              <w:rPr>
                <w:rFonts w:ascii="Calibri" w:hAnsi="Calibri"/>
                <w:b w:val="0"/>
                <w:i w:val="0"/>
                <w:color w:val="212121"/>
                <w:sz w:val="19"/>
              </w:rPr>
              <w:t>Cases &amp; close contacts</w:t>
            </w:r>
          </w:p>
        </w:tc>
        <w:tc>
          <w:tcPr>
            <w:tcW w:type="dxa" w:w="1512"/>
            <w:vAlign w:val="top"/>
          </w:tcPr>
          <w:p>
            <w:pPr>
              <w:spacing w:after="40" w:before="0" w:line="259" w:lineRule="auto"/>
            </w:pPr>
            <w:r>
              <w:rPr>
                <w:rFonts w:ascii="Calibri" w:hAnsi="Calibri"/>
                <w:b w:val="0"/>
                <w:i w:val="0"/>
                <w:color w:val="212121"/>
                <w:sz w:val="19"/>
              </w:rPr>
              <w:t>≤ 21 days</w:t>
            </w:r>
          </w:p>
        </w:tc>
        <w:tc>
          <w:tcPr>
            <w:tcW w:type="dxa" w:w="1512"/>
            <w:vAlign w:val="top"/>
          </w:tcPr>
          <w:p>
            <w:pPr>
              <w:spacing w:after="40" w:before="0" w:line="259" w:lineRule="auto"/>
            </w:pPr>
            <w:r>
              <w:rPr>
                <w:rFonts w:ascii="Calibri" w:hAnsi="Calibri"/>
                <w:b w:val="0"/>
                <w:i w:val="0"/>
                <w:color w:val="212121"/>
                <w:sz w:val="19"/>
              </w:rPr>
              <w:t>&gt; 21 days</w:t>
            </w:r>
          </w:p>
        </w:tc>
        <w:tc>
          <w:tcPr>
            <w:tcW w:type="dxa" w:w="1468"/>
            <w:vAlign w:val="top"/>
          </w:tcPr>
          <w:p>
            <w:pPr>
              <w:spacing w:after="60" w:line="259" w:lineRule="auto"/>
            </w:pPr>
            <w:r>
              <w:rPr>
                <w:rFonts w:ascii="Calibri" w:hAnsi="Calibri"/>
                <w:b w:val="0"/>
                <w:i w:val="0"/>
                <w:color w:val="212121"/>
                <w:sz w:val="19"/>
              </w:rPr>
              <w:t>PEP/treatment most effective within 3 weeks of onset</w:t>
            </w:r>
          </w:p>
          <w:p>
            <w:pPr>
              <w:spacing w:after="40" w:line="252" w:lineRule="auto"/>
            </w:pPr>
            <w:hyperlink r:id="rId15">
              <w:r>
                <w:rPr>
                  <w:rFonts w:ascii="Calibri" w:hAnsi="Calibri" w:cs="Calibri"/>
                  <w:sz w:val="18"/>
                  <w:color w:val="1155CC"/>
                  <w:u w:val="single"/>
                </w:rPr>
                <w:t xml:space="preserve">https://www.ncbi.nlm.nih.gov/books/NBK519008/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B. pertussis PCR (IS481)</w:t>
            </w:r>
          </w:p>
        </w:tc>
        <w:tc>
          <w:tcPr>
            <w:tcW w:type="dxa" w:w="892"/>
            <w:vAlign w:val="top"/>
          </w:tcPr>
          <w:p>
            <w:pPr>
              <w:spacing w:after="40" w:before="0" w:line="259" w:lineRule="auto"/>
            </w:pPr>
            <w:r>
              <w:rPr>
                <w:rFonts w:ascii="Calibri" w:hAnsi="Calibri"/>
                <w:b w:val="0"/>
                <w:i w:val="0"/>
                <w:color w:val="212121"/>
                <w:sz w:val="16"/>
              </w:rPr>
              <w:t>Nasopharyngeal swab/aspirate</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B. pertussis DNA detected</w:t>
            </w:r>
          </w:p>
        </w:tc>
        <w:tc>
          <w:tcPr>
            <w:tcW w:type="dxa" w:w="1036"/>
            <w:vAlign w:val="top"/>
          </w:tcPr>
          <w:p>
            <w:pPr>
              <w:spacing w:after="40" w:before="0" w:line="259" w:lineRule="auto"/>
            </w:pPr>
            <w:r>
              <w:rPr>
                <w:rFonts w:ascii="Calibri" w:hAnsi="Calibri"/>
                <w:b w:val="0"/>
                <w:i w:val="0"/>
                <w:color w:val="212121"/>
                <w:sz w:val="16"/>
              </w:rPr>
              <w:t>Preferred confirmatory test; most sensitive in first 3–4 weeks of cough (sensitivity ~77–97%, specificity ~88–97%)</w:t>
            </w:r>
          </w:p>
        </w:tc>
        <w:tc>
          <w:tcPr>
            <w:tcW w:type="dxa" w:w="1036"/>
            <w:vAlign w:val="top"/>
          </w:tcPr>
          <w:p>
            <w:pPr>
              <w:spacing w:after="40" w:before="0" w:line="259" w:lineRule="auto"/>
            </w:pPr>
            <w:r>
              <w:rPr>
                <w:rFonts w:ascii="Calibri" w:hAnsi="Calibri"/>
                <w:b w:val="0"/>
                <w:i w:val="0"/>
                <w:color w:val="212121"/>
                <w:sz w:val="16"/>
              </w:rPr>
              <w:t>Infants, unvaccinated children, close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Preferred confirmatory</w:t>
            </w:r>
          </w:p>
        </w:tc>
        <w:tc>
          <w:tcPr>
            <w:tcW w:type="dxa" w:w="720"/>
            <w:vAlign w:val="top"/>
          </w:tcPr>
          <w:p>
            <w:pPr>
              <w:spacing w:after="40" w:before="0" w:line="259" w:lineRule="auto"/>
            </w:pPr>
            <w:r>
              <w:rPr>
                <w:rFonts w:ascii="Calibri" w:hAnsi="Calibri"/>
                <w:b w:val="0"/>
                <w:i w:val="0"/>
                <w:color w:val="212121"/>
                <w:sz w:val="16"/>
              </w:rPr>
              <w:t>Collect deep nasopharyngeal specimen; yield falls after ~4 weeks of cough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Culture (Regan-Lowe / Bordet-Gengou)</w:t>
            </w:r>
          </w:p>
        </w:tc>
        <w:tc>
          <w:tcPr>
            <w:tcW w:type="dxa" w:w="892"/>
            <w:vAlign w:val="top"/>
          </w:tcPr>
          <w:p>
            <w:pPr>
              <w:spacing w:after="40" w:before="0" w:line="259" w:lineRule="auto"/>
            </w:pPr>
            <w:r>
              <w:rPr>
                <w:rFonts w:ascii="Calibri" w:hAnsi="Calibri"/>
                <w:b w:val="0"/>
                <w:i w:val="0"/>
                <w:color w:val="212121"/>
                <w:sz w:val="16"/>
              </w:rPr>
              <w:t>Nasopharyngeal specimen</w:t>
            </w:r>
          </w:p>
        </w:tc>
        <w:tc>
          <w:tcPr>
            <w:tcW w:type="dxa" w:w="950"/>
            <w:vAlign w:val="top"/>
          </w:tcPr>
          <w:p>
            <w:pPr>
              <w:spacing w:after="40" w:before="0" w:line="259" w:lineRule="auto"/>
            </w:pPr>
            <w:r>
              <w:rPr>
                <w:rFonts w:ascii="Calibri" w:hAnsi="Calibri"/>
                <w:b w:val="0"/>
                <w:i w:val="0"/>
                <w:color w:val="212121"/>
                <w:sz w:val="16"/>
              </w:rPr>
              <w:t>No growth</w:t>
            </w:r>
          </w:p>
        </w:tc>
        <w:tc>
          <w:tcPr>
            <w:tcW w:type="dxa" w:w="950"/>
            <w:vAlign w:val="top"/>
          </w:tcPr>
          <w:p>
            <w:pPr>
              <w:spacing w:after="40" w:before="0" w:line="259" w:lineRule="auto"/>
            </w:pPr>
            <w:r>
              <w:rPr>
                <w:rFonts w:ascii="Calibri" w:hAnsi="Calibri"/>
                <w:b w:val="0"/>
                <w:i w:val="0"/>
                <w:color w:val="212121"/>
                <w:sz w:val="16"/>
              </w:rPr>
              <w:t>B. pertussis isolated</w:t>
            </w:r>
          </w:p>
        </w:tc>
        <w:tc>
          <w:tcPr>
            <w:tcW w:type="dxa" w:w="1036"/>
            <w:vAlign w:val="top"/>
          </w:tcPr>
          <w:p>
            <w:pPr>
              <w:spacing w:after="40" w:before="0" w:line="259" w:lineRule="auto"/>
            </w:pPr>
            <w:r>
              <w:rPr>
                <w:rFonts w:ascii="Calibri" w:hAnsi="Calibri"/>
                <w:b w:val="0"/>
                <w:i w:val="0"/>
                <w:color w:val="212121"/>
                <w:sz w:val="16"/>
              </w:rPr>
              <w:t>100% specific reference standard; enables antimicrobial-resistance testing</w:t>
            </w:r>
          </w:p>
        </w:tc>
        <w:tc>
          <w:tcPr>
            <w:tcW w:type="dxa" w:w="1036"/>
            <w:vAlign w:val="top"/>
          </w:tcPr>
          <w:p>
            <w:pPr>
              <w:spacing w:after="40" w:before="0" w:line="259" w:lineRule="auto"/>
            </w:pPr>
            <w:r>
              <w:rPr>
                <w:rFonts w:ascii="Calibri" w:hAnsi="Calibri"/>
                <w:b w:val="0"/>
                <w:i w:val="0"/>
                <w:color w:val="212121"/>
                <w:sz w:val="16"/>
              </w:rPr>
              <w:t>Early presenters (≤ 2 weeks cough), outbreak isolates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Reference standard</w:t>
            </w:r>
          </w:p>
        </w:tc>
        <w:tc>
          <w:tcPr>
            <w:tcW w:type="dxa" w:w="720"/>
            <w:vAlign w:val="top"/>
          </w:tcPr>
          <w:p>
            <w:pPr>
              <w:spacing w:after="40" w:before="0" w:line="259" w:lineRule="auto"/>
            </w:pPr>
            <w:r>
              <w:rPr>
                <w:rFonts w:ascii="Calibri" w:hAnsi="Calibri"/>
                <w:b w:val="0"/>
                <w:i w:val="0"/>
                <w:color w:val="212121"/>
                <w:sz w:val="16"/>
              </w:rPr>
              <w:t>Slow (7–10 days) and needs special media; low sensitivity later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Anti-pertussis-toxin (anti-PT) IgG</w:t>
            </w:r>
          </w:p>
        </w:tc>
        <w:tc>
          <w:tcPr>
            <w:tcW w:type="dxa" w:w="892"/>
            <w:vAlign w:val="top"/>
          </w:tcPr>
          <w:p>
            <w:pPr>
              <w:spacing w:after="40" w:before="0" w:line="259" w:lineRule="auto"/>
            </w:pPr>
            <w:r>
              <w:rPr>
                <w:rFonts w:ascii="Calibri" w:hAnsi="Calibri"/>
                <w:b w:val="0"/>
                <w:i w:val="0"/>
                <w:color w:val="212121"/>
                <w:sz w:val="16"/>
              </w:rPr>
              <w:t>Blood sample</w:t>
            </w:r>
          </w:p>
        </w:tc>
        <w:tc>
          <w:tcPr>
            <w:tcW w:type="dxa" w:w="950"/>
            <w:vAlign w:val="top"/>
          </w:tcPr>
          <w:p>
            <w:pPr>
              <w:spacing w:after="40" w:before="0" w:line="259" w:lineRule="auto"/>
            </w:pPr>
            <w:r>
              <w:rPr>
                <w:rFonts w:ascii="Calibri" w:hAnsi="Calibri"/>
                <w:b w:val="0"/>
                <w:i w:val="0"/>
                <w:color w:val="212121"/>
                <w:sz w:val="16"/>
              </w:rPr>
              <w:t>Low / non-diagnostic</w:t>
            </w:r>
          </w:p>
        </w:tc>
        <w:tc>
          <w:tcPr>
            <w:tcW w:type="dxa" w:w="950"/>
            <w:vAlign w:val="top"/>
          </w:tcPr>
          <w:p>
            <w:pPr>
              <w:spacing w:after="40" w:before="0" w:line="259" w:lineRule="auto"/>
            </w:pPr>
            <w:r>
              <w:rPr>
                <w:rFonts w:ascii="Calibri" w:hAnsi="Calibri"/>
                <w:b w:val="0"/>
                <w:i w:val="0"/>
                <w:color w:val="212121"/>
                <w:sz w:val="16"/>
              </w:rPr>
              <w:t>Single high or rising titre</w:t>
            </w:r>
          </w:p>
        </w:tc>
        <w:tc>
          <w:tcPr>
            <w:tcW w:type="dxa" w:w="1036"/>
            <w:vAlign w:val="top"/>
          </w:tcPr>
          <w:p>
            <w:pPr>
              <w:spacing w:after="40" w:before="0" w:line="259" w:lineRule="auto"/>
            </w:pPr>
            <w:r>
              <w:rPr>
                <w:rFonts w:ascii="Calibri" w:hAnsi="Calibri"/>
                <w:b w:val="0"/>
                <w:i w:val="0"/>
                <w:color w:val="212121"/>
                <w:sz w:val="16"/>
              </w:rPr>
              <w:t>Useful ~2–12 weeks after cough onset in older, non-recently-vaccinated patients</w:t>
            </w:r>
          </w:p>
        </w:tc>
        <w:tc>
          <w:tcPr>
            <w:tcW w:type="dxa" w:w="1036"/>
            <w:vAlign w:val="top"/>
          </w:tcPr>
          <w:p>
            <w:pPr>
              <w:spacing w:after="40" w:before="0" w:line="259" w:lineRule="auto"/>
            </w:pPr>
            <w:r>
              <w:rPr>
                <w:rFonts w:ascii="Calibri" w:hAnsi="Calibri"/>
                <w:b w:val="0"/>
                <w:i w:val="0"/>
                <w:color w:val="212121"/>
                <w:sz w:val="16"/>
              </w:rPr>
              <w:t>Adolescents/adults presenting late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Late-phase diagnosis</w:t>
            </w:r>
          </w:p>
        </w:tc>
        <w:tc>
          <w:tcPr>
            <w:tcW w:type="dxa" w:w="720"/>
            <w:vAlign w:val="top"/>
          </w:tcPr>
          <w:p>
            <w:pPr>
              <w:spacing w:after="40" w:before="0" w:line="259" w:lineRule="auto"/>
            </w:pPr>
            <w:r>
              <w:rPr>
                <w:rFonts w:ascii="Calibri" w:hAnsi="Calibri"/>
                <w:b w:val="0"/>
                <w:i w:val="0"/>
                <w:color w:val="212121"/>
                <w:sz w:val="16"/>
              </w:rPr>
              <w:t>Not valid in infants &lt; 6 months or recent vaccinees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with differential</w:t>
            </w:r>
          </w:p>
        </w:tc>
        <w:tc>
          <w:tcPr>
            <w:tcW w:type="dxa" w:w="892"/>
            <w:vAlign w:val="top"/>
          </w:tcPr>
          <w:p>
            <w:pPr>
              <w:spacing w:after="40" w:before="0" w:line="259" w:lineRule="auto"/>
            </w:pPr>
            <w:r>
              <w:rPr>
                <w:rFonts w:ascii="Calibri" w:hAnsi="Calibri"/>
                <w:b w:val="0"/>
                <w:i w:val="0"/>
                <w:color w:val="212121"/>
                <w:sz w:val="16"/>
              </w:rPr>
              <w:t>Blood sample</w:t>
            </w:r>
          </w:p>
        </w:tc>
        <w:tc>
          <w:tcPr>
            <w:tcW w:type="dxa" w:w="950"/>
            <w:vAlign w:val="top"/>
          </w:tcPr>
          <w:p>
            <w:pPr>
              <w:spacing w:after="40" w:before="0" w:line="259" w:lineRule="auto"/>
            </w:pPr>
            <w:r>
              <w:rPr>
                <w:rFonts w:ascii="Calibri" w:hAnsi="Calibri"/>
                <w:b w:val="0"/>
                <w:i w:val="0"/>
                <w:color w:val="212121"/>
                <w:sz w:val="16"/>
              </w:rPr>
              <w:t>Age-normal WBC</w:t>
            </w:r>
          </w:p>
        </w:tc>
        <w:tc>
          <w:tcPr>
            <w:tcW w:type="dxa" w:w="950"/>
            <w:vAlign w:val="top"/>
          </w:tcPr>
          <w:p>
            <w:pPr>
              <w:spacing w:after="40" w:before="0" w:line="259" w:lineRule="auto"/>
            </w:pPr>
            <w:r>
              <w:rPr>
                <w:rFonts w:ascii="Calibri" w:hAnsi="Calibri"/>
                <w:b w:val="0"/>
                <w:i w:val="0"/>
                <w:color w:val="212121"/>
                <w:sz w:val="16"/>
              </w:rPr>
              <w:t>Leukocytosis with lymphocytosis (WBC &gt; 20,000, &gt; 50% lymphocytes)</w:t>
            </w:r>
          </w:p>
        </w:tc>
        <w:tc>
          <w:tcPr>
            <w:tcW w:type="dxa" w:w="1036"/>
            <w:vAlign w:val="top"/>
          </w:tcPr>
          <w:p>
            <w:pPr>
              <w:spacing w:after="40" w:before="0" w:line="259" w:lineRule="auto"/>
            </w:pPr>
            <w:r>
              <w:rPr>
                <w:rFonts w:ascii="Calibri" w:hAnsi="Calibri"/>
                <w:b w:val="0"/>
                <w:i w:val="0"/>
                <w:color w:val="212121"/>
                <w:sz w:val="16"/>
              </w:rPr>
              <w:t>Supports pertussis in young infants; hyperleukocytosis (&gt; 50,000) signals severe disease</w:t>
            </w:r>
          </w:p>
        </w:tc>
        <w:tc>
          <w:tcPr>
            <w:tcW w:type="dxa" w:w="1036"/>
            <w:vAlign w:val="top"/>
          </w:tcPr>
          <w:p>
            <w:pPr>
              <w:spacing w:after="40" w:before="0" w:line="259" w:lineRule="auto"/>
            </w:pPr>
            <w:r>
              <w:rPr>
                <w:rFonts w:ascii="Calibri" w:hAnsi="Calibri"/>
                <w:b w:val="0"/>
                <w:i w:val="0"/>
                <w:color w:val="212121"/>
                <w:sz w:val="16"/>
              </w:rPr>
              <w:t>Infants &lt; 3 months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 prognostic</w:t>
            </w:r>
          </w:p>
        </w:tc>
        <w:tc>
          <w:tcPr>
            <w:tcW w:type="dxa" w:w="720"/>
            <w:vAlign w:val="top"/>
          </w:tcPr>
          <w:p>
            <w:pPr>
              <w:spacing w:after="40" w:before="0" w:line="259" w:lineRule="auto"/>
            </w:pPr>
            <w:r>
              <w:rPr>
                <w:rFonts w:ascii="Calibri" w:hAnsi="Calibri"/>
                <w:b w:val="0"/>
                <w:i w:val="0"/>
                <w:color w:val="212121"/>
                <w:sz w:val="16"/>
              </w:rPr>
              <w:t>Extreme counts warrant intensive monitoring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Chest radiograph</w:t>
            </w:r>
          </w:p>
        </w:tc>
        <w:tc>
          <w:tcPr>
            <w:tcW w:type="dxa" w:w="892"/>
            <w:vAlign w:val="top"/>
          </w:tcPr>
          <w:p>
            <w:pPr>
              <w:spacing w:after="40" w:before="0" w:line="259" w:lineRule="auto"/>
            </w:pPr>
            <w:r>
              <w:rPr>
                <w:rFonts w:ascii="Calibri" w:hAnsi="Calibri"/>
                <w:b w:val="0"/>
                <w:i w:val="0"/>
                <w:color w:val="212121"/>
                <w:sz w:val="16"/>
              </w:rPr>
              <w:t>Chest X-ray</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Perihilar infiltrate, atelectasis, ‘shaggy’ heart border, or consolidation</w:t>
            </w:r>
          </w:p>
        </w:tc>
        <w:tc>
          <w:tcPr>
            <w:tcW w:type="dxa" w:w="1036"/>
            <w:vAlign w:val="top"/>
          </w:tcPr>
          <w:p>
            <w:pPr>
              <w:spacing w:after="40" w:before="0" w:line="259" w:lineRule="auto"/>
            </w:pPr>
            <w:r>
              <w:rPr>
                <w:rFonts w:ascii="Calibri" w:hAnsi="Calibri"/>
                <w:b w:val="0"/>
                <w:i w:val="0"/>
                <w:color w:val="212121"/>
                <w:sz w:val="16"/>
              </w:rPr>
              <w:t>Detects secondary pneumonia and complications; often near-normal in uncomplicated pertussis</w:t>
            </w:r>
          </w:p>
        </w:tc>
        <w:tc>
          <w:tcPr>
            <w:tcW w:type="dxa" w:w="1036"/>
            <w:vAlign w:val="top"/>
          </w:tcPr>
          <w:p>
            <w:pPr>
              <w:spacing w:after="40" w:before="0" w:line="259" w:lineRule="auto"/>
            </w:pPr>
            <w:r>
              <w:rPr>
                <w:rFonts w:ascii="Calibri" w:hAnsi="Calibri"/>
                <w:b w:val="0"/>
                <w:i w:val="0"/>
                <w:color w:val="212121"/>
                <w:sz w:val="16"/>
              </w:rPr>
              <w:t>Infants, hypoxic or febrile cases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Complication work-up</w:t>
            </w:r>
          </w:p>
        </w:tc>
        <w:tc>
          <w:tcPr>
            <w:tcW w:type="dxa" w:w="720"/>
            <w:vAlign w:val="top"/>
          </w:tcPr>
          <w:p>
            <w:pPr>
              <w:spacing w:after="40" w:before="0" w:line="259" w:lineRule="auto"/>
            </w:pPr>
            <w:r>
              <w:rPr>
                <w:rFonts w:ascii="Calibri" w:hAnsi="Calibri"/>
                <w:b w:val="0"/>
                <w:i w:val="0"/>
                <w:color w:val="212121"/>
                <w:sz w:val="16"/>
              </w:rPr>
              <w:t>Consolidation suggests secondary bacterial pneumonia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Pulse oximetry (SpO2)</w:t>
            </w:r>
          </w:p>
        </w:tc>
        <w:tc>
          <w:tcPr>
            <w:tcW w:type="dxa" w:w="892"/>
            <w:vAlign w:val="top"/>
          </w:tcPr>
          <w:p>
            <w:pPr>
              <w:spacing w:after="40" w:before="0" w:line="259" w:lineRule="auto"/>
            </w:pPr>
            <w:r>
              <w:rPr>
                <w:rFonts w:ascii="Calibri" w:hAnsi="Calibri"/>
                <w:b w:val="0"/>
                <w:i w:val="0"/>
                <w:color w:val="212121"/>
                <w:sz w:val="16"/>
              </w:rPr>
              <w:t>Continuous/spot oximetry</w:t>
            </w:r>
          </w:p>
        </w:tc>
        <w:tc>
          <w:tcPr>
            <w:tcW w:type="dxa" w:w="950"/>
            <w:vAlign w:val="top"/>
          </w:tcPr>
          <w:p>
            <w:pPr>
              <w:spacing w:after="40" w:before="0" w:line="259" w:lineRule="auto"/>
            </w:pPr>
            <w:r>
              <w:rPr>
                <w:rFonts w:ascii="Calibri" w:hAnsi="Calibri"/>
                <w:b w:val="0"/>
                <w:i w:val="0"/>
                <w:color w:val="212121"/>
                <w:sz w:val="16"/>
              </w:rPr>
              <w:t>≥ 94% room air</w:t>
            </w:r>
          </w:p>
        </w:tc>
        <w:tc>
          <w:tcPr>
            <w:tcW w:type="dxa" w:w="950"/>
            <w:vAlign w:val="top"/>
          </w:tcPr>
          <w:p>
            <w:pPr>
              <w:spacing w:after="40" w:before="0" w:line="259" w:lineRule="auto"/>
            </w:pPr>
            <w:r>
              <w:rPr>
                <w:rFonts w:ascii="Calibri" w:hAnsi="Calibri"/>
                <w:b w:val="0"/>
                <w:i w:val="0"/>
                <w:color w:val="212121"/>
                <w:sz w:val="16"/>
              </w:rPr>
              <w:t>&lt; 92% or desaturation with paroxysms</w:t>
            </w:r>
          </w:p>
        </w:tc>
        <w:tc>
          <w:tcPr>
            <w:tcW w:type="dxa" w:w="1036"/>
            <w:vAlign w:val="top"/>
          </w:tcPr>
          <w:p>
            <w:pPr>
              <w:spacing w:after="40" w:before="0" w:line="259" w:lineRule="auto"/>
            </w:pPr>
            <w:r>
              <w:rPr>
                <w:rFonts w:ascii="Calibri" w:hAnsi="Calibri"/>
                <w:b w:val="0"/>
                <w:i w:val="0"/>
                <w:color w:val="212121"/>
                <w:sz w:val="16"/>
              </w:rPr>
              <w:t>Identifies hypoxia and apnoea needing oxygen or respiratory support</w:t>
            </w:r>
          </w:p>
        </w:tc>
        <w:tc>
          <w:tcPr>
            <w:tcW w:type="dxa" w:w="1036"/>
            <w:vAlign w:val="top"/>
          </w:tcPr>
          <w:p>
            <w:pPr>
              <w:spacing w:after="40" w:before="0" w:line="259" w:lineRule="auto"/>
            </w:pPr>
            <w:r>
              <w:rPr>
                <w:rFonts w:ascii="Calibri" w:hAnsi="Calibri"/>
                <w:b w:val="0"/>
                <w:i w:val="0"/>
                <w:color w:val="212121"/>
                <w:sz w:val="16"/>
              </w:rPr>
              <w:t>Infants and severe cases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 / triage</w:t>
            </w:r>
          </w:p>
        </w:tc>
        <w:tc>
          <w:tcPr>
            <w:tcW w:type="dxa" w:w="720"/>
            <w:vAlign w:val="top"/>
          </w:tcPr>
          <w:p>
            <w:pPr>
              <w:spacing w:after="40" w:before="0" w:line="259" w:lineRule="auto"/>
            </w:pPr>
            <w:r>
              <w:rPr>
                <w:rFonts w:ascii="Calibri" w:hAnsi="Calibri"/>
                <w:b w:val="0"/>
                <w:i w:val="0"/>
                <w:color w:val="212121"/>
                <w:sz w:val="16"/>
              </w:rPr>
              <w:t>Pair with apnoea monitoring in young infants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Cough ≥ 2 weeks with paroxysms, whoop or post-tussive vomiting</w:t>
            </w:r>
          </w:p>
        </w:tc>
        <w:tc>
          <w:tcPr>
            <w:tcW w:type="dxa" w:w="950"/>
            <w:vAlign w:val="top"/>
          </w:tcPr>
          <w:p>
            <w:pPr>
              <w:spacing w:after="40" w:before="0" w:line="259" w:lineRule="auto"/>
            </w:pPr>
            <w:r>
              <w:rPr>
                <w:rFonts w:ascii="Calibri" w:hAnsi="Calibri"/>
                <w:b w:val="0"/>
                <w:i w:val="0"/>
                <w:color w:val="212121"/>
                <w:sz w:val="16"/>
              </w:rPr>
              <w:t>Brief self-limited cough</w:t>
            </w:r>
          </w:p>
        </w:tc>
        <w:tc>
          <w:tcPr>
            <w:tcW w:type="dxa" w:w="950"/>
            <w:vAlign w:val="top"/>
          </w:tcPr>
          <w:p>
            <w:pPr>
              <w:spacing w:after="40" w:before="0" w:line="259" w:lineRule="auto"/>
            </w:pPr>
            <w:r>
              <w:rPr>
                <w:rFonts w:ascii="Calibri" w:hAnsi="Calibri"/>
                <w:b w:val="0"/>
                <w:i w:val="0"/>
                <w:color w:val="212121"/>
                <w:sz w:val="16"/>
              </w:rPr>
              <w:t>Prolonged paroxysmal cough ± whoop ± vomiting</w:t>
            </w:r>
          </w:p>
        </w:tc>
        <w:tc>
          <w:tcPr>
            <w:tcW w:type="dxa" w:w="1036"/>
            <w:vAlign w:val="top"/>
          </w:tcPr>
          <w:p>
            <w:pPr>
              <w:spacing w:after="40" w:before="0" w:line="259" w:lineRule="auto"/>
            </w:pPr>
            <w:r>
              <w:rPr>
                <w:rFonts w:ascii="Calibri" w:hAnsi="Calibri"/>
                <w:b w:val="0"/>
                <w:i w:val="0"/>
                <w:color w:val="212121"/>
                <w:sz w:val="16"/>
              </w:rPr>
              <w:t>Meets the clinical case definition of pertussis</w:t>
            </w:r>
          </w:p>
        </w:tc>
        <w:tc>
          <w:tcPr>
            <w:tcW w:type="dxa" w:w="1036"/>
            <w:vAlign w:val="top"/>
          </w:tcPr>
          <w:p>
            <w:pPr>
              <w:spacing w:after="40" w:before="0" w:line="259" w:lineRule="auto"/>
            </w:pPr>
            <w:r>
              <w:rPr>
                <w:rFonts w:ascii="Calibri" w:hAnsi="Calibri"/>
                <w:b w:val="0"/>
                <w:i w:val="0"/>
                <w:color w:val="212121"/>
                <w:sz w:val="16"/>
              </w:rPr>
              <w:t>All ages; classic in older children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Catarrhal stage mimics a common cold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Immunisation history</w:t>
            </w:r>
          </w:p>
        </w:tc>
        <w:tc>
          <w:tcPr>
            <w:tcW w:type="dxa" w:w="979"/>
            <w:vAlign w:val="top"/>
          </w:tcPr>
          <w:p>
            <w:pPr>
              <w:spacing w:after="40" w:before="0" w:line="259" w:lineRule="auto"/>
            </w:pPr>
            <w:r>
              <w:rPr>
                <w:rFonts w:ascii="Calibri" w:hAnsi="Calibri"/>
                <w:b w:val="0"/>
                <w:i w:val="0"/>
                <w:color w:val="212121"/>
                <w:sz w:val="16"/>
              </w:rPr>
              <w:t>DTP primary doses &amp; boosters, maternal Tdap</w:t>
            </w:r>
          </w:p>
        </w:tc>
        <w:tc>
          <w:tcPr>
            <w:tcW w:type="dxa" w:w="950"/>
            <w:vAlign w:val="top"/>
          </w:tcPr>
          <w:p>
            <w:pPr>
              <w:spacing w:after="40" w:before="0" w:line="259" w:lineRule="auto"/>
            </w:pPr>
            <w:r>
              <w:rPr>
                <w:rFonts w:ascii="Calibri" w:hAnsi="Calibri"/>
                <w:b w:val="0"/>
                <w:i w:val="0"/>
                <w:color w:val="212121"/>
                <w:sz w:val="16"/>
              </w:rPr>
              <w:t>Age-appropriate &amp; complete</w:t>
            </w:r>
          </w:p>
        </w:tc>
        <w:tc>
          <w:tcPr>
            <w:tcW w:type="dxa" w:w="950"/>
            <w:vAlign w:val="top"/>
          </w:tcPr>
          <w:p>
            <w:pPr>
              <w:spacing w:after="40" w:before="0" w:line="259" w:lineRule="auto"/>
            </w:pPr>
            <w:r>
              <w:rPr>
                <w:rFonts w:ascii="Calibri" w:hAnsi="Calibri"/>
                <w:b w:val="0"/>
                <w:i w:val="0"/>
                <w:color w:val="212121"/>
                <w:sz w:val="16"/>
              </w:rPr>
              <w:t>Missed/delayed doses; no maternal Tdap</w:t>
            </w:r>
          </w:p>
        </w:tc>
        <w:tc>
          <w:tcPr>
            <w:tcW w:type="dxa" w:w="1036"/>
            <w:vAlign w:val="top"/>
          </w:tcPr>
          <w:p>
            <w:pPr>
              <w:spacing w:after="40" w:before="0" w:line="259" w:lineRule="auto"/>
            </w:pPr>
            <w:r>
              <w:rPr>
                <w:rFonts w:ascii="Calibri" w:hAnsi="Calibri"/>
                <w:b w:val="0"/>
                <w:i w:val="0"/>
                <w:color w:val="212121"/>
                <w:sz w:val="16"/>
              </w:rPr>
              <w:t>Under-vaccination is the dominant risk for disease and severity</w:t>
            </w:r>
          </w:p>
        </w:tc>
        <w:tc>
          <w:tcPr>
            <w:tcW w:type="dxa" w:w="1036"/>
            <w:vAlign w:val="top"/>
          </w:tcPr>
          <w:p>
            <w:pPr>
              <w:spacing w:after="40" w:before="0" w:line="259" w:lineRule="auto"/>
            </w:pPr>
            <w:r>
              <w:rPr>
                <w:rFonts w:ascii="Calibri" w:hAnsi="Calibri"/>
                <w:b w:val="0"/>
                <w:i w:val="0"/>
                <w:color w:val="212121"/>
                <w:sz w:val="16"/>
              </w:rPr>
              <w:t>Infants, children, pregnant women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Record dates and number of doses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Contact / exposure history</w:t>
            </w:r>
          </w:p>
        </w:tc>
        <w:tc>
          <w:tcPr>
            <w:tcW w:type="dxa" w:w="979"/>
            <w:vAlign w:val="top"/>
          </w:tcPr>
          <w:p>
            <w:pPr>
              <w:spacing w:after="40" w:before="0" w:line="259" w:lineRule="auto"/>
            </w:pPr>
            <w:r>
              <w:rPr>
                <w:rFonts w:ascii="Calibri" w:hAnsi="Calibri"/>
                <w:b w:val="0"/>
                <w:i w:val="0"/>
                <w:color w:val="212121"/>
                <w:sz w:val="16"/>
              </w:rPr>
              <w:t>Sick contact with lingering cough, daycare/outbreak, household case</w:t>
            </w:r>
          </w:p>
        </w:tc>
        <w:tc>
          <w:tcPr>
            <w:tcW w:type="dxa" w:w="950"/>
            <w:vAlign w:val="top"/>
          </w:tcPr>
          <w:p>
            <w:pPr>
              <w:spacing w:after="40" w:before="0" w:line="259" w:lineRule="auto"/>
            </w:pPr>
            <w:r>
              <w:rPr>
                <w:rFonts w:ascii="Calibri" w:hAnsi="Calibri"/>
                <w:b w:val="0"/>
                <w:i w:val="0"/>
                <w:color w:val="212121"/>
                <w:sz w:val="16"/>
              </w:rPr>
              <w:t>No known exposure</w:t>
            </w:r>
          </w:p>
        </w:tc>
        <w:tc>
          <w:tcPr>
            <w:tcW w:type="dxa" w:w="950"/>
            <w:vAlign w:val="top"/>
          </w:tcPr>
          <w:p>
            <w:pPr>
              <w:spacing w:after="40" w:before="0" w:line="259" w:lineRule="auto"/>
            </w:pPr>
            <w:r>
              <w:rPr>
                <w:rFonts w:ascii="Calibri" w:hAnsi="Calibri"/>
                <w:b w:val="0"/>
                <w:i w:val="0"/>
                <w:color w:val="212121"/>
                <w:sz w:val="16"/>
              </w:rPr>
              <w:t>Contact with a probable/confirmed case</w:t>
            </w:r>
          </w:p>
        </w:tc>
        <w:tc>
          <w:tcPr>
            <w:tcW w:type="dxa" w:w="1036"/>
            <w:vAlign w:val="top"/>
          </w:tcPr>
          <w:p>
            <w:pPr>
              <w:spacing w:after="40" w:before="0" w:line="259" w:lineRule="auto"/>
            </w:pPr>
            <w:r>
              <w:rPr>
                <w:rFonts w:ascii="Calibri" w:hAnsi="Calibri"/>
                <w:b w:val="0"/>
                <w:i w:val="0"/>
                <w:color w:val="212121"/>
                <w:sz w:val="16"/>
              </w:rPr>
              <w:t>Supports diagnosis and triggers contact tracing and PEP</w:t>
            </w:r>
          </w:p>
        </w:tc>
        <w:tc>
          <w:tcPr>
            <w:tcW w:type="dxa" w:w="1036"/>
            <w:vAlign w:val="top"/>
          </w:tcPr>
          <w:p>
            <w:pPr>
              <w:spacing w:after="40" w:before="0" w:line="259" w:lineRule="auto"/>
            </w:pPr>
            <w:r>
              <w:rPr>
                <w:rFonts w:ascii="Calibri" w:hAnsi="Calibri"/>
                <w:b w:val="0"/>
                <w:i w:val="0"/>
                <w:color w:val="212121"/>
                <w:sz w:val="16"/>
              </w:rPr>
              <w:t>Household &amp; institutional contacts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Epidemiological</w:t>
            </w:r>
          </w:p>
        </w:tc>
        <w:tc>
          <w:tcPr>
            <w:tcW w:type="dxa" w:w="720"/>
            <w:vAlign w:val="top"/>
          </w:tcPr>
          <w:p>
            <w:pPr>
              <w:spacing w:after="40" w:before="0" w:line="259" w:lineRule="auto"/>
            </w:pPr>
            <w:r>
              <w:rPr>
                <w:rFonts w:ascii="Calibri" w:hAnsi="Calibri"/>
                <w:b w:val="0"/>
                <w:i w:val="0"/>
                <w:color w:val="212121"/>
                <w:sz w:val="16"/>
              </w:rPr>
              <w:t>Identify infants and pregnant contacts for prophylaxis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Observation</w:t>
            </w:r>
          </w:p>
        </w:tc>
        <w:tc>
          <w:tcPr>
            <w:tcW w:type="dxa" w:w="950"/>
            <w:vAlign w:val="top"/>
          </w:tcPr>
          <w:p>
            <w:pPr>
              <w:spacing w:after="40" w:before="0" w:line="259" w:lineRule="auto"/>
            </w:pPr>
            <w:r>
              <w:rPr>
                <w:rFonts w:ascii="Calibri" w:hAnsi="Calibri"/>
                <w:b w:val="0"/>
                <w:i w:val="0"/>
                <w:color w:val="212121"/>
                <w:sz w:val="16"/>
              </w:rPr>
              <w:t>Cough paroxysm &amp; infant assessment</w:t>
            </w:r>
          </w:p>
        </w:tc>
        <w:tc>
          <w:tcPr>
            <w:tcW w:type="dxa" w:w="979"/>
            <w:vAlign w:val="top"/>
          </w:tcPr>
          <w:p>
            <w:pPr>
              <w:spacing w:after="40" w:before="0" w:line="259" w:lineRule="auto"/>
            </w:pPr>
            <w:r>
              <w:rPr>
                <w:rFonts w:ascii="Calibri" w:hAnsi="Calibri"/>
                <w:b w:val="0"/>
                <w:i w:val="0"/>
                <w:color w:val="212121"/>
                <w:sz w:val="16"/>
              </w:rPr>
              <w:t>Whoop, cyanosis, apnoea, post-tussive vomiting, exhaustion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Witnessed paroxysm with whoop/apnoea</w:t>
            </w:r>
          </w:p>
        </w:tc>
        <w:tc>
          <w:tcPr>
            <w:tcW w:type="dxa" w:w="1036"/>
            <w:vAlign w:val="top"/>
          </w:tcPr>
          <w:p>
            <w:pPr>
              <w:spacing w:after="40" w:before="0" w:line="259" w:lineRule="auto"/>
            </w:pPr>
            <w:r>
              <w:rPr>
                <w:rFonts w:ascii="Calibri" w:hAnsi="Calibri"/>
                <w:b w:val="0"/>
                <w:i w:val="0"/>
                <w:color w:val="212121"/>
                <w:sz w:val="16"/>
              </w:rPr>
              <w:t>Directly demonstrates severity; apnoea in infants mandates admission</w:t>
            </w:r>
          </w:p>
        </w:tc>
        <w:tc>
          <w:tcPr>
            <w:tcW w:type="dxa" w:w="1036"/>
            <w:vAlign w:val="top"/>
          </w:tcPr>
          <w:p>
            <w:pPr>
              <w:spacing w:after="40" w:before="0" w:line="259" w:lineRule="auto"/>
            </w:pPr>
            <w:r>
              <w:rPr>
                <w:rFonts w:ascii="Calibri" w:hAnsi="Calibri"/>
                <w:b w:val="0"/>
                <w:i w:val="0"/>
                <w:color w:val="212121"/>
                <w:sz w:val="16"/>
              </w:rPr>
              <w:t>Infants and young children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Severity assessment</w:t>
            </w:r>
          </w:p>
        </w:tc>
        <w:tc>
          <w:tcPr>
            <w:tcW w:type="dxa" w:w="720"/>
            <w:vAlign w:val="top"/>
          </w:tcPr>
          <w:p>
            <w:pPr>
              <w:spacing w:after="40" w:before="0" w:line="259" w:lineRule="auto"/>
            </w:pPr>
            <w:r>
              <w:rPr>
                <w:rFonts w:ascii="Calibri" w:hAnsi="Calibri"/>
                <w:b w:val="0"/>
                <w:i w:val="0"/>
                <w:color w:val="212121"/>
                <w:sz w:val="16"/>
              </w:rPr>
              <w:t>Whoop may be absent in infants and adults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Signs of cough trauma</w:t>
            </w:r>
          </w:p>
        </w:tc>
        <w:tc>
          <w:tcPr>
            <w:tcW w:type="dxa" w:w="979"/>
            <w:vAlign w:val="top"/>
          </w:tcPr>
          <w:p>
            <w:pPr>
              <w:spacing w:after="40" w:before="0" w:line="259" w:lineRule="auto"/>
            </w:pPr>
            <w:r>
              <w:rPr>
                <w:rFonts w:ascii="Calibri" w:hAnsi="Calibri"/>
                <w:b w:val="0"/>
                <w:i w:val="0"/>
                <w:color w:val="212121"/>
                <w:sz w:val="16"/>
              </w:rPr>
              <w:t>Subconjunctival haemorrhage, facial petechiae, frenulum ulcer, rib tenderness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Indicate the force/duration of paroxysms</w:t>
            </w:r>
          </w:p>
        </w:tc>
        <w:tc>
          <w:tcPr>
            <w:tcW w:type="dxa" w:w="1036"/>
            <w:vAlign w:val="top"/>
          </w:tcPr>
          <w:p>
            <w:pPr>
              <w:spacing w:after="40" w:before="0" w:line="259" w:lineRule="auto"/>
            </w:pPr>
            <w:r>
              <w:rPr>
                <w:rFonts w:ascii="Calibri" w:hAnsi="Calibri"/>
                <w:b w:val="0"/>
                <w:i w:val="0"/>
                <w:color w:val="212121"/>
                <w:sz w:val="16"/>
              </w:rPr>
              <w:t>Older children &amp;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Chest usually clear between paroxysms unless pneumonia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Hydration &amp; nutrition status</w:t>
            </w:r>
          </w:p>
        </w:tc>
        <w:tc>
          <w:tcPr>
            <w:tcW w:type="dxa" w:w="979"/>
            <w:vAlign w:val="top"/>
          </w:tcPr>
          <w:p>
            <w:pPr>
              <w:spacing w:after="40" w:before="0" w:line="259" w:lineRule="auto"/>
            </w:pPr>
            <w:r>
              <w:rPr>
                <w:rFonts w:ascii="Calibri" w:hAnsi="Calibri"/>
                <w:b w:val="0"/>
                <w:i w:val="0"/>
                <w:color w:val="212121"/>
                <w:sz w:val="16"/>
              </w:rPr>
              <w:t>Weight, skin turgor, feeding, mucous membranes</w:t>
            </w:r>
          </w:p>
        </w:tc>
        <w:tc>
          <w:tcPr>
            <w:tcW w:type="dxa" w:w="950"/>
            <w:vAlign w:val="top"/>
          </w:tcPr>
          <w:p>
            <w:pPr>
              <w:spacing w:after="40" w:before="0" w:line="259" w:lineRule="auto"/>
            </w:pPr>
            <w:r>
              <w:rPr>
                <w:rFonts w:ascii="Calibri" w:hAnsi="Calibri"/>
                <w:b w:val="0"/>
                <w:i w:val="0"/>
                <w:color w:val="212121"/>
                <w:sz w:val="16"/>
              </w:rPr>
              <w:t>Well hydrated, feeding well</w:t>
            </w:r>
          </w:p>
        </w:tc>
        <w:tc>
          <w:tcPr>
            <w:tcW w:type="dxa" w:w="950"/>
            <w:vAlign w:val="top"/>
          </w:tcPr>
          <w:p>
            <w:pPr>
              <w:spacing w:after="40" w:before="0" w:line="259" w:lineRule="auto"/>
            </w:pPr>
            <w:r>
              <w:rPr>
                <w:rFonts w:ascii="Calibri" w:hAnsi="Calibri"/>
                <w:b w:val="0"/>
                <w:i w:val="0"/>
                <w:color w:val="212121"/>
                <w:sz w:val="16"/>
              </w:rPr>
              <w:t>Dehydration, weight loss, poor feeding</w:t>
            </w:r>
          </w:p>
        </w:tc>
        <w:tc>
          <w:tcPr>
            <w:tcW w:type="dxa" w:w="1036"/>
            <w:vAlign w:val="top"/>
          </w:tcPr>
          <w:p>
            <w:pPr>
              <w:spacing w:after="40" w:before="0" w:line="259" w:lineRule="auto"/>
            </w:pPr>
            <w:r>
              <w:rPr>
                <w:rFonts w:ascii="Calibri" w:hAnsi="Calibri"/>
                <w:b w:val="0"/>
                <w:i w:val="0"/>
                <w:color w:val="212121"/>
                <w:sz w:val="16"/>
              </w:rPr>
              <w:t>Guides fluid/nutritional support during paroxysmal illness</w:t>
            </w:r>
          </w:p>
        </w:tc>
        <w:tc>
          <w:tcPr>
            <w:tcW w:type="dxa" w:w="1036"/>
            <w:vAlign w:val="top"/>
          </w:tcPr>
          <w:p>
            <w:pPr>
              <w:spacing w:after="40" w:before="0" w:line="259" w:lineRule="auto"/>
            </w:pPr>
            <w:r>
              <w:rPr>
                <w:rFonts w:ascii="Calibri" w:hAnsi="Calibri"/>
                <w:b w:val="0"/>
                <w:i w:val="0"/>
                <w:color w:val="212121"/>
                <w:sz w:val="16"/>
              </w:rPr>
              <w:t>Infants with post-tussive vomiting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 care</w:t>
            </w:r>
          </w:p>
        </w:tc>
        <w:tc>
          <w:tcPr>
            <w:tcW w:type="dxa" w:w="720"/>
            <w:vAlign w:val="top"/>
          </w:tcPr>
          <w:p>
            <w:pPr>
              <w:spacing w:after="40" w:before="0" w:line="259" w:lineRule="auto"/>
            </w:pPr>
            <w:r>
              <w:rPr>
                <w:rFonts w:ascii="Calibri" w:hAnsi="Calibri"/>
                <w:b w:val="0"/>
                <w:i w:val="0"/>
                <w:color w:val="212121"/>
                <w:sz w:val="16"/>
              </w:rPr>
              <w:t>Small frequent feeds; monitor weight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Coryza &amp; low-grade fever (catarrhal stage)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Runny nose, mild cough and little or no fever for 1–2 weeks; indistinguishable from a common cold but highly infectious.</w:t>
            </w:r>
          </w:p>
        </w:tc>
      </w:tr>
      <w:tr>
        <w:trPr>
          <w:cantSplit/>
        </w:trPr>
        <w:tc>
          <w:tcPr>
            <w:tcW w:type="dxa" w:w="2304"/>
            <w:vAlign w:val="top"/>
          </w:tcPr>
          <w:p>
            <w:pPr>
              <w:spacing w:after="40" w:before="0" w:line="259" w:lineRule="auto"/>
            </w:pPr>
            <w:r>
              <w:rPr>
                <w:rFonts w:ascii="Calibri" w:hAnsi="Calibri"/>
                <w:b/>
                <w:i w:val="0"/>
                <w:color w:val="212121"/>
                <w:sz w:val="19"/>
              </w:rPr>
              <w:t>Paroxysms of severe coughing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Bursts of numerous rapid coughs on a single expiration, worse at night, that define the paroxysmal stage.</w:t>
            </w:r>
          </w:p>
        </w:tc>
      </w:tr>
      <w:tr>
        <w:trPr>
          <w:cantSplit/>
        </w:trPr>
        <w:tc>
          <w:tcPr>
            <w:tcW w:type="dxa" w:w="2304"/>
            <w:vAlign w:val="top"/>
          </w:tcPr>
          <w:p>
            <w:pPr>
              <w:spacing w:after="40" w:before="0" w:line="259" w:lineRule="auto"/>
            </w:pPr>
            <w:r>
              <w:rPr>
                <w:rFonts w:ascii="Calibri" w:hAnsi="Calibri"/>
                <w:b/>
                <w:i w:val="0"/>
                <w:color w:val="212121"/>
                <w:sz w:val="19"/>
              </w:rPr>
              <w:t>Inspiratory ‘whoop’</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High-pitched crowing sound as air is drawn in after a paroxysm; may be absent in infants and adults.</w:t>
            </w:r>
          </w:p>
        </w:tc>
      </w:tr>
      <w:tr>
        <w:trPr>
          <w:cantSplit/>
        </w:trPr>
        <w:tc>
          <w:tcPr>
            <w:tcW w:type="dxa" w:w="2304"/>
            <w:vAlign w:val="top"/>
          </w:tcPr>
          <w:p>
            <w:pPr>
              <w:spacing w:after="40" w:before="0" w:line="259" w:lineRule="auto"/>
            </w:pPr>
            <w:r>
              <w:rPr>
                <w:rFonts w:ascii="Calibri" w:hAnsi="Calibri"/>
                <w:b/>
                <w:i w:val="0"/>
                <w:color w:val="212121"/>
                <w:sz w:val="19"/>
              </w:rPr>
              <w:t>Post-tussive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Vomiting immediately after a coughing fit; a hallmark that helps distinguish pertussis from other coughs.</w:t>
            </w:r>
          </w:p>
        </w:tc>
      </w:tr>
      <w:tr>
        <w:trPr>
          <w:cantSplit/>
        </w:trPr>
        <w:tc>
          <w:tcPr>
            <w:tcW w:type="dxa" w:w="2304"/>
            <w:vAlign w:val="top"/>
          </w:tcPr>
          <w:p>
            <w:pPr>
              <w:spacing w:after="40" w:before="0" w:line="259" w:lineRule="auto"/>
            </w:pPr>
            <w:r>
              <w:rPr>
                <w:rFonts w:ascii="Calibri" w:hAnsi="Calibri"/>
                <w:b/>
                <w:i w:val="0"/>
                <w:color w:val="212121"/>
                <w:sz w:val="19"/>
              </w:rPr>
              <w:t>Exhaustion after coughing fits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Children look spent and may sweat after paroxysms because the attacks are so forceful.</w:t>
            </w:r>
          </w:p>
        </w:tc>
      </w:tr>
      <w:tr>
        <w:trPr>
          <w:cantSplit/>
        </w:trPr>
        <w:tc>
          <w:tcPr>
            <w:tcW w:type="dxa" w:w="2304"/>
            <w:vAlign w:val="top"/>
          </w:tcPr>
          <w:p>
            <w:pPr>
              <w:spacing w:after="40" w:before="0" w:line="259" w:lineRule="auto"/>
            </w:pPr>
            <w:r>
              <w:rPr>
                <w:rFonts w:ascii="Calibri" w:hAnsi="Calibri"/>
                <w:b/>
                <w:i w:val="0"/>
                <w:color w:val="212121"/>
                <w:sz w:val="19"/>
              </w:rPr>
              <w:t>Disturbed sleep / night-time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Paroxysms cluster at night, fragmenting sleep for the child and family over weeks.</w:t>
            </w:r>
          </w:p>
        </w:tc>
      </w:tr>
      <w:tr>
        <w:trPr>
          <w:cantSplit/>
        </w:trPr>
        <w:tc>
          <w:tcPr>
            <w:tcW w:type="dxa" w:w="2304"/>
            <w:vAlign w:val="top"/>
          </w:tcPr>
          <w:p>
            <w:pPr>
              <w:spacing w:after="40" w:before="0" w:line="259" w:lineRule="auto"/>
            </w:pPr>
            <w:r>
              <w:rPr>
                <w:rFonts w:ascii="Calibri" w:hAnsi="Calibri"/>
                <w:b/>
                <w:i w:val="0"/>
                <w:color w:val="212121"/>
                <w:sz w:val="19"/>
              </w:rPr>
              <w:t>Apnoea (pauses in breathing)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 young infants, apnoea — not cough — may be the main or only feature and is a medical emergency.</w:t>
            </w:r>
          </w:p>
        </w:tc>
      </w:tr>
      <w:tr>
        <w:trPr>
          <w:cantSplit/>
        </w:trPr>
        <w:tc>
          <w:tcPr>
            <w:tcW w:type="dxa" w:w="2304"/>
            <w:vAlign w:val="top"/>
          </w:tcPr>
          <w:p>
            <w:pPr>
              <w:spacing w:after="40" w:before="0" w:line="259" w:lineRule="auto"/>
            </w:pPr>
            <w:r>
              <w:rPr>
                <w:rFonts w:ascii="Calibri" w:hAnsi="Calibri"/>
                <w:b/>
                <w:i w:val="0"/>
                <w:color w:val="212121"/>
                <w:sz w:val="19"/>
              </w:rPr>
              <w:t>Cyanosis during paroxysm</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Bluish colour from transient hypoxia during a severe coughing fit, particularly in infants.</w:t>
            </w:r>
          </w:p>
        </w:tc>
      </w:tr>
      <w:tr>
        <w:trPr>
          <w:cantSplit/>
        </w:trPr>
        <w:tc>
          <w:tcPr>
            <w:tcW w:type="dxa" w:w="2304"/>
            <w:vAlign w:val="top"/>
          </w:tcPr>
          <w:p>
            <w:pPr>
              <w:spacing w:after="40" w:before="0" w:line="259" w:lineRule="auto"/>
            </w:pPr>
            <w:r>
              <w:rPr>
                <w:rFonts w:ascii="Calibri" w:hAnsi="Calibri"/>
                <w:b/>
                <w:i w:val="0"/>
                <w:color w:val="212121"/>
                <w:sz w:val="19"/>
              </w:rPr>
              <w:t>Poor feeding / choking with feeds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Infants struggle to feed as paroxysms are triggered by swallowing, leading to weight loss and dehydration.</w:t>
            </w:r>
          </w:p>
        </w:tc>
      </w:tr>
      <w:tr>
        <w:trPr>
          <w:cantSplit/>
        </w:trPr>
        <w:tc>
          <w:tcPr>
            <w:tcW w:type="dxa" w:w="2304"/>
            <w:vAlign w:val="top"/>
          </w:tcPr>
          <w:p>
            <w:pPr>
              <w:spacing w:after="40" w:before="0" w:line="259" w:lineRule="auto"/>
            </w:pPr>
            <w:r>
              <w:rPr>
                <w:rFonts w:ascii="Calibri" w:hAnsi="Calibri"/>
                <w:b/>
                <w:i w:val="0"/>
                <w:color w:val="212121"/>
                <w:sz w:val="19"/>
              </w:rPr>
              <w:t>Prolonged lingering cough (convalescent)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Cough gradually wanes over weeks to months — the ‘100-day cough’ — and can flare with later respiratory infections.</w:t>
            </w:r>
          </w:p>
        </w:tc>
      </w:tr>
      <w:tr>
        <w:trPr>
          <w:cantSplit/>
        </w:trPr>
        <w:tc>
          <w:tcPr>
            <w:tcW w:type="dxa" w:w="2304"/>
            <w:vAlign w:val="top"/>
          </w:tcPr>
          <w:p>
            <w:pPr>
              <w:spacing w:after="40" w:before="0" w:line="259" w:lineRule="auto"/>
            </w:pPr>
            <w:r>
              <w:rPr>
                <w:rFonts w:ascii="Calibri" w:hAnsi="Calibri"/>
                <w:b/>
                <w:i w:val="0"/>
                <w:color w:val="212121"/>
                <w:sz w:val="19"/>
              </w:rPr>
              <w:t>Sweating episodes / facial flushing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Accompany forceful paroxysms, especially in infants and young children.</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May result from severe hypoxia or pertussis encephalopathy in young infants and signal severe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Witnessed coughing paroxysm with whoop</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Repetitive coughs ending in an inspiratory whoop, often with reddening of the face.</w:t>
            </w:r>
          </w:p>
        </w:tc>
      </w:tr>
      <w:tr>
        <w:trPr>
          <w:cantSplit/>
        </w:trPr>
        <w:tc>
          <w:tcPr>
            <w:tcW w:type="dxa" w:w="3456"/>
            <w:vAlign w:val="top"/>
          </w:tcPr>
          <w:p>
            <w:pPr>
              <w:spacing w:after="40" w:before="0" w:line="259" w:lineRule="auto"/>
            </w:pPr>
            <w:r>
              <w:rPr>
                <w:rFonts w:ascii="Calibri" w:hAnsi="Calibri"/>
                <w:b/>
                <w:i w:val="0"/>
                <w:color w:val="212121"/>
                <w:sz w:val="19"/>
              </w:rPr>
              <w:t>Post-tussive emesis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Vomiting observed immediately after a paroxysm.</w:t>
            </w:r>
          </w:p>
        </w:tc>
      </w:tr>
      <w:tr>
        <w:trPr>
          <w:cantSplit/>
        </w:trPr>
        <w:tc>
          <w:tcPr>
            <w:tcW w:type="dxa" w:w="3456"/>
            <w:vAlign w:val="top"/>
          </w:tcPr>
          <w:p>
            <w:pPr>
              <w:spacing w:after="40" w:before="0" w:line="259" w:lineRule="auto"/>
            </w:pPr>
            <w:r>
              <w:rPr>
                <w:rFonts w:ascii="Calibri" w:hAnsi="Calibri"/>
                <w:b/>
                <w:i w:val="0"/>
                <w:color w:val="212121"/>
                <w:sz w:val="19"/>
              </w:rPr>
              <w:t>Apnoea / bradycardia (infant)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Respiratory pauses with slowing heart rate in young infants; a key danger sign requiring monitoring.</w:t>
            </w:r>
          </w:p>
        </w:tc>
      </w:tr>
      <w:tr>
        <w:trPr>
          <w:cantSplit/>
        </w:trPr>
        <w:tc>
          <w:tcPr>
            <w:tcW w:type="dxa" w:w="3456"/>
            <w:vAlign w:val="top"/>
          </w:tcPr>
          <w:p>
            <w:pPr>
              <w:spacing w:after="40" w:before="0" w:line="259" w:lineRule="auto"/>
            </w:pPr>
            <w:r>
              <w:rPr>
                <w:rFonts w:ascii="Calibri" w:hAnsi="Calibri"/>
                <w:b/>
                <w:i w:val="0"/>
                <w:color w:val="212121"/>
                <w:sz w:val="19"/>
              </w:rPr>
              <w:t>Cyanosis during paroxysm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Perioral or central cyanosis from transient hypoxia.</w:t>
            </w:r>
          </w:p>
        </w:tc>
      </w:tr>
      <w:tr>
        <w:trPr>
          <w:cantSplit/>
        </w:trPr>
        <w:tc>
          <w:tcPr>
            <w:tcW w:type="dxa" w:w="3456"/>
            <w:vAlign w:val="top"/>
          </w:tcPr>
          <w:p>
            <w:pPr>
              <w:spacing w:after="40" w:before="0" w:line="259" w:lineRule="auto"/>
            </w:pPr>
            <w:r>
              <w:rPr>
                <w:rFonts w:ascii="Calibri" w:hAnsi="Calibri"/>
                <w:b/>
                <w:i w:val="0"/>
                <w:color w:val="212121"/>
                <w:sz w:val="19"/>
              </w:rPr>
              <w:t>Subconjunctival haemorrhage &amp; facial petechiae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Result from raised venous pressure during violent coughing.</w:t>
            </w:r>
          </w:p>
        </w:tc>
      </w:tr>
      <w:tr>
        <w:trPr>
          <w:cantSplit/>
        </w:trPr>
        <w:tc>
          <w:tcPr>
            <w:tcW w:type="dxa" w:w="3456"/>
            <w:vAlign w:val="top"/>
          </w:tcPr>
          <w:p>
            <w:pPr>
              <w:spacing w:after="40" w:before="0" w:line="259" w:lineRule="auto"/>
            </w:pPr>
            <w:r>
              <w:rPr>
                <w:rFonts w:ascii="Calibri" w:hAnsi="Calibri"/>
                <w:b/>
                <w:i w:val="0"/>
                <w:color w:val="212121"/>
                <w:sz w:val="19"/>
              </w:rPr>
              <w:t>Ulcer on the lingual frenulum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Caused by the tongue thrusting over the lower incisors during paroxysms; a classic clinical clue.</w:t>
            </w:r>
          </w:p>
        </w:tc>
      </w:tr>
      <w:tr>
        <w:trPr>
          <w:cantSplit/>
        </w:trPr>
        <w:tc>
          <w:tcPr>
            <w:tcW w:type="dxa" w:w="3456"/>
            <w:vAlign w:val="top"/>
          </w:tcPr>
          <w:p>
            <w:pPr>
              <w:spacing w:after="40" w:before="0" w:line="259" w:lineRule="auto"/>
            </w:pPr>
            <w:r>
              <w:rPr>
                <w:rFonts w:ascii="Calibri" w:hAnsi="Calibri"/>
                <w:b/>
                <w:i w:val="0"/>
                <w:color w:val="212121"/>
                <w:sz w:val="19"/>
              </w:rPr>
              <w:t>Marked lymphocytosis on CBC</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Pertussis-toxin-driven leukocytosis with lymphocyte predominance, most striking in infants.</w:t>
            </w:r>
          </w:p>
        </w:tc>
      </w:tr>
      <w:tr>
        <w:trPr>
          <w:cantSplit/>
        </w:trPr>
        <w:tc>
          <w:tcPr>
            <w:tcW w:type="dxa" w:w="3456"/>
            <w:vAlign w:val="top"/>
          </w:tcPr>
          <w:p>
            <w:pPr>
              <w:spacing w:after="40" w:before="0" w:line="259" w:lineRule="auto"/>
            </w:pPr>
            <w:r>
              <w:rPr>
                <w:rFonts w:ascii="Calibri" w:hAnsi="Calibri"/>
                <w:b/>
                <w:i w:val="0"/>
                <w:color w:val="212121"/>
                <w:sz w:val="19"/>
              </w:rPr>
              <w:t>Chest clear on auscultation between fits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Lungs are often normal between paroxysms; new crackles suggest secondary pneumonia.</w:t>
            </w:r>
          </w:p>
        </w:tc>
      </w:tr>
      <w:tr>
        <w:trPr>
          <w:cantSplit/>
        </w:trPr>
        <w:tc>
          <w:tcPr>
            <w:tcW w:type="dxa" w:w="3456"/>
            <w:vAlign w:val="top"/>
          </w:tcPr>
          <w:p>
            <w:pPr>
              <w:spacing w:after="40" w:before="0" w:line="259" w:lineRule="auto"/>
            </w:pPr>
            <w:r>
              <w:rPr>
                <w:rFonts w:ascii="Calibri" w:hAnsi="Calibri"/>
                <w:b/>
                <w:i w:val="0"/>
                <w:color w:val="212121"/>
                <w:sz w:val="19"/>
              </w:rPr>
              <w:t>Signs of dehydration / weight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Sunken eyes, poor turgor and falling weight from post-tussive vomiting and poor feeding.</w:t>
            </w:r>
          </w:p>
        </w:tc>
      </w:tr>
      <w:tr>
        <w:trPr>
          <w:cantSplit/>
        </w:trPr>
        <w:tc>
          <w:tcPr>
            <w:tcW w:type="dxa" w:w="3456"/>
            <w:vAlign w:val="top"/>
          </w:tcPr>
          <w:p>
            <w:pPr>
              <w:spacing w:after="40" w:before="0" w:line="259" w:lineRule="auto"/>
            </w:pPr>
            <w:r>
              <w:rPr>
                <w:rFonts w:ascii="Calibri" w:hAnsi="Calibri"/>
                <w:b/>
                <w:i w:val="0"/>
                <w:color w:val="212121"/>
                <w:sz w:val="19"/>
              </w:rPr>
              <w:t>Rib tenderness / cough syncope (older patients)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Forceful paroxysms can fracture ribs or cause fainting in adolescents and adults.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Apnoea and hypoxia (young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Cyanotic paroxysms and exhaustion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Post-tussive vomiting with dehydration and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sleep disruption</w:t>
            </w:r>
          </w:p>
        </w:tc>
        <w:tc>
          <w:tcPr>
            <w:tcW w:type="dxa" w:w="2980"/>
            <w:vAlign w:val="top"/>
          </w:tcPr>
          <w:p>
            <w:pPr>
              <w:spacing w:after="40" w:before="0" w:line="259" w:lineRule="auto"/>
            </w:pPr>
            <w:r>
              <w:rPr>
                <w:rFonts w:ascii="Calibri" w:hAnsi="Calibri"/>
                <w:b w:val="0"/>
                <w:i w:val="0"/>
                <w:color w:val="212121"/>
                <w:sz w:val="19"/>
              </w:rPr>
              <w:t>Direct consequences of toxin-mediated paroxysmal coughing and airway compromise, most dangerous in infants under 6 months.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pneumonia (leading cause of pertussis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Otitis media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Pulmonary hypertension with hyperleukocytosis (‘malignant’ infant pertussis)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Seizures and pertussis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Pneumothorax, subconjunctival haemorrhage, rib fractures, hernia and rectal prolapse from coughing</w:t>
            </w:r>
          </w:p>
        </w:tc>
        <w:tc>
          <w:tcPr>
            <w:tcW w:type="dxa" w:w="2980"/>
            <w:vAlign w:val="top"/>
          </w:tcPr>
          <w:p>
            <w:pPr>
              <w:spacing w:after="40" w:before="0" w:line="259" w:lineRule="auto"/>
            </w:pPr>
            <w:r>
              <w:rPr>
                <w:rFonts w:ascii="Calibri" w:hAnsi="Calibri"/>
                <w:b w:val="0"/>
                <w:i w:val="0"/>
                <w:color w:val="212121"/>
                <w:sz w:val="19"/>
              </w:rPr>
              <w:t>Arise from secondary infection, extreme leukocytosis, hypoxia and the mechanical force of paroxysms.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Bronchiectasis and chronic airway damage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Neurodevelopmental sequelae after hypoxic or encephalopathic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Failure to thrive following prolonged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predominantly in unimmunised infants under 3 months</w:t>
            </w:r>
          </w:p>
        </w:tc>
        <w:tc>
          <w:tcPr>
            <w:tcW w:type="dxa" w:w="2980"/>
            <w:vAlign w:val="top"/>
          </w:tcPr>
          <w:p>
            <w:pPr>
              <w:spacing w:after="40" w:before="0" w:line="259" w:lineRule="auto"/>
            </w:pPr>
            <w:r>
              <w:rPr>
                <w:rFonts w:ascii="Calibri" w:hAnsi="Calibri"/>
                <w:b w:val="0"/>
                <w:i w:val="0"/>
                <w:color w:val="212121"/>
                <w:sz w:val="19"/>
              </w:rPr>
              <w:t>Irreversible long-term outcomes of severe or complicated disease, concentrated in the youngest, unimmunised infants.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Apnoea (infant)</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The commonest complication of infant pertussis and often its presenting feature; mandates admission and monitoring.</w:t>
            </w:r>
          </w:p>
          <w:p>
            <w:pPr>
              <w:spacing w:after="40" w:before="0" w:line="259" w:lineRule="auto"/>
            </w:pPr>
            <w:r>
              <w:rPr>
                <w:rFonts w:ascii="Calibri" w:hAnsi="Calibri"/>
                <w:b/>
                <w:i w:val="0"/>
                <w:color w:val="212121"/>
                <w:sz w:val="19"/>
              </w:rPr>
              <w:t>Up to 68%</w:t>
            </w:r>
          </w:p>
        </w:tc>
      </w:tr>
      <w:tr>
        <w:trPr>
          <w:cantSplit/>
        </w:trPr>
        <w:tc>
          <w:tcPr>
            <w:tcW w:type="dxa" w:w="2232"/>
            <w:vAlign w:val="top"/>
          </w:tcPr>
          <w:p>
            <w:pPr>
              <w:spacing w:after="40" w:before="0" w:line="259" w:lineRule="auto"/>
            </w:pPr>
            <w:r>
              <w:rPr>
                <w:rFonts w:ascii="Calibri" w:hAnsi="Calibri"/>
                <w:b/>
                <w:i w:val="0"/>
                <w:color w:val="212121"/>
                <w:sz w:val="19"/>
              </w:rPr>
              <w:t>Pneumonia (secondary bacterial)</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Superadded infection of pertussis-damaged airways and the leading cause of pertussis death in infants.</w:t>
            </w:r>
          </w:p>
          <w:p>
            <w:pPr>
              <w:spacing w:after="40" w:before="0" w:line="259" w:lineRule="auto"/>
            </w:pPr>
            <w:r>
              <w:rPr>
                <w:rFonts w:ascii="Calibri" w:hAnsi="Calibri"/>
                <w:b/>
                <w:i w:val="0"/>
                <w:color w:val="212121"/>
                <w:sz w:val="19"/>
              </w:rPr>
              <w:t>Up to 22%</w:t>
            </w:r>
          </w:p>
        </w:tc>
      </w:tr>
      <w:tr>
        <w:trPr>
          <w:cantSplit/>
        </w:trPr>
        <w:tc>
          <w:tcPr>
            <w:tcW w:type="dxa" w:w="2232"/>
            <w:vAlign w:val="top"/>
          </w:tcPr>
          <w:p>
            <w:pPr>
              <w:spacing w:after="40" w:before="0" w:line="259" w:lineRule="auto"/>
            </w:pPr>
            <w:r>
              <w:rPr>
                <w:rFonts w:ascii="Calibri" w:hAnsi="Calibri"/>
                <w:b/>
                <w:i w:val="0"/>
                <w:color w:val="212121"/>
                <w:sz w:val="19"/>
              </w:rPr>
              <w:t>Pulmonary hypertension (malignant pertussis)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Severe young-infant disease with extreme leukocytosis causing pulmonary vascular obstruction and high mortality.</w:t>
            </w:r>
          </w:p>
        </w:tc>
      </w:tr>
      <w:tr>
        <w:trPr>
          <w:cantSplit/>
        </w:trPr>
        <w:tc>
          <w:tcPr>
            <w:tcW w:type="dxa" w:w="2232"/>
            <w:vAlign w:val="top"/>
          </w:tcPr>
          <w:p>
            <w:pPr>
              <w:spacing w:after="40" w:before="0" w:line="259" w:lineRule="auto"/>
            </w:pPr>
            <w:r>
              <w:rPr>
                <w:rFonts w:ascii="Calibri" w:hAnsi="Calibri"/>
                <w:b/>
                <w:i w:val="0"/>
                <w:color w:val="212121"/>
                <w:sz w:val="19"/>
              </w:rPr>
              <w:t>Seizures / pertussis encephalopathy</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Result from severe hypoxia and toxin effects during paroxysms; signal severe disease.</w:t>
            </w:r>
          </w:p>
        </w:tc>
      </w:tr>
      <w:tr>
        <w:trPr>
          <w:cantSplit/>
        </w:trPr>
        <w:tc>
          <w:tcPr>
            <w:tcW w:type="dxa" w:w="2232"/>
            <w:vAlign w:val="top"/>
          </w:tcPr>
          <w:p>
            <w:pPr>
              <w:spacing w:after="40" w:before="0" w:line="259" w:lineRule="auto"/>
            </w:pPr>
            <w:r>
              <w:rPr>
                <w:rFonts w:ascii="Calibri" w:hAnsi="Calibri"/>
                <w:b/>
                <w:i w:val="0"/>
                <w:color w:val="212121"/>
                <w:sz w:val="19"/>
              </w:rPr>
              <w:t>Otitis media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Common secondary infection accompanying pertussis in children.</w:t>
            </w:r>
          </w:p>
        </w:tc>
      </w:tr>
      <w:tr>
        <w:trPr>
          <w:cantSplit/>
        </w:trPr>
        <w:tc>
          <w:tcPr>
            <w:tcW w:type="dxa" w:w="2232"/>
            <w:vAlign w:val="top"/>
          </w:tcPr>
          <w:p>
            <w:pPr>
              <w:spacing w:after="40" w:before="0" w:line="259" w:lineRule="auto"/>
            </w:pPr>
            <w:r>
              <w:rPr>
                <w:rFonts w:ascii="Calibri" w:hAnsi="Calibri"/>
                <w:b/>
                <w:i w:val="0"/>
                <w:color w:val="212121"/>
                <w:sz w:val="19"/>
              </w:rPr>
              <w:t>Bronchiectasis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Chronic airway dilatation can follow severe or repeated pertussis-related lung injury.</w:t>
            </w:r>
          </w:p>
        </w:tc>
      </w:tr>
      <w:tr>
        <w:trPr>
          <w:cantSplit/>
        </w:trPr>
        <w:tc>
          <w:tcPr>
            <w:tcW w:type="dxa" w:w="2232"/>
            <w:vAlign w:val="top"/>
          </w:tcPr>
          <w:p>
            <w:pPr>
              <w:spacing w:after="40" w:before="0" w:line="259" w:lineRule="auto"/>
            </w:pPr>
            <w:r>
              <w:rPr>
                <w:rFonts w:ascii="Calibri" w:hAnsi="Calibri"/>
                <w:b/>
                <w:i w:val="0"/>
                <w:color w:val="212121"/>
                <w:sz w:val="19"/>
              </w:rPr>
              <w:t>Prematurity / low birth weight</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Preterm, low-antibody infants develop the most severe pertussis and apnoea; alters admission threshold and monitoring.</w:t>
            </w:r>
          </w:p>
        </w:tc>
      </w:tr>
      <w:tr>
        <w:trPr>
          <w:cantSplit/>
        </w:trPr>
        <w:tc>
          <w:tcPr>
            <w:tcW w:type="dxa" w:w="2232"/>
            <w:vAlign w:val="top"/>
          </w:tcPr>
          <w:p>
            <w:pPr>
              <w:spacing w:after="40" w:before="0" w:line="259" w:lineRule="auto"/>
            </w:pPr>
            <w:r>
              <w:rPr>
                <w:rFonts w:ascii="Calibri" w:hAnsi="Calibri"/>
                <w:b/>
                <w:i w:val="0"/>
                <w:color w:val="212121"/>
                <w:sz w:val="19"/>
              </w:rPr>
              <w:t>Moderate–severe asthma / chronic lung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Reduces respiratory reserve so pertussis is more likely to cause severe illness; pertussis can also aggravate airway hyperreactivity.</w:t>
            </w:r>
          </w:p>
        </w:tc>
      </w:tr>
      <w:tr>
        <w:trPr>
          <w:cantSplit/>
        </w:trPr>
        <w:tc>
          <w:tcPr>
            <w:tcW w:type="dxa" w:w="2232"/>
            <w:vAlign w:val="top"/>
          </w:tcPr>
          <w:p>
            <w:pPr>
              <w:spacing w:after="40" w:before="0" w:line="259" w:lineRule="auto"/>
            </w:pPr>
            <w:r>
              <w:rPr>
                <w:rFonts w:ascii="Calibri" w:hAnsi="Calibri"/>
                <w:b/>
                <w:i w:val="0"/>
                <w:color w:val="212121"/>
                <w:sz w:val="19"/>
              </w:rPr>
              <w:t>Immunodeficiency (HIV, primary immunodeficiency,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clearance and vaccine response predispose to prolonged, severe or atypical disease.</w:t>
            </w:r>
          </w:p>
        </w:tc>
      </w:tr>
      <w:tr>
        <w:trPr>
          <w:cantSplit/>
        </w:trPr>
        <w:tc>
          <w:tcPr>
            <w:tcW w:type="dxa" w:w="2232"/>
            <w:vAlign w:val="top"/>
          </w:tcPr>
          <w:p>
            <w:pPr>
              <w:spacing w:after="40" w:before="0" w:line="259" w:lineRule="auto"/>
            </w:pPr>
            <w:r>
              <w:rPr>
                <w:rFonts w:ascii="Calibri" w:hAnsi="Calibri"/>
                <w:b/>
                <w:i w:val="0"/>
                <w:color w:val="212121"/>
                <w:sz w:val="19"/>
              </w:rPr>
              <w:t>Malnutrition (infant)</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Under-nutrition worsens severity while post-tussive vomiting and poor feeding drive further weight loss — a two-way relationship needing nutritional support.</w:t>
            </w:r>
          </w:p>
        </w:tc>
      </w:tr>
      <w:tr>
        <w:trPr>
          <w:cantSplit/>
        </w:trPr>
        <w:tc>
          <w:tcPr>
            <w:tcW w:type="dxa" w:w="2232"/>
            <w:vAlign w:val="top"/>
          </w:tcPr>
          <w:p>
            <w:pPr>
              <w:spacing w:after="40" w:before="0" w:line="259" w:lineRule="auto"/>
            </w:pPr>
            <w:r>
              <w:rPr>
                <w:rFonts w:ascii="Calibri" w:hAnsi="Calibri"/>
                <w:b/>
                <w:i w:val="0"/>
                <w:color w:val="212121"/>
                <w:sz w:val="19"/>
              </w:rPr>
              <w:t>Rib fracture / cough syncope (adolescents &amp; adults)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Violent paroxysms can fracture ribs or cause fainting in older patients.</w:t>
            </w:r>
          </w:p>
        </w:tc>
      </w:tr>
      <w:tr>
        <w:trPr>
          <w:cantSplit/>
        </w:trPr>
        <w:tc>
          <w:tcPr>
            <w:tcW w:type="dxa" w:w="2232"/>
            <w:vAlign w:val="top"/>
          </w:tcPr>
          <w:p>
            <w:pPr>
              <w:spacing w:after="40" w:before="0" w:line="259" w:lineRule="auto"/>
            </w:pPr>
            <w:r>
              <w:rPr>
                <w:rFonts w:ascii="Calibri" w:hAnsi="Calibri"/>
                <w:b/>
                <w:i w:val="0"/>
                <w:color w:val="212121"/>
                <w:sz w:val="19"/>
              </w:rPr>
              <w:t>Tuberculosis (co-endemic in India)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key differential and possible co-infection in prolonged cough; its presence alters evaluation and treatment.</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primary DTP series on time (India’s UIP schedule at 6, 10 and 14 weeks) and all recommended boosters.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maternal Tdap in the third trimester of every pregnancy to protect the newborn before its own vaccines take effect.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‘Cocoon’ the infant: vaccinate/boost parents, siblings and close caregivers and keep those with a cough away from newborns.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 a cough lasting ≥ 2 weeks with paroxysms, whoop, post-tussive vomiting, or any apnoea/cyanosis in an infant — and seek care promptly.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respiratory hygiene and cough etiquette, and keep infected people away from infants until ≥ 5 days of appropriate antibiotics are completed.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suspected cases so household and infant contacts can receive timely post-exposure antibiotic prophylaxis.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expectant mothers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Unvaccinated/under-vaccinated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Health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macrolide antibiotics (azithromycin preferred; avoid erythromycin in young infants) as early as possible to reduce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Admit and monitor infants with apnoea, cyanosis, poor feeding, hypoxia or extreme leukocytosis.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post-exposure prophylaxis to close contacts — especially infants, pregnant women and the immunocompromised — ideally within 21 days of the index cough.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antibiotics started in the paroxysmal stage limit spread but do not shorten the cough, which can last weeks to months.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severe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Close contacts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cases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taking young or unimmunised infants into crowded, poorly ventilated places during known pertussis activity or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infants away from anyone with a persistent cough, including at family gatherings and daycare.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illness, allow rest and avoid exertion, excitement or cold exposure that provoke coughing paroxysms.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gradually as paroxysms subside in the convalescent stage.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&amp; young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in paroxysmal stage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during outbreaks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small, frequent feeds and keep infants upright during and after feeding to reduce feed-triggered paroxysms and choking.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breastfeeding, which provides nutrition, hydration and passive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use oral rehydration for repeated post-tussive vomiting; escalate to intravenous fluids if intake is poor.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weight and provide nutritional support during the prolonged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 with post-tussive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Dehydrated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Malnourished/low-birth-weight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Nurse infants where night-time breathing can be observed, and use apnoea monitoring in hospital for the youngest.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calm, smoke-free, comfortably humidified sleeping environment to limit paroxysm triggers.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head of the cot slightly and reposition gently if a paroxysm occurs.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that cough clusters at night and plan caregiver rest in shifts.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Make the home and vehicle strictly smoke-free, as passive smoke worsens infant respiratory infection and paroxysms.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household members who smoke to quit, and never smoke near an infant or pregnant woman.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Counsel adolescents and adults that stopping smoking supports airway recovery during and after pertussis.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in contact with infants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should avoid alcohol that could impair night-time monitoring of an infant at risk of apnoea.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recovering from pertussis should moderate alcohol, which can blunt immune responses and disturb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infants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families that the exhausting cough is expected to improve slowly over weeks and explain danger signs to watch for.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sleep-deprived, anxious caregivers of a coughing infant and share night-time duties.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written guidance on medication, isolation and when to return, to reduce uncertainty and distress.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hospitalised infants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dc.gov/pertussis/hcp/clinical-signs/index.html" TargetMode="External"/><Relationship Id="rId10" Type="http://schemas.openxmlformats.org/officeDocument/2006/relationships/hyperlink" Target="https://pubmed.ncbi.nlm.nih.gov/40221094/" TargetMode="External"/><Relationship Id="rId11" Type="http://schemas.openxmlformats.org/officeDocument/2006/relationships/hyperlink" Target="https://www.who.int/news-room/fact-sheets/detail/immunization-coverage" TargetMode="External"/><Relationship Id="rId12" Type="http://schemas.openxmlformats.org/officeDocument/2006/relationships/hyperlink" Target="https://pubmed.ncbi.nlm.nih.gov/28623146/" TargetMode="External"/><Relationship Id="rId13" Type="http://schemas.openxmlformats.org/officeDocument/2006/relationships/hyperlink" Target="https://pubmed.ncbi.nlm.nih.gov/36522518/" TargetMode="External"/><Relationship Id="rId14" Type="http://schemas.openxmlformats.org/officeDocument/2006/relationships/hyperlink" Target="https://www.cdc.gov/pertussis/about/index.html" TargetMode="External"/><Relationship Id="rId15" Type="http://schemas.openxmlformats.org/officeDocument/2006/relationships/hyperlink" Target="https://www.ncbi.nlm.nih.gov/books/NBK519008/" TargetMode="External"/><Relationship Id="rId16" Type="http://schemas.openxmlformats.org/officeDocument/2006/relationships/hyperlink" Target="https://www.who.int/health-topics/pertus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