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rFonts w:ascii="Calibri" w:hAnsi="Calibri"/>
          <w:b/>
          <w:i w:val="0"/>
          <w:color w:val="2B2B33"/>
          <w:sz w:val="44"/>
        </w:rPr>
        <w:t>Leprosy</w:t>
      </w:r>
    </w:p>
    <w:p>
      <w:pPr>
        <w:spacing w:before="0" w:after="160"/>
      </w:pPr>
      <w:r>
        <w:rPr>
          <w:rFonts w:ascii="Calibri" w:hAnsi="Calibri"/>
          <w:b/>
          <w:i w:val="0"/>
          <w:color w:val="212121"/>
          <w:sz w:val="22"/>
        </w:rPr>
        <w:t xml:space="preserve">AKA </w:t>
      </w:r>
      <w:r>
        <w:rPr>
          <w:rFonts w:ascii="Calibri" w:hAnsi="Calibri"/>
          <w:b w:val="0"/>
          <w:i w:val="0"/>
          <w:color w:val="212121"/>
          <w:sz w:val="22"/>
        </w:rPr>
        <w:t>i.e., Hansen's disease, Hanseniasis, Kushtha rog, Mycobacterium leprae infection</w:t>
      </w:r>
    </w:p>
    <w:p>
      <w:pPr>
        <w:spacing w:before="280" w:after="120"/>
      </w:pPr>
      <w:r>
        <w:rPr>
          <w:rFonts w:ascii="Calibri" w:hAnsi="Calibri"/>
          <w:b/>
          <w:i w:val="0"/>
          <w:color w:val="212121"/>
          <w:sz w:val="31"/>
        </w:rPr>
        <w:t>Introduction to MCP</w:t>
      </w:r>
    </w:p>
    <w:p>
      <w:pPr>
        <w:spacing w:before="200" w:after="120"/>
      </w:pPr>
      <w:r>
        <w:rPr>
          <w:rFonts w:ascii="Calibri" w:hAnsi="Calibri"/>
          <w:b/>
          <w:i w:val="0"/>
          <w:color w:val="212121"/>
          <w:sz w:val="25"/>
        </w:rPr>
        <w:t>Definition</w:t>
      </w:r>
    </w:p>
    <w:p>
      <w:pPr>
        <w:spacing w:before="0" w:after="120"/>
      </w:pPr>
      <w:r>
        <w:rPr>
          <w:rFonts w:ascii="Calibri" w:hAnsi="Calibri"/>
          <w:b w:val="0"/>
          <w:i w:val="0"/>
          <w:color w:val="212121"/>
          <w:sz w:val="21"/>
        </w:rPr>
        <w:t>Leprosy (Hansen's disease) is a chronic granulomatous infectious disease caused by the acid-fast, obligate intracellular bacillus Mycobacterium leprae (and the closely related M. lepromatosis). The organism has a strong tropism for the skin and peripheral nerves, where it invades Schwann cells, causing progressive sensory loss, motor weakness and autonomic dysfunction. Its clinical spectrum — from paucibacillary tuberculoid to multibacillary lepromatous disease — is determined largely by the strength of the host's cell-mediated immune response. The incubation period is long (on average about 5 years, ranging from a few months to more than 20 years). Leprosy is fully curable with multidrug therapy (MDT); early diagnosis and treatment prevent the nerve damage, deformity, disability and stigma that have historically characterised the disease.</w:t>
      </w:r>
    </w:p>
    <w:p>
      <w:pPr>
        <w:spacing w:before="200" w:after="120"/>
      </w:pPr>
      <w:r>
        <w:rPr>
          <w:rFonts w:ascii="Calibri" w:hAnsi="Calibri"/>
          <w:b/>
          <w:i w:val="0"/>
          <w:color w:val="212121"/>
          <w:sz w:val="25"/>
        </w:rPr>
        <w:t>Prevalence</w:t>
      </w:r>
    </w:p>
    <w:p>
      <w:pPr>
        <w:spacing w:before="0" w:after="120"/>
      </w:pPr>
      <w:r>
        <w:rPr>
          <w:rFonts w:ascii="Calibri" w:hAnsi="Calibri"/>
          <w:b w:val="0"/>
          <w:i w:val="0"/>
          <w:color w:val="212121"/>
          <w:sz w:val="21"/>
        </w:rPr>
        <w:t>India carries the world's largest leprosy burden. In 2023 India detected 1,07,851 new cases — more than half of the roughly 2,00,000 new cases reported globally each year — at a new-case detection rate of about 75 per million population; the 2024 figure was 1,00,957. India achieved WHO 'elimination as a public health problem' (registered prevalence below 1 per 10,000) at the national level in December 2005 (prevalence rate ~0.95/10,000), yet transmission is clearly ongoing: 5,582 of the 2023 new cases were children under 15 years (a marker of active, recent transmission) and 2,335 already had visible grade-2 disability at diagnosis. Endemic pockets persist in states such as Bihar, Chhattisgarh, Odisha, Jharkhand, West Bengal, Maharashtra and Uttar Pradesh.</w:t>
      </w:r>
    </w:p>
    <w:p>
      <w:pPr>
        <w:spacing w:before="200" w:after="120"/>
      </w:pPr>
      <w:r>
        <w:rPr>
          <w:rFonts w:ascii="Calibri" w:hAnsi="Calibri"/>
          <w:b/>
          <w:i w:val="0"/>
          <w:color w:val="212121"/>
          <w:sz w:val="25"/>
        </w:rPr>
        <w:t>Diagnosis</w:t>
      </w:r>
    </w:p>
    <w:p>
      <w:pPr>
        <w:spacing w:before="0" w:after="120"/>
      </w:pPr>
      <w:r>
        <w:rPr>
          <w:rFonts w:ascii="Calibri" w:hAnsi="Calibri"/>
          <w:b w:val="0"/>
          <w:i w:val="0"/>
          <w:color w:val="212121"/>
          <w:sz w:val="21"/>
        </w:rPr>
        <w:t>Leprosy is a clinical diagnosis. WHO defines a case by the presence of at least one of three cardinal signs, supported where needed by slit-skin smear, histopathology or molecular tests:</w:t>
      </w:r>
    </w:p>
    <w:p>
      <w:pPr>
        <w:spacing w:after="60"/>
        <w:ind w:left="432" w:hanging="259"/>
      </w:pPr>
      <w:r>
        <w:rPr>
          <w:rFonts w:ascii="Calibri" w:hAnsi="Calibri"/>
          <w:b w:val="0"/>
          <w:i w:val="0"/>
          <w:color w:val="212121"/>
          <w:sz w:val="21"/>
        </w:rPr>
        <w:t xml:space="preserve">•  </w:t>
      </w:r>
      <w:r>
        <w:rPr>
          <w:rFonts w:ascii="Calibri" w:hAnsi="Calibri"/>
          <w:b w:val="0"/>
          <w:i w:val="0"/>
          <w:color w:val="212121"/>
          <w:sz w:val="21"/>
        </w:rPr>
        <w:t>a hypopigmented or reddish skin lesion (macule, patch or plaque) with definite loss of sensation;</w:t>
      </w:r>
    </w:p>
    <w:p>
      <w:pPr>
        <w:spacing w:after="60"/>
        <w:ind w:left="432" w:hanging="259"/>
      </w:pPr>
      <w:r>
        <w:rPr>
          <w:rFonts w:ascii="Calibri" w:hAnsi="Calibri"/>
          <w:b w:val="0"/>
          <w:i w:val="0"/>
          <w:color w:val="212121"/>
          <w:sz w:val="21"/>
        </w:rPr>
        <w:t xml:space="preserve">•  </w:t>
      </w:r>
      <w:r>
        <w:rPr>
          <w:rFonts w:ascii="Calibri" w:hAnsi="Calibri"/>
          <w:b w:val="0"/>
          <w:i w:val="0"/>
          <w:color w:val="212121"/>
          <w:sz w:val="21"/>
        </w:rPr>
        <w:t>a thickened or enlarged peripheral nerve with loss of sensation and/or weakness of the muscles it supplies;</w:t>
      </w:r>
    </w:p>
    <w:p>
      <w:pPr>
        <w:spacing w:after="60"/>
        <w:ind w:left="432" w:hanging="259"/>
      </w:pPr>
      <w:r>
        <w:rPr>
          <w:rFonts w:ascii="Calibri" w:hAnsi="Calibri"/>
          <w:b w:val="0"/>
          <w:i w:val="0"/>
          <w:color w:val="212121"/>
          <w:sz w:val="21"/>
        </w:rPr>
        <w:t xml:space="preserve">•  </w:t>
      </w:r>
      <w:r>
        <w:rPr>
          <w:rFonts w:ascii="Calibri" w:hAnsi="Calibri"/>
          <w:b w:val="0"/>
          <w:i w:val="0"/>
          <w:color w:val="212121"/>
          <w:sz w:val="21"/>
        </w:rPr>
        <w:t>demonstration of acid-fast bacilli in a slit-skin smear;</w:t>
      </w:r>
    </w:p>
    <w:p>
      <w:pPr>
        <w:spacing w:after="60"/>
        <w:ind w:left="432" w:hanging="259"/>
      </w:pPr>
      <w:r>
        <w:rPr>
          <w:rFonts w:ascii="Calibri" w:hAnsi="Calibri"/>
          <w:b w:val="0"/>
          <w:i w:val="0"/>
          <w:color w:val="212121"/>
          <w:sz w:val="21"/>
        </w:rPr>
        <w:t xml:space="preserve">•  </w:t>
      </w:r>
      <w:r>
        <w:rPr>
          <w:rFonts w:ascii="Calibri" w:hAnsi="Calibri"/>
          <w:b w:val="0"/>
          <w:i w:val="0"/>
          <w:color w:val="212121"/>
          <w:sz w:val="21"/>
        </w:rPr>
        <w:t>slit-skin smear for the bacterial index (BI, 0 to 6+) and morphological index confirms and classifies multibacillary disease;</w:t>
      </w:r>
    </w:p>
    <w:p>
      <w:pPr>
        <w:spacing w:after="60"/>
        <w:ind w:left="432" w:hanging="259"/>
      </w:pPr>
      <w:r>
        <w:rPr>
          <w:rFonts w:ascii="Calibri" w:hAnsi="Calibri"/>
          <w:b w:val="0"/>
          <w:i w:val="0"/>
          <w:color w:val="212121"/>
          <w:sz w:val="21"/>
        </w:rPr>
        <w:t xml:space="preserve">•  </w:t>
      </w:r>
      <w:r>
        <w:rPr>
          <w:rFonts w:ascii="Calibri" w:hAnsi="Calibri"/>
          <w:b w:val="0"/>
          <w:i w:val="0"/>
          <w:color w:val="212121"/>
          <w:sz w:val="21"/>
        </w:rPr>
        <w:t>skin biopsy with Fite-Faraco staining shows the granuloma type and bacillary load and resolves atypical cases;</w:t>
      </w:r>
    </w:p>
    <w:p>
      <w:pPr>
        <w:spacing w:after="60"/>
        <w:ind w:left="432" w:hanging="259"/>
      </w:pPr>
      <w:r>
        <w:rPr>
          <w:rFonts w:ascii="Calibri" w:hAnsi="Calibri"/>
          <w:b w:val="0"/>
          <w:i w:val="0"/>
          <w:color w:val="212121"/>
          <w:sz w:val="21"/>
        </w:rPr>
        <w:t xml:space="preserve">•  </w:t>
      </w:r>
      <w:r>
        <w:rPr>
          <w:rFonts w:ascii="Calibri" w:hAnsi="Calibri"/>
          <w:b w:val="0"/>
          <w:i w:val="0"/>
          <w:color w:val="212121"/>
          <w:sz w:val="21"/>
        </w:rPr>
        <w:t>PCR for M. leprae DNA (e.g., RLEP target) offers sensitivity above 90% and near-100% specificity in smear-negative or neuritic disease.</w:t>
      </w:r>
    </w:p>
    <w:p>
      <w:pPr>
        <w:spacing w:before="200" w:after="120"/>
      </w:pPr>
      <w:r>
        <w:rPr>
          <w:rFonts w:ascii="Calibri" w:hAnsi="Calibri"/>
          <w:b/>
          <w:i w:val="0"/>
          <w:color w:val="212121"/>
          <w:sz w:val="25"/>
        </w:rPr>
        <w:t>Classification</w:t>
      </w:r>
    </w:p>
    <w:p>
      <w:pPr>
        <w:spacing w:before="0" w:after="120"/>
      </w:pPr>
      <w:r>
        <w:rPr>
          <w:rFonts w:ascii="Calibri" w:hAnsi="Calibri"/>
          <w:b w:val="0"/>
          <w:i w:val="0"/>
          <w:color w:val="212121"/>
          <w:sz w:val="21"/>
        </w:rPr>
        <w:t>Leprosy is classified operationally by WHO (to guide MDT) and immunologically along the Ridley-Jopling spectrum:</w:t>
      </w:r>
    </w:p>
    <w:p>
      <w:pPr>
        <w:spacing w:before="0" w:after="80"/>
      </w:pPr>
      <w:r>
        <w:rPr>
          <w:rFonts w:ascii="Calibri" w:hAnsi="Calibri"/>
          <w:b w:val="0"/>
          <w:i w:val="0"/>
          <w:color w:val="212121"/>
          <w:sz w:val="21"/>
        </w:rPr>
        <w:t>(1) WHO Paucibacillary (PB) leprosy — five or fewer skin lesions with a negative slit-skin smear; treated with 6 months of MDT.</w:t>
      </w:r>
    </w:p>
    <w:p>
      <w:pPr>
        <w:spacing w:before="0" w:after="80"/>
      </w:pPr>
      <w:r>
        <w:rPr>
          <w:rFonts w:ascii="Calibri" w:hAnsi="Calibri"/>
          <w:b w:val="0"/>
          <w:i w:val="0"/>
          <w:color w:val="212121"/>
          <w:sz w:val="21"/>
        </w:rPr>
        <w:t>(2) WHO Multibacillary (MB) leprosy — more than five lesions, or any nerve-trunk involvement, or a positive slit-skin smear; treated with 12 months of MDT.</w:t>
      </w:r>
    </w:p>
    <w:p>
      <w:pPr>
        <w:spacing w:before="0" w:after="80"/>
      </w:pPr>
      <w:r>
        <w:rPr>
          <w:rFonts w:ascii="Calibri" w:hAnsi="Calibri"/>
          <w:b w:val="0"/>
          <w:i w:val="0"/>
          <w:color w:val="212121"/>
          <w:sz w:val="21"/>
        </w:rPr>
        <w:t>(3) Ridley-Jopling immunological spectrum — tuberculoid (TT), borderline tuberculoid (BT), mid-borderline (BB), borderline lepromatous (BL) and lepromatous (LL), plus early Indeterminate leprosy — graded by cell-mediated immunity, bacillary load and histology; strong immunity gives few, well-defined, paucibacillary lesions while weak immunity gives widespread, bacillary-rich lepromatous disease.</w:t>
      </w:r>
    </w:p>
    <w:p>
      <w:pPr>
        <w:spacing w:before="0" w:after="80"/>
      </w:pPr>
      <w:r>
        <w:rPr>
          <w:rFonts w:ascii="Calibri" w:hAnsi="Calibri"/>
          <w:b w:val="0"/>
          <w:i w:val="0"/>
          <w:color w:val="212121"/>
          <w:sz w:val="21"/>
        </w:rPr>
        <w:t>(4) Pure neuritic leprosy — peripheral nerve involvement with sensory/motor deficit but no skin lesion; disproportionately common in India.</w:t>
      </w:r>
    </w:p>
    <w:p>
      <w:pPr>
        <w:spacing w:before="0" w:after="80"/>
      </w:pPr>
      <w:r>
        <w:rPr>
          <w:rFonts w:ascii="Calibri" w:hAnsi="Calibri"/>
          <w:b w:val="0"/>
          <w:i w:val="0"/>
          <w:color w:val="212121"/>
          <w:sz w:val="21"/>
        </w:rPr>
        <w:t>(5) Reactional states — Type 1 (reversal) reactions and Type 2 reactions (erythema nodosum leprosum, ENL), immunological events that can occur before, during or after MDT and are the leading cause of nerve damage and disability; the Lucio phenomenon is a rare necrotising variant.</w:t>
      </w:r>
    </w:p>
    <w:p>
      <w:pPr>
        <w:spacing w:before="200" w:after="120"/>
      </w:pPr>
      <w:r>
        <w:rPr>
          <w:rFonts w:ascii="Calibri" w:hAnsi="Calibri"/>
          <w:b/>
          <w:i w:val="0"/>
          <w:color w:val="212121"/>
          <w:sz w:val="25"/>
        </w:rPr>
        <w:t>Etiology</w:t>
      </w:r>
    </w:p>
    <w:p>
      <w:pPr>
        <w:spacing w:after="60"/>
        <w:ind w:left="432" w:hanging="288"/>
      </w:pPr>
      <w:r>
        <w:rPr>
          <w:rFonts w:ascii="Calibri" w:hAnsi="Calibri"/>
          <w:b/>
          <w:i w:val="0"/>
          <w:color w:val="212121"/>
          <w:sz w:val="21"/>
        </w:rPr>
        <w:t xml:space="preserve">1. </w:t>
      </w:r>
      <w:r>
        <w:rPr>
          <w:rFonts w:ascii="Calibri" w:hAnsi="Calibri"/>
          <w:b w:val="0"/>
          <w:i w:val="0"/>
          <w:color w:val="212121"/>
          <w:sz w:val="21"/>
        </w:rPr>
        <w:t>Causative organism: Mycobacterium leprae (and M. lepromatosis) — an acid-fast, obligate intracellular bacillus with an exceptionally slow generation time (~12-14 days) that cannot be cultured on artificial media and preferentially infects Schwann cells and skin macrophages.</w:t>
      </w:r>
    </w:p>
    <w:p>
      <w:pPr>
        <w:spacing w:after="60"/>
        <w:ind w:left="432" w:hanging="288"/>
      </w:pPr>
      <w:r>
        <w:rPr>
          <w:rFonts w:ascii="Calibri" w:hAnsi="Calibri"/>
          <w:b/>
          <w:i w:val="0"/>
          <w:color w:val="212121"/>
          <w:sz w:val="21"/>
        </w:rPr>
        <w:t xml:space="preserve">2. </w:t>
      </w:r>
      <w:r>
        <w:rPr>
          <w:rFonts w:ascii="Calibri" w:hAnsi="Calibri"/>
          <w:b w:val="0"/>
          <w:i w:val="0"/>
          <w:color w:val="212121"/>
          <w:sz w:val="21"/>
        </w:rPr>
        <w:t>Transmission: prolonged, close household contact with an untreated multibacillary case, chiefly via nasal and respiratory droplets; the long incubation period (average ~5 years) delays recognition. Zoonotic (armadillo) and environmental reservoirs are described but minor in India.</w:t>
      </w:r>
    </w:p>
    <w:p>
      <w:pPr>
        <w:spacing w:after="60"/>
        <w:ind w:left="432" w:hanging="288"/>
      </w:pPr>
      <w:r>
        <w:rPr>
          <w:rFonts w:ascii="Calibri" w:hAnsi="Calibri"/>
          <w:b/>
          <w:i w:val="0"/>
          <w:color w:val="212121"/>
          <w:sz w:val="21"/>
        </w:rPr>
        <w:t xml:space="preserve">3. </w:t>
      </w:r>
      <w:r>
        <w:rPr>
          <w:rFonts w:ascii="Calibri" w:hAnsi="Calibri"/>
          <w:b w:val="0"/>
          <w:i w:val="0"/>
          <w:color w:val="212121"/>
          <w:sz w:val="21"/>
        </w:rPr>
        <w:t>Host immune response: the outcome is decided by cell-mediated immunity — a strong Th1 response produces limited tuberculoid disease, whereas a weak/Th2-skewed response permits disseminated, bacillary-rich lepromatous disease.</w:t>
      </w:r>
    </w:p>
    <w:p>
      <w:pPr>
        <w:spacing w:after="60"/>
        <w:ind w:left="432" w:hanging="288"/>
      </w:pPr>
      <w:r>
        <w:rPr>
          <w:rFonts w:ascii="Calibri" w:hAnsi="Calibri"/>
          <w:b/>
          <w:i w:val="0"/>
          <w:color w:val="212121"/>
          <w:sz w:val="21"/>
        </w:rPr>
        <w:t xml:space="preserve">4. </w:t>
      </w:r>
      <w:r>
        <w:rPr>
          <w:rFonts w:ascii="Calibri" w:hAnsi="Calibri"/>
          <w:b w:val="0"/>
          <w:i w:val="0"/>
          <w:color w:val="212121"/>
          <w:sz w:val="21"/>
        </w:rPr>
        <w:t>Genetic susceptibility: polymorphisms in HLA class II, PARK2/PACRG, NOD2, TLR1/2, LTA and RIPK2 modulate both susceptibility and the clinical form, explaining familial clustering beyond shared environment.</w:t>
      </w:r>
    </w:p>
    <w:p>
      <w:pPr>
        <w:spacing w:after="60"/>
        <w:ind w:left="432" w:hanging="288"/>
      </w:pPr>
      <w:r>
        <w:rPr>
          <w:rFonts w:ascii="Calibri" w:hAnsi="Calibri"/>
          <w:b/>
          <w:i w:val="0"/>
          <w:color w:val="212121"/>
          <w:sz w:val="21"/>
        </w:rPr>
        <w:t xml:space="preserve">5. </w:t>
      </w:r>
      <w:r>
        <w:rPr>
          <w:rFonts w:ascii="Calibri" w:hAnsi="Calibri"/>
          <w:b w:val="0"/>
          <w:i w:val="0"/>
          <w:color w:val="212121"/>
          <w:sz w:val="21"/>
        </w:rPr>
        <w:t>Socioeconomic conditions: poverty, overcrowding, poor sanitation and undernutrition increase both exposure and susceptibility, concentrating disease in marginalised communities.</w:t>
      </w:r>
    </w:p>
    <w:p>
      <w:pPr>
        <w:spacing w:after="60"/>
        <w:ind w:left="432" w:hanging="288"/>
      </w:pPr>
      <w:r>
        <w:rPr>
          <w:rFonts w:ascii="Calibri" w:hAnsi="Calibri"/>
          <w:b/>
          <w:i w:val="0"/>
          <w:color w:val="212121"/>
          <w:sz w:val="21"/>
        </w:rPr>
        <w:t xml:space="preserve">6. </w:t>
      </w:r>
      <w:r>
        <w:rPr>
          <w:rFonts w:ascii="Calibri" w:hAnsi="Calibri"/>
          <w:b w:val="0"/>
          <w:i w:val="0"/>
          <w:color w:val="212121"/>
          <w:sz w:val="21"/>
        </w:rPr>
        <w:t>Close/household contact: contacts of an index case — especially of multibacillary or smear-positive patients — carry a substantially higher risk, the basis for contact tracing and single-dose rifampicin prophylaxis.</w:t>
      </w:r>
    </w:p>
    <w:p>
      <w:pPr>
        <w:spacing w:before="280" w:after="120"/>
      </w:pPr>
      <w:r>
        <w:rPr>
          <w:rFonts w:ascii="Calibri" w:hAnsi="Calibri"/>
          <w:b/>
          <w:i w:val="0"/>
          <w:color w:val="212121"/>
          <w:sz w:val="31"/>
        </w:rPr>
        <w:t>Research Draft of MCP</w:t>
      </w:r>
    </w:p>
    <w:p>
      <w:pPr>
        <w:spacing w:before="200" w:after="120"/>
      </w:pPr>
      <w:r>
        <w:rPr>
          <w:rFonts w:ascii="Calibri" w:hAnsi="Calibri"/>
          <w:b/>
          <w:i w:val="0"/>
          <w:color w:val="212121"/>
          <w:sz w:val="25"/>
        </w:rPr>
        <w:t>Profiles Prone To</w:t>
      </w:r>
    </w:p>
    <w:tbl>
      <w:tblPr>
        <w:tblW w:type="dxa" w:w="9604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401"/>
        <w:gridCol w:w="2401"/>
        <w:gridCol w:w="2401"/>
        <w:gridCol w:w="2401"/>
      </w:tblGrid>
      <w:tr>
        <w:trPr>
          <w:cantSplit/>
        </w:trPr>
        <w:tc>
          <w:tcPr>
            <w:tcW w:type="dxa" w:w="1512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Category</w:t>
            </w:r>
          </w:p>
        </w:tc>
        <w:tc>
          <w:tcPr>
            <w:tcW w:type="dxa" w:w="1655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Disposition</w:t>
            </w:r>
          </w:p>
        </w:tc>
        <w:tc>
          <w:tcPr>
            <w:tcW w:type="dxa" w:w="216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Profiles</w:t>
            </w:r>
          </w:p>
        </w:tc>
        <w:tc>
          <w:tcPr>
            <w:tcW w:type="dxa" w:w="4276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Explanation</w:t>
            </w:r>
          </w:p>
        </w:tc>
      </w:tr>
      <w:tr>
        <w:trPr>
          <w:cantSplit/>
        </w:trPr>
        <w:tc>
          <w:tcPr>
            <w:tcW w:type="dxa" w:w="1512"/>
            <w:vMerge w:val="restart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Demographic factors</w:t>
            </w:r>
          </w:p>
        </w:tc>
        <w:tc>
          <w:tcPr>
            <w:tcW w:type="dxa" w:w="1655"/>
            <w:vMerge w:val="restart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Age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Adults (30-60 years)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Most new cases present in working-age adults, reflecting the long incubation period between childhood/adolescent exposure and clinical disease. Cumulative close contact and waning immunity allow M. leprae to establish and damage nerves over years.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India detected 1,07,851 new cases in 2023 and 1,00,957 in 2024, the large majority in adults.</w:t>
            </w:r>
          </w:p>
          <w:p>
            <w:pPr>
              <w:spacing w:after="40" w:line="252" w:lineRule="auto"/>
            </w:pPr>
            <w:hyperlink r:id="rId9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who.int GHO — India new leprosy cases (WHS3_45)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#hansensdisease  #adults  #longincubation  #neuralinvasion</w:t>
            </w:r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655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Children (&lt;15 years)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Leprosy in children signals recent, active community transmission because the incubation clock started only a few years earlier. Paediatric cases also risk lifelong disability if nerve damage is missed.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India reported 5,582 new child cases (&lt;15 y) in 2023, roughly 5% of all new cases.</w:t>
            </w:r>
          </w:p>
          <w:p>
            <w:pPr>
              <w:spacing w:after="40" w:line="252" w:lineRule="auto"/>
            </w:pPr>
            <w:hyperlink r:id="rId10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who.int GHO — India new child leprosy cases (NTD_LEPR8)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#childhoodleprosy  #activetransmission  #earlydetection</w:t>
            </w:r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Sex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Male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Males are diagnosed roughly 1.5-2 times more often than females, partly biological (hormonal and immune differences) and partly due to greater occupational exposure and better health-seeking access; women are often diagnosed later with more disability.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 male-to-female ratio of about 3:2 is typically reported.</w:t>
            </w:r>
          </w:p>
          <w:p>
            <w:pPr>
              <w:spacing w:after="40" w:line="252" w:lineRule="auto"/>
            </w:pPr>
            <w:hyperlink r:id="rId11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ncbi.nlm.nih.gov — StatPearls, Leprosy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#malepredominance  #genderedcaregap  #latediagnosiswomen</w:t>
            </w:r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Socioeconomic status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Low-income, overcrowded households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Poverty concentrates the disease through overcrowding, shared poorly ventilated living space, poor sanitation and undernutrition, which raise both the dose of exposure and individual susceptibility.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Leprosy persists as a disease of the poor and marginalised; endemic pockets cluster in the least-developed districts.</w:t>
            </w:r>
          </w:p>
          <w:p>
            <w:pPr>
              <w:spacing w:after="40" w:line="252" w:lineRule="auto"/>
            </w:pPr>
            <w:hyperlink r:id="rId12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who.int — Leprosy fact sheet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#poverty  #overcrowding  #socialdeterminants  #marginalised</w:t>
            </w:r>
          </w:p>
        </w:tc>
      </w:tr>
      <w:tr>
        <w:trPr>
          <w:cantSplit/>
        </w:trPr>
        <w:tc>
          <w:tcPr>
            <w:tcW w:type="dxa" w:w="1512"/>
            <w:vMerge w:val="restart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Geographic factors</w:t>
            </w: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Region / endemic state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High-endemic Indian states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Transmission is highly focal. A handful of states and districts contribute a disproportionate share of India's new cases, sustaining pockets above the elimination threshold despite national elimination.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Bihar, Chhattisgarh, Odisha, Jharkhand, West Bengal, Maharashtra and Uttar Pradesh carry much of the burden.</w:t>
            </w:r>
          </w:p>
          <w:p>
            <w:pPr>
              <w:spacing w:after="40" w:line="252" w:lineRule="auto"/>
            </w:pPr>
            <w:hyperlink r:id="rId13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dghs.gov.in — National Leprosy Eradication Programme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#endemicpockets  #bihar  #chhattisgarh  #focaltransmission</w:t>
            </w:r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Migration / mobility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Migrant labour &amp; tribal populations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Seasonal migrant workers and remote tribal communities face barriers to early diagnosis and continuous MDT, allowing longer infectious periods and importation of cases into low-endemic areas.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Undetected mobile cases sustain transmission chains and complicate contact tracing.</w:t>
            </w:r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#migrants  #tribalhealth  #accessbarriers  #losttofollowup</w:t>
            </w:r>
          </w:p>
        </w:tc>
      </w:tr>
      <w:tr>
        <w:trPr>
          <w:cantSplit/>
        </w:trPr>
        <w:tc>
          <w:tcPr>
            <w:tcW w:type="dxa" w:w="1512"/>
            <w:vMerge w:val="restart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Lifestyle factors</w:t>
            </w: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Close/household contact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Contacts of an untreated case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Prolonged close contact with an untreated multibacillary patient is the dominant route of transmission; the bacillus spreads mainly through nasal droplets, so shared sleeping quarters matter most.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Household and neighbour contacts have several-fold higher risk than the general population, which is why contacts are examined and offered single-dose rifampicin prophylaxis.</w:t>
            </w:r>
          </w:p>
          <w:p>
            <w:pPr>
              <w:spacing w:after="40" w:line="252" w:lineRule="auto"/>
            </w:pPr>
            <w:hyperlink r:id="rId12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who.int — Leprosy fact sheet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#householdcontacts  #dropletspread  #SDRPEP  #contacttracing</w:t>
            </w:r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Smoking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Tobacco smokers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Smoking promotes oxidative stress, microvascular compromise and immune dysregulation, and is associated with a higher frequency of lepra reactions, neuritis and slower ulcer healing.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Smoking worsens neural inflammation and delays healing of anaesthetic ulcers.</w:t>
            </w:r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#smoking  #oxidativestress  #leprareactions  #poorhealing</w:t>
            </w:r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Alcohol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Heavy alcohol users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Alcohol misuse undermines nutrition and immunity, reduces adherence to the long MDT course, and adds to the hepatotoxic load of rifampicin, increasing treatment complications.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Heavy drinking is linked to poorer MDT adherence and higher default rates.</w:t>
            </w:r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#alcohol  #adherence  #hepatotoxicity  #defaulter</w:t>
            </w:r>
          </w:p>
        </w:tc>
      </w:tr>
      <w:tr>
        <w:trPr>
          <w:cantSplit/>
        </w:trPr>
        <w:tc>
          <w:tcPr>
            <w:tcW w:type="dxa" w:w="1512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Dietary factors</w:t>
            </w: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Undernutrition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Chronically undernourished / low BMI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Protein-energy undernutrition and micronutrient deficiency impair the cell-mediated immunity that contains M. leprae, increasing susceptibility to infection and to progression toward the multibacillary pole.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Low dietary diversity and recent food shortage have been associated with higher leprosy risk in endemic settings.</w:t>
            </w:r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#undernutrition  #lowBMI  #cellmediatedimmunity  #foodinsecurity</w:t>
            </w:r>
          </w:p>
        </w:tc>
      </w:tr>
      <w:tr>
        <w:trPr>
          <w:cantSplit/>
        </w:trPr>
        <w:tc>
          <w:tcPr>
            <w:tcW w:type="dxa" w:w="1512"/>
            <w:vMerge w:val="restart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Genetic factors</w:t>
            </w: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Family history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First-degree relatives of a case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Relatives share both the infectious source and susceptibility genes (HLA, PARK2/PACRG, NOD2, TLR), so familial clustering exceeds what contact alone would predict.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Risk rises with genetic closeness to, and physical proximity of, the index case.</w:t>
            </w:r>
          </w:p>
          <w:p>
            <w:pPr>
              <w:spacing w:after="40" w:line="252" w:lineRule="auto"/>
            </w:pPr>
            <w:hyperlink r:id="rId11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ncbi.nlm.nih.gov — StatPearls, Leprosy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#familyhistory  #HLA  #PARK2  #hostgenetics</w:t>
            </w:r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Immune-response genotype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Susceptibility-gene carriers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Polymorphisms that bias the immune response toward a weak Th1 / Th2-skewed pattern predispose to lepromatous, bacillary-rich disease and to reactions, independent of exposure dose.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Variants in PARK2/PACRG, NOD2, TLR1 and LTA modulate both susceptibility and clinical form.</w:t>
            </w:r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#immunogenetics  #Th1Th2  #NOD2  #lepromatousrisk</w:t>
            </w:r>
          </w:p>
        </w:tc>
      </w:tr>
      <w:tr>
        <w:trPr>
          <w:cantSplit/>
        </w:trPr>
        <w:tc>
          <w:tcPr>
            <w:tcW w:type="dxa" w:w="1512"/>
            <w:vMerge w:val="restart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Medical conditions profile (mcp)</w:t>
            </w: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HIV infection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People living with HIV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HIV co-infection does not greatly raise leprosy incidence but complicates it — immune reconstitution after ART can unmask leprosy or precipitate severe Type 1 reactions and neuritis.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ART-associated immune reconstitution can trigger reactions and accelerate nerve damage.</w:t>
            </w:r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#HIV  #IRIS  #reversalreaction  #coinfection</w:t>
            </w:r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Diabetes mellitus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Diabetics with leprosy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Diabetic peripheral neuropathy and microvascular disease compound leprous nerve damage, worsening sensory loss, plantar ulceration and infection risk; India's high diabetes prevalence makes overlap common.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Coexisting diabetes accelerates ulcer formation and impairs wound healing in anaesthetic feet.</w:t>
            </w:r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#diabetes  #doubleneuropathy  #plantarulcer  #Indiaburden</w:t>
            </w:r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Tuberculosis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Mycobacterial co-infection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Leprosy and tuberculosis share the mycobacterial genus and risk environment; co-infection complicates therapy because rifampicin is central to both regimens and drug interactions/toxicity must be managed.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TB-leprosy co-infection requires careful, non-overlapping multidrug regimens.</w:t>
            </w:r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#tuberculosis  #mycobacteria  #rifampicin  #drugoverlap</w:t>
            </w:r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Pregnancy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Pregnant &amp; post-partum women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The physiological immunosuppression of pregnancy and the immune rebound after delivery are classic triggers for the onset, relapse or reaction of leprosy, often with new nerve damage in the post-partum period.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Pregnancy and the puerperium frequently precipitate lepra reactions and neuritis.</w:t>
            </w:r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#pregnancy  #immunemodulation  #postpartumreaction  #neuritis</w:t>
            </w:r>
          </w:p>
        </w:tc>
      </w:tr>
    </w:tbl>
    <w:p>
      <w:pPr>
        <w:spacing w:before="200" w:after="120"/>
      </w:pPr>
      <w:r>
        <w:rPr>
          <w:rFonts w:ascii="Calibri" w:hAnsi="Calibri"/>
          <w:b/>
          <w:i w:val="0"/>
          <w:color w:val="212121"/>
          <w:sz w:val="25"/>
        </w:rPr>
        <w:t>Lifestyle Health Parameters ( LHP )</w:t>
      </w:r>
    </w:p>
    <w:p>
      <w:pPr>
        <w:spacing w:before="160" w:after="120"/>
      </w:pPr>
      <w:r>
        <w:rPr>
          <w:rFonts w:ascii="Calibri" w:hAnsi="Calibri"/>
          <w:b/>
          <w:i w:val="0"/>
          <w:color w:val="212121"/>
          <w:sz w:val="22"/>
        </w:rPr>
        <w:t>Order of Parameter Influence Study</w:t>
      </w:r>
    </w:p>
    <w:tbl>
      <w:tblPr>
        <w:tblW w:type="dxa" w:w="9604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202"/>
        <w:gridCol w:w="3202"/>
        <w:gridCol w:w="3202"/>
      </w:tblGrid>
      <w:tr>
        <w:trPr>
          <w:cantSplit/>
        </w:trPr>
        <w:tc>
          <w:tcPr>
            <w:tcW w:type="dxa" w:w="2304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LHP</w:t>
            </w:r>
          </w:p>
        </w:tc>
        <w:tc>
          <w:tcPr>
            <w:tcW w:type="dxa" w:w="180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Influence Level</w:t>
            </w:r>
          </w:p>
        </w:tc>
        <w:tc>
          <w:tcPr>
            <w:tcW w:type="dxa" w:w="550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Influence Study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Physical activity</w:t>
            </w:r>
          </w:p>
        </w:tc>
        <w:tc>
          <w:tcPr>
            <w:tcW w:type="dxa" w:w="18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Low</w:t>
            </w:r>
          </w:p>
        </w:tc>
        <w:tc>
          <w:tcPr>
            <w:tcW w:type="dxa" w:w="55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Physical activity is not a risk factor for acquiring leprosy, but it is central to rehabilitation: range-of-motion and strengthening exercises prevent contractures in paralysed hands and feet, and inactivity accelerates deformity after nerve damage.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Food</w:t>
            </w:r>
          </w:p>
        </w:tc>
        <w:tc>
          <w:tcPr>
            <w:tcW w:type="dxa" w:w="18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Medium</w:t>
            </w:r>
          </w:p>
        </w:tc>
        <w:tc>
          <w:tcPr>
            <w:tcW w:type="dxa" w:w="55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Protein-energy undernutrition and micronutrient deficiency weaken the cell-mediated immunity that contains M. leprae; poor nutrition is associated with higher susceptibility, more multibacillary disease and more reactions in endemic communities.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Sleep</w:t>
            </w:r>
          </w:p>
        </w:tc>
        <w:tc>
          <w:tcPr>
            <w:tcW w:type="dxa" w:w="18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Low</w:t>
            </w:r>
          </w:p>
        </w:tc>
        <w:tc>
          <w:tcPr>
            <w:tcW w:type="dxa" w:w="55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No direct link to acquisition; chronic sleep deprivation impairs immune function generally, and pain from neuritis or ENL frequently disrupts sleep during reactions.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Smoking</w:t>
            </w:r>
          </w:p>
        </w:tc>
        <w:tc>
          <w:tcPr>
            <w:tcW w:type="dxa" w:w="18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Medium</w:t>
            </w:r>
          </w:p>
        </w:tc>
        <w:tc>
          <w:tcPr>
            <w:tcW w:type="dxa" w:w="55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Smoking is associated with a higher frequency of lepra reactions and neuritis through oxidative stress and microvascular compromise, and it slows healing of anaesthetic ulcers.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Alcohol</w:t>
            </w:r>
          </w:p>
        </w:tc>
        <w:tc>
          <w:tcPr>
            <w:tcW w:type="dxa" w:w="18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Low</w:t>
            </w:r>
          </w:p>
        </w:tc>
        <w:tc>
          <w:tcPr>
            <w:tcW w:type="dxa" w:w="55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Alcohol misuse reduces adherence to the long MDT course, worsens nutrition and immunity, and adds to rifampicin-related hepatotoxicity, raising the risk of treatment default and toxicity.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Mental health</w:t>
            </w:r>
          </w:p>
        </w:tc>
        <w:tc>
          <w:tcPr>
            <w:tcW w:type="dxa" w:w="18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Medium</w:t>
            </w:r>
          </w:p>
        </w:tc>
        <w:tc>
          <w:tcPr>
            <w:tcW w:type="dxa" w:w="55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Stigma-related depression, anxiety and social isolation are highly prevalent in leprosy; poor mental health delays care-seeking, reduces adherence and worsens disability outcomes.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Water</w:t>
            </w:r>
          </w:p>
        </w:tc>
        <w:tc>
          <w:tcPr>
            <w:tcW w:type="dxa" w:w="18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Low</w:t>
            </w:r>
          </w:p>
        </w:tc>
        <w:tc>
          <w:tcPr>
            <w:tcW w:type="dxa" w:w="55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Water is not a transmission route, but clean water and soaking are essential for daily self-care of anaesthetic hands and feet to prevent cracking, ulceration and secondary infection.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Caffeine</w:t>
            </w:r>
          </w:p>
        </w:tc>
        <w:tc>
          <w:tcPr>
            <w:tcW w:type="dxa" w:w="18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Low</w:t>
            </w:r>
          </w:p>
        </w:tc>
        <w:tc>
          <w:tcPr>
            <w:tcW w:type="dxa" w:w="55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No established association between caffeine intake and leprosy risk, course or reactions.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Hygiene</w:t>
            </w:r>
          </w:p>
        </w:tc>
        <w:tc>
          <w:tcPr>
            <w:tcW w:type="dxa" w:w="18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Medium</w:t>
            </w:r>
          </w:p>
        </w:tc>
        <w:tc>
          <w:tcPr>
            <w:tcW w:type="dxa" w:w="55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Personal hygiene and structured self-care (inspection, cleaning, oiling, protecting insensate skin) are critical to prevent trophic ulcers, secondary infection and progressive disability.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Provoking factors</w:t>
            </w:r>
          </w:p>
        </w:tc>
        <w:tc>
          <w:tcPr>
            <w:tcW w:type="dxa" w:w="18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High</w:t>
            </w:r>
          </w:p>
        </w:tc>
        <w:tc>
          <w:tcPr>
            <w:tcW w:type="dxa" w:w="55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Lepra reactions (Type 1 reversal and Type 2/ENL) are provoked by pregnancy and the puerperium, intercurrent infections, physical/emotional stress, vaccination and the start of MDT; they are the leading cause of acute nerve damage and disability.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Posture</w:t>
            </w:r>
          </w:p>
        </w:tc>
        <w:tc>
          <w:tcPr>
            <w:tcW w:type="dxa" w:w="18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Low</w:t>
            </w:r>
          </w:p>
        </w:tc>
        <w:tc>
          <w:tcPr>
            <w:tcW w:type="dxa" w:w="55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Repetitive pressure and unnoticed trauma on anaesthetic plantar surfaces and hands cause trophic ulcers; attention to gait, weight distribution and protective footwear reduces ulceration.</w:t>
            </w:r>
          </w:p>
        </w:tc>
      </w:tr>
    </w:tbl>
    <w:p>
      <w:pPr>
        <w:spacing w:before="160" w:after="120"/>
      </w:pPr>
      <w:r>
        <w:rPr>
          <w:rFonts w:ascii="Calibri" w:hAnsi="Calibri"/>
          <w:b/>
          <w:i w:val="0"/>
          <w:color w:val="212121"/>
          <w:sz w:val="22"/>
        </w:rPr>
        <w:t>LHP Metric Triggers &amp; Specifications</w:t>
      </w:r>
    </w:p>
    <w:tbl>
      <w:tblPr>
        <w:tblW w:type="dxa" w:w="9604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601"/>
        <w:gridCol w:w="1601"/>
        <w:gridCol w:w="1601"/>
        <w:gridCol w:w="1601"/>
        <w:gridCol w:w="1601"/>
        <w:gridCol w:w="1601"/>
      </w:tblGrid>
      <w:tr>
        <w:trPr>
          <w:cantSplit/>
        </w:trPr>
        <w:tc>
          <w:tcPr>
            <w:tcW w:type="dxa" w:w="1512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LHP</w:t>
            </w:r>
          </w:p>
        </w:tc>
        <w:tc>
          <w:tcPr>
            <w:tcW w:type="dxa" w:w="1944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Metric</w:t>
            </w:r>
          </w:p>
        </w:tc>
        <w:tc>
          <w:tcPr>
            <w:tcW w:type="dxa" w:w="1655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Profile</w:t>
            </w:r>
          </w:p>
        </w:tc>
        <w:tc>
          <w:tcPr>
            <w:tcW w:type="dxa" w:w="1512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Ideal Values</w:t>
            </w:r>
          </w:p>
        </w:tc>
        <w:tc>
          <w:tcPr>
            <w:tcW w:type="dxa" w:w="1512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Trigger Values</w:t>
            </w:r>
          </w:p>
        </w:tc>
        <w:tc>
          <w:tcPr>
            <w:tcW w:type="dxa" w:w="1468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Note</w:t>
            </w:r>
          </w:p>
        </w:tc>
      </w:tr>
      <w:tr>
        <w:trPr>
          <w:cantSplit/>
        </w:trPr>
        <w:tc>
          <w:tcPr>
            <w:tcW w:type="dxa" w:w="1512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Food</w:t>
            </w:r>
          </w:p>
        </w:tc>
        <w:tc>
          <w:tcPr>
            <w:tcW w:type="dxa" w:w="194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Body Mass Index (kg/m²)</w:t>
            </w:r>
          </w:p>
        </w:tc>
        <w:tc>
          <w:tcPr>
            <w:tcW w:type="dxa" w:w="165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Adults, contacts, undernourished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18.5-24.9 kg/m²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&lt; 18.5 kg/m² (undernutrition)</w:t>
            </w:r>
          </w:p>
        </w:tc>
        <w:tc>
          <w:tcPr>
            <w:tcW w:type="dxa" w:w="146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Undernutrition impairs cell-mediated immunity and favours multibacillary disease</w:t>
            </w:r>
          </w:p>
        </w:tc>
      </w:tr>
      <w:tr>
        <w:trPr>
          <w:cantSplit/>
        </w:trPr>
        <w:tc>
          <w:tcPr>
            <w:tcW w:type="dxa" w:w="1512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Hygiene</w:t>
            </w:r>
          </w:p>
        </w:tc>
        <w:tc>
          <w:tcPr>
            <w:tcW w:type="dxa" w:w="194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Daily skin/foot self-inspection</w:t>
            </w:r>
          </w:p>
        </w:tc>
        <w:tc>
          <w:tcPr>
            <w:tcW w:type="dxa" w:w="165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Patients with sensory loss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Once daily, no new wounds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Missed inspection; new blister/ulcer/crack</w:t>
            </w:r>
          </w:p>
        </w:tc>
        <w:tc>
          <w:tcPr>
            <w:tcW w:type="dxa" w:w="146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Insensate skin must be checked daily to catch injury before it ulcerates</w:t>
            </w:r>
          </w:p>
        </w:tc>
      </w:tr>
      <w:tr>
        <w:trPr>
          <w:cantSplit/>
        </w:trPr>
        <w:tc>
          <w:tcPr>
            <w:tcW w:type="dxa" w:w="1512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Physical activity</w:t>
            </w:r>
          </w:p>
        </w:tc>
        <w:tc>
          <w:tcPr>
            <w:tcW w:type="dxa" w:w="194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Eye-Hand-Foot (EHF) disability sum score</w:t>
            </w:r>
          </w:p>
        </w:tc>
        <w:tc>
          <w:tcPr>
            <w:tcW w:type="dxa" w:w="165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All diagnosed patients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0 (no impairment)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Any grade-2 (visible) impairment</w:t>
            </w:r>
          </w:p>
        </w:tc>
        <w:tc>
          <w:tcPr>
            <w:tcW w:type="dxa" w:w="1468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Rising EHF score signals progressive nerve damage needing urgent action</w:t>
            </w:r>
          </w:p>
          <w:p>
            <w:pPr>
              <w:spacing w:after="40" w:line="252" w:lineRule="auto"/>
            </w:pPr>
            <w:hyperlink r:id="rId14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https://ghoapi.azureedge.net/api/NTD_LEPR5?$filter=SpatialDim%20eq%20%27IND%27</w:t>
              </w:r>
            </w:hyperlink>
          </w:p>
        </w:tc>
      </w:tr>
      <w:tr>
        <w:trPr>
          <w:cantSplit/>
        </w:trPr>
        <w:tc>
          <w:tcPr>
            <w:tcW w:type="dxa" w:w="1512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Hygiene</w:t>
            </w:r>
          </w:p>
        </w:tc>
        <w:tc>
          <w:tcPr>
            <w:tcW w:type="dxa" w:w="194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Sensory testing (Semmes-Weinstein monofilament)</w:t>
            </w:r>
          </w:p>
        </w:tc>
        <w:tc>
          <w:tcPr>
            <w:tcW w:type="dxa" w:w="165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Hands &amp; feet of patients/contacts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Feels 10 g (2 g hand) filament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Cannot feel filament at any site</w:t>
            </w:r>
          </w:p>
        </w:tc>
        <w:tc>
          <w:tcPr>
            <w:tcW w:type="dxa" w:w="146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Detects early nerve impairment before deformity</w:t>
            </w:r>
          </w:p>
        </w:tc>
      </w:tr>
      <w:tr>
        <w:trPr>
          <w:cantSplit/>
        </w:trPr>
        <w:tc>
          <w:tcPr>
            <w:tcW w:type="dxa" w:w="1512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Provoking factors</w:t>
            </w:r>
          </w:p>
        </w:tc>
        <w:tc>
          <w:tcPr>
            <w:tcW w:type="dxa" w:w="194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Voluntary Muscle Testing (VMT) grade</w:t>
            </w:r>
          </w:p>
        </w:tc>
        <w:tc>
          <w:tcPr>
            <w:tcW w:type="dxa" w:w="165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Ulnar/median/peroneal/facial nerves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Grade 5 (full power)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Any drop of ≥1 grade</w:t>
            </w:r>
          </w:p>
        </w:tc>
        <w:tc>
          <w:tcPr>
            <w:tcW w:type="dxa" w:w="146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New motor loss during a reaction is a neuritis emergency needing steroids</w:t>
            </w:r>
          </w:p>
        </w:tc>
      </w:tr>
      <w:tr>
        <w:trPr>
          <w:cantSplit/>
        </w:trPr>
        <w:tc>
          <w:tcPr>
            <w:tcW w:type="dxa" w:w="1512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Food</w:t>
            </w:r>
          </w:p>
        </w:tc>
        <w:tc>
          <w:tcPr>
            <w:tcW w:type="dxa" w:w="194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Slit-skin smear Bacterial Index (BI)</w:t>
            </w:r>
          </w:p>
        </w:tc>
        <w:tc>
          <w:tcPr>
            <w:tcW w:type="dxa" w:w="165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Suspected multibacillary disease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0 (no bacilli)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BI ≥ 1+ (positive smear)</w:t>
            </w:r>
          </w:p>
        </w:tc>
        <w:tc>
          <w:tcPr>
            <w:tcW w:type="dxa" w:w="1468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Confirms MB classification and 12-month MDT; monitors bacterial load</w:t>
            </w:r>
          </w:p>
          <w:p>
            <w:pPr>
              <w:spacing w:after="40" w:line="252" w:lineRule="auto"/>
            </w:pPr>
            <w:hyperlink r:id="rId11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https://www.ncbi.nlm.nih.gov/books/NBK559307/</w:t>
              </w:r>
            </w:hyperlink>
          </w:p>
        </w:tc>
      </w:tr>
      <w:tr>
        <w:trPr>
          <w:cantSplit/>
        </w:trPr>
        <w:tc>
          <w:tcPr>
            <w:tcW w:type="dxa" w:w="1512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Smoking</w:t>
            </w:r>
          </w:p>
        </w:tc>
        <w:tc>
          <w:tcPr>
            <w:tcW w:type="dxa" w:w="194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Cigarettes per day</w:t>
            </w:r>
          </w:p>
        </w:tc>
        <w:tc>
          <w:tcPr>
            <w:tcW w:type="dxa" w:w="165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Patients with reactions/ulcers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0 cigarettes/day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≥ 1 cigarette/day</w:t>
            </w:r>
          </w:p>
        </w:tc>
        <w:tc>
          <w:tcPr>
            <w:tcW w:type="dxa" w:w="146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Smoking increases reactions/neuritis and delays ulcer healing</w:t>
            </w:r>
          </w:p>
        </w:tc>
      </w:tr>
      <w:tr>
        <w:trPr>
          <w:cantSplit/>
        </w:trPr>
        <w:tc>
          <w:tcPr>
            <w:tcW w:type="dxa" w:w="1512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Alcohol</w:t>
            </w:r>
          </w:p>
        </w:tc>
        <w:tc>
          <w:tcPr>
            <w:tcW w:type="dxa" w:w="194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Standard drinks per week</w:t>
            </w:r>
          </w:p>
        </w:tc>
        <w:tc>
          <w:tcPr>
            <w:tcW w:type="dxa" w:w="165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Patients on MDT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0-≤ 7 drinks/week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&gt; 14 drinks/week</w:t>
            </w:r>
          </w:p>
        </w:tc>
        <w:tc>
          <w:tcPr>
            <w:tcW w:type="dxa" w:w="146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Excess alcohol worsens rifampicin hepatotoxicity and MDT adherence</w:t>
            </w:r>
          </w:p>
        </w:tc>
      </w:tr>
      <w:tr>
        <w:trPr>
          <w:cantSplit/>
        </w:trPr>
        <w:tc>
          <w:tcPr>
            <w:tcW w:type="dxa" w:w="1512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Mental health</w:t>
            </w:r>
          </w:p>
        </w:tc>
        <w:tc>
          <w:tcPr>
            <w:tcW w:type="dxa" w:w="194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Stigma / depression screen (e.g., PHQ-9)</w:t>
            </w:r>
          </w:p>
        </w:tc>
        <w:tc>
          <w:tcPr>
            <w:tcW w:type="dxa" w:w="165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All patients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Minimal symptoms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Moderate-severe symptoms</w:t>
            </w:r>
          </w:p>
        </w:tc>
        <w:tc>
          <w:tcPr>
            <w:tcW w:type="dxa" w:w="146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Untreated distress reduces adherence and self-care; refer for support</w:t>
            </w:r>
          </w:p>
        </w:tc>
      </w:tr>
      <w:tr>
        <w:trPr>
          <w:cantSplit/>
        </w:trPr>
        <w:tc>
          <w:tcPr>
            <w:tcW w:type="dxa" w:w="1512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Hygiene</w:t>
            </w:r>
          </w:p>
        </w:tc>
        <w:tc>
          <w:tcPr>
            <w:tcW w:type="dxa" w:w="194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Household contacts examined &amp; prophylaxed</w:t>
            </w:r>
          </w:p>
        </w:tc>
        <w:tc>
          <w:tcPr>
            <w:tcW w:type="dxa" w:w="165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Contacts of index case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All contacts screened; eligible offered SDR-PEP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Any contact unexamined</w:t>
            </w:r>
          </w:p>
        </w:tc>
        <w:tc>
          <w:tcPr>
            <w:tcW w:type="dxa" w:w="1468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Contact tracing and single-dose rifampicin interrupt transmission</w:t>
            </w:r>
          </w:p>
          <w:p>
            <w:pPr>
              <w:spacing w:after="40" w:line="252" w:lineRule="auto"/>
            </w:pPr>
            <w:hyperlink r:id="rId12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https://www.who.int/news-room/fact-sheets/detail/leprosy</w:t>
              </w:r>
            </w:hyperlink>
          </w:p>
        </w:tc>
      </w:tr>
    </w:tbl>
    <w:p>
      <w:pPr>
        <w:spacing w:before="200" w:after="120"/>
      </w:pPr>
      <w:r>
        <w:rPr>
          <w:rFonts w:ascii="Calibri" w:hAnsi="Calibri"/>
          <w:b/>
          <w:i w:val="0"/>
          <w:color w:val="212121"/>
          <w:sz w:val="25"/>
        </w:rPr>
        <w:t>Traditional Health Parameters ( THP )</w:t>
      </w:r>
    </w:p>
    <w:p>
      <w:pPr>
        <w:spacing w:before="160" w:after="120"/>
      </w:pPr>
      <w:r>
        <w:rPr>
          <w:rFonts w:ascii="Calibri" w:hAnsi="Calibri"/>
          <w:b/>
          <w:i w:val="0"/>
          <w:color w:val="212121"/>
          <w:sz w:val="22"/>
        </w:rPr>
        <w:t>Quantitative THP</w:t>
      </w:r>
    </w:p>
    <w:tbl>
      <w:tblPr>
        <w:tblW w:type="dxa" w:w="9792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873"/>
        <w:gridCol w:w="873"/>
        <w:gridCol w:w="873"/>
        <w:gridCol w:w="873"/>
        <w:gridCol w:w="873"/>
        <w:gridCol w:w="873"/>
        <w:gridCol w:w="873"/>
        <w:gridCol w:w="873"/>
        <w:gridCol w:w="873"/>
        <w:gridCol w:w="873"/>
        <w:gridCol w:w="873"/>
      </w:tblGrid>
      <w:tr>
        <w:trPr>
          <w:cantSplit/>
        </w:trPr>
        <w:tc>
          <w:tcPr>
            <w:tcW w:type="dxa" w:w="892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Diagnostic workup</w:t>
            </w:r>
          </w:p>
        </w:tc>
        <w:tc>
          <w:tcPr>
            <w:tcW w:type="dxa" w:w="835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Tests</w:t>
            </w:r>
          </w:p>
        </w:tc>
        <w:tc>
          <w:tcPr>
            <w:tcW w:type="dxa" w:w="1036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Parameter</w:t>
            </w:r>
          </w:p>
        </w:tc>
        <w:tc>
          <w:tcPr>
            <w:tcW w:type="dxa" w:w="892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THP</w:t>
            </w:r>
          </w:p>
        </w:tc>
        <w:tc>
          <w:tcPr>
            <w:tcW w:type="dxa" w:w="95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Normal values</w:t>
            </w:r>
          </w:p>
        </w:tc>
        <w:tc>
          <w:tcPr>
            <w:tcW w:type="dxa" w:w="95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Abnormal values</w:t>
            </w:r>
          </w:p>
        </w:tc>
        <w:tc>
          <w:tcPr>
            <w:tcW w:type="dxa" w:w="1036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Interpretation</w:t>
            </w:r>
          </w:p>
        </w:tc>
        <w:tc>
          <w:tcPr>
            <w:tcW w:type="dxa" w:w="1036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Profiles</w:t>
            </w:r>
          </w:p>
        </w:tc>
        <w:tc>
          <w:tcPr>
            <w:tcW w:type="dxa" w:w="72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LHP</w:t>
            </w:r>
          </w:p>
        </w:tc>
        <w:tc>
          <w:tcPr>
            <w:tcW w:type="dxa" w:w="72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Importance</w:t>
            </w:r>
          </w:p>
        </w:tc>
        <w:tc>
          <w:tcPr>
            <w:tcW w:type="dxa" w:w="72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Note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Investigation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Bacteriological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Bacterial Index &amp; Morphological Index</w:t>
            </w:r>
          </w:p>
        </w:tc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Slit-Skin Smear (Ziehl-Neelsen/Fite)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BI = 0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BI 1+ to 6+ (positive)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Positive smear confirms and grades multibacillary disease; MI reflects viable bacilli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Suspected MB, relapse, treatment monitoring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Hygiene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Gold standard (classification)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Sample from ear lobe and active lesions; operator-dependent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Investigation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Histopathology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Granuloma type &amp; acid-fast bacilli</w:t>
            </w:r>
          </w:p>
        </w:tc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Skin/Nerve Biopsy (Fite-Faraco stain)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No granuloma, no AFB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Epithelioid/foamy granuloma; AFB present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Defines Ridley-Jopling class and resolves atypical or smear-negative cases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Indeterminate, borderline, pure neuritic, atypical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NA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Confirmatory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Fite stain needed to see M. leprae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Investigation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Molecular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M. leprae DNA (RLEP PCR)</w:t>
            </w:r>
          </w:p>
        </w:tc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PCR / qPCR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Not detected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M. leprae DNA detected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High sensitivity/specificity in smear-negative, neuritic or paediatric cases; can flag drug resistance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Pure neuritic, paucibacillary, children, resistance query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NA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Adjunct (sensitivity &gt;90%)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Also used for rifampicin/dapsone resistance mutations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Investigation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Serology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Anti-PGL-1 antibody</w:t>
            </w:r>
          </w:p>
        </w:tc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ELISA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Low/negative titre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Elevated titre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Correlates with bacillary load; supports MB classification and contact risk stratification, not diagnosis alone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MB patients, household contacts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NA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Supportive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Often negative in paucibacillary disease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Investigation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Electrophysiology / imaging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Nerve conduction &amp; thickness</w:t>
            </w:r>
          </w:p>
        </w:tc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NCS + high-resolution nerve ultrasound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Normal conduction; nerve not thickened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Reduced conduction; thickened nerve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Objectively documents peripheral nerve involvement, including in pure neuritic leprosy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Pure neuritic, neuritis, disability grading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Physical activity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Adjunct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Ulnar and common peroneal most often affected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Investigation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Pre-treatment safety labs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Hb, G6PD, LFTs</w:t>
            </w:r>
          </w:p>
        </w:tc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CBC, G6PD assay, liver function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Hb normal; G6PD normal; LFTs normal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Anaemia; G6PD deficiency; deranged LFTs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Guides safe MDT: dapsone causes haemolysis (esp. G6PD deficiency); rifampicin/clofazimine affect liver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All patients before starting MDT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Alcohol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Safety baseline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Screen G6PD before dapsone where feasible</w:t>
            </w:r>
          </w:p>
        </w:tc>
      </w:tr>
    </w:tbl>
    <w:p>
      <w:pPr>
        <w:spacing w:before="160" w:after="120"/>
      </w:pPr>
      <w:r>
        <w:rPr>
          <w:rFonts w:ascii="Calibri" w:hAnsi="Calibri"/>
          <w:b/>
          <w:i w:val="0"/>
          <w:color w:val="212121"/>
          <w:sz w:val="22"/>
        </w:rPr>
        <w:t>Qualitative THP</w:t>
      </w:r>
    </w:p>
    <w:tbl>
      <w:tblPr>
        <w:tblW w:type="dxa" w:w="9792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873"/>
        <w:gridCol w:w="873"/>
        <w:gridCol w:w="873"/>
        <w:gridCol w:w="873"/>
        <w:gridCol w:w="873"/>
        <w:gridCol w:w="873"/>
        <w:gridCol w:w="873"/>
        <w:gridCol w:w="873"/>
        <w:gridCol w:w="873"/>
        <w:gridCol w:w="873"/>
        <w:gridCol w:w="873"/>
      </w:tblGrid>
      <w:tr>
        <w:trPr>
          <w:cantSplit/>
        </w:trPr>
        <w:tc>
          <w:tcPr>
            <w:tcW w:type="dxa" w:w="892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Diagnostic Workup</w:t>
            </w:r>
          </w:p>
        </w:tc>
        <w:tc>
          <w:tcPr>
            <w:tcW w:type="dxa" w:w="835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Tests</w:t>
            </w:r>
          </w:p>
        </w:tc>
        <w:tc>
          <w:tcPr>
            <w:tcW w:type="dxa" w:w="95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THP</w:t>
            </w:r>
          </w:p>
        </w:tc>
        <w:tc>
          <w:tcPr>
            <w:tcW w:type="dxa" w:w="979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Parameter</w:t>
            </w:r>
          </w:p>
        </w:tc>
        <w:tc>
          <w:tcPr>
            <w:tcW w:type="dxa" w:w="95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Normal findings</w:t>
            </w:r>
          </w:p>
        </w:tc>
        <w:tc>
          <w:tcPr>
            <w:tcW w:type="dxa" w:w="95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Abnormal findings</w:t>
            </w:r>
          </w:p>
        </w:tc>
        <w:tc>
          <w:tcPr>
            <w:tcW w:type="dxa" w:w="1036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Interpretation</w:t>
            </w:r>
          </w:p>
        </w:tc>
        <w:tc>
          <w:tcPr>
            <w:tcW w:type="dxa" w:w="1036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Profiles</w:t>
            </w:r>
          </w:p>
        </w:tc>
        <w:tc>
          <w:tcPr>
            <w:tcW w:type="dxa" w:w="72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LHP</w:t>
            </w:r>
          </w:p>
        </w:tc>
        <w:tc>
          <w:tcPr>
            <w:tcW w:type="dxa" w:w="72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Importance</w:t>
            </w:r>
          </w:p>
        </w:tc>
        <w:tc>
          <w:tcPr>
            <w:tcW w:type="dxa" w:w="72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Note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Clinical Examination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History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Chief complaints</w:t>
            </w:r>
          </w:p>
        </w:tc>
        <w:tc>
          <w:tcPr>
            <w:tcW w:type="dxa" w:w="979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Numb skin patch, tingling, weakness, painless wound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None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Any one or more present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Sensory loss over a skin lesion or in a nerve territory is the hallmark presentation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Patients from endemic areas, contacts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Hygiene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Screening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Painless burns/ulcers are a red flag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Clinical Examination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Sensory testing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Lesion &amp; limb sensation</w:t>
            </w:r>
          </w:p>
        </w:tc>
        <w:tc>
          <w:tcPr>
            <w:tcW w:type="dxa" w:w="979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Temperature, light touch, pain, monofilament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Intact sensation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Loss over lesion or glove-and-stocking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Definite sensory loss is one of the three WHO cardinal signs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All suspects and contacts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Hygiene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Cardinal sign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Test temperature first (earliest lost)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Clinical Examination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Nerve palpation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Peripheral nerve trunks</w:t>
            </w:r>
          </w:p>
        </w:tc>
        <w:tc>
          <w:tcPr>
            <w:tcW w:type="dxa" w:w="979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Ulnar, median, common peroneal, posterior tibial, greater auricular, facial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Not thickened, non-tender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Thickened, tender or with deficit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Thickened nerve with sensory/motor loss is a WHO cardinal sign; tenderness suggests neuritis/reaction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All suspects, reaction assessment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Provoking factors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Cardinal sign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Compare both sides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Clinical Examination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Motor testing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Voluntary Muscle Testing (VMT)</w:t>
            </w:r>
          </w:p>
        </w:tc>
        <w:tc>
          <w:tcPr>
            <w:tcW w:type="dxa" w:w="979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Grip, finger abduction, wrist/foot dorsiflexion, eye closure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Full power (grade 5)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Weakness / claw hand / foot drop / lagophthalmos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Detects and grades motor nerve damage; new loss during reaction is an emergency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All patients, follow-up during MDT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Physical activity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Disability grading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Document at every visit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Clinical Examination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Skin &amp; general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Lesion count and morphology</w:t>
            </w:r>
          </w:p>
        </w:tc>
        <w:tc>
          <w:tcPr>
            <w:tcW w:type="dxa" w:w="979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Number/type of lesions, nodules, infiltration, madarosis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Normal skin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≤5 vs &gt;5 lesions; nodules; leonine facies; loss of eyebrows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Lesion count drives WHO PB/MB classification and therapy duration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All suspects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Food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Classification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Whole-skin exam in good light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Clinical Examination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Eye &amp; disability exam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Ocular and deformity assessment</w:t>
            </w:r>
          </w:p>
        </w:tc>
        <w:tc>
          <w:tcPr>
            <w:tcW w:type="dxa" w:w="979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Lagophthalmos, corneal sensation, existing deformities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No impairment (grade 0)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Visible deformity/damage (grade 2)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Grade-2 disability at diagnosis indicates late detection and drives disability statistics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All patients at diagnosis and follow-up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Hygiene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Prognostic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India recorded 2,335 grade-2 cases in 2023</w:t>
            </w:r>
          </w:p>
        </w:tc>
      </w:tr>
    </w:tbl>
    <w:p>
      <w:pPr>
        <w:spacing w:before="200" w:after="120"/>
      </w:pPr>
      <w:r>
        <w:rPr>
          <w:rFonts w:ascii="Calibri" w:hAnsi="Calibri"/>
          <w:b/>
          <w:i w:val="0"/>
          <w:color w:val="212121"/>
          <w:sz w:val="25"/>
        </w:rPr>
        <w:t>Clinical features</w:t>
      </w:r>
    </w:p>
    <w:p>
      <w:pPr>
        <w:spacing w:before="160" w:after="120"/>
      </w:pPr>
      <w:r>
        <w:rPr>
          <w:rFonts w:ascii="Calibri" w:hAnsi="Calibri"/>
          <w:b/>
          <w:i w:val="0"/>
          <w:color w:val="212121"/>
          <w:sz w:val="22"/>
        </w:rPr>
        <w:t>Symptoms</w:t>
      </w:r>
    </w:p>
    <w:tbl>
      <w:tblPr>
        <w:tblW w:type="dxa" w:w="9604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202"/>
        <w:gridCol w:w="3202"/>
        <w:gridCol w:w="3202"/>
      </w:tblGrid>
      <w:tr>
        <w:trPr>
          <w:cantSplit/>
        </w:trPr>
        <w:tc>
          <w:tcPr>
            <w:tcW w:type="dxa" w:w="2304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Symptom</w:t>
            </w:r>
          </w:p>
        </w:tc>
        <w:tc>
          <w:tcPr>
            <w:tcW w:type="dxa" w:w="1584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Type</w:t>
            </w:r>
          </w:p>
        </w:tc>
        <w:tc>
          <w:tcPr>
            <w:tcW w:type="dxa" w:w="5716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Note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Hypopigmented or reddish skin patch</w:t>
            </w:r>
          </w:p>
        </w:tc>
        <w:tc>
          <w:tcPr>
            <w:tcW w:type="dxa" w:w="158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Common</w:t>
            </w:r>
          </w:p>
        </w:tc>
        <w:tc>
          <w:tcPr>
            <w:tcW w:type="dxa" w:w="571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 pale or coppery macule/plaque, often the first sign, that is dry and does not itch.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Loss of sensation over the patch</w:t>
            </w:r>
          </w:p>
        </w:tc>
        <w:tc>
          <w:tcPr>
            <w:tcW w:type="dxa" w:w="158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Common</w:t>
            </w:r>
          </w:p>
        </w:tc>
        <w:tc>
          <w:tcPr>
            <w:tcW w:type="dxa" w:w="571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Definite anaesthesia (temperature, then touch and pain) within the lesion — the diagnostic hallmark.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Numbness / tingling of hands and feet</w:t>
            </w:r>
          </w:p>
        </w:tc>
        <w:tc>
          <w:tcPr>
            <w:tcW w:type="dxa" w:w="158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Common</w:t>
            </w:r>
          </w:p>
        </w:tc>
        <w:tc>
          <w:tcPr>
            <w:tcW w:type="dxa" w:w="571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Glove-and-stocking paraesthesia from peripheral nerve involvement.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Painless wounds, blisters or burns</w:t>
            </w:r>
          </w:p>
        </w:tc>
        <w:tc>
          <w:tcPr>
            <w:tcW w:type="dxa" w:w="158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Common</w:t>
            </w:r>
          </w:p>
        </w:tc>
        <w:tc>
          <w:tcPr>
            <w:tcW w:type="dxa" w:w="571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Injuries go unnoticed on insensate skin, leading to trophic ulcers.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Muscle weakness / clumsiness</w:t>
            </w:r>
          </w:p>
        </w:tc>
        <w:tc>
          <w:tcPr>
            <w:tcW w:type="dxa" w:w="158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Common</w:t>
            </w:r>
          </w:p>
        </w:tc>
        <w:tc>
          <w:tcPr>
            <w:tcW w:type="dxa" w:w="571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Weak grip, difficulty holding objects or a dropping foot from motor nerve damage.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Dry skin / reduced sweating over lesions</w:t>
            </w:r>
          </w:p>
        </w:tc>
        <w:tc>
          <w:tcPr>
            <w:tcW w:type="dxa" w:w="158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Common</w:t>
            </w:r>
          </w:p>
        </w:tc>
        <w:tc>
          <w:tcPr>
            <w:tcW w:type="dxa" w:w="571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Autonomic nerve damage causes anhidrosis and cracking of the affected skin.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Loss of eyebrows/eyelashes (madarosis)</w:t>
            </w:r>
          </w:p>
        </w:tc>
        <w:tc>
          <w:tcPr>
            <w:tcW w:type="dxa" w:w="158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Less common</w:t>
            </w:r>
          </w:p>
        </w:tc>
        <w:tc>
          <w:tcPr>
            <w:tcW w:type="dxa" w:w="571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Seen in advanced lepromatous disease with dermal infiltration.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Nasal stuffiness and epistaxis</w:t>
            </w:r>
          </w:p>
        </w:tc>
        <w:tc>
          <w:tcPr>
            <w:tcW w:type="dxa" w:w="158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Less common</w:t>
            </w:r>
          </w:p>
        </w:tc>
        <w:tc>
          <w:tcPr>
            <w:tcW w:type="dxa" w:w="571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Mucosal infiltration in multibacillary disease; nasal discharge is highly bacillary.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Painful, tender, swollen nerves (neuritis)</w:t>
            </w:r>
          </w:p>
        </w:tc>
        <w:tc>
          <w:tcPr>
            <w:tcW w:type="dxa" w:w="158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Less common</w:t>
            </w:r>
          </w:p>
        </w:tc>
        <w:tc>
          <w:tcPr>
            <w:tcW w:type="dxa" w:w="571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Marks a lepra reaction and threatens acute nerve function loss.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Crops of painful red skin nodules with fever</w:t>
            </w:r>
          </w:p>
        </w:tc>
        <w:tc>
          <w:tcPr>
            <w:tcW w:type="dxa" w:w="158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Less common</w:t>
            </w:r>
          </w:p>
        </w:tc>
        <w:tc>
          <w:tcPr>
            <w:tcW w:type="dxa" w:w="571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Erythema nodosum leprosum (Type 2 reaction), often with joint pains and malaise.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Sudden foot drop or claw hand</w:t>
            </w:r>
          </w:p>
        </w:tc>
        <w:tc>
          <w:tcPr>
            <w:tcW w:type="dxa" w:w="158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Rare</w:t>
            </w:r>
          </w:p>
        </w:tc>
        <w:tc>
          <w:tcPr>
            <w:tcW w:type="dxa" w:w="571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Acute motor palsy from severe neuritis — a neurological emergency.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Eye irritation or visual disturbance</w:t>
            </w:r>
          </w:p>
        </w:tc>
        <w:tc>
          <w:tcPr>
            <w:tcW w:type="dxa" w:w="158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Rare</w:t>
            </w:r>
          </w:p>
        </w:tc>
        <w:tc>
          <w:tcPr>
            <w:tcW w:type="dxa" w:w="571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From lagophthalmos, corneal anaesthesia, keratitis or uveitis; risks blindness.</w:t>
            </w:r>
          </w:p>
        </w:tc>
      </w:tr>
    </w:tbl>
    <w:p>
      <w:pPr>
        <w:spacing w:before="160" w:after="120"/>
      </w:pPr>
      <w:r>
        <w:rPr>
          <w:rFonts w:ascii="Calibri" w:hAnsi="Calibri"/>
          <w:b/>
          <w:i w:val="0"/>
          <w:color w:val="212121"/>
          <w:sz w:val="22"/>
        </w:rPr>
        <w:t>Signs</w:t>
      </w:r>
    </w:p>
    <w:tbl>
      <w:tblPr>
        <w:tblW w:type="dxa" w:w="9604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202"/>
        <w:gridCol w:w="3202"/>
        <w:gridCol w:w="3202"/>
      </w:tblGrid>
      <w:tr>
        <w:trPr>
          <w:cantSplit/>
        </w:trPr>
        <w:tc>
          <w:tcPr>
            <w:tcW w:type="dxa" w:w="3456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Sign</w:t>
            </w:r>
          </w:p>
        </w:tc>
        <w:tc>
          <w:tcPr>
            <w:tcW w:type="dxa" w:w="1728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Type</w:t>
            </w:r>
          </w:p>
        </w:tc>
        <w:tc>
          <w:tcPr>
            <w:tcW w:type="dxa" w:w="442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Note</w:t>
            </w:r>
          </w:p>
        </w:tc>
      </w:tr>
      <w:tr>
        <w:trPr>
          <w:cantSplit/>
        </w:trPr>
        <w:tc>
          <w:tcPr>
            <w:tcW w:type="dxa" w:w="345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Anaesthetic hypopigmented macule/plaque</w:t>
            </w:r>
          </w:p>
        </w:tc>
        <w:tc>
          <w:tcPr>
            <w:tcW w:type="dxa" w:w="172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Common</w:t>
            </w:r>
          </w:p>
        </w:tc>
        <w:tc>
          <w:tcPr>
            <w:tcW w:type="dxa" w:w="44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Well-defined skin lesion with demonstrable sensory loss on testing.</w:t>
            </w:r>
          </w:p>
        </w:tc>
      </w:tr>
      <w:tr>
        <w:trPr>
          <w:cantSplit/>
        </w:trPr>
        <w:tc>
          <w:tcPr>
            <w:tcW w:type="dxa" w:w="345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Thickened peripheral nerves</w:t>
            </w:r>
          </w:p>
        </w:tc>
        <w:tc>
          <w:tcPr>
            <w:tcW w:type="dxa" w:w="172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Common</w:t>
            </w:r>
          </w:p>
        </w:tc>
        <w:tc>
          <w:tcPr>
            <w:tcW w:type="dxa" w:w="44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Palpably enlarged ulnar, common peroneal, greater auricular or posterior tibial nerves.</w:t>
            </w:r>
          </w:p>
        </w:tc>
      </w:tr>
      <w:tr>
        <w:trPr>
          <w:cantSplit/>
        </w:trPr>
        <w:tc>
          <w:tcPr>
            <w:tcW w:type="dxa" w:w="345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Loss of protective sensation (monofilament)</w:t>
            </w:r>
          </w:p>
        </w:tc>
        <w:tc>
          <w:tcPr>
            <w:tcW w:type="dxa" w:w="172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Common</w:t>
            </w:r>
          </w:p>
        </w:tc>
        <w:tc>
          <w:tcPr>
            <w:tcW w:type="dxa" w:w="44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Inability to feel a 10 g monofilament on hands or feet.</w:t>
            </w:r>
          </w:p>
        </w:tc>
      </w:tr>
      <w:tr>
        <w:trPr>
          <w:cantSplit/>
        </w:trPr>
        <w:tc>
          <w:tcPr>
            <w:tcW w:type="dxa" w:w="345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Claw hand / wrist drop / foot drop</w:t>
            </w:r>
          </w:p>
        </w:tc>
        <w:tc>
          <w:tcPr>
            <w:tcW w:type="dxa" w:w="172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Common</w:t>
            </w:r>
          </w:p>
        </w:tc>
        <w:tc>
          <w:tcPr>
            <w:tcW w:type="dxa" w:w="44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Deformities from ulnar, median, radial or common peroneal nerve palsy.</w:t>
            </w:r>
          </w:p>
        </w:tc>
      </w:tr>
      <w:tr>
        <w:trPr>
          <w:cantSplit/>
        </w:trPr>
        <w:tc>
          <w:tcPr>
            <w:tcW w:type="dxa" w:w="345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Trophic (plantar) ulcers</w:t>
            </w:r>
          </w:p>
        </w:tc>
        <w:tc>
          <w:tcPr>
            <w:tcW w:type="dxa" w:w="172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Common</w:t>
            </w:r>
          </w:p>
        </w:tc>
        <w:tc>
          <w:tcPr>
            <w:tcW w:type="dxa" w:w="44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Painless, deep ulcers over pressure points of anaesthetic feet.</w:t>
            </w:r>
          </w:p>
        </w:tc>
      </w:tr>
      <w:tr>
        <w:trPr>
          <w:cantSplit/>
        </w:trPr>
        <w:tc>
          <w:tcPr>
            <w:tcW w:type="dxa" w:w="345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Madarosis and ear-lobe/facial infiltration</w:t>
            </w:r>
          </w:p>
        </w:tc>
        <w:tc>
          <w:tcPr>
            <w:tcW w:type="dxa" w:w="172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Less common</w:t>
            </w:r>
          </w:p>
        </w:tc>
        <w:tc>
          <w:tcPr>
            <w:tcW w:type="dxa" w:w="44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Loss of eyebrows and thickened skin progressing to leonine facies in lepromatous disease.</w:t>
            </w:r>
          </w:p>
        </w:tc>
      </w:tr>
      <w:tr>
        <w:trPr>
          <w:cantSplit/>
        </w:trPr>
        <w:tc>
          <w:tcPr>
            <w:tcW w:type="dxa" w:w="345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Erythema nodosum leprosum (tender nodules)</w:t>
            </w:r>
          </w:p>
        </w:tc>
        <w:tc>
          <w:tcPr>
            <w:tcW w:type="dxa" w:w="172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Less common</w:t>
            </w:r>
          </w:p>
        </w:tc>
        <w:tc>
          <w:tcPr>
            <w:tcW w:type="dxa" w:w="44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Crops of painful subcutaneous nodules of a Type 2 reaction.</w:t>
            </w:r>
          </w:p>
        </w:tc>
      </w:tr>
      <w:tr>
        <w:trPr>
          <w:cantSplit/>
        </w:trPr>
        <w:tc>
          <w:tcPr>
            <w:tcW w:type="dxa" w:w="345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Lagophthalmos / corneal anaesthesia</w:t>
            </w:r>
          </w:p>
        </w:tc>
        <w:tc>
          <w:tcPr>
            <w:tcW w:type="dxa" w:w="172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Less common</w:t>
            </w:r>
          </w:p>
        </w:tc>
        <w:tc>
          <w:tcPr>
            <w:tcW w:type="dxa" w:w="44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Facial and trigeminal nerve damage that endangers the eye.</w:t>
            </w:r>
          </w:p>
        </w:tc>
      </w:tr>
      <w:tr>
        <w:trPr>
          <w:cantSplit/>
        </w:trPr>
        <w:tc>
          <w:tcPr>
            <w:tcW w:type="dxa" w:w="345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Saddle-nose deformity / nasal collapse</w:t>
            </w:r>
          </w:p>
        </w:tc>
        <w:tc>
          <w:tcPr>
            <w:tcW w:type="dxa" w:w="172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Rare</w:t>
            </w:r>
          </w:p>
        </w:tc>
        <w:tc>
          <w:tcPr>
            <w:tcW w:type="dxa" w:w="44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Destruction of nasal cartilage in advanced multibacillary disease.</w:t>
            </w:r>
          </w:p>
        </w:tc>
      </w:tr>
      <w:tr>
        <w:trPr>
          <w:cantSplit/>
        </w:trPr>
        <w:tc>
          <w:tcPr>
            <w:tcW w:type="dxa" w:w="345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Resorption / shortening of digits</w:t>
            </w:r>
          </w:p>
        </w:tc>
        <w:tc>
          <w:tcPr>
            <w:tcW w:type="dxa" w:w="172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Rare</w:t>
            </w:r>
          </w:p>
        </w:tc>
        <w:tc>
          <w:tcPr>
            <w:tcW w:type="dxa" w:w="44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Repeated injury, infection and bone absorption in long-standing disease.</w:t>
            </w:r>
          </w:p>
        </w:tc>
      </w:tr>
      <w:tr>
        <w:trPr>
          <w:cantSplit/>
        </w:trPr>
        <w:tc>
          <w:tcPr>
            <w:tcW w:type="dxa" w:w="345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Lucio phenomenon (necrotic lesions)</w:t>
            </w:r>
          </w:p>
        </w:tc>
        <w:tc>
          <w:tcPr>
            <w:tcW w:type="dxa" w:w="172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Rare</w:t>
            </w:r>
          </w:p>
        </w:tc>
        <w:tc>
          <w:tcPr>
            <w:tcW w:type="dxa" w:w="44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Necrotising vasculopathy in diffuse lepromatous leprosy — a dermatological emergency.</w:t>
            </w:r>
          </w:p>
        </w:tc>
      </w:tr>
    </w:tbl>
    <w:p>
      <w:pPr>
        <w:spacing w:before="200" w:after="120"/>
      </w:pPr>
      <w:r>
        <w:rPr>
          <w:rFonts w:ascii="Calibri" w:hAnsi="Calibri"/>
          <w:b/>
          <w:i w:val="0"/>
          <w:color w:val="212121"/>
          <w:sz w:val="25"/>
        </w:rPr>
        <w:t>Concomitant conditions</w:t>
      </w:r>
    </w:p>
    <w:p>
      <w:pPr>
        <w:spacing w:before="160" w:after="120"/>
      </w:pPr>
      <w:r>
        <w:rPr>
          <w:rFonts w:ascii="Calibri" w:hAnsi="Calibri"/>
          <w:b/>
          <w:i w:val="0"/>
          <w:color w:val="212121"/>
          <w:sz w:val="22"/>
        </w:rPr>
        <w:t>Relationship Types (classification key)</w:t>
      </w:r>
    </w:p>
    <w:tbl>
      <w:tblPr>
        <w:tblW w:type="dxa" w:w="9604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4802"/>
        <w:gridCol w:w="4802"/>
      </w:tblGrid>
      <w:tr>
        <w:trPr>
          <w:cantSplit/>
        </w:trPr>
        <w:tc>
          <w:tcPr>
            <w:tcW w:type="dxa" w:w="2808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Relationship type</w:t>
            </w:r>
          </w:p>
        </w:tc>
        <w:tc>
          <w:tcPr>
            <w:tcW w:type="dxa" w:w="6796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Definition</w:t>
            </w:r>
          </w:p>
        </w:tc>
      </w:tr>
      <w:tr>
        <w:trPr>
          <w:cantSplit/>
        </w:trPr>
        <w:tc>
          <w:tcPr>
            <w:tcW w:type="dxa" w:w="280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Predisposes To</w:t>
            </w:r>
          </w:p>
        </w:tc>
        <w:tc>
          <w:tcPr>
            <w:tcW w:type="dxa" w:w="679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One condition increases the likelihood of developing another.</w:t>
            </w:r>
          </w:p>
        </w:tc>
      </w:tr>
      <w:tr>
        <w:trPr>
          <w:cantSplit/>
        </w:trPr>
        <w:tc>
          <w:tcPr>
            <w:tcW w:type="dxa" w:w="280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Bidirectional Association</w:t>
            </w:r>
          </w:p>
        </w:tc>
        <w:tc>
          <w:tcPr>
            <w:tcW w:type="dxa" w:w="679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Both conditions influence each other.</w:t>
            </w:r>
          </w:p>
        </w:tc>
      </w:tr>
      <w:tr>
        <w:trPr>
          <w:cantSplit/>
        </w:trPr>
        <w:tc>
          <w:tcPr>
            <w:tcW w:type="dxa" w:w="280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Shared Pathophysiology</w:t>
            </w:r>
          </w:p>
        </w:tc>
        <w:tc>
          <w:tcPr>
            <w:tcW w:type="dxa" w:w="679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Common biological mechanisms and shared etiologies.</w:t>
            </w:r>
          </w:p>
        </w:tc>
      </w:tr>
      <w:tr>
        <w:trPr>
          <w:cantSplit/>
        </w:trPr>
        <w:tc>
          <w:tcPr>
            <w:tcW w:type="dxa" w:w="280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Complication Of</w:t>
            </w:r>
          </w:p>
        </w:tc>
        <w:tc>
          <w:tcPr>
            <w:tcW w:type="dxa" w:w="679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One condition develops as a consequence of the other.</w:t>
            </w:r>
          </w:p>
        </w:tc>
      </w:tr>
      <w:tr>
        <w:trPr>
          <w:cantSplit/>
        </w:trPr>
        <w:tc>
          <w:tcPr>
            <w:tcW w:type="dxa" w:w="280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Treatment Interaction</w:t>
            </w:r>
          </w:p>
        </w:tc>
        <w:tc>
          <w:tcPr>
            <w:tcW w:type="dxa" w:w="679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Treatment of one condition affects the other.</w:t>
            </w:r>
          </w:p>
        </w:tc>
      </w:tr>
      <w:tr>
        <w:trPr>
          <w:cantSplit/>
        </w:trPr>
        <w:tc>
          <w:tcPr>
            <w:tcW w:type="dxa" w:w="280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Clinical Management Impact</w:t>
            </w:r>
          </w:p>
        </w:tc>
        <w:tc>
          <w:tcPr>
            <w:tcW w:type="dxa" w:w="679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Coexistence alters diagnosis, monitoring, prognosis, or treatment planning.</w:t>
            </w:r>
          </w:p>
        </w:tc>
      </w:tr>
    </w:tbl>
    <w:p>
      <w:pPr>
        <w:spacing w:before="160" w:after="120"/>
      </w:pPr>
      <w:r>
        <w:rPr>
          <w:rFonts w:ascii="Calibri" w:hAnsi="Calibri"/>
          <w:b/>
          <w:i w:val="0"/>
          <w:color w:val="212121"/>
          <w:sz w:val="22"/>
        </w:rPr>
        <w:t>Complications</w:t>
      </w:r>
    </w:p>
    <w:tbl>
      <w:tblPr>
        <w:tblW w:type="dxa" w:w="9604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202"/>
        <w:gridCol w:w="3202"/>
        <w:gridCol w:w="3202"/>
      </w:tblGrid>
      <w:tr>
        <w:trPr>
          <w:cantSplit/>
        </w:trPr>
        <w:tc>
          <w:tcPr>
            <w:tcW w:type="dxa" w:w="1728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Type</w:t>
            </w:r>
          </w:p>
        </w:tc>
        <w:tc>
          <w:tcPr>
            <w:tcW w:type="dxa" w:w="4896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Complications</w:t>
            </w:r>
          </w:p>
        </w:tc>
        <w:tc>
          <w:tcPr>
            <w:tcW w:type="dxa" w:w="298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Note</w:t>
            </w:r>
          </w:p>
        </w:tc>
      </w:tr>
      <w:tr>
        <w:trPr>
          <w:cantSplit/>
        </w:trPr>
        <w:tc>
          <w:tcPr>
            <w:tcW w:type="dxa" w:w="172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Primary</w:t>
            </w:r>
          </w:p>
        </w:tc>
        <w:tc>
          <w:tcPr>
            <w:tcW w:type="dxa" w:w="4896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Peripheral neuritis with acute sensory and motor loss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Type 1 (reversal) reactions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Type 2 reactions / erythema nodosum leprosum (ENL)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Lucio phenomenon (necrotising vasculopathy)</w:t>
            </w:r>
          </w:p>
        </w:tc>
        <w:tc>
          <w:tcPr>
            <w:tcW w:type="dxa" w:w="298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Direct disease activity and immune-mediated reactions — the main drivers of acute nerve damage</w:t>
            </w:r>
          </w:p>
        </w:tc>
      </w:tr>
      <w:tr>
        <w:trPr>
          <w:cantSplit/>
        </w:trPr>
        <w:tc>
          <w:tcPr>
            <w:tcW w:type="dxa" w:w="172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Secondary</w:t>
            </w:r>
          </w:p>
        </w:tc>
        <w:tc>
          <w:tcPr>
            <w:tcW w:type="dxa" w:w="4896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Sensory-motor deficits: claw hand, wrist drop, foot drop, lagophthalmos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Trophic plantar and hand ulcers with secondary bacterial infection and osteomyelitis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Ocular disease: keratitis, iridocyclitis/uveitis, corneal ulceration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Madarosis, saddle-nose and facial deformity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Dapsone-related haemolytic anaemia and MDT drug reactions</w:t>
            </w:r>
          </w:p>
        </w:tc>
        <w:tc>
          <w:tcPr>
            <w:tcW w:type="dxa" w:w="298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Consequences of chronic nerve damage, anaesthesia, tissue infiltration and treatment</w:t>
            </w:r>
          </w:p>
        </w:tc>
      </w:tr>
      <w:tr>
        <w:trPr>
          <w:cantSplit/>
        </w:trPr>
        <w:tc>
          <w:tcPr>
            <w:tcW w:type="dxa" w:w="172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Tertiary</w:t>
            </w:r>
          </w:p>
        </w:tc>
        <w:tc>
          <w:tcPr>
            <w:tcW w:type="dxa" w:w="4896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Permanent grade-2 (visible) disability and fixed deformities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Resorption/loss of digits and non-traumatic amputation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Blindness from untreated ocular complications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Chronic non-healing ulcers and secondary amyloidosis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Stigma, social exclusion, unemployment and psychological morbidity</w:t>
            </w:r>
          </w:p>
        </w:tc>
        <w:tc>
          <w:tcPr>
            <w:tcW w:type="dxa" w:w="298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Irreversible physical, social and psychological outcomes of late or inadequately treated disease</w:t>
            </w:r>
          </w:p>
        </w:tc>
      </w:tr>
    </w:tbl>
    <w:p>
      <w:pPr>
        <w:spacing w:before="160" w:after="120"/>
      </w:pPr>
      <w:r>
        <w:rPr>
          <w:rFonts w:ascii="Calibri" w:hAnsi="Calibri"/>
          <w:b/>
          <w:i w:val="0"/>
          <w:color w:val="212121"/>
          <w:sz w:val="22"/>
        </w:rPr>
        <w:t>Associated Medical Conditions</w:t>
      </w:r>
    </w:p>
    <w:tbl>
      <w:tblPr>
        <w:tblW w:type="dxa" w:w="9604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202"/>
        <w:gridCol w:w="3202"/>
        <w:gridCol w:w="3202"/>
      </w:tblGrid>
      <w:tr>
        <w:trPr>
          <w:cantSplit/>
        </w:trPr>
        <w:tc>
          <w:tcPr>
            <w:tcW w:type="dxa" w:w="2232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AMC</w:t>
            </w:r>
          </w:p>
        </w:tc>
        <w:tc>
          <w:tcPr>
            <w:tcW w:type="dxa" w:w="252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Relationship</w:t>
            </w:r>
          </w:p>
        </w:tc>
        <w:tc>
          <w:tcPr>
            <w:tcW w:type="dxa" w:w="4852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Note</w:t>
            </w:r>
          </w:p>
        </w:tc>
      </w:tr>
      <w:tr>
        <w:trPr>
          <w:cantSplit/>
        </w:trPr>
        <w:tc>
          <w:tcPr>
            <w:tcW w:type="dxa" w:w="223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Peripheral neuropathy</w:t>
            </w:r>
          </w:p>
        </w:tc>
        <w:tc>
          <w:tcPr>
            <w:tcW w:type="dxa" w:w="25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Complication Of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Shared Pathophysiology</w:t>
            </w:r>
          </w:p>
        </w:tc>
        <w:tc>
          <w:tcPr>
            <w:tcW w:type="dxa" w:w="485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The defining consequence of leprosy — Schwann-cell invasion and immune reactions destroy sensory, motor and autonomic fibres, producing anaesthesia, weakness and deformity.</w:t>
            </w:r>
          </w:p>
        </w:tc>
      </w:tr>
      <w:tr>
        <w:trPr>
          <w:cantSplit/>
        </w:trPr>
        <w:tc>
          <w:tcPr>
            <w:tcW w:type="dxa" w:w="223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Chronic (trophic) foot &amp; hand ulcers</w:t>
            </w:r>
          </w:p>
        </w:tc>
        <w:tc>
          <w:tcPr>
            <w:tcW w:type="dxa" w:w="25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Complication Of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Clinical Management Impact</w:t>
            </w:r>
          </w:p>
        </w:tc>
        <w:tc>
          <w:tcPr>
            <w:tcW w:type="dxa" w:w="485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Painless ulcers over pressure points of insensate limbs, prone to secondary infection and osteomyelitis; a leading cause of disability.</w:t>
            </w:r>
          </w:p>
        </w:tc>
      </w:tr>
      <w:tr>
        <w:trPr>
          <w:cantSplit/>
        </w:trPr>
        <w:tc>
          <w:tcPr>
            <w:tcW w:type="dxa" w:w="223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Depression, anxiety &amp; stigma</w:t>
            </w:r>
          </w:p>
        </w:tc>
        <w:tc>
          <w:tcPr>
            <w:tcW w:type="dxa" w:w="25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Bidirectional Association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Clinical Management Impact</w:t>
            </w:r>
          </w:p>
        </w:tc>
        <w:tc>
          <w:tcPr>
            <w:tcW w:type="dxa" w:w="485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Highly prevalent because of visible deformity and social exclusion; poor mental health reduces adherence and self-care and worsens outcomes, a two-way relationship.</w:t>
            </w:r>
          </w:p>
        </w:tc>
      </w:tr>
      <w:tr>
        <w:trPr>
          <w:cantSplit/>
        </w:trPr>
        <w:tc>
          <w:tcPr>
            <w:tcW w:type="dxa" w:w="223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Ocular disease (uveitis, keratitis, blindness)</w:t>
            </w:r>
          </w:p>
        </w:tc>
        <w:tc>
          <w:tcPr>
            <w:tcW w:type="dxa" w:w="25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Complication Of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Clinical Management Impact</w:t>
            </w:r>
          </w:p>
        </w:tc>
        <w:tc>
          <w:tcPr>
            <w:tcW w:type="dxa" w:w="485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Facial-nerve lagophthalmos and corneal anaesthesia plus intraocular inflammation, especially during reactions, can lead to corneal damage and blindness.</w:t>
            </w:r>
          </w:p>
        </w:tc>
      </w:tr>
      <w:tr>
        <w:trPr>
          <w:cantSplit/>
        </w:trPr>
        <w:tc>
          <w:tcPr>
            <w:tcW w:type="dxa" w:w="223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Diabetes mellitus</w:t>
            </w:r>
          </w:p>
        </w:tc>
        <w:tc>
          <w:tcPr>
            <w:tcW w:type="dxa" w:w="25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Shared Pathophysiology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Clinical Management Impact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Bidirectional Association</w:t>
            </w:r>
          </w:p>
        </w:tc>
        <w:tc>
          <w:tcPr>
            <w:tcW w:type="dxa" w:w="485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Common in India and additive to leprous neuropathy — combined nerve and microvascular damage accelerates plantar ulceration and complicates ulcer management.</w:t>
            </w:r>
          </w:p>
        </w:tc>
      </w:tr>
      <w:tr>
        <w:trPr>
          <w:cantSplit/>
        </w:trPr>
        <w:tc>
          <w:tcPr>
            <w:tcW w:type="dxa" w:w="223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HIV co-infection</w:t>
            </w:r>
          </w:p>
        </w:tc>
        <w:tc>
          <w:tcPr>
            <w:tcW w:type="dxa" w:w="25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Clinical Management Impact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Treatment Interaction</w:t>
            </w:r>
          </w:p>
        </w:tc>
        <w:tc>
          <w:tcPr>
            <w:tcW w:type="dxa" w:w="485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Does not markedly raise incidence, but antiretroviral immune reconstitution can unmask leprosy or precipitate severe Type 1 reactions and neuritis.</w:t>
            </w:r>
          </w:p>
        </w:tc>
      </w:tr>
      <w:tr>
        <w:trPr>
          <w:cantSplit/>
        </w:trPr>
        <w:tc>
          <w:tcPr>
            <w:tcW w:type="dxa" w:w="223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Tuberculosis</w:t>
            </w:r>
          </w:p>
        </w:tc>
        <w:tc>
          <w:tcPr>
            <w:tcW w:type="dxa" w:w="25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Shared Pathophysiology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Treatment Interaction</w:t>
            </w:r>
          </w:p>
        </w:tc>
        <w:tc>
          <w:tcPr>
            <w:tcW w:type="dxa" w:w="485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Shares the mycobacterial genus and social risk profile; co-infection complicates therapy because rifampicin is pivotal to both, requiring careful, non-overlapping regimens.</w:t>
            </w:r>
          </w:p>
        </w:tc>
      </w:tr>
      <w:tr>
        <w:trPr>
          <w:cantSplit/>
        </w:trPr>
        <w:tc>
          <w:tcPr>
            <w:tcW w:type="dxa" w:w="223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Dapsone-induced haemolytic anaemia / methaemoglobinaemia</w:t>
            </w:r>
          </w:p>
        </w:tc>
        <w:tc>
          <w:tcPr>
            <w:tcW w:type="dxa" w:w="25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Complication Of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Treatment Interaction</w:t>
            </w:r>
          </w:p>
        </w:tc>
        <w:tc>
          <w:tcPr>
            <w:tcW w:type="dxa" w:w="485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 predictable adverse effect of MDT, pronounced in G6PD deficiency, requiring pre-treatment screening and monitoring.</w:t>
            </w:r>
          </w:p>
        </w:tc>
      </w:tr>
      <w:tr>
        <w:trPr>
          <w:cantSplit/>
        </w:trPr>
        <w:tc>
          <w:tcPr>
            <w:tcW w:type="dxa" w:w="223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Secondary (AA) amyloidosis</w:t>
            </w:r>
          </w:p>
        </w:tc>
        <w:tc>
          <w:tcPr>
            <w:tcW w:type="dxa" w:w="25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Complication Of</w:t>
            </w:r>
          </w:p>
        </w:tc>
        <w:tc>
          <w:tcPr>
            <w:tcW w:type="dxa" w:w="485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Chronic inflammation from recurrent ENL in long-standing multibacillary disease can deposit amyloid, leading to nephropathy and renal failure.</w:t>
            </w:r>
          </w:p>
        </w:tc>
      </w:tr>
      <w:tr>
        <w:trPr>
          <w:cantSplit/>
        </w:trPr>
        <w:tc>
          <w:tcPr>
            <w:tcW w:type="dxa" w:w="223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Male hypogonadism / infertility</w:t>
            </w:r>
          </w:p>
        </w:tc>
        <w:tc>
          <w:tcPr>
            <w:tcW w:type="dxa" w:w="25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Complication Of</w:t>
            </w:r>
          </w:p>
        </w:tc>
        <w:tc>
          <w:tcPr>
            <w:tcW w:type="dxa" w:w="485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Testicular infiltration in lepromatous disease and recurrent orchitis during ENL can cause testicular atrophy, gynaecomastia and infertility.</w:t>
            </w:r>
          </w:p>
        </w:tc>
      </w:tr>
    </w:tbl>
    <w:p>
      <w:pPr>
        <w:spacing w:before="200" w:after="120"/>
      </w:pPr>
      <w:r>
        <w:rPr>
          <w:rFonts w:ascii="Calibri" w:hAnsi="Calibri"/>
          <w:b/>
          <w:i w:val="0"/>
          <w:color w:val="212121"/>
          <w:sz w:val="25"/>
        </w:rPr>
        <w:t>Suggestions</w:t>
      </w:r>
    </w:p>
    <w:tbl>
      <w:tblPr>
        <w:tblW w:type="dxa" w:w="9604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921"/>
        <w:gridCol w:w="1921"/>
        <w:gridCol w:w="1921"/>
        <w:gridCol w:w="1921"/>
        <w:gridCol w:w="1921"/>
      </w:tblGrid>
      <w:tr>
        <w:trPr>
          <w:cantSplit/>
        </w:trPr>
        <w:tc>
          <w:tcPr>
            <w:tcW w:type="dxa" w:w="1224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LHP</w:t>
            </w:r>
          </w:p>
        </w:tc>
        <w:tc>
          <w:tcPr>
            <w:tcW w:type="dxa" w:w="1224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Type</w:t>
            </w:r>
          </w:p>
        </w:tc>
        <w:tc>
          <w:tcPr>
            <w:tcW w:type="dxa" w:w="4176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Suggestion</w:t>
            </w:r>
          </w:p>
        </w:tc>
        <w:tc>
          <w:tcPr>
            <w:tcW w:type="dxa" w:w="1944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Profile</w:t>
            </w:r>
          </w:p>
        </w:tc>
        <w:tc>
          <w:tcPr>
            <w:tcW w:type="dxa" w:w="1036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Importance</w:t>
            </w:r>
          </w:p>
        </w:tc>
      </w:tr>
      <w:tr>
        <w:trPr>
          <w:cantSplit/>
        </w:trPr>
        <w:tc>
          <w:tcPr>
            <w:tcW w:type="dxa" w:w="1224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Education</w:t>
            </w:r>
          </w:p>
        </w:tc>
        <w:tc>
          <w:tcPr>
            <w:tcW w:type="dxa" w:w="122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Preventive</w:t>
            </w:r>
          </w:p>
        </w:tc>
        <w:tc>
          <w:tcPr>
            <w:tcW w:type="dxa" w:w="4176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Learn the earliest sign — a pale or reddish skin patch that is numb — and seek assessment promptly; early treatment prevents disability.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Understand that leprosy is caused by a bacterium, is fully curable with free multidrug therapy, and stops being infectious within days of starting treatment.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Ensure all household and close contacts of a diagnosed case are examined and, where eligible, receive single-dose rifampicin post-exposure prophylaxis.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Complete the full MDT course (6 months PB, 12 months MB) without interruption, and return immediately if a reaction (pain, redness, new weakness) develops.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Actively counter stigma: leprosy does not spread by touch, sharing food or casual contact, and treated people can live and work normally.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Support BCG vaccination in infancy, which offers partial protection against leprosy.</w:t>
            </w:r>
          </w:p>
        </w:tc>
        <w:tc>
          <w:tcPr>
            <w:tcW w:type="dxa" w:w="1944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General public in endemic areas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Household contacts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Newly diagnosed patients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Community &amp; ASHA workers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High</w:t>
            </w:r>
          </w:p>
        </w:tc>
      </w:tr>
      <w:tr>
        <w:trPr>
          <w:cantSplit/>
        </w:trPr>
        <w:tc>
          <w:tcPr>
            <w:tcW w:type="dxa" w:w="1224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Physical Activity</w:t>
            </w:r>
          </w:p>
        </w:tc>
        <w:tc>
          <w:tcPr>
            <w:tcW w:type="dxa" w:w="122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Therapeutic</w:t>
            </w:r>
          </w:p>
        </w:tc>
        <w:tc>
          <w:tcPr>
            <w:tcW w:type="dxa" w:w="4176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Perform daily range-of-motion and stretching exercises for hands, feet and eyes to prevent contractures after nerve damage.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Do prescribed strengthening exercises for weak muscles and use splints/orthoses to maintain function.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Wear protective, well-cushioned (MCR/micro-cellular rubber) footwear and inspect feet daily to prevent plantar ulcers.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Rest and offload any limb with an active ulcer or acute neuritis to allow healing and protect the nerve.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Engage in supervised physiotherapy and, where indicated, reconstructive surgery and rehabilitation for established deformity.</w:t>
            </w:r>
          </w:p>
        </w:tc>
        <w:tc>
          <w:tcPr>
            <w:tcW w:type="dxa" w:w="1944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Patients with nerve impairment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Those with deformity or ulcers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Post-reaction patients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Rehabilitation clients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High</w:t>
            </w:r>
          </w:p>
        </w:tc>
      </w:tr>
      <w:tr>
        <w:trPr>
          <w:cantSplit/>
        </w:trPr>
        <w:tc>
          <w:tcPr>
            <w:tcW w:type="dxa" w:w="1224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Food</w:t>
            </w:r>
          </w:p>
        </w:tc>
        <w:tc>
          <w:tcPr>
            <w:tcW w:type="dxa" w:w="122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Preventive</w:t>
            </w:r>
          </w:p>
        </w:tc>
        <w:tc>
          <w:tcPr>
            <w:tcW w:type="dxa" w:w="4176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Eat an adequate, protein-rich, balanced diet to support the cell-mediated immunity that contains the infection.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Correct undernutrition and micronutrient deficiency, particularly in poor and food-insecure households.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Include iron- and folate-rich foods to offset dapsone-related anaemia during MDT.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Maintain good general nutrition during and after reactions to aid tissue and nerve recovery.</w:t>
            </w:r>
          </w:p>
        </w:tc>
        <w:tc>
          <w:tcPr>
            <w:tcW w:type="dxa" w:w="1944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Undernourished patients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Household contacts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Patients on dapsone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Food-insecure communities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Medium</w:t>
            </w:r>
          </w:p>
        </w:tc>
      </w:tr>
      <w:tr>
        <w:trPr>
          <w:cantSplit/>
        </w:trPr>
        <w:tc>
          <w:tcPr>
            <w:tcW w:type="dxa" w:w="1224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Mental health</w:t>
            </w:r>
          </w:p>
        </w:tc>
        <w:tc>
          <w:tcPr>
            <w:tcW w:type="dxa" w:w="122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Therapeutic</w:t>
            </w:r>
          </w:p>
        </w:tc>
        <w:tc>
          <w:tcPr>
            <w:tcW w:type="dxa" w:w="4176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Screen for depression, anxiety and internalised stigma at diagnosis and during follow-up, and refer for counselling.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Connect patients to peer-support groups and self-care clubs to reduce isolation and improve adherence.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Provide socioeconomic rehabilitation — vocational support and community reintegration — to counter exclusion.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Involve family and community to dispel myths and prevent discrimination at home, school and work.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Treat pain from neuritis and reactions promptly, as uncontrolled pain worsens mood and function.</w:t>
            </w:r>
          </w:p>
        </w:tc>
        <w:tc>
          <w:tcPr>
            <w:tcW w:type="dxa" w:w="1944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All diagnosed patients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People with visible deformity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Socially excluded individuals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Families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High</w:t>
            </w:r>
          </w:p>
        </w:tc>
      </w:tr>
      <w:tr>
        <w:trPr>
          <w:cantSplit/>
        </w:trPr>
        <w:tc>
          <w:tcPr>
            <w:tcW w:type="dxa" w:w="1224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Sleep</w:t>
            </w:r>
          </w:p>
        </w:tc>
        <w:tc>
          <w:tcPr>
            <w:tcW w:type="dxa" w:w="122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Preventive</w:t>
            </w:r>
          </w:p>
        </w:tc>
        <w:tc>
          <w:tcPr>
            <w:tcW w:type="dxa" w:w="4176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Maintain regular, adequate sleep (7-9 hours) to support overall immune function.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Manage reaction- and neuritis-related pain so it does not chronically disrupt sleep.</w:t>
            </w:r>
          </w:p>
        </w:tc>
        <w:tc>
          <w:tcPr>
            <w:tcW w:type="dxa" w:w="1944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All patients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Patients in reaction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Low</w:t>
            </w:r>
          </w:p>
        </w:tc>
      </w:tr>
      <w:tr>
        <w:trPr>
          <w:cantSplit/>
        </w:trPr>
        <w:tc>
          <w:tcPr>
            <w:tcW w:type="dxa" w:w="1224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Smoking</w:t>
            </w:r>
          </w:p>
        </w:tc>
        <w:tc>
          <w:tcPr>
            <w:tcW w:type="dxa" w:w="122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Preventive</w:t>
            </w:r>
          </w:p>
        </w:tc>
        <w:tc>
          <w:tcPr>
            <w:tcW w:type="dxa" w:w="4176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Stop smoking to reduce the frequency of lepra reactions and neuritis and to improve healing of anaesthetic ulcers.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Offer cessation counselling and support as part of routine leprosy care.</w:t>
            </w:r>
          </w:p>
        </w:tc>
        <w:tc>
          <w:tcPr>
            <w:tcW w:type="dxa" w:w="1944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Smokers with leprosy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Patients with ulcers or reactions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Medium</w:t>
            </w:r>
          </w:p>
        </w:tc>
      </w:tr>
      <w:tr>
        <w:trPr>
          <w:cantSplit/>
        </w:trPr>
        <w:tc>
          <w:tcPr>
            <w:tcW w:type="dxa" w:w="1224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Alcohol</w:t>
            </w:r>
          </w:p>
        </w:tc>
        <w:tc>
          <w:tcPr>
            <w:tcW w:type="dxa" w:w="122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Preventive</w:t>
            </w:r>
          </w:p>
        </w:tc>
        <w:tc>
          <w:tcPr>
            <w:tcW w:type="dxa" w:w="4176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Limit or avoid alcohol during MDT to reduce rifampicin-related liver toxicity and improve adherence.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Screen for and support alcohol-use disorders, which drive treatment default.</w:t>
            </w:r>
          </w:p>
        </w:tc>
        <w:tc>
          <w:tcPr>
            <w:tcW w:type="dxa" w:w="1944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Patients on MDT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Heavy drinkers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Medium</w:t>
            </w:r>
          </w:p>
        </w:tc>
      </w:tr>
    </w:tbl>
    <w:sectPr w:rsidR="00FC693F" w:rsidRPr="0006063C" w:rsidSect="00034616">
      <w:pgSz w:w="11909" w:h="16834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before="0" w:line="269" w:lineRule="auto"/>
    </w:pPr>
    <w:rPr>
      <w:rFonts w:ascii="Calibri" w:hAnsi="Calibri" w:cs="Calibri"/>
      <w:color w:val="212121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ghoapi.azureedge.net/api/WHS3_45?$filter=SpatialDim%20eq%20%27IND%27" TargetMode="External"/><Relationship Id="rId10" Type="http://schemas.openxmlformats.org/officeDocument/2006/relationships/hyperlink" Target="https://ghoapi.azureedge.net/api/NTD_LEPR8?$filter=SpatialDim%20eq%20%27IND%27" TargetMode="External"/><Relationship Id="rId11" Type="http://schemas.openxmlformats.org/officeDocument/2006/relationships/hyperlink" Target="https://www.ncbi.nlm.nih.gov/books/NBK559307/" TargetMode="External"/><Relationship Id="rId12" Type="http://schemas.openxmlformats.org/officeDocument/2006/relationships/hyperlink" Target="https://www.who.int/news-room/fact-sheets/detail/leprosy" TargetMode="External"/><Relationship Id="rId13" Type="http://schemas.openxmlformats.org/officeDocument/2006/relationships/hyperlink" Target="https://dghs.gov.in/content/1349_3_NationalLeprosyEradicationProgramme.aspx" TargetMode="External"/><Relationship Id="rId14" Type="http://schemas.openxmlformats.org/officeDocument/2006/relationships/hyperlink" Target="https://ghoapi.azureedge.net/api/NTD_LEPR5?$filter=SpatialDim%20eq%20%27IND%27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