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Lymphatic Filariasis</w:t>
      </w:r>
    </w:p>
    <w:p>
      <w:pPr>
        <w:spacing w:before="0" w:after="160"/>
      </w:pPr>
      <w:r>
        <w:rPr>
          <w:rFonts w:ascii="Calibri" w:hAnsi="Calibri"/>
          <w:b/>
          <w:i w:val="0"/>
          <w:color w:val="212121"/>
          <w:sz w:val="22"/>
        </w:rPr>
        <w:t xml:space="preserve">AKA </w:t>
      </w:r>
      <w:r>
        <w:rPr>
          <w:rFonts w:ascii="Calibri" w:hAnsi="Calibri"/>
          <w:b w:val="0"/>
          <w:i w:val="0"/>
          <w:color w:val="212121"/>
          <w:sz w:val="22"/>
        </w:rPr>
        <w:t>i.e., Elephantiasis, Filariasis, Bancroftian/Brugian filariasis, Hathi paon (elephant foot)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Lymphatic filariasis (LF) is a mosquito-borne neglected tropical disease caused by thread-like parasitic filarial nematodes — Wuchereria bancrofti, Brugia malayi and Brugia timori — whose adult worms lodge in the lymphatic vessels and progressively damage the lymphatic system. Infective larvae are inoculated by repeated bites of infected mosquitoes (Culex quinquefasciatus in most of India); the worms live for years and release microfilariae into the blood. Most infections are clinically silent for years, but chronic damage produces disfiguring lymphoedema/elephantiasis of the limbs, hydrocele and, less often, chyluria — making LF a leading cause of long-term disability and social stigma.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Lymphatic filariasis is one of India's largest public-health challenges: India has historically accounted for roughly 40% of the global LF burden, with an at-risk population once numbering in the hundreds of millions across more than 340 endemic districts spanning about 20 states and union territories (heaviest in Uttar Pradesh, Bihar, Jharkhand, Odisha, West Bengal, Andhra Pradesh, Telangana and Tamil Nadu). Wuchereria bancrofti transmitted by the Culex quinquefasciatus mosquito causes the overwhelming majority (&gt;99%) of Indian infections, with focal Brugia malayi (Mansonia vector) in Kerala and parts of coastal India. Globally an estimated 657 million people in 39 countries remain at risk and about 51 million were infected (2018), with roughly 36 million living with chronic disease — about 25 million men with hydrocele and over 15 million people with lymphoedema; nearly two-thirds of those affected live in Asia. India is pursuing elimination as a public-health problem through annual mass drug administration (MDA) and morbidity management.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Lymphatic filariasis is diagnosed by demonstrating the parasite or its antigen, supported by characteristic clinical features in a person from an endemic area. Because W. bancrofti microfilariae are nocturnally periodic, sample timing is critical: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Detection of microfilariae on a thick/thin peripheral blood smear (Giemsa-stained) collected at night, ideally between 10 pm and 2 am, when microfilaraemia peaks;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Circulating filarial antigen (CFA) detection — rapid immunochromatographic (ICT) card test or Og4C3 ELISA — the test of choice for W. bancrofti; more sensitive than microscopy and positive even in amicrofilaraemic or daytime samples as it reflects live adult-worm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Filarial antibody assays (e.g., anti-Bm14, Wb123) — useful for Brugia infection and for elimination surveillance in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Scrotal / lymphatic ultrasonography showing the motile “filarial dance sign” of live adult worms;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 absolute eosinophilia (often &gt;3000/µL) and raised serum IgE, particularly in tropical pulmonary eosinophilia (TPE);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Microfilariae identified in chylous urine, hydrocele fluid or other body fluids;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diagnosis of chronic disease (lymphoedema/elephantiasis, hydrocele) in an endemic-area resident — often the worm is no longer detectable by the time chronic pathology appears.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Lymphatic filariasis is classified by clinical stage (which reflects the host immune response and duration of infection) and by the causative parasite species:</w:t>
      </w:r>
    </w:p>
    <w:p>
      <w:pPr>
        <w:spacing w:before="0" w:after="80"/>
      </w:pPr>
      <w:r>
        <w:rPr>
          <w:rFonts w:ascii="Calibri" w:hAnsi="Calibri"/>
          <w:b w:val="0"/>
          <w:i w:val="0"/>
          <w:color w:val="212121"/>
          <w:sz w:val="21"/>
        </w:rPr>
        <w:t>(1) Asymptomatic (subclinical) microfilaraemia — circulating microfilariae with no overt symptoms, yet with ongoing subclinical lymphatic and renal damage detectable on imaging; this large silent group is the main reservoir sustaining transmission.</w:t>
      </w:r>
    </w:p>
    <w:p>
      <w:pPr>
        <w:spacing w:before="0" w:after="80"/>
      </w:pPr>
      <w:r>
        <w:rPr>
          <w:rFonts w:ascii="Calibri" w:hAnsi="Calibri"/>
          <w:b w:val="0"/>
          <w:i w:val="0"/>
          <w:color w:val="212121"/>
          <w:sz w:val="21"/>
        </w:rPr>
        <w:t>(2) Acute manifestations — recurrent acute adenolymphangitis (ADL) or “filarial fever” with painful retrograde lymphangitis and lymphadenitis, acute epididymo-orchitis and funiculitis in men, and the hyper-responsive immunological syndrome tropical pulmonary eosinophilia (TPE).</w:t>
      </w:r>
    </w:p>
    <w:p>
      <w:pPr>
        <w:spacing w:before="0" w:after="80"/>
      </w:pPr>
      <w:r>
        <w:rPr>
          <w:rFonts w:ascii="Calibri" w:hAnsi="Calibri"/>
          <w:b w:val="0"/>
          <w:i w:val="0"/>
          <w:color w:val="212121"/>
          <w:sz w:val="21"/>
        </w:rPr>
        <w:t>(3) Chronic manifestations — lymphoedema progressing to elephantiasis (skin thickening, hyperkeratosis), hydrocele, chyluria and recurrent secondary bacterial/fungal infections; these develop over years and are largely irreversible.</w:t>
      </w:r>
    </w:p>
    <w:p>
      <w:pPr>
        <w:spacing w:before="0" w:after="80"/>
      </w:pPr>
      <w:r>
        <w:rPr>
          <w:rFonts w:ascii="Calibri" w:hAnsi="Calibri"/>
          <w:b w:val="0"/>
          <w:i w:val="0"/>
          <w:color w:val="212121"/>
          <w:sz w:val="21"/>
        </w:rPr>
        <w:t>(4) By species — bancroftian filariasis (Wuchereria bancrofti; ~90% of cases globally and &gt;99% in India; Culex vector; causes hydrocele) and brugian filariasis (Brugia malayi / B. timori; Mansonia vector; focal in Kerala and coastal India; lymphoedema typically below the knee).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Filarial nematode infection: Adult Wuchereria bancrofti (dominant in India), Brugia malayi or B. timori residing in lymphatic vessels; W. bancrofti causes about 90% of cases worldwide.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Mosquito-borne transmission: Repeated bites of infected mosquitoes (Culex quinquefasciatus in most of India, also Anopheles, Aedes and Mansonia) inoculate infective L3 larvae; a single bite rarely causes disease.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Cumulative, prolonged exposure: Intensity and duration of exposure matter — disease follows years of repeated infective bites, so lifelong residents of endemic villages are at highest risk.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Host immune response: The individual's immune reaction determines outcome — immune-tolerant carriers harbour microfilariae silently, while hyper-reactive responses drive lymphatic inflammation, lymphoedema and TPE.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Secondary bacterial and fungal infections: Skin breaks and poor hygiene allow superinfection that precipitates acute adenolymphangitis episodes and accelerates progression to elephantiasis.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Wolbachia endosymbiont: Intracellular Wolbachia bacteria within the worms are essential for worm fertility and contribute to the inflammatory response (the rationale for doxycycline therapy).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Poverty and environment: Inadequate sanitation, stagnant polluted water breeding Culex, poor housing and lack of bed nets sustain transmission — LF is a classic disease of poverty.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Working-age adults carry the heaviest microfilarial load and are the group in whom chronic disease first becomes overt, because pathology follows years of cumulative infective bites acquired since childhood. Only about one-third of infected people ever develop overt clinical disease, typically emerging in adolescence and adulthood.</w:t>
            </w:r>
          </w:p>
          <w:p>
            <w:pPr>
              <w:spacing w:after="40" w:before="60" w:line="259" w:lineRule="auto"/>
            </w:pPr>
            <w:r>
              <w:rPr>
                <w:rFonts w:ascii="Calibri" w:hAnsi="Calibri"/>
                <w:b w:val="0"/>
                <w:i w:val="0"/>
                <w:color w:val="212121"/>
                <w:sz w:val="19"/>
              </w:rPr>
              <w:t>Only about one-third of infected individuals develop overt symptoms, usually first appearing in adolescence or adulthood after prolonged lymphatic damage.</w:t>
            </w:r>
          </w:p>
          <w:p>
            <w:pPr>
              <w:spacing w:after="40" w:line="252" w:lineRule="auto"/>
            </w:pPr>
            <w:hyperlink r:id="rId9">
              <w:r>
                <w:rPr>
                  <w:rFonts w:ascii="Calibri" w:hAnsi="Calibri" w:cs="Calibri"/>
                  <w:sz w:val="18"/>
                  <w:color w:val="1155CC"/>
                  <w:u w:val="single"/>
                </w:rPr>
                <w:t xml:space="preserve">ncbi.nlm.nih.gov/books/NBK556012 — filariasis (StatPearls)</w:t>
              </w:r>
            </w:hyperlink>
          </w:p>
          <w:p>
            <w:pPr>
              <w:spacing w:before="60" w:after="40"/>
            </w:pPr>
            <w:r>
              <w:rPr>
                <w:rFonts w:ascii="Calibri" w:hAnsi="Calibri"/>
                <w:b w:val="0"/>
                <w:i w:val="0"/>
                <w:color w:val="5A5A5A"/>
                <w:sz w:val="18"/>
              </w:rPr>
              <w:t>#filariasis  #microfilaraemia  #lymphaticdamage  #endemicexposure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Decades of repeated infection and recurrent adenolymphangitis produce the most advanced, irreversible elephantiasis and large hydroceles in older adults, compounded by age-related immune decline and poorer wound healing.</w:t>
            </w:r>
          </w:p>
          <w:p>
            <w:pPr>
              <w:spacing w:after="40" w:before="60" w:line="259" w:lineRule="auto"/>
            </w:pPr>
            <w:r>
              <w:rPr>
                <w:rFonts w:ascii="Calibri" w:hAnsi="Calibri"/>
                <w:b w:val="0"/>
                <w:i w:val="0"/>
                <w:color w:val="212121"/>
                <w:sz w:val="19"/>
              </w:rPr>
              <w:t>Chronic manifestations accumulate with duration of exposure; globally about 36 million people live with chronic disease — ~25 million men with hydrocele and &gt;15 million with lymphoedema.</w:t>
            </w:r>
          </w:p>
          <w:p>
            <w:pPr>
              <w:spacing w:after="40" w:line="252" w:lineRule="auto"/>
            </w:pPr>
            <w:hyperlink r:id="rId10">
              <w:r>
                <w:rPr>
                  <w:rFonts w:ascii="Calibri" w:hAnsi="Calibri" w:cs="Calibri"/>
                  <w:sz w:val="18"/>
                  <w:color w:val="1155CC"/>
                  <w:u w:val="single"/>
                </w:rPr>
                <w:t xml:space="preserve">who.int — lymphatic filariasis fact sheet</w:t>
              </w:r>
            </w:hyperlink>
          </w:p>
          <w:p>
            <w:pPr>
              <w:spacing w:before="60" w:after="40"/>
            </w:pPr>
            <w:r>
              <w:rPr>
                <w:rFonts w:ascii="Calibri" w:hAnsi="Calibri"/>
                <w:b w:val="0"/>
                <w:i w:val="0"/>
                <w:color w:val="5A5A5A"/>
                <w:sz w:val="18"/>
              </w:rPr>
              <w:t>#elephantiasis  #chronicdisease  #disability  #ageing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w:t>
            </w:r>
          </w:p>
        </w:tc>
        <w:tc>
          <w:tcPr>
            <w:tcW w:type="dxa" w:w="4276"/>
            <w:vAlign w:val="top"/>
          </w:tcPr>
          <w:p>
            <w:pPr>
              <w:spacing w:after="60" w:line="259" w:lineRule="auto"/>
            </w:pPr>
            <w:r>
              <w:rPr>
                <w:rFonts w:ascii="Calibri" w:hAnsi="Calibri"/>
                <w:b w:val="0"/>
                <w:i w:val="0"/>
                <w:color w:val="212121"/>
                <w:sz w:val="19"/>
              </w:rPr>
              <w:t>Transmission and subclinical lymphatic damage begin in childhood in endemic villages; children are often amicrofilaraemic or asymptomatic but seed later disease, which is why antibody surveillance in children is used to certify elimination.</w:t>
            </w:r>
          </w:p>
          <w:p>
            <w:pPr>
              <w:spacing w:after="40" w:before="60" w:line="259" w:lineRule="auto"/>
            </w:pPr>
            <w:r>
              <w:rPr>
                <w:rFonts w:ascii="Calibri" w:hAnsi="Calibri"/>
                <w:b w:val="0"/>
                <w:i w:val="0"/>
                <w:color w:val="212121"/>
                <w:sz w:val="19"/>
              </w:rPr>
              <w:t>Repeated infective bites in childhood cause subclinical lymphatic dilatation years before symptoms; children are key sentinels in transmission-assessment surveys.</w:t>
            </w:r>
          </w:p>
          <w:p>
            <w:pPr>
              <w:spacing w:after="40" w:line="252" w:lineRule="auto"/>
            </w:pPr>
            <w:hyperlink r:id="rId11">
              <w:r>
                <w:rPr>
                  <w:rFonts w:ascii="Calibri" w:hAnsi="Calibri" w:cs="Calibri"/>
                  <w:sz w:val="18"/>
                  <w:color w:val="1155CC"/>
                  <w:u w:val="single"/>
                </w:rPr>
                <w:t xml:space="preserve">cdc.gov/dpdx — lymphatic filariasis</w:t>
              </w:r>
            </w:hyperlink>
          </w:p>
          <w:p>
            <w:pPr>
              <w:spacing w:before="60" w:after="40"/>
            </w:pPr>
            <w:r>
              <w:rPr>
                <w:rFonts w:ascii="Calibri" w:hAnsi="Calibri"/>
                <w:b w:val="0"/>
                <w:i w:val="0"/>
                <w:color w:val="5A5A5A"/>
                <w:sz w:val="18"/>
              </w:rPr>
              <w:t>#children  #subclinical  #surveillance  #TAS</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Hydrocele — the commonest chronic manifestation of bancroftian filariasis — occurs almost exclusively in men, and antigen/microfilaria prevalence tends to be higher in males owing to greater outdoor and night-time exposure.</w:t>
            </w:r>
          </w:p>
          <w:p>
            <w:pPr>
              <w:spacing w:after="40" w:before="60" w:line="259" w:lineRule="auto"/>
            </w:pPr>
            <w:r>
              <w:rPr>
                <w:rFonts w:ascii="Calibri" w:hAnsi="Calibri"/>
                <w:b w:val="0"/>
                <w:i w:val="0"/>
                <w:color w:val="212121"/>
                <w:sz w:val="19"/>
              </w:rPr>
              <w:t>Around 25 million men worldwide live with filarial hydrocele, and the disease is generally more common in men than women.</w:t>
            </w:r>
          </w:p>
          <w:p>
            <w:pPr>
              <w:spacing w:after="40" w:line="252" w:lineRule="auto"/>
            </w:pPr>
            <w:hyperlink r:id="rId10">
              <w:r>
                <w:rPr>
                  <w:rFonts w:ascii="Calibri" w:hAnsi="Calibri" w:cs="Calibri"/>
                  <w:sz w:val="18"/>
                  <w:color w:val="1155CC"/>
                  <w:u w:val="single"/>
                </w:rPr>
                <w:t xml:space="preserve">who.int — lymphatic filariasis fact sheet</w:t>
              </w:r>
            </w:hyperlink>
          </w:p>
          <w:p>
            <w:pPr>
              <w:spacing w:before="60" w:after="40"/>
            </w:pPr>
            <w:r>
              <w:rPr>
                <w:rFonts w:ascii="Calibri" w:hAnsi="Calibri"/>
                <w:b w:val="0"/>
                <w:i w:val="0"/>
                <w:color w:val="5A5A5A"/>
                <w:sz w:val="18"/>
              </w:rPr>
              <w:t>#hydrocele  #scrotalswelling  #male  #bancroftian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bear a disproportionate share of limb (and occasionally breast/vulval) lymphoedema and suffer intense social stigma, restricted marriage prospects and limited access to care, worsening the psychosocial burden.</w:t>
            </w:r>
          </w:p>
          <w:p>
            <w:pPr>
              <w:spacing w:after="40" w:before="60" w:line="259" w:lineRule="auto"/>
            </w:pPr>
            <w:r>
              <w:rPr>
                <w:rFonts w:ascii="Calibri" w:hAnsi="Calibri"/>
                <w:b w:val="0"/>
                <w:i w:val="0"/>
                <w:color w:val="212121"/>
                <w:sz w:val="19"/>
              </w:rPr>
              <w:t>Over 15 million people worldwide live with lymphoedema, a large proportion of them women who face marked stigma and reduced access to morbidity care.</w:t>
            </w:r>
          </w:p>
          <w:p>
            <w:pPr>
              <w:spacing w:after="40" w:line="252" w:lineRule="auto"/>
            </w:pPr>
            <w:hyperlink r:id="rId10">
              <w:r>
                <w:rPr>
                  <w:rFonts w:ascii="Calibri" w:hAnsi="Calibri" w:cs="Calibri"/>
                  <w:sz w:val="18"/>
                  <w:color w:val="1155CC"/>
                  <w:u w:val="single"/>
                </w:rPr>
                <w:t xml:space="preserve">who.int — lymphatic filariasis fact sheet</w:t>
              </w:r>
            </w:hyperlink>
          </w:p>
          <w:p>
            <w:pPr>
              <w:spacing w:before="60" w:after="40"/>
            </w:pPr>
            <w:r>
              <w:rPr>
                <w:rFonts w:ascii="Calibri" w:hAnsi="Calibri"/>
                <w:b w:val="0"/>
                <w:i w:val="0"/>
                <w:color w:val="5A5A5A"/>
                <w:sz w:val="18"/>
              </w:rPr>
              <w:t>#lymphoedema  #stigma  #women  #morbidity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 low-income households</w:t>
            </w:r>
          </w:p>
        </w:tc>
        <w:tc>
          <w:tcPr>
            <w:tcW w:type="dxa" w:w="4276"/>
            <w:vAlign w:val="top"/>
          </w:tcPr>
          <w:p>
            <w:pPr>
              <w:spacing w:after="60" w:line="259" w:lineRule="auto"/>
            </w:pPr>
            <w:r>
              <w:rPr>
                <w:rFonts w:ascii="Calibri" w:hAnsi="Calibri"/>
                <w:b w:val="0"/>
                <w:i w:val="0"/>
                <w:color w:val="212121"/>
                <w:sz w:val="19"/>
              </w:rPr>
              <w:t>LF is a disease of poverty: poor housing without screening or bed nets, open drains and stagnant polluted water breeding Culex, and limited health access concentrate infection and disability among the poorest communities.</w:t>
            </w:r>
          </w:p>
          <w:p>
            <w:pPr>
              <w:spacing w:after="40" w:before="60" w:line="259" w:lineRule="auto"/>
            </w:pPr>
            <w:r>
              <w:rPr>
                <w:rFonts w:ascii="Calibri" w:hAnsi="Calibri"/>
                <w:b w:val="0"/>
                <w:i w:val="0"/>
                <w:color w:val="212121"/>
                <w:sz w:val="19"/>
              </w:rPr>
              <w:t>Lymphatic filariasis is one of the world's leading causes of long-term disability and imposes an estimated economic loss of around US$1 billion a year in endemic countries.</w:t>
            </w:r>
          </w:p>
          <w:p>
            <w:pPr>
              <w:spacing w:after="40" w:line="252" w:lineRule="auto"/>
            </w:pPr>
            <w:hyperlink r:id="rId9">
              <w:r>
                <w:rPr>
                  <w:rFonts w:ascii="Calibri" w:hAnsi="Calibri" w:cs="Calibri"/>
                  <w:sz w:val="18"/>
                  <w:color w:val="1155CC"/>
                  <w:u w:val="single"/>
                </w:rPr>
                <w:t xml:space="preserve">ncbi.nlm.nih.gov/books/NBK556012 — filariasis (StatPearls)</w:t>
              </w:r>
            </w:hyperlink>
          </w:p>
          <w:p>
            <w:pPr>
              <w:spacing w:before="60" w:after="40"/>
            </w:pPr>
            <w:r>
              <w:rPr>
                <w:rFonts w:ascii="Calibri" w:hAnsi="Calibri"/>
                <w:b w:val="0"/>
                <w:i w:val="0"/>
                <w:color w:val="5A5A5A"/>
                <w:sz w:val="18"/>
              </w:rPr>
              <w:t>#povertydisease  #NTD  #disability  #economicloss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endemic states</w:t>
            </w:r>
          </w:p>
        </w:tc>
        <w:tc>
          <w:tcPr>
            <w:tcW w:type="dxa" w:w="2160"/>
            <w:vAlign w:val="top"/>
          </w:tcPr>
          <w:p>
            <w:pPr>
              <w:spacing w:after="40" w:before="0" w:line="259" w:lineRule="auto"/>
            </w:pPr>
            <w:r>
              <w:rPr>
                <w:rFonts w:ascii="Calibri" w:hAnsi="Calibri"/>
                <w:b w:val="0"/>
                <w:i w:val="0"/>
                <w:color w:val="212121"/>
                <w:sz w:val="19"/>
              </w:rPr>
              <w:t>Residents of endemic districts (UP, Bihar, Jharkhand, Odisha, WB, AP, Telangana, TN)</w:t>
            </w:r>
          </w:p>
        </w:tc>
        <w:tc>
          <w:tcPr>
            <w:tcW w:type="dxa" w:w="4276"/>
            <w:vAlign w:val="top"/>
          </w:tcPr>
          <w:p>
            <w:pPr>
              <w:spacing w:after="60" w:line="259" w:lineRule="auto"/>
            </w:pPr>
            <w:r>
              <w:rPr>
                <w:rFonts w:ascii="Calibri" w:hAnsi="Calibri"/>
                <w:b w:val="0"/>
                <w:i w:val="0"/>
                <w:color w:val="212121"/>
                <w:sz w:val="19"/>
              </w:rPr>
              <w:t>Bancroftian filariasis is hyperendemic across the Gangetic plain and eastern/southern India, where warm humid conditions, dense Culex populations and poor sanitation sustain intense year-round transmission.</w:t>
            </w:r>
          </w:p>
          <w:p>
            <w:pPr>
              <w:spacing w:after="40" w:before="60" w:line="259" w:lineRule="auto"/>
            </w:pPr>
            <w:r>
              <w:rPr>
                <w:rFonts w:ascii="Calibri" w:hAnsi="Calibri"/>
                <w:b w:val="0"/>
                <w:i w:val="0"/>
                <w:color w:val="212121"/>
                <w:sz w:val="19"/>
              </w:rPr>
              <w:t>India has historically carried roughly 40% of the global LF burden, with LF endemic in more than 340 districts across about 20 states and union territories.</w:t>
            </w:r>
          </w:p>
          <w:p>
            <w:pPr>
              <w:spacing w:after="40" w:line="252" w:lineRule="auto"/>
            </w:pPr>
            <w:hyperlink r:id="rId12">
              <w:r>
                <w:rPr>
                  <w:rFonts w:ascii="Calibri" w:hAnsi="Calibri" w:cs="Calibri"/>
                  <w:sz w:val="18"/>
                  <w:color w:val="1155CC"/>
                  <w:u w:val="single"/>
                </w:rPr>
                <w:t xml:space="preserve">who.int/india — lymphatic filariasis</w:t>
              </w:r>
            </w:hyperlink>
          </w:p>
          <w:p>
            <w:pPr>
              <w:spacing w:before="60" w:after="40"/>
            </w:pPr>
            <w:r>
              <w:rPr>
                <w:rFonts w:ascii="Calibri" w:hAnsi="Calibri"/>
                <w:b w:val="0"/>
                <w:i w:val="0"/>
                <w:color w:val="5A5A5A"/>
                <w:sz w:val="18"/>
              </w:rPr>
              <w:t>#endemicIndia  #bancroftian  #gangeticplain  #40percent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(coastal / Kerala)</w:t>
            </w:r>
          </w:p>
        </w:tc>
        <w:tc>
          <w:tcPr>
            <w:tcW w:type="dxa" w:w="2160"/>
            <w:vAlign w:val="top"/>
          </w:tcPr>
          <w:p>
            <w:pPr>
              <w:spacing w:after="40" w:before="0" w:line="259" w:lineRule="auto"/>
            </w:pPr>
            <w:r>
              <w:rPr>
                <w:rFonts w:ascii="Calibri" w:hAnsi="Calibri"/>
                <w:b w:val="0"/>
                <w:i w:val="0"/>
                <w:color w:val="212121"/>
                <w:sz w:val="19"/>
              </w:rPr>
              <w:t>Coastal Kerala and adjoining brugian foci</w:t>
            </w:r>
          </w:p>
        </w:tc>
        <w:tc>
          <w:tcPr>
            <w:tcW w:type="dxa" w:w="4276"/>
            <w:vAlign w:val="top"/>
          </w:tcPr>
          <w:p>
            <w:pPr>
              <w:spacing w:after="60" w:line="259" w:lineRule="auto"/>
            </w:pPr>
            <w:r>
              <w:rPr>
                <w:rFonts w:ascii="Calibri" w:hAnsi="Calibri"/>
                <w:b w:val="0"/>
                <w:i w:val="0"/>
                <w:color w:val="212121"/>
                <w:sz w:val="19"/>
              </w:rPr>
              <w:t>Brugia malayi filariasis is focally endemic in Kerala and pockets of coastal India, transmitted by Mansonia mosquitoes that breed on aquatic vegetation in ponds and paddy fields; it characteristically causes below-knee lymphoedema.</w:t>
            </w:r>
          </w:p>
          <w:p>
            <w:pPr>
              <w:spacing w:after="40" w:before="60" w:line="259" w:lineRule="auto"/>
            </w:pPr>
            <w:r>
              <w:rPr>
                <w:rFonts w:ascii="Calibri" w:hAnsi="Calibri"/>
                <w:b w:val="0"/>
                <w:i w:val="0"/>
                <w:color w:val="212121"/>
                <w:sz w:val="19"/>
              </w:rPr>
              <w:t>Brugian filariasis accounts for a small fraction of Indian cases (W. bancrofti causes &gt;99%), clustered in Kerala and coastal zones with Mansonia vectors.</w:t>
            </w:r>
          </w:p>
          <w:p>
            <w:pPr>
              <w:spacing w:before="60" w:after="40"/>
            </w:pPr>
            <w:r>
              <w:rPr>
                <w:rFonts w:ascii="Calibri" w:hAnsi="Calibri"/>
                <w:b w:val="0"/>
                <w:i w:val="0"/>
                <w:color w:val="5A5A5A"/>
                <w:sz w:val="18"/>
              </w:rPr>
              <w:t>#brugia  #mansonia  #Kerala  #coastal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 / peri-urban slums</w:t>
            </w:r>
          </w:p>
        </w:tc>
        <w:tc>
          <w:tcPr>
            <w:tcW w:type="dxa" w:w="2160"/>
            <w:vAlign w:val="top"/>
          </w:tcPr>
          <w:p>
            <w:pPr>
              <w:spacing w:after="40" w:before="0" w:line="259" w:lineRule="auto"/>
            </w:pPr>
            <w:r>
              <w:rPr>
                <w:rFonts w:ascii="Calibri" w:hAnsi="Calibri"/>
                <w:b w:val="0"/>
                <w:i w:val="0"/>
                <w:color w:val="212121"/>
                <w:sz w:val="19"/>
              </w:rPr>
              <w:t>Crowded slums with poor sanitation</w:t>
            </w:r>
          </w:p>
        </w:tc>
        <w:tc>
          <w:tcPr>
            <w:tcW w:type="dxa" w:w="4276"/>
            <w:vAlign w:val="top"/>
          </w:tcPr>
          <w:p>
            <w:pPr>
              <w:spacing w:after="60" w:line="259" w:lineRule="auto"/>
            </w:pPr>
            <w:r>
              <w:rPr>
                <w:rFonts w:ascii="Calibri" w:hAnsi="Calibri"/>
                <w:b w:val="0"/>
                <w:i w:val="0"/>
                <w:color w:val="212121"/>
                <w:sz w:val="19"/>
              </w:rPr>
              <w:t>Culex quinquefasciatus — the main Indian vector — breeds prolifically in polluted stagnant water, blocked drains, soak pits and cesspools typical of unplanned urban settlements, making rapidly urbanising towns important transmission hubs.</w:t>
            </w:r>
          </w:p>
          <w:p>
            <w:pPr>
              <w:spacing w:after="40" w:before="60" w:line="259" w:lineRule="auto"/>
            </w:pPr>
            <w:r>
              <w:rPr>
                <w:rFonts w:ascii="Calibri" w:hAnsi="Calibri"/>
                <w:b w:val="0"/>
                <w:i w:val="0"/>
                <w:color w:val="212121"/>
                <w:sz w:val="19"/>
              </w:rPr>
              <w:t>Culex quinquefasciatus, which thrives in organically polluted urban water, is the principal vector of bancroftian filariasis across most of India.</w:t>
            </w:r>
          </w:p>
          <w:p>
            <w:pPr>
              <w:spacing w:before="60" w:after="40"/>
            </w:pPr>
            <w:r>
              <w:rPr>
                <w:rFonts w:ascii="Calibri" w:hAnsi="Calibri"/>
                <w:b w:val="0"/>
                <w:i w:val="0"/>
                <w:color w:val="5A5A5A"/>
                <w:sz w:val="18"/>
              </w:rPr>
              <w:t>#culex  #urbanslum  #sanitation  #stagnantwater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Night-time outdoor exposure</w:t>
            </w:r>
          </w:p>
        </w:tc>
        <w:tc>
          <w:tcPr>
            <w:tcW w:type="dxa" w:w="2160"/>
            <w:vAlign w:val="top"/>
          </w:tcPr>
          <w:p>
            <w:pPr>
              <w:spacing w:after="40" w:before="0" w:line="259" w:lineRule="auto"/>
            </w:pPr>
            <w:r>
              <w:rPr>
                <w:rFonts w:ascii="Calibri" w:hAnsi="Calibri"/>
                <w:b w:val="0"/>
                <w:i w:val="0"/>
                <w:color w:val="212121"/>
                <w:sz w:val="19"/>
              </w:rPr>
              <w:t>Farmers, night workers, those sleeping unprotected outdoors</w:t>
            </w:r>
          </w:p>
        </w:tc>
        <w:tc>
          <w:tcPr>
            <w:tcW w:type="dxa" w:w="4276"/>
            <w:vAlign w:val="top"/>
          </w:tcPr>
          <w:p>
            <w:pPr>
              <w:spacing w:after="60" w:line="259" w:lineRule="auto"/>
            </w:pPr>
            <w:r>
              <w:rPr>
                <w:rFonts w:ascii="Calibri" w:hAnsi="Calibri"/>
                <w:b w:val="0"/>
                <w:i w:val="0"/>
                <w:color w:val="212121"/>
                <w:sz w:val="19"/>
              </w:rPr>
              <w:t>Because W. bancrofti microfilariae are nocturnally periodic, transmission peaks when vectors bite at night; people who sleep without bed nets or work outdoors after dark receive more infective bites.</w:t>
            </w:r>
          </w:p>
          <w:p>
            <w:pPr>
              <w:spacing w:after="40" w:before="60" w:line="259" w:lineRule="auto"/>
            </w:pPr>
            <w:r>
              <w:rPr>
                <w:rFonts w:ascii="Calibri" w:hAnsi="Calibri"/>
                <w:b w:val="0"/>
                <w:i w:val="0"/>
                <w:color w:val="212121"/>
                <w:sz w:val="19"/>
              </w:rPr>
              <w:t>Microfilariae peak in peripheral blood at night (about 10 pm–2 am), matching the night-biting habit of the mosquito vector and maximising transmission to those exposed after dark.</w:t>
            </w:r>
          </w:p>
          <w:p>
            <w:pPr>
              <w:spacing w:after="40" w:line="252" w:lineRule="auto"/>
            </w:pPr>
            <w:hyperlink r:id="rId11">
              <w:r>
                <w:rPr>
                  <w:rFonts w:ascii="Calibri" w:hAnsi="Calibri" w:cs="Calibri"/>
                  <w:sz w:val="18"/>
                  <w:color w:val="1155CC"/>
                  <w:u w:val="single"/>
                </w:rPr>
                <w:t xml:space="preserve">cdc.gov/dpdx — lymphatic filariasis</w:t>
              </w:r>
            </w:hyperlink>
          </w:p>
          <w:p>
            <w:pPr>
              <w:spacing w:before="60" w:after="40"/>
            </w:pPr>
            <w:r>
              <w:rPr>
                <w:rFonts w:ascii="Calibri" w:hAnsi="Calibri"/>
                <w:b w:val="0"/>
                <w:i w:val="0"/>
                <w:color w:val="5A5A5A"/>
                <w:sz w:val="18"/>
              </w:rPr>
              <w:t>#nocturnalperiodicity  #bednets  #nightbites  #exposure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 sanitation</w:t>
            </w:r>
          </w:p>
        </w:tc>
        <w:tc>
          <w:tcPr>
            <w:tcW w:type="dxa" w:w="2160"/>
            <w:vAlign w:val="top"/>
          </w:tcPr>
          <w:p>
            <w:pPr>
              <w:spacing w:after="40" w:before="0" w:line="259" w:lineRule="auto"/>
            </w:pPr>
            <w:r>
              <w:rPr>
                <w:rFonts w:ascii="Calibri" w:hAnsi="Calibri"/>
                <w:b w:val="0"/>
                <w:i w:val="0"/>
                <w:color w:val="212121"/>
                <w:sz w:val="19"/>
              </w:rPr>
              <w:t>Households with poor sanitation and no vector control</w:t>
            </w:r>
          </w:p>
        </w:tc>
        <w:tc>
          <w:tcPr>
            <w:tcW w:type="dxa" w:w="4276"/>
            <w:vAlign w:val="top"/>
          </w:tcPr>
          <w:p>
            <w:pPr>
              <w:spacing w:after="60" w:line="259" w:lineRule="auto"/>
            </w:pPr>
            <w:r>
              <w:rPr>
                <w:rFonts w:ascii="Calibri" w:hAnsi="Calibri"/>
                <w:b w:val="0"/>
                <w:i w:val="0"/>
                <w:color w:val="212121"/>
                <w:sz w:val="19"/>
              </w:rPr>
              <w:t>Inadequate sanitation and absent personal protection increase both mosquito breeding and infective bites, while poor limb/skin hygiene lets minor wounds become the entry point for the bacterial infections that trigger acute attacks.</w:t>
            </w:r>
          </w:p>
          <w:p>
            <w:pPr>
              <w:spacing w:after="40" w:before="60" w:line="259" w:lineRule="auto"/>
            </w:pPr>
            <w:r>
              <w:rPr>
                <w:rFonts w:ascii="Calibri" w:hAnsi="Calibri"/>
                <w:b w:val="0"/>
                <w:i w:val="0"/>
                <w:color w:val="212121"/>
                <w:sz w:val="19"/>
              </w:rPr>
              <w:t>Simple skin and limb hygiene is the cornerstone of morbidity management because secondary bacterial infection is the main driver of acute adenolymphangitis and lymphoedema progression.</w:t>
            </w:r>
          </w:p>
          <w:p>
            <w:pPr>
              <w:spacing w:after="40" w:line="252" w:lineRule="auto"/>
            </w:pPr>
            <w:hyperlink r:id="rId10">
              <w:r>
                <w:rPr>
                  <w:rFonts w:ascii="Calibri" w:hAnsi="Calibri" w:cs="Calibri"/>
                  <w:sz w:val="18"/>
                  <w:color w:val="1155CC"/>
                  <w:u w:val="single"/>
                </w:rPr>
                <w:t xml:space="preserve">who.int — lymphatic filariasis fact sheet</w:t>
              </w:r>
            </w:hyperlink>
          </w:p>
          <w:p>
            <w:pPr>
              <w:spacing w:before="60" w:after="40"/>
            </w:pPr>
            <w:r>
              <w:rPr>
                <w:rFonts w:ascii="Calibri" w:hAnsi="Calibri"/>
                <w:b w:val="0"/>
                <w:i w:val="0"/>
                <w:color w:val="5A5A5A"/>
                <w:sz w:val="18"/>
              </w:rPr>
              <w:t>#hygiene  #sanitation  #ADL  #skincare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Footwear / barefoot walking</w:t>
            </w:r>
          </w:p>
        </w:tc>
        <w:tc>
          <w:tcPr>
            <w:tcW w:type="dxa" w:w="2160"/>
            <w:vAlign w:val="top"/>
          </w:tcPr>
          <w:p>
            <w:pPr>
              <w:spacing w:after="40" w:before="0" w:line="259" w:lineRule="auto"/>
            </w:pPr>
            <w:r>
              <w:rPr>
                <w:rFonts w:ascii="Calibri" w:hAnsi="Calibri"/>
                <w:b w:val="0"/>
                <w:i w:val="0"/>
                <w:color w:val="212121"/>
                <w:sz w:val="19"/>
              </w:rPr>
              <w:t>People walking barefoot in endemic areas</w:t>
            </w:r>
          </w:p>
        </w:tc>
        <w:tc>
          <w:tcPr>
            <w:tcW w:type="dxa" w:w="4276"/>
            <w:vAlign w:val="top"/>
          </w:tcPr>
          <w:p>
            <w:pPr>
              <w:spacing w:after="60" w:line="259" w:lineRule="auto"/>
            </w:pPr>
            <w:r>
              <w:rPr>
                <w:rFonts w:ascii="Calibri" w:hAnsi="Calibri"/>
                <w:b w:val="0"/>
                <w:i w:val="0"/>
                <w:color w:val="212121"/>
                <w:sz w:val="19"/>
              </w:rPr>
              <w:t>Barefoot walking causes repeated minor foot trauma and fungal/bacterial infection between the toes, providing portals of entry that precipitate recurrent ADL episodes and accelerate lymphoedema in an already-compromised limb.</w:t>
            </w:r>
          </w:p>
          <w:p>
            <w:pPr>
              <w:spacing w:after="40" w:before="60" w:line="259" w:lineRule="auto"/>
            </w:pPr>
            <w:r>
              <w:rPr>
                <w:rFonts w:ascii="Calibri" w:hAnsi="Calibri"/>
                <w:b w:val="0"/>
                <w:i w:val="0"/>
                <w:color w:val="212121"/>
                <w:sz w:val="19"/>
              </w:rPr>
              <w:t>Interdigital entry lesions and repeated skin infection precipitate acute attacks that drive the stepwise progression of lymphoedema to elephantiasis.</w:t>
            </w:r>
          </w:p>
          <w:p>
            <w:pPr>
              <w:spacing w:after="40" w:line="252" w:lineRule="auto"/>
            </w:pPr>
            <w:hyperlink r:id="rId9">
              <w:r>
                <w:rPr>
                  <w:rFonts w:ascii="Calibri" w:hAnsi="Calibri" w:cs="Calibri"/>
                  <w:sz w:val="18"/>
                  <w:color w:val="1155CC"/>
                  <w:u w:val="single"/>
                </w:rPr>
                <w:t xml:space="preserve">ncbi.nlm.nih.gov/books/NBK556012 — filariasis (StatPearls)</w:t>
              </w:r>
            </w:hyperlink>
          </w:p>
          <w:p>
            <w:pPr>
              <w:spacing w:before="60" w:after="40"/>
            </w:pPr>
            <w:r>
              <w:rPr>
                <w:rFonts w:ascii="Calibri" w:hAnsi="Calibri"/>
                <w:b w:val="0"/>
                <w:i w:val="0"/>
                <w:color w:val="5A5A5A"/>
                <w:sz w:val="18"/>
              </w:rPr>
              <w:t>#barefoot  #footcare  #entrylesion  #cellulitis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fat (chyluria)</w:t>
            </w:r>
          </w:p>
        </w:tc>
        <w:tc>
          <w:tcPr>
            <w:tcW w:type="dxa" w:w="2160"/>
            <w:vAlign w:val="top"/>
          </w:tcPr>
          <w:p>
            <w:pPr>
              <w:spacing w:after="40" w:before="0" w:line="259" w:lineRule="auto"/>
            </w:pPr>
            <w:r>
              <w:rPr>
                <w:rFonts w:ascii="Calibri" w:hAnsi="Calibri"/>
                <w:b w:val="0"/>
                <w:i w:val="0"/>
                <w:color w:val="212121"/>
                <w:sz w:val="19"/>
              </w:rPr>
              <w:t>Patients with filarial chyluria on high-fat diets</w:t>
            </w:r>
          </w:p>
        </w:tc>
        <w:tc>
          <w:tcPr>
            <w:tcW w:type="dxa" w:w="4276"/>
            <w:vAlign w:val="top"/>
          </w:tcPr>
          <w:p>
            <w:pPr>
              <w:spacing w:after="60" w:line="259" w:lineRule="auto"/>
            </w:pPr>
            <w:r>
              <w:rPr>
                <w:rFonts w:ascii="Calibri" w:hAnsi="Calibri"/>
                <w:b w:val="0"/>
                <w:i w:val="0"/>
                <w:color w:val="212121"/>
                <w:sz w:val="19"/>
              </w:rPr>
              <w:t>When filarial damage ruptures lymphatics into the renal tract, dietary long-chain fat markedly increases chyle (milky lymph) leakage into urine, worsening protein and fat loss; a low-fat, high-protein diet reduces chyluria.</w:t>
            </w:r>
          </w:p>
          <w:p>
            <w:pPr>
              <w:spacing w:after="40" w:before="60" w:line="259" w:lineRule="auto"/>
            </w:pPr>
            <w:r>
              <w:rPr>
                <w:rFonts w:ascii="Calibri" w:hAnsi="Calibri"/>
                <w:b w:val="0"/>
                <w:i w:val="0"/>
                <w:color w:val="212121"/>
                <w:sz w:val="19"/>
              </w:rPr>
              <w:t>In chyluria, intestinal lymph passes into the renal pelvis and is excreted in urine, causing significant loss of fat and protein that is aggravated by fatty meals.</w:t>
            </w:r>
          </w:p>
          <w:p>
            <w:pPr>
              <w:spacing w:after="40" w:line="252" w:lineRule="auto"/>
            </w:pPr>
            <w:hyperlink r:id="rId9">
              <w:r>
                <w:rPr>
                  <w:rFonts w:ascii="Calibri" w:hAnsi="Calibri" w:cs="Calibri"/>
                  <w:sz w:val="18"/>
                  <w:color w:val="1155CC"/>
                  <w:u w:val="single"/>
                </w:rPr>
                <w:t xml:space="preserve">ncbi.nlm.nih.gov/books/NBK556012 — filariasis (StatPearls)</w:t>
              </w:r>
            </w:hyperlink>
          </w:p>
          <w:p>
            <w:pPr>
              <w:spacing w:before="60" w:after="40"/>
            </w:pPr>
            <w:r>
              <w:rPr>
                <w:rFonts w:ascii="Calibri" w:hAnsi="Calibri"/>
                <w:b w:val="0"/>
                <w:i w:val="0"/>
                <w:color w:val="5A5A5A"/>
                <w:sz w:val="18"/>
              </w:rPr>
              <w:t>#chyluria  #lowfatdiet  #proteinloss  #lymphleak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Undernutrition</w:t>
            </w:r>
          </w:p>
        </w:tc>
        <w:tc>
          <w:tcPr>
            <w:tcW w:type="dxa" w:w="2160"/>
            <w:vAlign w:val="top"/>
          </w:tcPr>
          <w:p>
            <w:pPr>
              <w:spacing w:after="40" w:before="0" w:line="259" w:lineRule="auto"/>
            </w:pPr>
            <w:r>
              <w:rPr>
                <w:rFonts w:ascii="Calibri" w:hAnsi="Calibri"/>
                <w:b w:val="0"/>
                <w:i w:val="0"/>
                <w:color w:val="212121"/>
                <w:sz w:val="19"/>
              </w:rPr>
              <w:t>Protein-energy malnourished individuals</w:t>
            </w:r>
          </w:p>
        </w:tc>
        <w:tc>
          <w:tcPr>
            <w:tcW w:type="dxa" w:w="4276"/>
            <w:vAlign w:val="top"/>
          </w:tcPr>
          <w:p>
            <w:pPr>
              <w:spacing w:after="60" w:line="259" w:lineRule="auto"/>
            </w:pPr>
            <w:r>
              <w:rPr>
                <w:rFonts w:ascii="Calibri" w:hAnsi="Calibri"/>
                <w:b w:val="0"/>
                <w:i w:val="0"/>
                <w:color w:val="212121"/>
                <w:sz w:val="19"/>
              </w:rPr>
              <w:t>Poor nutrition impairs immune competence and wound healing, worsening susceptibility to secondary skin infection and slowing recovery of lymphoedematous limbs, compounding the protein loss already caused by chyluria and chronic inflammation.</w:t>
            </w:r>
          </w:p>
          <w:p>
            <w:pPr>
              <w:spacing w:after="40" w:before="60" w:line="259" w:lineRule="auto"/>
            </w:pPr>
            <w:r>
              <w:rPr>
                <w:rFonts w:ascii="Calibri" w:hAnsi="Calibri"/>
                <w:b w:val="0"/>
                <w:i w:val="0"/>
                <w:color w:val="212121"/>
                <w:sz w:val="19"/>
              </w:rPr>
              <w:t>Undernutrition and chronic protein loss (chyluria, recurrent infection) reinforce each other, impairing immunity and healing in chronic filarial disease.</w:t>
            </w:r>
          </w:p>
          <w:p>
            <w:pPr>
              <w:spacing w:before="60" w:after="40"/>
            </w:pPr>
            <w:r>
              <w:rPr>
                <w:rFonts w:ascii="Calibri" w:hAnsi="Calibri"/>
                <w:b w:val="0"/>
                <w:i w:val="0"/>
                <w:color w:val="5A5A5A"/>
                <w:sz w:val="18"/>
              </w:rPr>
              <w:t>#undernutrition  #immunity  #woundhealing  #protein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immunogenetics</w:t>
            </w:r>
          </w:p>
        </w:tc>
        <w:tc>
          <w:tcPr>
            <w:tcW w:type="dxa" w:w="2160"/>
            <w:vAlign w:val="top"/>
          </w:tcPr>
          <w:p>
            <w:pPr>
              <w:spacing w:after="40" w:before="0" w:line="259" w:lineRule="auto"/>
            </w:pPr>
            <w:r>
              <w:rPr>
                <w:rFonts w:ascii="Calibri" w:hAnsi="Calibri"/>
                <w:b w:val="0"/>
                <w:i w:val="0"/>
                <w:color w:val="212121"/>
                <w:sz w:val="19"/>
              </w:rPr>
              <w:t>Individuals with hyper-reactive anti-filarial immune response</w:t>
            </w:r>
          </w:p>
        </w:tc>
        <w:tc>
          <w:tcPr>
            <w:tcW w:type="dxa" w:w="4276"/>
            <w:vAlign w:val="top"/>
          </w:tcPr>
          <w:p>
            <w:pPr>
              <w:spacing w:after="60" w:line="259" w:lineRule="auto"/>
            </w:pPr>
            <w:r>
              <w:rPr>
                <w:rFonts w:ascii="Calibri" w:hAnsi="Calibri"/>
                <w:b w:val="0"/>
                <w:i w:val="0"/>
                <w:color w:val="212121"/>
                <w:sz w:val="19"/>
              </w:rPr>
              <w:t>Host immunogenetic makeup strongly shapes outcome: some remain immune-tolerant asymptomatic microfilaria carriers, whereas genetically hyper-responsive individuals mount intense lymphatic inflammation and are prone to lymphoedema, elephantiasis and TPE.</w:t>
            </w:r>
          </w:p>
          <w:p>
            <w:pPr>
              <w:spacing w:after="40" w:before="60" w:line="259" w:lineRule="auto"/>
            </w:pPr>
            <w:r>
              <w:rPr>
                <w:rFonts w:ascii="Calibri" w:hAnsi="Calibri"/>
                <w:b w:val="0"/>
                <w:i w:val="0"/>
                <w:color w:val="212121"/>
                <w:sz w:val="19"/>
              </w:rPr>
              <w:t>Roughly two-thirds of infected people never develop overt disease, reflecting immune tolerance, while a hyper-reactive minority progress to symptomatic pathology.</w:t>
            </w:r>
          </w:p>
          <w:p>
            <w:pPr>
              <w:spacing w:after="40" w:line="252" w:lineRule="auto"/>
            </w:pPr>
            <w:hyperlink r:id="rId9">
              <w:r>
                <w:rPr>
                  <w:rFonts w:ascii="Calibri" w:hAnsi="Calibri" w:cs="Calibri"/>
                  <w:sz w:val="18"/>
                  <w:color w:val="1155CC"/>
                  <w:u w:val="single"/>
                </w:rPr>
                <w:t xml:space="preserve">ncbi.nlm.nih.gov/books/NBK556012 — filariasis (StatPearls)</w:t>
              </w:r>
            </w:hyperlink>
          </w:p>
          <w:p>
            <w:pPr>
              <w:spacing w:before="60" w:after="40"/>
            </w:pPr>
            <w:r>
              <w:rPr>
                <w:rFonts w:ascii="Calibri" w:hAnsi="Calibri"/>
                <w:b w:val="0"/>
                <w:i w:val="0"/>
                <w:color w:val="5A5A5A"/>
                <w:sz w:val="18"/>
              </w:rPr>
              <w:t>#immunogenetics  #hyperresponsive  #tolerance  #TPE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Familial clustering</w:t>
            </w:r>
          </w:p>
        </w:tc>
        <w:tc>
          <w:tcPr>
            <w:tcW w:type="dxa" w:w="2160"/>
            <w:vAlign w:val="top"/>
          </w:tcPr>
          <w:p>
            <w:pPr>
              <w:spacing w:after="40" w:before="0" w:line="259" w:lineRule="auto"/>
            </w:pPr>
            <w:r>
              <w:rPr>
                <w:rFonts w:ascii="Calibri" w:hAnsi="Calibri"/>
                <w:b w:val="0"/>
                <w:i w:val="0"/>
                <w:color w:val="212121"/>
                <w:sz w:val="19"/>
              </w:rPr>
              <w:t>Families with clustering of elephantiasis</w:t>
            </w:r>
          </w:p>
        </w:tc>
        <w:tc>
          <w:tcPr>
            <w:tcW w:type="dxa" w:w="4276"/>
            <w:vAlign w:val="top"/>
          </w:tcPr>
          <w:p>
            <w:pPr>
              <w:spacing w:after="60" w:line="259" w:lineRule="auto"/>
            </w:pPr>
            <w:r>
              <w:rPr>
                <w:rFonts w:ascii="Calibri" w:hAnsi="Calibri"/>
                <w:b w:val="0"/>
                <w:i w:val="0"/>
                <w:color w:val="212121"/>
                <w:sz w:val="19"/>
              </w:rPr>
              <w:t>Chronic filarial pathology and elephantiasis often cluster within families sharing the same intense household exposure and, plausibly, inherited immune-response traits that predispose to lymphatic damage.</w:t>
            </w:r>
          </w:p>
          <w:p>
            <w:pPr>
              <w:spacing w:after="40" w:before="60" w:line="259" w:lineRule="auto"/>
            </w:pPr>
            <w:r>
              <w:rPr>
                <w:rFonts w:ascii="Calibri" w:hAnsi="Calibri"/>
                <w:b w:val="0"/>
                <w:i w:val="0"/>
                <w:color w:val="212121"/>
                <w:sz w:val="19"/>
              </w:rPr>
              <w:t>Familial and household clustering of chronic lymphoedema reflects both shared vector exposure and host susceptibility.</w:t>
            </w:r>
          </w:p>
          <w:p>
            <w:pPr>
              <w:spacing w:before="60" w:after="40"/>
            </w:pPr>
            <w:r>
              <w:rPr>
                <w:rFonts w:ascii="Calibri" w:hAnsi="Calibri"/>
                <w:b w:val="0"/>
                <w:i w:val="0"/>
                <w:color w:val="5A5A5A"/>
                <w:sz w:val="18"/>
              </w:rPr>
              <w:t>#familyclustering  #susceptibility  #householdexposure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Recurrent acute adenolymphangitis (ADL)</w:t>
            </w:r>
          </w:p>
        </w:tc>
        <w:tc>
          <w:tcPr>
            <w:tcW w:type="dxa" w:w="2160"/>
            <w:vAlign w:val="top"/>
          </w:tcPr>
          <w:p>
            <w:pPr>
              <w:spacing w:after="40" w:before="0" w:line="259" w:lineRule="auto"/>
            </w:pPr>
            <w:r>
              <w:rPr>
                <w:rFonts w:ascii="Calibri" w:hAnsi="Calibri"/>
                <w:b w:val="0"/>
                <w:i w:val="0"/>
                <w:color w:val="212121"/>
                <w:sz w:val="19"/>
              </w:rPr>
              <w:t>Patients with repeated filarial-fever attacks</w:t>
            </w:r>
          </w:p>
        </w:tc>
        <w:tc>
          <w:tcPr>
            <w:tcW w:type="dxa" w:w="4276"/>
            <w:vAlign w:val="top"/>
          </w:tcPr>
          <w:p>
            <w:pPr>
              <w:spacing w:after="60" w:line="259" w:lineRule="auto"/>
            </w:pPr>
            <w:r>
              <w:rPr>
                <w:rFonts w:ascii="Calibri" w:hAnsi="Calibri"/>
                <w:b w:val="0"/>
                <w:i w:val="0"/>
                <w:color w:val="212121"/>
                <w:sz w:val="19"/>
              </w:rPr>
              <w:t>Recurrent ADL — sudden painful lymphadenitis with retrograde lymphangitis and fever, usually precipitated by secondary bacterial infection — is the engine that drives stepwise, irreversible progression of lymphoedema to elephantiasis.</w:t>
            </w:r>
          </w:p>
          <w:p>
            <w:pPr>
              <w:spacing w:after="40" w:before="60" w:line="259" w:lineRule="auto"/>
            </w:pPr>
            <w:r>
              <w:rPr>
                <w:rFonts w:ascii="Calibri" w:hAnsi="Calibri"/>
                <w:b w:val="0"/>
                <w:i w:val="0"/>
                <w:color w:val="212121"/>
                <w:sz w:val="19"/>
              </w:rPr>
              <w:t>Patients typically suffer 1–4 acute adenolymphangitis episodes per year, each lasting about 4–7 days, with inflammation spreading distally from the node.</w:t>
            </w:r>
          </w:p>
          <w:p>
            <w:pPr>
              <w:spacing w:after="40" w:line="252" w:lineRule="auto"/>
            </w:pPr>
            <w:hyperlink r:id="rId9">
              <w:r>
                <w:rPr>
                  <w:rFonts w:ascii="Calibri" w:hAnsi="Calibri" w:cs="Calibri"/>
                  <w:sz w:val="18"/>
                  <w:color w:val="1155CC"/>
                  <w:u w:val="single"/>
                </w:rPr>
                <w:t xml:space="preserve">ncbi.nlm.nih.gov/books/NBK556012 — filariasis (StatPearls)</w:t>
              </w:r>
            </w:hyperlink>
          </w:p>
          <w:p>
            <w:pPr>
              <w:spacing w:before="60" w:after="40"/>
            </w:pPr>
            <w:r>
              <w:rPr>
                <w:rFonts w:ascii="Calibri" w:hAnsi="Calibri"/>
                <w:b w:val="0"/>
                <w:i w:val="0"/>
                <w:color w:val="5A5A5A"/>
                <w:sz w:val="18"/>
              </w:rPr>
              <w:t>#ADL  #filarialfever  #lymphangitis  #progression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lymphoedema / hydrocele</w:t>
            </w:r>
          </w:p>
        </w:tc>
        <w:tc>
          <w:tcPr>
            <w:tcW w:type="dxa" w:w="2160"/>
            <w:vAlign w:val="top"/>
          </w:tcPr>
          <w:p>
            <w:pPr>
              <w:spacing w:after="40" w:before="0" w:line="259" w:lineRule="auto"/>
            </w:pPr>
            <w:r>
              <w:rPr>
                <w:rFonts w:ascii="Calibri" w:hAnsi="Calibri"/>
                <w:b w:val="0"/>
                <w:i w:val="0"/>
                <w:color w:val="212121"/>
                <w:sz w:val="19"/>
              </w:rPr>
              <w:t>Patients with established chronic filarial disease</w:t>
            </w:r>
          </w:p>
        </w:tc>
        <w:tc>
          <w:tcPr>
            <w:tcW w:type="dxa" w:w="4276"/>
            <w:vAlign w:val="top"/>
          </w:tcPr>
          <w:p>
            <w:pPr>
              <w:spacing w:after="60" w:line="259" w:lineRule="auto"/>
            </w:pPr>
            <w:r>
              <w:rPr>
                <w:rFonts w:ascii="Calibri" w:hAnsi="Calibri"/>
                <w:b w:val="0"/>
                <w:i w:val="0"/>
                <w:color w:val="212121"/>
                <w:sz w:val="19"/>
              </w:rPr>
              <w:t>Once lymphoedema, elephantiasis or hydrocele is established, the limb or scrotum remains vulnerable to repeated infection and further swelling; these chronic states define the long-term disability burden and require lifelong morbidity management.</w:t>
            </w:r>
          </w:p>
          <w:p>
            <w:pPr>
              <w:spacing w:after="40" w:before="60" w:line="259" w:lineRule="auto"/>
            </w:pPr>
            <w:r>
              <w:rPr>
                <w:rFonts w:ascii="Calibri" w:hAnsi="Calibri"/>
                <w:b w:val="0"/>
                <w:i w:val="0"/>
                <w:color w:val="212121"/>
                <w:sz w:val="19"/>
              </w:rPr>
              <w:t>Worldwide about 36 million people live with chronic filarial disease — ~25 million hydrocele and &gt;15 million lymphoedema — a large share of them in India and the rest of Asia.</w:t>
            </w:r>
          </w:p>
          <w:p>
            <w:pPr>
              <w:spacing w:after="40" w:line="252" w:lineRule="auto"/>
            </w:pPr>
            <w:hyperlink r:id="rId10">
              <w:r>
                <w:rPr>
                  <w:rFonts w:ascii="Calibri" w:hAnsi="Calibri" w:cs="Calibri"/>
                  <w:sz w:val="18"/>
                  <w:color w:val="1155CC"/>
                  <w:u w:val="single"/>
                </w:rPr>
                <w:t xml:space="preserve">who.int — lymphatic filariasis fact sheet</w:t>
              </w:r>
            </w:hyperlink>
          </w:p>
          <w:p>
            <w:pPr>
              <w:spacing w:before="60" w:after="40"/>
            </w:pPr>
            <w:r>
              <w:rPr>
                <w:rFonts w:ascii="Calibri" w:hAnsi="Calibri"/>
                <w:b w:val="0"/>
                <w:i w:val="0"/>
                <w:color w:val="5A5A5A"/>
                <w:sz w:val="18"/>
              </w:rPr>
              <w:t>#lymphoedema  #hydrocele  #elephantiasis  #MMDP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Tropical pulmonary eosinophilia (TPE)</w:t>
            </w:r>
          </w:p>
        </w:tc>
        <w:tc>
          <w:tcPr>
            <w:tcW w:type="dxa" w:w="2160"/>
            <w:vAlign w:val="top"/>
          </w:tcPr>
          <w:p>
            <w:pPr>
              <w:spacing w:after="40" w:before="0" w:line="259" w:lineRule="auto"/>
            </w:pPr>
            <w:r>
              <w:rPr>
                <w:rFonts w:ascii="Calibri" w:hAnsi="Calibri"/>
                <w:b w:val="0"/>
                <w:i w:val="0"/>
                <w:color w:val="212121"/>
                <w:sz w:val="19"/>
              </w:rPr>
              <w:t>Hyper-responsive patients, often young adult males</w:t>
            </w:r>
          </w:p>
        </w:tc>
        <w:tc>
          <w:tcPr>
            <w:tcW w:type="dxa" w:w="4276"/>
            <w:vAlign w:val="top"/>
          </w:tcPr>
          <w:p>
            <w:pPr>
              <w:spacing w:after="60" w:line="259" w:lineRule="auto"/>
            </w:pPr>
            <w:r>
              <w:rPr>
                <w:rFonts w:ascii="Calibri" w:hAnsi="Calibri"/>
                <w:b w:val="0"/>
                <w:i w:val="0"/>
                <w:color w:val="212121"/>
                <w:sz w:val="19"/>
              </w:rPr>
              <w:t>TPE is an immunological hyper-response to filarial antigens presenting with nocturnal asthma-like cough, wheeze and very high eosinophilia; it is frequently misdiagnosed as bronchial asthma and can cause chronic interstitial lung disease if untreated.</w:t>
            </w:r>
          </w:p>
          <w:p>
            <w:pPr>
              <w:spacing w:after="40" w:before="60" w:line="259" w:lineRule="auto"/>
            </w:pPr>
            <w:r>
              <w:rPr>
                <w:rFonts w:ascii="Calibri" w:hAnsi="Calibri"/>
                <w:b w:val="0"/>
                <w:i w:val="0"/>
                <w:color w:val="212121"/>
                <w:sz w:val="19"/>
              </w:rPr>
              <w:t>TPE features very high eosinophilia (often &gt;3000/µL) and raised IgE; rare findings such as lymphadenopathy, hepatomegaly and splenomegaly occur in about 15% of patients.</w:t>
            </w:r>
          </w:p>
          <w:p>
            <w:pPr>
              <w:spacing w:after="40" w:line="252" w:lineRule="auto"/>
            </w:pPr>
            <w:hyperlink r:id="rId9">
              <w:r>
                <w:rPr>
                  <w:rFonts w:ascii="Calibri" w:hAnsi="Calibri" w:cs="Calibri"/>
                  <w:sz w:val="18"/>
                  <w:color w:val="1155CC"/>
                  <w:u w:val="single"/>
                </w:rPr>
                <w:t xml:space="preserve">ncbi.nlm.nih.gov/books/NBK556012 — filariasis (StatPearls)</w:t>
              </w:r>
            </w:hyperlink>
          </w:p>
          <w:p>
            <w:pPr>
              <w:spacing w:before="60" w:after="40"/>
            </w:pPr>
            <w:r>
              <w:rPr>
                <w:rFonts w:ascii="Calibri" w:hAnsi="Calibri"/>
                <w:b w:val="0"/>
                <w:i w:val="0"/>
                <w:color w:val="5A5A5A"/>
                <w:sz w:val="18"/>
              </w:rPr>
              <w:t>#TPE  #eosinophilia  #nocturnalcough  #IgE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does not cause infection, but for established disease, limb movement, elevation and prescribed exercises promote lymph drainage and reduce swelling, whereas prolonged dependency and immobility worsen lymphoedema.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does not affect acquisition, but in filarial chyluria a low-fat, high-protein, high-fluid diet substantially reduces chylous urine and protein loss; good nutrition supports immunity and wound healing in chronic limbs.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Because microfilariae are nocturnally periodic and vectors bite at night, sleeping unprotected (no bed net/screening) is a direct determinant of transmission; insecticide-treated nets reduce infective bites.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link to filarial transmission or progression; smoking may aggravate respiratory symptoms in tropical pulmonary eosinophilia and general immune competence.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role in acquisition or lymphoedema progression; heavy use may impair self-care, hygiene and treatment adherence.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Disfiguring elephantiasis and hydrocele carry heavy stigma; depression, anxiety and social exclusion are common and, in turn, reduce adherence to hygiene and morbidity-management routines.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Stagnant, organically polluted water in drains, soak pits and cesspools is the breeding source of the Culex vector; clean water and daily limb washing are central to both prevention and morbidity management.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known relationship to lymphatic filariasis risk or progression.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Meticulous skin and limb hygiene is the single most important patient-controlled measure: it prevents the secondary bacterial/fungal infections that trigger acute attacks and slows progression to elephantiasis.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adenolymphangitis is provoked by secondary bacterial/fungal infection, minor trauma, insect bites, interdigital lesions and inadequate limb care; avoiding these prevents flares and disability.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Limb elevation and avoidance of prolonged dependent positioning aid venous-lymphatic return and reduce lymphoedema volume as part of daily self-care.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Daily limb washing / skin care</w:t>
            </w:r>
          </w:p>
        </w:tc>
        <w:tc>
          <w:tcPr>
            <w:tcW w:type="dxa" w:w="1655"/>
            <w:vAlign w:val="top"/>
          </w:tcPr>
          <w:p>
            <w:pPr>
              <w:spacing w:after="40" w:before="0" w:line="259" w:lineRule="auto"/>
            </w:pPr>
            <w:r>
              <w:rPr>
                <w:rFonts w:ascii="Calibri" w:hAnsi="Calibri"/>
                <w:b w:val="0"/>
                <w:i w:val="0"/>
                <w:color w:val="212121"/>
                <w:sz w:val="19"/>
              </w:rPr>
              <w:t>Lymphoedema patients</w:t>
            </w:r>
          </w:p>
        </w:tc>
        <w:tc>
          <w:tcPr>
            <w:tcW w:type="dxa" w:w="1512"/>
            <w:vAlign w:val="top"/>
          </w:tcPr>
          <w:p>
            <w:pPr>
              <w:spacing w:after="40" w:before="0" w:line="259" w:lineRule="auto"/>
            </w:pPr>
            <w:r>
              <w:rPr>
                <w:rFonts w:ascii="Calibri" w:hAnsi="Calibri"/>
                <w:b w:val="0"/>
                <w:i w:val="0"/>
                <w:color w:val="212121"/>
                <w:sz w:val="19"/>
              </w:rPr>
              <w:t>Twice-daily washing with soap, drying, emollient, footwear</w:t>
            </w:r>
          </w:p>
        </w:tc>
        <w:tc>
          <w:tcPr>
            <w:tcW w:type="dxa" w:w="1512"/>
            <w:vAlign w:val="top"/>
          </w:tcPr>
          <w:p>
            <w:pPr>
              <w:spacing w:after="40" w:before="0" w:line="259" w:lineRule="auto"/>
            </w:pPr>
            <w:r>
              <w:rPr>
                <w:rFonts w:ascii="Calibri" w:hAnsi="Calibri"/>
                <w:b w:val="0"/>
                <w:i w:val="0"/>
                <w:color w:val="212121"/>
                <w:sz w:val="19"/>
              </w:rPr>
              <w:t>Skipped care, cracks, interdigital fungal lesions</w:t>
            </w:r>
          </w:p>
        </w:tc>
        <w:tc>
          <w:tcPr>
            <w:tcW w:type="dxa" w:w="1468"/>
            <w:vAlign w:val="top"/>
          </w:tcPr>
          <w:p>
            <w:pPr>
              <w:spacing w:after="60" w:line="259" w:lineRule="auto"/>
            </w:pPr>
            <w:r>
              <w:rPr>
                <w:rFonts w:ascii="Calibri" w:hAnsi="Calibri"/>
                <w:b w:val="0"/>
                <w:i w:val="0"/>
                <w:color w:val="212121"/>
                <w:sz w:val="19"/>
              </w:rPr>
              <w:t>Cornerstone of morbidity management; prevents ADL flares</w:t>
            </w:r>
          </w:p>
          <w:p>
            <w:pPr>
              <w:spacing w:after="40" w:line="252" w:lineRule="auto"/>
            </w:pPr>
            <w:hyperlink r:id="rId10">
              <w:r>
                <w:rPr>
                  <w:rFonts w:ascii="Calibri" w:hAnsi="Calibri" w:cs="Calibri"/>
                  <w:sz w:val="18"/>
                  <w:color w:val="1155CC"/>
                  <w:u w:val="single"/>
                </w:rPr>
                <w:t xml:space="preserve">https://www.who.int/news-room/fact-sheets/detail/lymphatic-filariasis</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Acute adenolymphangitis (ADL) episodes</w:t>
            </w:r>
          </w:p>
        </w:tc>
        <w:tc>
          <w:tcPr>
            <w:tcW w:type="dxa" w:w="1655"/>
            <w:vAlign w:val="top"/>
          </w:tcPr>
          <w:p>
            <w:pPr>
              <w:spacing w:after="40" w:before="0" w:line="259" w:lineRule="auto"/>
            </w:pPr>
            <w:r>
              <w:rPr>
                <w:rFonts w:ascii="Calibri" w:hAnsi="Calibri"/>
                <w:b w:val="0"/>
                <w:i w:val="0"/>
                <w:color w:val="212121"/>
                <w:sz w:val="19"/>
              </w:rPr>
              <w:t>Chronic lymphoedema patients</w:t>
            </w:r>
          </w:p>
        </w:tc>
        <w:tc>
          <w:tcPr>
            <w:tcW w:type="dxa" w:w="1512"/>
            <w:vAlign w:val="top"/>
          </w:tcPr>
          <w:p>
            <w:pPr>
              <w:spacing w:after="40" w:before="0" w:line="259" w:lineRule="auto"/>
            </w:pPr>
            <w:r>
              <w:rPr>
                <w:rFonts w:ascii="Calibri" w:hAnsi="Calibri"/>
                <w:b w:val="0"/>
                <w:i w:val="0"/>
                <w:color w:val="212121"/>
                <w:sz w:val="19"/>
              </w:rPr>
              <w:t>0 episodes/year</w:t>
            </w:r>
          </w:p>
        </w:tc>
        <w:tc>
          <w:tcPr>
            <w:tcW w:type="dxa" w:w="1512"/>
            <w:vAlign w:val="top"/>
          </w:tcPr>
          <w:p>
            <w:pPr>
              <w:spacing w:after="40" w:before="0" w:line="259" w:lineRule="auto"/>
            </w:pPr>
            <w:r>
              <w:rPr>
                <w:rFonts w:ascii="Calibri" w:hAnsi="Calibri"/>
                <w:b w:val="0"/>
                <w:i w:val="0"/>
                <w:color w:val="212121"/>
                <w:sz w:val="19"/>
              </w:rPr>
              <w:t>≥1 episode/year (typical 1–4/year)</w:t>
            </w:r>
          </w:p>
        </w:tc>
        <w:tc>
          <w:tcPr>
            <w:tcW w:type="dxa" w:w="1468"/>
            <w:vAlign w:val="top"/>
          </w:tcPr>
          <w:p>
            <w:pPr>
              <w:spacing w:after="60" w:line="259" w:lineRule="auto"/>
            </w:pPr>
            <w:r>
              <w:rPr>
                <w:rFonts w:ascii="Calibri" w:hAnsi="Calibri"/>
                <w:b w:val="0"/>
                <w:i w:val="0"/>
                <w:color w:val="212121"/>
                <w:sz w:val="19"/>
              </w:rPr>
              <w:t>Each acute attack ratchets lymphoedema toward elephantiasis</w:t>
            </w:r>
          </w:p>
          <w:p>
            <w:pPr>
              <w:spacing w:after="40" w:line="252" w:lineRule="auto"/>
            </w:pPr>
            <w:hyperlink r:id="rId9">
              <w:r>
                <w:rPr>
                  <w:rFonts w:ascii="Calibri" w:hAnsi="Calibri" w:cs="Calibri"/>
                  <w:sz w:val="18"/>
                  <w:color w:val="1155CC"/>
                  <w:u w:val="single"/>
                </w:rPr>
                <w:t xml:space="preserve">https://www.ncbi.nlm.nih.gov/books/NBK556012/</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Insecticide-treated bed-net use</w:t>
            </w:r>
          </w:p>
        </w:tc>
        <w:tc>
          <w:tcPr>
            <w:tcW w:type="dxa" w:w="1655"/>
            <w:vAlign w:val="top"/>
          </w:tcPr>
          <w:p>
            <w:pPr>
              <w:spacing w:after="40" w:before="0" w:line="259" w:lineRule="auto"/>
            </w:pPr>
            <w:r>
              <w:rPr>
                <w:rFonts w:ascii="Calibri" w:hAnsi="Calibri"/>
                <w:b w:val="0"/>
                <w:i w:val="0"/>
                <w:color w:val="212121"/>
                <w:sz w:val="19"/>
              </w:rPr>
              <w:t>Residents of endemic areas</w:t>
            </w:r>
          </w:p>
        </w:tc>
        <w:tc>
          <w:tcPr>
            <w:tcW w:type="dxa" w:w="1512"/>
            <w:vAlign w:val="top"/>
          </w:tcPr>
          <w:p>
            <w:pPr>
              <w:spacing w:after="40" w:before="0" w:line="259" w:lineRule="auto"/>
            </w:pPr>
            <w:r>
              <w:rPr>
                <w:rFonts w:ascii="Calibri" w:hAnsi="Calibri"/>
                <w:b w:val="0"/>
                <w:i w:val="0"/>
                <w:color w:val="212121"/>
                <w:sz w:val="19"/>
              </w:rPr>
              <w:t>Consistent nightly use</w:t>
            </w:r>
          </w:p>
        </w:tc>
        <w:tc>
          <w:tcPr>
            <w:tcW w:type="dxa" w:w="1512"/>
            <w:vAlign w:val="top"/>
          </w:tcPr>
          <w:p>
            <w:pPr>
              <w:spacing w:after="40" w:before="0" w:line="259" w:lineRule="auto"/>
            </w:pPr>
            <w:r>
              <w:rPr>
                <w:rFonts w:ascii="Calibri" w:hAnsi="Calibri"/>
                <w:b w:val="0"/>
                <w:i w:val="0"/>
                <w:color w:val="212121"/>
                <w:sz w:val="19"/>
              </w:rPr>
              <w:t>No net / unscreened sleeping</w:t>
            </w:r>
          </w:p>
        </w:tc>
        <w:tc>
          <w:tcPr>
            <w:tcW w:type="dxa" w:w="1468"/>
            <w:vAlign w:val="top"/>
          </w:tcPr>
          <w:p>
            <w:pPr>
              <w:spacing w:after="60" w:line="259" w:lineRule="auto"/>
            </w:pPr>
            <w:r>
              <w:rPr>
                <w:rFonts w:ascii="Calibri" w:hAnsi="Calibri"/>
                <w:b w:val="0"/>
                <w:i w:val="0"/>
                <w:color w:val="212121"/>
                <w:sz w:val="19"/>
              </w:rPr>
              <w:t>Reduces night-time infective mosquito bites</w:t>
            </w:r>
          </w:p>
          <w:p>
            <w:pPr>
              <w:spacing w:after="40" w:line="252" w:lineRule="auto"/>
            </w:pPr>
            <w:hyperlink r:id="rId11">
              <w:r>
                <w:rPr>
                  <w:rFonts w:ascii="Calibri" w:hAnsi="Calibri" w:cs="Calibri"/>
                  <w:sz w:val="18"/>
                  <w:color w:val="1155CC"/>
                  <w:u w:val="single"/>
                </w:rPr>
                <w:t xml:space="preserve">https://www.cdc.gov/dpdx/lymphaticfilariasis/index.html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Limb elevation &amp; exercise</w:t>
            </w:r>
          </w:p>
        </w:tc>
        <w:tc>
          <w:tcPr>
            <w:tcW w:type="dxa" w:w="1655"/>
            <w:vAlign w:val="top"/>
          </w:tcPr>
          <w:p>
            <w:pPr>
              <w:spacing w:after="40" w:before="0" w:line="259" w:lineRule="auto"/>
            </w:pPr>
            <w:r>
              <w:rPr>
                <w:rFonts w:ascii="Calibri" w:hAnsi="Calibri"/>
                <w:b w:val="0"/>
                <w:i w:val="0"/>
                <w:color w:val="212121"/>
                <w:sz w:val="19"/>
              </w:rPr>
              <w:t>Lymphoedema patients</w:t>
            </w:r>
          </w:p>
        </w:tc>
        <w:tc>
          <w:tcPr>
            <w:tcW w:type="dxa" w:w="1512"/>
            <w:vAlign w:val="top"/>
          </w:tcPr>
          <w:p>
            <w:pPr>
              <w:spacing w:after="40" w:before="0" w:line="259" w:lineRule="auto"/>
            </w:pPr>
            <w:r>
              <w:rPr>
                <w:rFonts w:ascii="Calibri" w:hAnsi="Calibri"/>
                <w:b w:val="0"/>
                <w:i w:val="0"/>
                <w:color w:val="212121"/>
                <w:sz w:val="19"/>
              </w:rPr>
              <w:t>Daily prescribed exercises + elevation when resting</w:t>
            </w:r>
          </w:p>
        </w:tc>
        <w:tc>
          <w:tcPr>
            <w:tcW w:type="dxa" w:w="1512"/>
            <w:vAlign w:val="top"/>
          </w:tcPr>
          <w:p>
            <w:pPr>
              <w:spacing w:after="40" w:before="0" w:line="259" w:lineRule="auto"/>
            </w:pPr>
            <w:r>
              <w:rPr>
                <w:rFonts w:ascii="Calibri" w:hAnsi="Calibri"/>
                <w:b w:val="0"/>
                <w:i w:val="0"/>
                <w:color w:val="212121"/>
                <w:sz w:val="19"/>
              </w:rPr>
              <w:t>Prolonged dependency / immobility</w:t>
            </w:r>
          </w:p>
        </w:tc>
        <w:tc>
          <w:tcPr>
            <w:tcW w:type="dxa" w:w="1468"/>
            <w:vAlign w:val="top"/>
          </w:tcPr>
          <w:p>
            <w:pPr>
              <w:spacing w:after="40" w:before="0" w:line="259" w:lineRule="auto"/>
            </w:pPr>
            <w:r>
              <w:rPr>
                <w:rFonts w:ascii="Calibri" w:hAnsi="Calibri"/>
                <w:b w:val="0"/>
                <w:i w:val="0"/>
                <w:color w:val="212121"/>
                <w:sz w:val="19"/>
              </w:rPr>
              <w:t>Promotes lymph drainage, reduces swelling</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Peridomestic vector breeding sources</w:t>
            </w:r>
          </w:p>
        </w:tc>
        <w:tc>
          <w:tcPr>
            <w:tcW w:type="dxa" w:w="1655"/>
            <w:vAlign w:val="top"/>
          </w:tcPr>
          <w:p>
            <w:pPr>
              <w:spacing w:after="40" w:before="0" w:line="259" w:lineRule="auto"/>
            </w:pPr>
            <w:r>
              <w:rPr>
                <w:rFonts w:ascii="Calibri" w:hAnsi="Calibri"/>
                <w:b w:val="0"/>
                <w:i w:val="0"/>
                <w:color w:val="212121"/>
                <w:sz w:val="19"/>
              </w:rPr>
              <w:t>Households / communities</w:t>
            </w:r>
          </w:p>
        </w:tc>
        <w:tc>
          <w:tcPr>
            <w:tcW w:type="dxa" w:w="1512"/>
            <w:vAlign w:val="top"/>
          </w:tcPr>
          <w:p>
            <w:pPr>
              <w:spacing w:after="40" w:before="0" w:line="259" w:lineRule="auto"/>
            </w:pPr>
            <w:r>
              <w:rPr>
                <w:rFonts w:ascii="Calibri" w:hAnsi="Calibri"/>
                <w:b w:val="0"/>
                <w:i w:val="0"/>
                <w:color w:val="212121"/>
                <w:sz w:val="19"/>
              </w:rPr>
              <w:t>No stagnant polluted water; drains cleared</w:t>
            </w:r>
          </w:p>
        </w:tc>
        <w:tc>
          <w:tcPr>
            <w:tcW w:type="dxa" w:w="1512"/>
            <w:vAlign w:val="top"/>
          </w:tcPr>
          <w:p>
            <w:pPr>
              <w:spacing w:after="40" w:before="0" w:line="259" w:lineRule="auto"/>
            </w:pPr>
            <w:r>
              <w:rPr>
                <w:rFonts w:ascii="Calibri" w:hAnsi="Calibri"/>
                <w:b w:val="0"/>
                <w:i w:val="0"/>
                <w:color w:val="212121"/>
                <w:sz w:val="19"/>
              </w:rPr>
              <w:t>Blocked drains, soak pits, cesspools</w:t>
            </w:r>
          </w:p>
        </w:tc>
        <w:tc>
          <w:tcPr>
            <w:tcW w:type="dxa" w:w="1468"/>
            <w:vAlign w:val="top"/>
          </w:tcPr>
          <w:p>
            <w:pPr>
              <w:spacing w:after="40" w:before="0" w:line="259" w:lineRule="auto"/>
            </w:pPr>
            <w:r>
              <w:rPr>
                <w:rFonts w:ascii="Calibri" w:hAnsi="Calibri"/>
                <w:b w:val="0"/>
                <w:i w:val="0"/>
                <w:color w:val="212121"/>
                <w:sz w:val="19"/>
              </w:rPr>
              <w:t>Culex quinquefasciatus breeds in polluted stagnant water</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fat (in chyluria)</w:t>
            </w:r>
          </w:p>
        </w:tc>
        <w:tc>
          <w:tcPr>
            <w:tcW w:type="dxa" w:w="1655"/>
            <w:vAlign w:val="top"/>
          </w:tcPr>
          <w:p>
            <w:pPr>
              <w:spacing w:after="40" w:before="0" w:line="259" w:lineRule="auto"/>
            </w:pPr>
            <w:r>
              <w:rPr>
                <w:rFonts w:ascii="Calibri" w:hAnsi="Calibri"/>
                <w:b w:val="0"/>
                <w:i w:val="0"/>
                <w:color w:val="212121"/>
                <w:sz w:val="19"/>
              </w:rPr>
              <w:t>Patients with chyluria</w:t>
            </w:r>
          </w:p>
        </w:tc>
        <w:tc>
          <w:tcPr>
            <w:tcW w:type="dxa" w:w="1512"/>
            <w:vAlign w:val="top"/>
          </w:tcPr>
          <w:p>
            <w:pPr>
              <w:spacing w:after="40" w:before="0" w:line="259" w:lineRule="auto"/>
            </w:pPr>
            <w:r>
              <w:rPr>
                <w:rFonts w:ascii="Calibri" w:hAnsi="Calibri"/>
                <w:b w:val="0"/>
                <w:i w:val="0"/>
                <w:color w:val="212121"/>
                <w:sz w:val="19"/>
              </w:rPr>
              <w:t>Low-fat, high-protein, high-fluid diet</w:t>
            </w:r>
          </w:p>
        </w:tc>
        <w:tc>
          <w:tcPr>
            <w:tcW w:type="dxa" w:w="1512"/>
            <w:vAlign w:val="top"/>
          </w:tcPr>
          <w:p>
            <w:pPr>
              <w:spacing w:after="40" w:before="0" w:line="259" w:lineRule="auto"/>
            </w:pPr>
            <w:r>
              <w:rPr>
                <w:rFonts w:ascii="Calibri" w:hAnsi="Calibri"/>
                <w:b w:val="0"/>
                <w:i w:val="0"/>
                <w:color w:val="212121"/>
                <w:sz w:val="19"/>
              </w:rPr>
              <w:t>High long-chain-fat meals</w:t>
            </w:r>
          </w:p>
        </w:tc>
        <w:tc>
          <w:tcPr>
            <w:tcW w:type="dxa" w:w="1468"/>
            <w:vAlign w:val="top"/>
          </w:tcPr>
          <w:p>
            <w:pPr>
              <w:spacing w:after="60" w:line="259" w:lineRule="auto"/>
            </w:pPr>
            <w:r>
              <w:rPr>
                <w:rFonts w:ascii="Calibri" w:hAnsi="Calibri"/>
                <w:b w:val="0"/>
                <w:i w:val="0"/>
                <w:color w:val="212121"/>
                <w:sz w:val="19"/>
              </w:rPr>
              <w:t>Fat load increases chylous urine and protein loss</w:t>
            </w:r>
          </w:p>
          <w:p>
            <w:pPr>
              <w:spacing w:after="40" w:line="252" w:lineRule="auto"/>
            </w:pPr>
            <w:hyperlink r:id="rId9">
              <w:r>
                <w:rPr>
                  <w:rFonts w:ascii="Calibri" w:hAnsi="Calibri" w:cs="Calibri"/>
                  <w:sz w:val="18"/>
                  <w:color w:val="1155CC"/>
                  <w:u w:val="single"/>
                </w:rPr>
                <w:t xml:space="preserve">https://www.ncbi.nlm.nih.gov/books/NBK556012/</w:t>
              </w:r>
            </w:hyperlink>
          </w:p>
        </w:tc>
      </w:tr>
      <w:tr>
        <w:trPr>
          <w:cantSplit/>
        </w:trPr>
        <w:tc>
          <w:tcPr>
            <w:tcW w:type="dxa" w:w="1512"/>
            <w:vMerge w:val="restart"/>
            <w:vAlign w:val="center"/>
          </w:tcPr>
          <w:p>
            <w:pPr>
              <w:spacing w:after="40"/>
            </w:pPr>
            <w:r>
              <w:rPr>
                <w:rFonts w:ascii="Calibri" w:hAnsi="Calibri"/>
                <w:b w:val="0"/>
                <w:i w:val="0"/>
                <w:color w:val="212121"/>
                <w:sz w:val="19"/>
              </w:rPr>
              <w:t>Investigation</w:t>
            </w:r>
          </w:p>
        </w:tc>
        <w:tc>
          <w:tcPr>
            <w:tcW w:type="dxa" w:w="1944"/>
            <w:vAlign w:val="top"/>
          </w:tcPr>
          <w:p>
            <w:pPr>
              <w:spacing w:after="40" w:before="0" w:line="259" w:lineRule="auto"/>
            </w:pPr>
            <w:r>
              <w:rPr>
                <w:rFonts w:ascii="Calibri" w:hAnsi="Calibri"/>
                <w:b w:val="0"/>
                <w:i w:val="0"/>
                <w:color w:val="212121"/>
                <w:sz w:val="19"/>
              </w:rPr>
              <w:t>Night blood microfilaria density</w:t>
            </w:r>
          </w:p>
        </w:tc>
        <w:tc>
          <w:tcPr>
            <w:tcW w:type="dxa" w:w="1655"/>
            <w:vAlign w:val="top"/>
          </w:tcPr>
          <w:p>
            <w:pPr>
              <w:spacing w:after="40" w:before="0" w:line="259" w:lineRule="auto"/>
            </w:pPr>
            <w:r>
              <w:rPr>
                <w:rFonts w:ascii="Calibri" w:hAnsi="Calibri"/>
                <w:b w:val="0"/>
                <w:i w:val="0"/>
                <w:color w:val="212121"/>
                <w:sz w:val="19"/>
              </w:rPr>
              <w:t>Suspected active infection</w:t>
            </w:r>
          </w:p>
        </w:tc>
        <w:tc>
          <w:tcPr>
            <w:tcW w:type="dxa" w:w="1512"/>
            <w:vAlign w:val="top"/>
          </w:tcPr>
          <w:p>
            <w:pPr>
              <w:spacing w:after="40" w:before="0" w:line="259" w:lineRule="auto"/>
            </w:pPr>
            <w:r>
              <w:rPr>
                <w:rFonts w:ascii="Calibri" w:hAnsi="Calibri"/>
                <w:b w:val="0"/>
                <w:i w:val="0"/>
                <w:color w:val="212121"/>
                <w:sz w:val="19"/>
              </w:rPr>
              <w:t>0 mf (negative)</w:t>
            </w:r>
          </w:p>
        </w:tc>
        <w:tc>
          <w:tcPr>
            <w:tcW w:type="dxa" w:w="1512"/>
            <w:vAlign w:val="top"/>
          </w:tcPr>
          <w:p>
            <w:pPr>
              <w:spacing w:after="40" w:before="0" w:line="259" w:lineRule="auto"/>
            </w:pPr>
            <w:r>
              <w:rPr>
                <w:rFonts w:ascii="Calibri" w:hAnsi="Calibri"/>
                <w:b w:val="0"/>
                <w:i w:val="0"/>
                <w:color w:val="212121"/>
                <w:sz w:val="19"/>
              </w:rPr>
              <w:t>Microfilariae detected on 10 pm–2 am smear</w:t>
            </w:r>
          </w:p>
        </w:tc>
        <w:tc>
          <w:tcPr>
            <w:tcW w:type="dxa" w:w="1468"/>
            <w:vAlign w:val="top"/>
          </w:tcPr>
          <w:p>
            <w:pPr>
              <w:spacing w:after="60" w:line="259" w:lineRule="auto"/>
            </w:pPr>
            <w:r>
              <w:rPr>
                <w:rFonts w:ascii="Calibri" w:hAnsi="Calibri"/>
                <w:b w:val="0"/>
                <w:i w:val="0"/>
                <w:color w:val="212121"/>
                <w:sz w:val="19"/>
              </w:rPr>
              <w:t>Nocturnal periodicity of W. bancrofti</w:t>
            </w:r>
          </w:p>
          <w:p>
            <w:pPr>
              <w:spacing w:after="40" w:line="252" w:lineRule="auto"/>
            </w:pPr>
            <w:hyperlink r:id="rId11">
              <w:r>
                <w:rPr>
                  <w:rFonts w:ascii="Calibri" w:hAnsi="Calibri" w:cs="Calibri"/>
                  <w:sz w:val="18"/>
                  <w:color w:val="1155CC"/>
                  <w:u w:val="single"/>
                </w:rPr>
                <w:t xml:space="preserve">https://www.cdc.gov/dpdx/lymphaticfilariasis/index.html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Absolute eosinophil count</w:t>
            </w:r>
          </w:p>
        </w:tc>
        <w:tc>
          <w:tcPr>
            <w:tcW w:type="dxa" w:w="1655"/>
            <w:vAlign w:val="top"/>
          </w:tcPr>
          <w:p>
            <w:pPr>
              <w:spacing w:after="40" w:before="0" w:line="259" w:lineRule="auto"/>
            </w:pPr>
            <w:r>
              <w:rPr>
                <w:rFonts w:ascii="Calibri" w:hAnsi="Calibri"/>
                <w:b w:val="0"/>
                <w:i w:val="0"/>
                <w:color w:val="212121"/>
                <w:sz w:val="19"/>
              </w:rPr>
              <w:t>Suspected TPE / active filariasis</w:t>
            </w:r>
          </w:p>
        </w:tc>
        <w:tc>
          <w:tcPr>
            <w:tcW w:type="dxa" w:w="1512"/>
            <w:vAlign w:val="top"/>
          </w:tcPr>
          <w:p>
            <w:pPr>
              <w:spacing w:after="40" w:before="0" w:line="259" w:lineRule="auto"/>
            </w:pPr>
            <w:r>
              <w:rPr>
                <w:rFonts w:ascii="Calibri" w:hAnsi="Calibri"/>
                <w:b w:val="0"/>
                <w:i w:val="0"/>
                <w:color w:val="212121"/>
                <w:sz w:val="19"/>
              </w:rPr>
              <w:t>&lt; 500/µL</w:t>
            </w:r>
          </w:p>
        </w:tc>
        <w:tc>
          <w:tcPr>
            <w:tcW w:type="dxa" w:w="1512"/>
            <w:vAlign w:val="top"/>
          </w:tcPr>
          <w:p>
            <w:pPr>
              <w:spacing w:after="40" w:before="0" w:line="259" w:lineRule="auto"/>
            </w:pPr>
            <w:r>
              <w:rPr>
                <w:rFonts w:ascii="Calibri" w:hAnsi="Calibri"/>
                <w:b w:val="0"/>
                <w:i w:val="0"/>
                <w:color w:val="212121"/>
                <w:sz w:val="19"/>
              </w:rPr>
              <w:t>&gt; 3000/µL (marked eosinophilia in TPE)</w:t>
            </w:r>
          </w:p>
        </w:tc>
        <w:tc>
          <w:tcPr>
            <w:tcW w:type="dxa" w:w="1468"/>
            <w:vAlign w:val="top"/>
          </w:tcPr>
          <w:p>
            <w:pPr>
              <w:spacing w:after="60" w:line="259" w:lineRule="auto"/>
            </w:pPr>
            <w:r>
              <w:rPr>
                <w:rFonts w:ascii="Calibri" w:hAnsi="Calibri"/>
                <w:b w:val="0"/>
                <w:i w:val="0"/>
                <w:color w:val="212121"/>
                <w:sz w:val="19"/>
              </w:rPr>
              <w:t>With raised IgE, supports TPE</w:t>
            </w:r>
          </w:p>
          <w:p>
            <w:pPr>
              <w:spacing w:after="40" w:line="252" w:lineRule="auto"/>
            </w:pPr>
            <w:hyperlink r:id="rId9">
              <w:r>
                <w:rPr>
                  <w:rFonts w:ascii="Calibri" w:hAnsi="Calibri" w:cs="Calibri"/>
                  <w:sz w:val="18"/>
                  <w:color w:val="1155CC"/>
                  <w:u w:val="single"/>
                </w:rPr>
                <w:t xml:space="preserve">https://www.ncbi.nlm.nih.gov/books/NBK556012/</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Stigma / depression screen</w:t>
            </w:r>
          </w:p>
        </w:tc>
        <w:tc>
          <w:tcPr>
            <w:tcW w:type="dxa" w:w="1655"/>
            <w:vAlign w:val="top"/>
          </w:tcPr>
          <w:p>
            <w:pPr>
              <w:spacing w:after="40" w:before="0" w:line="259" w:lineRule="auto"/>
            </w:pPr>
            <w:r>
              <w:rPr>
                <w:rFonts w:ascii="Calibri" w:hAnsi="Calibri"/>
                <w:b w:val="0"/>
                <w:i w:val="0"/>
                <w:color w:val="212121"/>
                <w:sz w:val="19"/>
              </w:rPr>
              <w:t>Disfigured or hydrocele patients</w:t>
            </w:r>
          </w:p>
        </w:tc>
        <w:tc>
          <w:tcPr>
            <w:tcW w:type="dxa" w:w="1512"/>
            <w:vAlign w:val="top"/>
          </w:tcPr>
          <w:p>
            <w:pPr>
              <w:spacing w:after="40" w:before="0" w:line="259" w:lineRule="auto"/>
            </w:pPr>
            <w:r>
              <w:rPr>
                <w:rFonts w:ascii="Calibri" w:hAnsi="Calibri"/>
                <w:b w:val="0"/>
                <w:i w:val="0"/>
                <w:color w:val="212121"/>
                <w:sz w:val="19"/>
              </w:rPr>
              <w:t>No significant distress</w:t>
            </w:r>
          </w:p>
        </w:tc>
        <w:tc>
          <w:tcPr>
            <w:tcW w:type="dxa" w:w="1512"/>
            <w:vAlign w:val="top"/>
          </w:tcPr>
          <w:p>
            <w:pPr>
              <w:spacing w:after="40" w:before="0" w:line="259" w:lineRule="auto"/>
            </w:pPr>
            <w:r>
              <w:rPr>
                <w:rFonts w:ascii="Calibri" w:hAnsi="Calibri"/>
                <w:b w:val="0"/>
                <w:i w:val="0"/>
                <w:color w:val="212121"/>
                <w:sz w:val="19"/>
              </w:rPr>
              <w:t>Social withdrawal, low mood, anxiety</w:t>
            </w:r>
          </w:p>
        </w:tc>
        <w:tc>
          <w:tcPr>
            <w:tcW w:type="dxa" w:w="1468"/>
            <w:vAlign w:val="top"/>
          </w:tcPr>
          <w:p>
            <w:pPr>
              <w:spacing w:after="40" w:before="0" w:line="259" w:lineRule="auto"/>
            </w:pPr>
            <w:r>
              <w:rPr>
                <w:rFonts w:ascii="Calibri" w:hAnsi="Calibri"/>
                <w:b w:val="0"/>
                <w:i w:val="0"/>
                <w:color w:val="212121"/>
                <w:sz w:val="19"/>
              </w:rPr>
              <w:t>Psychosocial burden is high and impairs self-care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Footwear &amp; interdigital care</w:t>
            </w:r>
          </w:p>
        </w:tc>
        <w:tc>
          <w:tcPr>
            <w:tcW w:type="dxa" w:w="1655"/>
            <w:vAlign w:val="top"/>
          </w:tcPr>
          <w:p>
            <w:pPr>
              <w:spacing w:after="40" w:before="0" w:line="259" w:lineRule="auto"/>
            </w:pPr>
            <w:r>
              <w:rPr>
                <w:rFonts w:ascii="Calibri" w:hAnsi="Calibri"/>
                <w:b w:val="0"/>
                <w:i w:val="0"/>
                <w:color w:val="212121"/>
                <w:sz w:val="19"/>
              </w:rPr>
              <w:t>Barefoot / rural residents</w:t>
            </w:r>
          </w:p>
        </w:tc>
        <w:tc>
          <w:tcPr>
            <w:tcW w:type="dxa" w:w="1512"/>
            <w:vAlign w:val="top"/>
          </w:tcPr>
          <w:p>
            <w:pPr>
              <w:spacing w:after="40" w:before="0" w:line="259" w:lineRule="auto"/>
            </w:pPr>
            <w:r>
              <w:rPr>
                <w:rFonts w:ascii="Calibri" w:hAnsi="Calibri"/>
                <w:b w:val="0"/>
                <w:i w:val="0"/>
                <w:color w:val="212121"/>
                <w:sz w:val="19"/>
              </w:rPr>
              <w:t>Protective footwear, no untreated tinea</w:t>
            </w:r>
          </w:p>
        </w:tc>
        <w:tc>
          <w:tcPr>
            <w:tcW w:type="dxa" w:w="1512"/>
            <w:vAlign w:val="top"/>
          </w:tcPr>
          <w:p>
            <w:pPr>
              <w:spacing w:after="40" w:before="0" w:line="259" w:lineRule="auto"/>
            </w:pPr>
            <w:r>
              <w:rPr>
                <w:rFonts w:ascii="Calibri" w:hAnsi="Calibri"/>
                <w:b w:val="0"/>
                <w:i w:val="0"/>
                <w:color w:val="212121"/>
                <w:sz w:val="19"/>
              </w:rPr>
              <w:t>Barefoot walking, interdigital cracks</w:t>
            </w:r>
          </w:p>
        </w:tc>
        <w:tc>
          <w:tcPr>
            <w:tcW w:type="dxa" w:w="1468"/>
            <w:vAlign w:val="top"/>
          </w:tcPr>
          <w:p>
            <w:pPr>
              <w:spacing w:after="40" w:before="0" w:line="259" w:lineRule="auto"/>
            </w:pPr>
            <w:r>
              <w:rPr>
                <w:rFonts w:ascii="Calibri" w:hAnsi="Calibri"/>
                <w:b w:val="0"/>
                <w:i w:val="0"/>
                <w:color w:val="212121"/>
                <w:sz w:val="19"/>
              </w:rPr>
              <w:t>Entry lesions precipitate cellulitis/ADL</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Parasitological</w:t>
            </w:r>
          </w:p>
        </w:tc>
        <w:tc>
          <w:tcPr>
            <w:tcW w:type="dxa" w:w="1036"/>
            <w:vAlign w:val="top"/>
          </w:tcPr>
          <w:p>
            <w:pPr>
              <w:spacing w:after="40" w:before="0" w:line="259" w:lineRule="auto"/>
            </w:pPr>
            <w:r>
              <w:rPr>
                <w:rFonts w:ascii="Calibri" w:hAnsi="Calibri"/>
                <w:b w:val="0"/>
                <w:i w:val="0"/>
                <w:color w:val="212121"/>
                <w:sz w:val="16"/>
              </w:rPr>
              <w:t>Night peripheral blood smear (microfilaria)</w:t>
            </w:r>
          </w:p>
        </w:tc>
        <w:tc>
          <w:tcPr>
            <w:tcW w:type="dxa" w:w="892"/>
            <w:vAlign w:val="top"/>
          </w:tcPr>
          <w:p>
            <w:pPr>
              <w:spacing w:after="40" w:before="0" w:line="259" w:lineRule="auto"/>
            </w:pPr>
            <w:r>
              <w:rPr>
                <w:rFonts w:ascii="Calibri" w:hAnsi="Calibri"/>
                <w:b w:val="0"/>
                <w:i w:val="0"/>
                <w:color w:val="212121"/>
                <w:sz w:val="16"/>
              </w:rPr>
              <w:t>Thick/thin Giemsa smear</w:t>
            </w:r>
          </w:p>
        </w:tc>
        <w:tc>
          <w:tcPr>
            <w:tcW w:type="dxa" w:w="950"/>
            <w:vAlign w:val="top"/>
          </w:tcPr>
          <w:p>
            <w:pPr>
              <w:spacing w:after="40" w:before="0" w:line="259" w:lineRule="auto"/>
            </w:pPr>
            <w:r>
              <w:rPr>
                <w:rFonts w:ascii="Calibri" w:hAnsi="Calibri"/>
                <w:b w:val="0"/>
                <w:i w:val="0"/>
                <w:color w:val="212121"/>
                <w:sz w:val="16"/>
              </w:rPr>
              <w:t>No microfilariae</w:t>
            </w:r>
          </w:p>
        </w:tc>
        <w:tc>
          <w:tcPr>
            <w:tcW w:type="dxa" w:w="950"/>
            <w:vAlign w:val="top"/>
          </w:tcPr>
          <w:p>
            <w:pPr>
              <w:spacing w:after="40" w:before="0" w:line="259" w:lineRule="auto"/>
            </w:pPr>
            <w:r>
              <w:rPr>
                <w:rFonts w:ascii="Calibri" w:hAnsi="Calibri"/>
                <w:b w:val="0"/>
                <w:i w:val="0"/>
                <w:color w:val="212121"/>
                <w:sz w:val="16"/>
              </w:rPr>
              <w:t>Microfilariae seen</w:t>
            </w:r>
          </w:p>
        </w:tc>
        <w:tc>
          <w:tcPr>
            <w:tcW w:type="dxa" w:w="1036"/>
            <w:vAlign w:val="top"/>
          </w:tcPr>
          <w:p>
            <w:pPr>
              <w:spacing w:after="40" w:before="0" w:line="259" w:lineRule="auto"/>
            </w:pPr>
            <w:r>
              <w:rPr>
                <w:rFonts w:ascii="Calibri" w:hAnsi="Calibri"/>
                <w:b w:val="0"/>
                <w:i w:val="0"/>
                <w:color w:val="212121"/>
                <w:sz w:val="16"/>
              </w:rPr>
              <w:t>Confirms active microfilaraemia; species identified by morphology</w:t>
            </w:r>
          </w:p>
        </w:tc>
        <w:tc>
          <w:tcPr>
            <w:tcW w:type="dxa" w:w="1036"/>
            <w:vAlign w:val="top"/>
          </w:tcPr>
          <w:p>
            <w:pPr>
              <w:spacing w:after="40" w:before="0" w:line="259" w:lineRule="auto"/>
            </w:pPr>
            <w:r>
              <w:rPr>
                <w:rFonts w:ascii="Calibri" w:hAnsi="Calibri"/>
                <w:b w:val="0"/>
                <w:i w:val="0"/>
                <w:color w:val="212121"/>
                <w:sz w:val="16"/>
              </w:rPr>
              <w:t>Suspected active infection, endemic residents</w:t>
            </w:r>
          </w:p>
        </w:tc>
        <w:tc>
          <w:tcPr>
            <w:tcW w:type="dxa" w:w="720"/>
            <w:vAlign w:val="top"/>
          </w:tcPr>
          <w:p>
            <w:pPr>
              <w:spacing w:after="40" w:before="0" w:line="259" w:lineRule="auto"/>
            </w:pPr>
            <w:r>
              <w:rPr>
                <w:rFonts w:ascii="Calibri" w:hAnsi="Calibri"/>
                <w:b w:val="0"/>
                <w:i w:val="0"/>
                <w:color w:val="212121"/>
                <w:sz w:val="16"/>
              </w:rPr>
              <w:t>Sleep; Provoking factors</w:t>
            </w:r>
          </w:p>
        </w:tc>
        <w:tc>
          <w:tcPr>
            <w:tcW w:type="dxa" w:w="720"/>
            <w:vAlign w:val="top"/>
          </w:tcPr>
          <w:p>
            <w:pPr>
              <w:spacing w:after="40" w:before="0" w:line="259" w:lineRule="auto"/>
            </w:pPr>
            <w:r>
              <w:rPr>
                <w:rFonts w:ascii="Calibri" w:hAnsi="Calibri"/>
                <w:b w:val="0"/>
                <w:i w:val="0"/>
                <w:color w:val="212121"/>
                <w:sz w:val="16"/>
              </w:rPr>
              <w:t>Diagnostic (historic gold standard)</w:t>
            </w:r>
          </w:p>
        </w:tc>
        <w:tc>
          <w:tcPr>
            <w:tcW w:type="dxa" w:w="720"/>
            <w:vAlign w:val="top"/>
          </w:tcPr>
          <w:p>
            <w:pPr>
              <w:spacing w:after="40" w:before="0" w:line="259" w:lineRule="auto"/>
            </w:pPr>
            <w:r>
              <w:rPr>
                <w:rFonts w:ascii="Calibri" w:hAnsi="Calibri"/>
                <w:b w:val="0"/>
                <w:i w:val="0"/>
                <w:color w:val="212121"/>
                <w:sz w:val="16"/>
              </w:rPr>
              <w:t>Collect 10 pm–2 am for nocturnally periodic W. bancrofti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Circulating filarial antigen (CFA)</w:t>
            </w:r>
          </w:p>
        </w:tc>
        <w:tc>
          <w:tcPr>
            <w:tcW w:type="dxa" w:w="892"/>
            <w:vAlign w:val="top"/>
          </w:tcPr>
          <w:p>
            <w:pPr>
              <w:spacing w:after="40" w:before="0" w:line="259" w:lineRule="auto"/>
            </w:pPr>
            <w:r>
              <w:rPr>
                <w:rFonts w:ascii="Calibri" w:hAnsi="Calibri"/>
                <w:b w:val="0"/>
                <w:i w:val="0"/>
                <w:color w:val="212121"/>
                <w:sz w:val="16"/>
              </w:rPr>
              <w:t>ICT card test / Og4C3 ELISA</w:t>
            </w:r>
          </w:p>
        </w:tc>
        <w:tc>
          <w:tcPr>
            <w:tcW w:type="dxa" w:w="950"/>
            <w:vAlign w:val="top"/>
          </w:tcPr>
          <w:p>
            <w:pPr>
              <w:spacing w:after="40" w:before="0" w:line="259" w:lineRule="auto"/>
            </w:pPr>
            <w:r>
              <w:rPr>
                <w:rFonts w:ascii="Calibri" w:hAnsi="Calibri"/>
                <w:b w:val="0"/>
                <w:i w:val="0"/>
                <w:color w:val="212121"/>
                <w:sz w:val="16"/>
              </w:rPr>
              <w:t>Antigen negative</w:t>
            </w:r>
          </w:p>
        </w:tc>
        <w:tc>
          <w:tcPr>
            <w:tcW w:type="dxa" w:w="950"/>
            <w:vAlign w:val="top"/>
          </w:tcPr>
          <w:p>
            <w:pPr>
              <w:spacing w:after="40" w:before="0" w:line="259" w:lineRule="auto"/>
            </w:pPr>
            <w:r>
              <w:rPr>
                <w:rFonts w:ascii="Calibri" w:hAnsi="Calibri"/>
                <w:b w:val="0"/>
                <w:i w:val="0"/>
                <w:color w:val="212121"/>
                <w:sz w:val="16"/>
              </w:rPr>
              <w:t>Antigen positive</w:t>
            </w:r>
          </w:p>
        </w:tc>
        <w:tc>
          <w:tcPr>
            <w:tcW w:type="dxa" w:w="1036"/>
            <w:vAlign w:val="top"/>
          </w:tcPr>
          <w:p>
            <w:pPr>
              <w:spacing w:after="40" w:before="0" w:line="259" w:lineRule="auto"/>
            </w:pPr>
            <w:r>
              <w:rPr>
                <w:rFonts w:ascii="Calibri" w:hAnsi="Calibri"/>
                <w:b w:val="0"/>
                <w:i w:val="0"/>
                <w:color w:val="212121"/>
                <w:sz w:val="16"/>
              </w:rPr>
              <w:t>Indicates live adult-worm infection; more sensitive than microscopy and time-independent</w:t>
            </w:r>
          </w:p>
        </w:tc>
        <w:tc>
          <w:tcPr>
            <w:tcW w:type="dxa" w:w="1036"/>
            <w:vAlign w:val="top"/>
          </w:tcPr>
          <w:p>
            <w:pPr>
              <w:spacing w:after="40" w:before="0" w:line="259" w:lineRule="auto"/>
            </w:pPr>
            <w:r>
              <w:rPr>
                <w:rFonts w:ascii="Calibri" w:hAnsi="Calibri"/>
                <w:b w:val="0"/>
                <w:i w:val="0"/>
                <w:color w:val="212121"/>
                <w:sz w:val="16"/>
              </w:rPr>
              <w:t>W. bancrofti suspicion, amicrofilaraemic patients, surveys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Test of choice (W. bancrofti)</w:t>
            </w:r>
          </w:p>
        </w:tc>
        <w:tc>
          <w:tcPr>
            <w:tcW w:type="dxa" w:w="720"/>
            <w:vAlign w:val="top"/>
          </w:tcPr>
          <w:p>
            <w:pPr>
              <w:spacing w:after="40" w:before="0" w:line="259" w:lineRule="auto"/>
            </w:pPr>
            <w:r>
              <w:rPr>
                <w:rFonts w:ascii="Calibri" w:hAnsi="Calibri"/>
                <w:b w:val="0"/>
                <w:i w:val="0"/>
                <w:color w:val="212121"/>
                <w:sz w:val="16"/>
              </w:rPr>
              <w:t>Not available for Brugia; used in mapping and TAS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Anti-filarial antibody (Bm14 / Wb123)</w:t>
            </w:r>
          </w:p>
        </w:tc>
        <w:tc>
          <w:tcPr>
            <w:tcW w:type="dxa" w:w="892"/>
            <w:vAlign w:val="top"/>
          </w:tcPr>
          <w:p>
            <w:pPr>
              <w:spacing w:after="40" w:before="0" w:line="259" w:lineRule="auto"/>
            </w:pPr>
            <w:r>
              <w:rPr>
                <w:rFonts w:ascii="Calibri" w:hAnsi="Calibri"/>
                <w:b w:val="0"/>
                <w:i w:val="0"/>
                <w:color w:val="212121"/>
                <w:sz w:val="16"/>
              </w:rPr>
              <w:t>Antibody ELISA / rapid test</w:t>
            </w:r>
          </w:p>
        </w:tc>
        <w:tc>
          <w:tcPr>
            <w:tcW w:type="dxa" w:w="950"/>
            <w:vAlign w:val="top"/>
          </w:tcPr>
          <w:p>
            <w:pPr>
              <w:spacing w:after="40" w:before="0" w:line="259" w:lineRule="auto"/>
            </w:pPr>
            <w:r>
              <w:rPr>
                <w:rFonts w:ascii="Calibri" w:hAnsi="Calibri"/>
                <w:b w:val="0"/>
                <w:i w:val="0"/>
                <w:color w:val="212121"/>
                <w:sz w:val="16"/>
              </w:rPr>
              <w:t>Antibody negative</w:t>
            </w:r>
          </w:p>
        </w:tc>
        <w:tc>
          <w:tcPr>
            <w:tcW w:type="dxa" w:w="950"/>
            <w:vAlign w:val="top"/>
          </w:tcPr>
          <w:p>
            <w:pPr>
              <w:spacing w:after="40" w:before="0" w:line="259" w:lineRule="auto"/>
            </w:pPr>
            <w:r>
              <w:rPr>
                <w:rFonts w:ascii="Calibri" w:hAnsi="Calibri"/>
                <w:b w:val="0"/>
                <w:i w:val="0"/>
                <w:color w:val="212121"/>
                <w:sz w:val="16"/>
              </w:rPr>
              <w:t>Antibody positive</w:t>
            </w:r>
          </w:p>
        </w:tc>
        <w:tc>
          <w:tcPr>
            <w:tcW w:type="dxa" w:w="1036"/>
            <w:vAlign w:val="top"/>
          </w:tcPr>
          <w:p>
            <w:pPr>
              <w:spacing w:after="40" w:before="0" w:line="259" w:lineRule="auto"/>
            </w:pPr>
            <w:r>
              <w:rPr>
                <w:rFonts w:ascii="Calibri" w:hAnsi="Calibri"/>
                <w:b w:val="0"/>
                <w:i w:val="0"/>
                <w:color w:val="212121"/>
                <w:sz w:val="16"/>
              </w:rPr>
              <w:t>Exposure marker; key for Brugia and for post-MDA surveillance in children</w:t>
            </w:r>
          </w:p>
        </w:tc>
        <w:tc>
          <w:tcPr>
            <w:tcW w:type="dxa" w:w="1036"/>
            <w:vAlign w:val="top"/>
          </w:tcPr>
          <w:p>
            <w:pPr>
              <w:spacing w:after="40" w:before="0" w:line="259" w:lineRule="auto"/>
            </w:pPr>
            <w:r>
              <w:rPr>
                <w:rFonts w:ascii="Calibri" w:hAnsi="Calibri"/>
                <w:b w:val="0"/>
                <w:i w:val="0"/>
                <w:color w:val="212121"/>
                <w:sz w:val="16"/>
              </w:rPr>
              <w:t>Brugian areas, children in surveillance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Surveillance</w:t>
            </w:r>
          </w:p>
        </w:tc>
        <w:tc>
          <w:tcPr>
            <w:tcW w:type="dxa" w:w="720"/>
            <w:vAlign w:val="top"/>
          </w:tcPr>
          <w:p>
            <w:pPr>
              <w:spacing w:after="40" w:before="0" w:line="259" w:lineRule="auto"/>
            </w:pPr>
            <w:r>
              <w:rPr>
                <w:rFonts w:ascii="Calibri" w:hAnsi="Calibri"/>
                <w:b w:val="0"/>
                <w:i w:val="0"/>
                <w:color w:val="212121"/>
                <w:sz w:val="16"/>
              </w:rPr>
              <w:t>Antibody may persist after cure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Absolute eosinophil count &amp; serum IgE</w:t>
            </w:r>
          </w:p>
        </w:tc>
        <w:tc>
          <w:tcPr>
            <w:tcW w:type="dxa" w:w="892"/>
            <w:vAlign w:val="top"/>
          </w:tcPr>
          <w:p>
            <w:pPr>
              <w:spacing w:after="40" w:before="0" w:line="259" w:lineRule="auto"/>
            </w:pPr>
            <w:r>
              <w:rPr>
                <w:rFonts w:ascii="Calibri" w:hAnsi="Calibri"/>
                <w:b w:val="0"/>
                <w:i w:val="0"/>
                <w:color w:val="212121"/>
                <w:sz w:val="16"/>
              </w:rPr>
              <w:t>CBC with differential; IgE assay</w:t>
            </w:r>
          </w:p>
        </w:tc>
        <w:tc>
          <w:tcPr>
            <w:tcW w:type="dxa" w:w="950"/>
            <w:vAlign w:val="top"/>
          </w:tcPr>
          <w:p>
            <w:pPr>
              <w:spacing w:after="40" w:before="0" w:line="259" w:lineRule="auto"/>
            </w:pPr>
            <w:r>
              <w:rPr>
                <w:rFonts w:ascii="Calibri" w:hAnsi="Calibri"/>
                <w:b w:val="0"/>
                <w:i w:val="0"/>
                <w:color w:val="212121"/>
                <w:sz w:val="16"/>
              </w:rPr>
              <w:t>Eosinophils &lt; 500/µL</w:t>
            </w:r>
          </w:p>
        </w:tc>
        <w:tc>
          <w:tcPr>
            <w:tcW w:type="dxa" w:w="950"/>
            <w:vAlign w:val="top"/>
          </w:tcPr>
          <w:p>
            <w:pPr>
              <w:spacing w:after="40" w:before="0" w:line="259" w:lineRule="auto"/>
            </w:pPr>
            <w:r>
              <w:rPr>
                <w:rFonts w:ascii="Calibri" w:hAnsi="Calibri"/>
                <w:b w:val="0"/>
                <w:i w:val="0"/>
                <w:color w:val="212121"/>
                <w:sz w:val="16"/>
              </w:rPr>
              <w:t>Eosinophils &gt; 3000/µL; markedly raised IgE</w:t>
            </w:r>
          </w:p>
        </w:tc>
        <w:tc>
          <w:tcPr>
            <w:tcW w:type="dxa" w:w="1036"/>
            <w:vAlign w:val="top"/>
          </w:tcPr>
          <w:p>
            <w:pPr>
              <w:spacing w:after="40" w:before="0" w:line="259" w:lineRule="auto"/>
            </w:pPr>
            <w:r>
              <w:rPr>
                <w:rFonts w:ascii="Calibri" w:hAnsi="Calibri"/>
                <w:b w:val="0"/>
                <w:i w:val="0"/>
                <w:color w:val="212121"/>
                <w:sz w:val="16"/>
              </w:rPr>
              <w:t>Marked eosinophilia with high IgE supports TPE</w:t>
            </w:r>
          </w:p>
        </w:tc>
        <w:tc>
          <w:tcPr>
            <w:tcW w:type="dxa" w:w="1036"/>
            <w:vAlign w:val="top"/>
          </w:tcPr>
          <w:p>
            <w:pPr>
              <w:spacing w:after="40" w:before="0" w:line="259" w:lineRule="auto"/>
            </w:pPr>
            <w:r>
              <w:rPr>
                <w:rFonts w:ascii="Calibri" w:hAnsi="Calibri"/>
                <w:b w:val="0"/>
                <w:i w:val="0"/>
                <w:color w:val="212121"/>
                <w:sz w:val="16"/>
              </w:rPr>
              <w:t>Suspected TPE, chronic nocturnal cough</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 / diagnostic in TPE</w:t>
            </w:r>
          </w:p>
        </w:tc>
        <w:tc>
          <w:tcPr>
            <w:tcW w:type="dxa" w:w="720"/>
            <w:vAlign w:val="top"/>
          </w:tcPr>
          <w:p>
            <w:pPr>
              <w:spacing w:after="40" w:before="0" w:line="259" w:lineRule="auto"/>
            </w:pPr>
            <w:r>
              <w:rPr>
                <w:rFonts w:ascii="Calibri" w:hAnsi="Calibri"/>
                <w:b w:val="0"/>
                <w:i w:val="0"/>
                <w:color w:val="212121"/>
                <w:sz w:val="16"/>
              </w:rPr>
              <w:t>TPE often misdiagnosed as asthma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Scrotal / lymphatic ultrasound</w:t>
            </w:r>
          </w:p>
        </w:tc>
        <w:tc>
          <w:tcPr>
            <w:tcW w:type="dxa" w:w="892"/>
            <w:vAlign w:val="top"/>
          </w:tcPr>
          <w:p>
            <w:pPr>
              <w:spacing w:after="40" w:before="0" w:line="259" w:lineRule="auto"/>
            </w:pPr>
            <w:r>
              <w:rPr>
                <w:rFonts w:ascii="Calibri" w:hAnsi="Calibri"/>
                <w:b w:val="0"/>
                <w:i w:val="0"/>
                <w:color w:val="212121"/>
                <w:sz w:val="16"/>
              </w:rPr>
              <w:t>High-frequency USG (“filarial dance sign”)</w:t>
            </w:r>
          </w:p>
        </w:tc>
        <w:tc>
          <w:tcPr>
            <w:tcW w:type="dxa" w:w="950"/>
            <w:vAlign w:val="top"/>
          </w:tcPr>
          <w:p>
            <w:pPr>
              <w:spacing w:after="40" w:before="0" w:line="259" w:lineRule="auto"/>
            </w:pPr>
            <w:r>
              <w:rPr>
                <w:rFonts w:ascii="Calibri" w:hAnsi="Calibri"/>
                <w:b w:val="0"/>
                <w:i w:val="0"/>
                <w:color w:val="212121"/>
                <w:sz w:val="16"/>
              </w:rPr>
              <w:t>No motile worms; normal nodes</w:t>
            </w:r>
          </w:p>
        </w:tc>
        <w:tc>
          <w:tcPr>
            <w:tcW w:type="dxa" w:w="950"/>
            <w:vAlign w:val="top"/>
          </w:tcPr>
          <w:p>
            <w:pPr>
              <w:spacing w:after="40" w:before="0" w:line="259" w:lineRule="auto"/>
            </w:pPr>
            <w:r>
              <w:rPr>
                <w:rFonts w:ascii="Calibri" w:hAnsi="Calibri"/>
                <w:b w:val="0"/>
                <w:i w:val="0"/>
                <w:color w:val="212121"/>
                <w:sz w:val="16"/>
              </w:rPr>
              <w:t>Motile adult worms in dilated lymphatics/scrotal vessels</w:t>
            </w:r>
          </w:p>
        </w:tc>
        <w:tc>
          <w:tcPr>
            <w:tcW w:type="dxa" w:w="1036"/>
            <w:vAlign w:val="top"/>
          </w:tcPr>
          <w:p>
            <w:pPr>
              <w:spacing w:after="40" w:before="0" w:line="259" w:lineRule="auto"/>
            </w:pPr>
            <w:r>
              <w:rPr>
                <w:rFonts w:ascii="Calibri" w:hAnsi="Calibri"/>
                <w:b w:val="0"/>
                <w:i w:val="0"/>
                <w:color w:val="212121"/>
                <w:sz w:val="16"/>
              </w:rPr>
              <w:t>Direct visualisation of live adult worms; assesses hydrocele</w:t>
            </w:r>
          </w:p>
        </w:tc>
        <w:tc>
          <w:tcPr>
            <w:tcW w:type="dxa" w:w="1036"/>
            <w:vAlign w:val="top"/>
          </w:tcPr>
          <w:p>
            <w:pPr>
              <w:spacing w:after="40" w:before="0" w:line="259" w:lineRule="auto"/>
            </w:pPr>
            <w:r>
              <w:rPr>
                <w:rFonts w:ascii="Calibri" w:hAnsi="Calibri"/>
                <w:b w:val="0"/>
                <w:i w:val="0"/>
                <w:color w:val="212121"/>
                <w:sz w:val="16"/>
              </w:rPr>
              <w:t>Men with scrotal swelling, hydrocele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 localising</w:t>
            </w:r>
          </w:p>
        </w:tc>
        <w:tc>
          <w:tcPr>
            <w:tcW w:type="dxa" w:w="720"/>
            <w:vAlign w:val="top"/>
          </w:tcPr>
          <w:p>
            <w:pPr>
              <w:spacing w:after="40" w:before="0" w:line="259" w:lineRule="auto"/>
            </w:pPr>
            <w:r>
              <w:rPr>
                <w:rFonts w:ascii="Calibri" w:hAnsi="Calibri"/>
                <w:b w:val="0"/>
                <w:i w:val="0"/>
                <w:color w:val="212121"/>
                <w:sz w:val="16"/>
              </w:rPr>
              <w:t>Also guides hydrocelectomy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Chylous urine analysis</w:t>
            </w:r>
          </w:p>
        </w:tc>
        <w:tc>
          <w:tcPr>
            <w:tcW w:type="dxa" w:w="892"/>
            <w:vAlign w:val="top"/>
          </w:tcPr>
          <w:p>
            <w:pPr>
              <w:spacing w:after="40" w:before="0" w:line="259" w:lineRule="auto"/>
            </w:pPr>
            <w:r>
              <w:rPr>
                <w:rFonts w:ascii="Calibri" w:hAnsi="Calibri"/>
                <w:b w:val="0"/>
                <w:i w:val="0"/>
                <w:color w:val="212121"/>
                <w:sz w:val="16"/>
              </w:rPr>
              <w:t>Urine for chyle, protein, microfilariae</w:t>
            </w:r>
          </w:p>
        </w:tc>
        <w:tc>
          <w:tcPr>
            <w:tcW w:type="dxa" w:w="950"/>
            <w:vAlign w:val="top"/>
          </w:tcPr>
          <w:p>
            <w:pPr>
              <w:spacing w:after="40" w:before="0" w:line="259" w:lineRule="auto"/>
            </w:pPr>
            <w:r>
              <w:rPr>
                <w:rFonts w:ascii="Calibri" w:hAnsi="Calibri"/>
                <w:b w:val="0"/>
                <w:i w:val="0"/>
                <w:color w:val="212121"/>
                <w:sz w:val="16"/>
              </w:rPr>
              <w:t>Clear urine, no chyle</w:t>
            </w:r>
          </w:p>
        </w:tc>
        <w:tc>
          <w:tcPr>
            <w:tcW w:type="dxa" w:w="950"/>
            <w:vAlign w:val="top"/>
          </w:tcPr>
          <w:p>
            <w:pPr>
              <w:spacing w:after="40" w:before="0" w:line="259" w:lineRule="auto"/>
            </w:pPr>
            <w:r>
              <w:rPr>
                <w:rFonts w:ascii="Calibri" w:hAnsi="Calibri"/>
                <w:b w:val="0"/>
                <w:i w:val="0"/>
                <w:color w:val="212121"/>
                <w:sz w:val="16"/>
              </w:rPr>
              <w:t>Milky urine, high fat/protein, ± microfilariae</w:t>
            </w:r>
          </w:p>
        </w:tc>
        <w:tc>
          <w:tcPr>
            <w:tcW w:type="dxa" w:w="1036"/>
            <w:vAlign w:val="top"/>
          </w:tcPr>
          <w:p>
            <w:pPr>
              <w:spacing w:after="40" w:before="0" w:line="259" w:lineRule="auto"/>
            </w:pPr>
            <w:r>
              <w:rPr>
                <w:rFonts w:ascii="Calibri" w:hAnsi="Calibri"/>
                <w:b w:val="0"/>
                <w:i w:val="0"/>
                <w:color w:val="212121"/>
                <w:sz w:val="16"/>
              </w:rPr>
              <w:t>Confirms filarial chyluria; quantifies protein/fat loss</w:t>
            </w:r>
          </w:p>
        </w:tc>
        <w:tc>
          <w:tcPr>
            <w:tcW w:type="dxa" w:w="1036"/>
            <w:vAlign w:val="top"/>
          </w:tcPr>
          <w:p>
            <w:pPr>
              <w:spacing w:after="40" w:before="0" w:line="259" w:lineRule="auto"/>
            </w:pPr>
            <w:r>
              <w:rPr>
                <w:rFonts w:ascii="Calibri" w:hAnsi="Calibri"/>
                <w:b w:val="0"/>
                <w:i w:val="0"/>
                <w:color w:val="212121"/>
                <w:sz w:val="16"/>
              </w:rPr>
              <w:t>Patients with milky urine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(chyluria)</w:t>
            </w:r>
          </w:p>
        </w:tc>
        <w:tc>
          <w:tcPr>
            <w:tcW w:type="dxa" w:w="720"/>
            <w:vAlign w:val="top"/>
          </w:tcPr>
          <w:p>
            <w:pPr>
              <w:spacing w:after="40" w:before="0" w:line="259" w:lineRule="auto"/>
            </w:pPr>
            <w:r>
              <w:rPr>
                <w:rFonts w:ascii="Calibri" w:hAnsi="Calibri"/>
                <w:b w:val="0"/>
                <w:i w:val="0"/>
                <w:color w:val="212121"/>
                <w:sz w:val="16"/>
              </w:rPr>
              <w:t>Worse after fatty meals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Filarial DNA PCR</w:t>
            </w:r>
          </w:p>
        </w:tc>
        <w:tc>
          <w:tcPr>
            <w:tcW w:type="dxa" w:w="892"/>
            <w:vAlign w:val="top"/>
          </w:tcPr>
          <w:p>
            <w:pPr>
              <w:spacing w:after="40" w:before="0" w:line="259" w:lineRule="auto"/>
            </w:pPr>
            <w:r>
              <w:rPr>
                <w:rFonts w:ascii="Calibri" w:hAnsi="Calibri"/>
                <w:b w:val="0"/>
                <w:i w:val="0"/>
                <w:color w:val="212121"/>
                <w:sz w:val="16"/>
              </w:rPr>
              <w:t>PCR (blood / vector)</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Filarial DNA detected</w:t>
            </w:r>
          </w:p>
        </w:tc>
        <w:tc>
          <w:tcPr>
            <w:tcW w:type="dxa" w:w="1036"/>
            <w:vAlign w:val="top"/>
          </w:tcPr>
          <w:p>
            <w:pPr>
              <w:spacing w:after="40" w:before="0" w:line="259" w:lineRule="auto"/>
            </w:pPr>
            <w:r>
              <w:rPr>
                <w:rFonts w:ascii="Calibri" w:hAnsi="Calibri"/>
                <w:b w:val="0"/>
                <w:i w:val="0"/>
                <w:color w:val="212121"/>
                <w:sz w:val="16"/>
              </w:rPr>
              <w:t>Highly sensitive/specific; used in research, xenomonitoring and low-density infection</w:t>
            </w:r>
          </w:p>
        </w:tc>
        <w:tc>
          <w:tcPr>
            <w:tcW w:type="dxa" w:w="1036"/>
            <w:vAlign w:val="top"/>
          </w:tcPr>
          <w:p>
            <w:pPr>
              <w:spacing w:after="40" w:before="0" w:line="259" w:lineRule="auto"/>
            </w:pPr>
            <w:r>
              <w:rPr>
                <w:rFonts w:ascii="Calibri" w:hAnsi="Calibri"/>
                <w:b w:val="0"/>
                <w:i w:val="0"/>
                <w:color w:val="212121"/>
                <w:sz w:val="16"/>
              </w:rPr>
              <w:t>Surveillance, low microfilaraemia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Research / surveillance</w:t>
            </w:r>
          </w:p>
        </w:tc>
        <w:tc>
          <w:tcPr>
            <w:tcW w:type="dxa" w:w="720"/>
            <w:vAlign w:val="top"/>
          </w:tcPr>
          <w:p>
            <w:pPr>
              <w:spacing w:after="40" w:before="0" w:line="259" w:lineRule="auto"/>
            </w:pPr>
            <w:r>
              <w:rPr>
                <w:rFonts w:ascii="Calibri" w:hAnsi="Calibri"/>
                <w:b w:val="0"/>
                <w:i w:val="0"/>
                <w:color w:val="212121"/>
                <w:sz w:val="16"/>
              </w:rPr>
              <w:t>Vector xenomonitoring supports elimination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Residence / exposure history</w:t>
            </w:r>
          </w:p>
        </w:tc>
        <w:tc>
          <w:tcPr>
            <w:tcW w:type="dxa" w:w="979"/>
            <w:vAlign w:val="top"/>
          </w:tcPr>
          <w:p>
            <w:pPr>
              <w:spacing w:after="40" w:before="0" w:line="259" w:lineRule="auto"/>
            </w:pPr>
            <w:r>
              <w:rPr>
                <w:rFonts w:ascii="Calibri" w:hAnsi="Calibri"/>
                <w:b w:val="0"/>
                <w:i w:val="0"/>
                <w:color w:val="212121"/>
                <w:sz w:val="16"/>
              </w:rPr>
              <w:t>Lifelong residence in an endemic district</w:t>
            </w:r>
          </w:p>
        </w:tc>
        <w:tc>
          <w:tcPr>
            <w:tcW w:type="dxa" w:w="950"/>
            <w:vAlign w:val="top"/>
          </w:tcPr>
          <w:p>
            <w:pPr>
              <w:spacing w:after="40" w:before="0" w:line="259" w:lineRule="auto"/>
            </w:pPr>
            <w:r>
              <w:rPr>
                <w:rFonts w:ascii="Calibri" w:hAnsi="Calibri"/>
                <w:b w:val="0"/>
                <w:i w:val="0"/>
                <w:color w:val="212121"/>
                <w:sz w:val="16"/>
              </w:rPr>
              <w:t>No endemic exposure</w:t>
            </w:r>
          </w:p>
        </w:tc>
        <w:tc>
          <w:tcPr>
            <w:tcW w:type="dxa" w:w="950"/>
            <w:vAlign w:val="top"/>
          </w:tcPr>
          <w:p>
            <w:pPr>
              <w:spacing w:after="40" w:before="0" w:line="259" w:lineRule="auto"/>
            </w:pPr>
            <w:r>
              <w:rPr>
                <w:rFonts w:ascii="Calibri" w:hAnsi="Calibri"/>
                <w:b w:val="0"/>
                <w:i w:val="0"/>
                <w:color w:val="212121"/>
                <w:sz w:val="16"/>
              </w:rPr>
              <w:t>Long residence in endemic area</w:t>
            </w:r>
          </w:p>
        </w:tc>
        <w:tc>
          <w:tcPr>
            <w:tcW w:type="dxa" w:w="1036"/>
            <w:vAlign w:val="top"/>
          </w:tcPr>
          <w:p>
            <w:pPr>
              <w:spacing w:after="40" w:before="0" w:line="259" w:lineRule="auto"/>
            </w:pPr>
            <w:r>
              <w:rPr>
                <w:rFonts w:ascii="Calibri" w:hAnsi="Calibri"/>
                <w:b w:val="0"/>
                <w:i w:val="0"/>
                <w:color w:val="212121"/>
                <w:sz w:val="16"/>
              </w:rPr>
              <w:t>Establishes cumulative exposure risk</w:t>
            </w:r>
          </w:p>
        </w:tc>
        <w:tc>
          <w:tcPr>
            <w:tcW w:type="dxa" w:w="1036"/>
            <w:vAlign w:val="top"/>
          </w:tcPr>
          <w:p>
            <w:pPr>
              <w:spacing w:after="40" w:before="0" w:line="259" w:lineRule="auto"/>
            </w:pPr>
            <w:r>
              <w:rPr>
                <w:rFonts w:ascii="Calibri" w:hAnsi="Calibri"/>
                <w:b w:val="0"/>
                <w:i w:val="0"/>
                <w:color w:val="212121"/>
                <w:sz w:val="16"/>
              </w:rPr>
              <w:t>Endemic-area residents, migrants from endemic zones</w:t>
            </w:r>
          </w:p>
        </w:tc>
        <w:tc>
          <w:tcPr>
            <w:tcW w:type="dxa" w:w="720"/>
            <w:vAlign w:val="top"/>
          </w:tcPr>
          <w:p>
            <w:pPr>
              <w:spacing w:after="40" w:before="0" w:line="259" w:lineRule="auto"/>
            </w:pPr>
            <w:r>
              <w:rPr>
                <w:rFonts w:ascii="Calibri" w:hAnsi="Calibri"/>
                <w:b w:val="0"/>
                <w:i w:val="0"/>
                <w:color w:val="212121"/>
                <w:sz w:val="16"/>
              </w:rPr>
              <w:t>Sleep;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village, bed-net use, night exposure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Recurrent filarial fever / ADL</w:t>
            </w:r>
          </w:p>
        </w:tc>
        <w:tc>
          <w:tcPr>
            <w:tcW w:type="dxa" w:w="979"/>
            <w:vAlign w:val="top"/>
          </w:tcPr>
          <w:p>
            <w:pPr>
              <w:spacing w:after="40" w:before="0" w:line="259" w:lineRule="auto"/>
            </w:pPr>
            <w:r>
              <w:rPr>
                <w:rFonts w:ascii="Calibri" w:hAnsi="Calibri"/>
                <w:b w:val="0"/>
                <w:i w:val="0"/>
                <w:color w:val="212121"/>
                <w:sz w:val="16"/>
              </w:rPr>
              <w:t>Episodic painful swelling with fever</w:t>
            </w:r>
          </w:p>
        </w:tc>
        <w:tc>
          <w:tcPr>
            <w:tcW w:type="dxa" w:w="950"/>
            <w:vAlign w:val="top"/>
          </w:tcPr>
          <w:p>
            <w:pPr>
              <w:spacing w:after="40" w:before="0" w:line="259" w:lineRule="auto"/>
            </w:pPr>
            <w:r>
              <w:rPr>
                <w:rFonts w:ascii="Calibri" w:hAnsi="Calibri"/>
                <w:b w:val="0"/>
                <w:i w:val="0"/>
                <w:color w:val="212121"/>
                <w:sz w:val="16"/>
              </w:rPr>
              <w:t>No such episodes</w:t>
            </w:r>
          </w:p>
        </w:tc>
        <w:tc>
          <w:tcPr>
            <w:tcW w:type="dxa" w:w="950"/>
            <w:vAlign w:val="top"/>
          </w:tcPr>
          <w:p>
            <w:pPr>
              <w:spacing w:after="40" w:before="0" w:line="259" w:lineRule="auto"/>
            </w:pPr>
            <w:r>
              <w:rPr>
                <w:rFonts w:ascii="Calibri" w:hAnsi="Calibri"/>
                <w:b w:val="0"/>
                <w:i w:val="0"/>
                <w:color w:val="212121"/>
                <w:sz w:val="16"/>
              </w:rPr>
              <w:t>Recurrent ADL attacks (1–4/year)</w:t>
            </w:r>
          </w:p>
        </w:tc>
        <w:tc>
          <w:tcPr>
            <w:tcW w:type="dxa" w:w="1036"/>
            <w:vAlign w:val="top"/>
          </w:tcPr>
          <w:p>
            <w:pPr>
              <w:spacing w:after="40" w:before="0" w:line="259" w:lineRule="auto"/>
            </w:pPr>
            <w:r>
              <w:rPr>
                <w:rFonts w:ascii="Calibri" w:hAnsi="Calibri"/>
                <w:b w:val="0"/>
                <w:i w:val="0"/>
                <w:color w:val="212121"/>
                <w:sz w:val="16"/>
              </w:rPr>
              <w:t>Marker of acute filarial disease and progression risk</w:t>
            </w:r>
          </w:p>
        </w:tc>
        <w:tc>
          <w:tcPr>
            <w:tcW w:type="dxa" w:w="1036"/>
            <w:vAlign w:val="top"/>
          </w:tcPr>
          <w:p>
            <w:pPr>
              <w:spacing w:after="40" w:before="0" w:line="259" w:lineRule="auto"/>
            </w:pPr>
            <w:r>
              <w:rPr>
                <w:rFonts w:ascii="Calibri" w:hAnsi="Calibri"/>
                <w:b w:val="0"/>
                <w:i w:val="0"/>
                <w:color w:val="212121"/>
                <w:sz w:val="16"/>
              </w:rPr>
              <w:t>Patients with limb/scrotal swelling</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Attacks resolve in ~4–7 days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Lymphoedema staging</w:t>
            </w:r>
          </w:p>
        </w:tc>
        <w:tc>
          <w:tcPr>
            <w:tcW w:type="dxa" w:w="979"/>
            <w:vAlign w:val="top"/>
          </w:tcPr>
          <w:p>
            <w:pPr>
              <w:spacing w:after="40" w:before="0" w:line="259" w:lineRule="auto"/>
            </w:pPr>
            <w:r>
              <w:rPr>
                <w:rFonts w:ascii="Calibri" w:hAnsi="Calibri"/>
                <w:b w:val="0"/>
                <w:i w:val="0"/>
                <w:color w:val="212121"/>
                <w:sz w:val="16"/>
              </w:rPr>
              <w:t>Limb swelling stage (pitting → non-pitting → elephantiasis)</w:t>
            </w:r>
          </w:p>
        </w:tc>
        <w:tc>
          <w:tcPr>
            <w:tcW w:type="dxa" w:w="950"/>
            <w:vAlign w:val="top"/>
          </w:tcPr>
          <w:p>
            <w:pPr>
              <w:spacing w:after="40" w:before="0" w:line="259" w:lineRule="auto"/>
            </w:pPr>
            <w:r>
              <w:rPr>
                <w:rFonts w:ascii="Calibri" w:hAnsi="Calibri"/>
                <w:b w:val="0"/>
                <w:i w:val="0"/>
                <w:color w:val="212121"/>
                <w:sz w:val="16"/>
              </w:rPr>
              <w:t>No oedema</w:t>
            </w:r>
          </w:p>
        </w:tc>
        <w:tc>
          <w:tcPr>
            <w:tcW w:type="dxa" w:w="950"/>
            <w:vAlign w:val="top"/>
          </w:tcPr>
          <w:p>
            <w:pPr>
              <w:spacing w:after="40" w:before="0" w:line="259" w:lineRule="auto"/>
            </w:pPr>
            <w:r>
              <w:rPr>
                <w:rFonts w:ascii="Calibri" w:hAnsi="Calibri"/>
                <w:b w:val="0"/>
                <w:i w:val="0"/>
                <w:color w:val="212121"/>
                <w:sz w:val="16"/>
              </w:rPr>
              <w:t>Stage I–III+ lymphoedema</w:t>
            </w:r>
          </w:p>
        </w:tc>
        <w:tc>
          <w:tcPr>
            <w:tcW w:type="dxa" w:w="1036"/>
            <w:vAlign w:val="top"/>
          </w:tcPr>
          <w:p>
            <w:pPr>
              <w:spacing w:after="40" w:before="0" w:line="259" w:lineRule="auto"/>
            </w:pPr>
            <w:r>
              <w:rPr>
                <w:rFonts w:ascii="Calibri" w:hAnsi="Calibri"/>
                <w:b w:val="0"/>
                <w:i w:val="0"/>
                <w:color w:val="212121"/>
                <w:sz w:val="16"/>
              </w:rPr>
              <w:t>Guides morbidity management (MMDP) intensity</w:t>
            </w:r>
          </w:p>
        </w:tc>
        <w:tc>
          <w:tcPr>
            <w:tcW w:type="dxa" w:w="1036"/>
            <w:vAlign w:val="top"/>
          </w:tcPr>
          <w:p>
            <w:pPr>
              <w:spacing w:after="40" w:before="0" w:line="259" w:lineRule="auto"/>
            </w:pPr>
            <w:r>
              <w:rPr>
                <w:rFonts w:ascii="Calibri" w:hAnsi="Calibri"/>
                <w:b w:val="0"/>
                <w:i w:val="0"/>
                <w:color w:val="212121"/>
                <w:sz w:val="16"/>
              </w:rPr>
              <w:t>Chronic lymphoedema patients</w:t>
            </w:r>
          </w:p>
        </w:tc>
        <w:tc>
          <w:tcPr>
            <w:tcW w:type="dxa" w:w="720"/>
            <w:vAlign w:val="top"/>
          </w:tcPr>
          <w:p>
            <w:pPr>
              <w:spacing w:after="40" w:before="0" w:line="259" w:lineRule="auto"/>
            </w:pPr>
            <w:r>
              <w:rPr>
                <w:rFonts w:ascii="Calibri" w:hAnsi="Calibri"/>
                <w:b w:val="0"/>
                <w:i w:val="0"/>
                <w:color w:val="212121"/>
                <w:sz w:val="16"/>
              </w:rPr>
              <w:t>Hygiene; Physical activity</w:t>
            </w:r>
          </w:p>
        </w:tc>
        <w:tc>
          <w:tcPr>
            <w:tcW w:type="dxa" w:w="720"/>
            <w:vAlign w:val="top"/>
          </w:tcPr>
          <w:p>
            <w:pPr>
              <w:spacing w:after="40" w:before="0" w:line="259" w:lineRule="auto"/>
            </w:pPr>
            <w:r>
              <w:rPr>
                <w:rFonts w:ascii="Calibri" w:hAnsi="Calibri"/>
                <w:b w:val="0"/>
                <w:i w:val="0"/>
                <w:color w:val="212121"/>
                <w:sz w:val="16"/>
              </w:rPr>
              <w:t>Management</w:t>
            </w:r>
          </w:p>
        </w:tc>
        <w:tc>
          <w:tcPr>
            <w:tcW w:type="dxa" w:w="720"/>
            <w:vAlign w:val="top"/>
          </w:tcPr>
          <w:p>
            <w:pPr>
              <w:spacing w:after="40" w:before="0" w:line="259" w:lineRule="auto"/>
            </w:pPr>
            <w:r>
              <w:rPr>
                <w:rFonts w:ascii="Calibri" w:hAnsi="Calibri"/>
                <w:b w:val="0"/>
                <w:i w:val="0"/>
                <w:color w:val="212121"/>
                <w:sz w:val="16"/>
              </w:rPr>
              <w:t>Assess skin folds, warts, entry lesions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Scrotal / genital exam</w:t>
            </w:r>
          </w:p>
        </w:tc>
        <w:tc>
          <w:tcPr>
            <w:tcW w:type="dxa" w:w="979"/>
            <w:vAlign w:val="top"/>
          </w:tcPr>
          <w:p>
            <w:pPr>
              <w:spacing w:after="40" w:before="0" w:line="259" w:lineRule="auto"/>
            </w:pPr>
            <w:r>
              <w:rPr>
                <w:rFonts w:ascii="Calibri" w:hAnsi="Calibri"/>
                <w:b w:val="0"/>
                <w:i w:val="0"/>
                <w:color w:val="212121"/>
                <w:sz w:val="16"/>
              </w:rPr>
              <w:t>Hydrocele, thickened cord, epididymo-orchitis</w:t>
            </w:r>
          </w:p>
        </w:tc>
        <w:tc>
          <w:tcPr>
            <w:tcW w:type="dxa" w:w="950"/>
            <w:vAlign w:val="top"/>
          </w:tcPr>
          <w:p>
            <w:pPr>
              <w:spacing w:after="40" w:before="0" w:line="259" w:lineRule="auto"/>
            </w:pPr>
            <w:r>
              <w:rPr>
                <w:rFonts w:ascii="Calibri" w:hAnsi="Calibri"/>
                <w:b w:val="0"/>
                <w:i w:val="0"/>
                <w:color w:val="212121"/>
                <w:sz w:val="16"/>
              </w:rPr>
              <w:t>Normal scrotum</w:t>
            </w:r>
          </w:p>
        </w:tc>
        <w:tc>
          <w:tcPr>
            <w:tcW w:type="dxa" w:w="950"/>
            <w:vAlign w:val="top"/>
          </w:tcPr>
          <w:p>
            <w:pPr>
              <w:spacing w:after="40" w:before="0" w:line="259" w:lineRule="auto"/>
            </w:pPr>
            <w:r>
              <w:rPr>
                <w:rFonts w:ascii="Calibri" w:hAnsi="Calibri"/>
                <w:b w:val="0"/>
                <w:i w:val="0"/>
                <w:color w:val="212121"/>
                <w:sz w:val="16"/>
              </w:rPr>
              <w:t>Hydrocele / funiculitis present</w:t>
            </w:r>
          </w:p>
        </w:tc>
        <w:tc>
          <w:tcPr>
            <w:tcW w:type="dxa" w:w="1036"/>
            <w:vAlign w:val="top"/>
          </w:tcPr>
          <w:p>
            <w:pPr>
              <w:spacing w:after="40" w:before="0" w:line="259" w:lineRule="auto"/>
            </w:pPr>
            <w:r>
              <w:rPr>
                <w:rFonts w:ascii="Calibri" w:hAnsi="Calibri"/>
                <w:b w:val="0"/>
                <w:i w:val="0"/>
                <w:color w:val="212121"/>
                <w:sz w:val="16"/>
              </w:rPr>
              <w:t>Commonest chronic sign of bancroftian filariasis in men</w:t>
            </w:r>
          </w:p>
        </w:tc>
        <w:tc>
          <w:tcPr>
            <w:tcW w:type="dxa" w:w="1036"/>
            <w:vAlign w:val="top"/>
          </w:tcPr>
          <w:p>
            <w:pPr>
              <w:spacing w:after="40" w:before="0" w:line="259" w:lineRule="auto"/>
            </w:pPr>
            <w:r>
              <w:rPr>
                <w:rFonts w:ascii="Calibri" w:hAnsi="Calibri"/>
                <w:b w:val="0"/>
                <w:i w:val="0"/>
                <w:color w:val="212121"/>
                <w:sz w:val="16"/>
              </w:rPr>
              <w:t>Adult men in endemic areas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surgical planning</w:t>
            </w:r>
          </w:p>
        </w:tc>
        <w:tc>
          <w:tcPr>
            <w:tcW w:type="dxa" w:w="720"/>
            <w:vAlign w:val="top"/>
          </w:tcPr>
          <w:p>
            <w:pPr>
              <w:spacing w:after="40" w:before="0" w:line="259" w:lineRule="auto"/>
            </w:pPr>
            <w:r>
              <w:rPr>
                <w:rFonts w:ascii="Calibri" w:hAnsi="Calibri"/>
                <w:b w:val="0"/>
                <w:i w:val="0"/>
                <w:color w:val="212121"/>
                <w:sz w:val="16"/>
              </w:rPr>
              <w:t>Transilluminates; confirm on USG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Skin &amp; interdigital inspection</w:t>
            </w:r>
          </w:p>
        </w:tc>
        <w:tc>
          <w:tcPr>
            <w:tcW w:type="dxa" w:w="979"/>
            <w:vAlign w:val="top"/>
          </w:tcPr>
          <w:p>
            <w:pPr>
              <w:spacing w:after="40" w:before="0" w:line="259" w:lineRule="auto"/>
            </w:pPr>
            <w:r>
              <w:rPr>
                <w:rFonts w:ascii="Calibri" w:hAnsi="Calibri"/>
                <w:b w:val="0"/>
                <w:i w:val="0"/>
                <w:color w:val="212121"/>
                <w:sz w:val="16"/>
              </w:rPr>
              <w:t>Entry lesions, tinea, cellulitis, hyperkeratosis</w:t>
            </w:r>
          </w:p>
        </w:tc>
        <w:tc>
          <w:tcPr>
            <w:tcW w:type="dxa" w:w="950"/>
            <w:vAlign w:val="top"/>
          </w:tcPr>
          <w:p>
            <w:pPr>
              <w:spacing w:after="40" w:before="0" w:line="259" w:lineRule="auto"/>
            </w:pPr>
            <w:r>
              <w:rPr>
                <w:rFonts w:ascii="Calibri" w:hAnsi="Calibri"/>
                <w:b w:val="0"/>
                <w:i w:val="0"/>
                <w:color w:val="212121"/>
                <w:sz w:val="16"/>
              </w:rPr>
              <w:t>Intact skin</w:t>
            </w:r>
          </w:p>
        </w:tc>
        <w:tc>
          <w:tcPr>
            <w:tcW w:type="dxa" w:w="950"/>
            <w:vAlign w:val="top"/>
          </w:tcPr>
          <w:p>
            <w:pPr>
              <w:spacing w:after="40" w:before="0" w:line="259" w:lineRule="auto"/>
            </w:pPr>
            <w:r>
              <w:rPr>
                <w:rFonts w:ascii="Calibri" w:hAnsi="Calibri"/>
                <w:b w:val="0"/>
                <w:i w:val="0"/>
                <w:color w:val="212121"/>
                <w:sz w:val="16"/>
              </w:rPr>
              <w:t>Cracks, fungal lesions, warty changes</w:t>
            </w:r>
          </w:p>
        </w:tc>
        <w:tc>
          <w:tcPr>
            <w:tcW w:type="dxa" w:w="1036"/>
            <w:vAlign w:val="top"/>
          </w:tcPr>
          <w:p>
            <w:pPr>
              <w:spacing w:after="40" w:before="0" w:line="259" w:lineRule="auto"/>
            </w:pPr>
            <w:r>
              <w:rPr>
                <w:rFonts w:ascii="Calibri" w:hAnsi="Calibri"/>
                <w:b w:val="0"/>
                <w:i w:val="0"/>
                <w:color w:val="212121"/>
                <w:sz w:val="16"/>
              </w:rPr>
              <w:t>Identifies portals of infection driving ADL</w:t>
            </w:r>
          </w:p>
        </w:tc>
        <w:tc>
          <w:tcPr>
            <w:tcW w:type="dxa" w:w="1036"/>
            <w:vAlign w:val="top"/>
          </w:tcPr>
          <w:p>
            <w:pPr>
              <w:spacing w:after="40" w:before="0" w:line="259" w:lineRule="auto"/>
            </w:pPr>
            <w:r>
              <w:rPr>
                <w:rFonts w:ascii="Calibri" w:hAnsi="Calibri"/>
                <w:b w:val="0"/>
                <w:i w:val="0"/>
                <w:color w:val="212121"/>
                <w:sz w:val="16"/>
              </w:rPr>
              <w:t>Barefoot / poor-hygiene patients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Foot care prevents acute attacks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Respiratory (TPE) history</w:t>
            </w:r>
          </w:p>
        </w:tc>
        <w:tc>
          <w:tcPr>
            <w:tcW w:type="dxa" w:w="979"/>
            <w:vAlign w:val="top"/>
          </w:tcPr>
          <w:p>
            <w:pPr>
              <w:spacing w:after="40" w:before="0" w:line="259" w:lineRule="auto"/>
            </w:pPr>
            <w:r>
              <w:rPr>
                <w:rFonts w:ascii="Calibri" w:hAnsi="Calibri"/>
                <w:b w:val="0"/>
                <w:i w:val="0"/>
                <w:color w:val="212121"/>
                <w:sz w:val="16"/>
              </w:rPr>
              <w:t>Nocturnal cough, wheeze, breathlessness</w:t>
            </w:r>
          </w:p>
        </w:tc>
        <w:tc>
          <w:tcPr>
            <w:tcW w:type="dxa" w:w="950"/>
            <w:vAlign w:val="top"/>
          </w:tcPr>
          <w:p>
            <w:pPr>
              <w:spacing w:after="40" w:before="0" w:line="259" w:lineRule="auto"/>
            </w:pPr>
            <w:r>
              <w:rPr>
                <w:rFonts w:ascii="Calibri" w:hAnsi="Calibri"/>
                <w:b w:val="0"/>
                <w:i w:val="0"/>
                <w:color w:val="212121"/>
                <w:sz w:val="16"/>
              </w:rPr>
              <w:t>No respiratory symptoms</w:t>
            </w:r>
          </w:p>
        </w:tc>
        <w:tc>
          <w:tcPr>
            <w:tcW w:type="dxa" w:w="950"/>
            <w:vAlign w:val="top"/>
          </w:tcPr>
          <w:p>
            <w:pPr>
              <w:spacing w:after="40" w:before="0" w:line="259" w:lineRule="auto"/>
            </w:pPr>
            <w:r>
              <w:rPr>
                <w:rFonts w:ascii="Calibri" w:hAnsi="Calibri"/>
                <w:b w:val="0"/>
                <w:i w:val="0"/>
                <w:color w:val="212121"/>
                <w:sz w:val="16"/>
              </w:rPr>
              <w:t>Nocturnal paroxysmal cough/wheeze</w:t>
            </w:r>
          </w:p>
        </w:tc>
        <w:tc>
          <w:tcPr>
            <w:tcW w:type="dxa" w:w="1036"/>
            <w:vAlign w:val="top"/>
          </w:tcPr>
          <w:p>
            <w:pPr>
              <w:spacing w:after="40" w:before="0" w:line="259" w:lineRule="auto"/>
            </w:pPr>
            <w:r>
              <w:rPr>
                <w:rFonts w:ascii="Calibri" w:hAnsi="Calibri"/>
                <w:b w:val="0"/>
                <w:i w:val="0"/>
                <w:color w:val="212121"/>
                <w:sz w:val="16"/>
              </w:rPr>
              <w:t>Suggests tropical pulmonary eosinophilia; check eosinophils/IgE</w:t>
            </w:r>
          </w:p>
        </w:tc>
        <w:tc>
          <w:tcPr>
            <w:tcW w:type="dxa" w:w="1036"/>
            <w:vAlign w:val="top"/>
          </w:tcPr>
          <w:p>
            <w:pPr>
              <w:spacing w:after="40" w:before="0" w:line="259" w:lineRule="auto"/>
            </w:pPr>
            <w:r>
              <w:rPr>
                <w:rFonts w:ascii="Calibri" w:hAnsi="Calibri"/>
                <w:b w:val="0"/>
                <w:i w:val="0"/>
                <w:color w:val="212121"/>
                <w:sz w:val="16"/>
              </w:rPr>
              <w:t>Young adults with asthma-like symptoms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Distinguish from bronchial asthma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infection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infected people have circulating microfilariae with no symptoms for years, despite ongoing subclinical lymphatic damage.</w:t>
            </w:r>
          </w:p>
        </w:tc>
      </w:tr>
      <w:tr>
        <w:trPr>
          <w:cantSplit/>
        </w:trPr>
        <w:tc>
          <w:tcPr>
            <w:tcW w:type="dxa" w:w="2304"/>
            <w:vAlign w:val="top"/>
          </w:tcPr>
          <w:p>
            <w:pPr>
              <w:spacing w:after="40" w:before="0" w:line="259" w:lineRule="auto"/>
            </w:pPr>
            <w:r>
              <w:rPr>
                <w:rFonts w:ascii="Calibri" w:hAnsi="Calibri"/>
                <w:b/>
                <w:i w:val="0"/>
                <w:color w:val="212121"/>
                <w:sz w:val="19"/>
              </w:rPr>
              <w:t>Recurrent fever with chills (filarial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episodic fever accompanying acute adenolymphangitis attacks, often precipitated by secondary infection.</w:t>
            </w:r>
          </w:p>
        </w:tc>
      </w:tr>
      <w:tr>
        <w:trPr>
          <w:cantSplit/>
        </w:trPr>
        <w:tc>
          <w:tcPr>
            <w:tcW w:type="dxa" w:w="2304"/>
            <w:vAlign w:val="top"/>
          </w:tcPr>
          <w:p>
            <w:pPr>
              <w:spacing w:after="40" w:before="0" w:line="259" w:lineRule="auto"/>
            </w:pPr>
            <w:r>
              <w:rPr>
                <w:rFonts w:ascii="Calibri" w:hAnsi="Calibri"/>
                <w:b/>
                <w:i w:val="0"/>
                <w:color w:val="212121"/>
                <w:sz w:val="19"/>
              </w:rPr>
              <w:t>Painful, tender lymph node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Acute lymphadenitis with characteristic retrograde (distally spreading) lymphangitis.</w:t>
            </w:r>
          </w:p>
        </w:tc>
      </w:tr>
      <w:tr>
        <w:trPr>
          <w:cantSplit/>
        </w:trPr>
        <w:tc>
          <w:tcPr>
            <w:tcW w:type="dxa" w:w="2304"/>
            <w:vAlign w:val="top"/>
          </w:tcPr>
          <w:p>
            <w:pPr>
              <w:spacing w:after="40" w:before="0" w:line="259" w:lineRule="auto"/>
            </w:pPr>
            <w:r>
              <w:rPr>
                <w:rFonts w:ascii="Calibri" w:hAnsi="Calibri"/>
                <w:b/>
                <w:i w:val="0"/>
                <w:color w:val="212121"/>
                <w:sz w:val="19"/>
              </w:rPr>
              <w:t>Limb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swelling of a leg (or arm), initially soft and pitting, worsening after each acute attack.</w:t>
            </w:r>
          </w:p>
        </w:tc>
      </w:tr>
      <w:tr>
        <w:trPr>
          <w:cantSplit/>
        </w:trPr>
        <w:tc>
          <w:tcPr>
            <w:tcW w:type="dxa" w:w="2304"/>
            <w:vAlign w:val="top"/>
          </w:tcPr>
          <w:p>
            <w:pPr>
              <w:spacing w:after="40" w:before="0" w:line="259" w:lineRule="auto"/>
            </w:pPr>
            <w:r>
              <w:rPr>
                <w:rFonts w:ascii="Calibri" w:hAnsi="Calibri"/>
                <w:b/>
                <w:i w:val="0"/>
                <w:color w:val="212121"/>
                <w:sz w:val="19"/>
              </w:rPr>
              <w:t>Scrotal swelling / heaviness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Hydrocele — the commonest chronic manifestation of bancroftian filariasis in men.</w:t>
            </w:r>
          </w:p>
        </w:tc>
      </w:tr>
      <w:tr>
        <w:trPr>
          <w:cantSplit/>
        </w:trPr>
        <w:tc>
          <w:tcPr>
            <w:tcW w:type="dxa" w:w="2304"/>
            <w:vAlign w:val="top"/>
          </w:tcPr>
          <w:p>
            <w:pPr>
              <w:spacing w:after="40" w:before="0" w:line="259" w:lineRule="auto"/>
            </w:pPr>
            <w:r>
              <w:rPr>
                <w:rFonts w:ascii="Calibri" w:hAnsi="Calibri"/>
                <w:b/>
                <w:i w:val="0"/>
                <w:color w:val="212121"/>
                <w:sz w:val="19"/>
              </w:rPr>
              <w:t>Skin thickening and hardening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lymphoedema leads to brawny, non-pitting skin with hyperkeratosis (elephantiasis).</w:t>
            </w:r>
          </w:p>
        </w:tc>
      </w:tr>
      <w:tr>
        <w:trPr>
          <w:cantSplit/>
        </w:trPr>
        <w:tc>
          <w:tcPr>
            <w:tcW w:type="dxa" w:w="2304"/>
            <w:vAlign w:val="top"/>
          </w:tcPr>
          <w:p>
            <w:pPr>
              <w:spacing w:after="40" w:before="0" w:line="259" w:lineRule="auto"/>
            </w:pPr>
            <w:r>
              <w:rPr>
                <w:rFonts w:ascii="Calibri" w:hAnsi="Calibri"/>
                <w:b/>
                <w:i w:val="0"/>
                <w:color w:val="212121"/>
                <w:sz w:val="19"/>
              </w:rPr>
              <w:t>Milky / cloudy urine (chyluria)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Rupture of dilated lymphatics into the urinary tract; worse after fatty meals, with protein loss.</w:t>
            </w:r>
          </w:p>
        </w:tc>
      </w:tr>
      <w:tr>
        <w:trPr>
          <w:cantSplit/>
        </w:trPr>
        <w:tc>
          <w:tcPr>
            <w:tcW w:type="dxa" w:w="2304"/>
            <w:vAlign w:val="top"/>
          </w:tcPr>
          <w:p>
            <w:pPr>
              <w:spacing w:after="40" w:before="0" w:line="259" w:lineRule="auto"/>
            </w:pPr>
            <w:r>
              <w:rPr>
                <w:rFonts w:ascii="Calibri" w:hAnsi="Calibri"/>
                <w:b/>
                <w:i w:val="0"/>
                <w:color w:val="212121"/>
                <w:sz w:val="19"/>
              </w:rPr>
              <w:t>Nocturnal cough, wheeze, 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Tropical pulmonary eosinophilia — an immunological hyper-response, often mistaken for asthma.</w:t>
            </w:r>
          </w:p>
        </w:tc>
      </w:tr>
      <w:tr>
        <w:trPr>
          <w:cantSplit/>
        </w:trPr>
        <w:tc>
          <w:tcPr>
            <w:tcW w:type="dxa" w:w="2304"/>
            <w:vAlign w:val="top"/>
          </w:tcPr>
          <w:p>
            <w:pPr>
              <w:spacing w:after="40" w:before="0" w:line="259" w:lineRule="auto"/>
            </w:pPr>
            <w:r>
              <w:rPr>
                <w:rFonts w:ascii="Calibri" w:hAnsi="Calibri"/>
                <w:b/>
                <w:i w:val="0"/>
                <w:color w:val="212121"/>
                <w:sz w:val="19"/>
              </w:rPr>
              <w:t>Groin / scrotal pain (acute)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Acute epididymo-orchitis or funiculitis during acute filarial attacks.</w:t>
            </w:r>
          </w:p>
        </w:tc>
      </w:tr>
      <w:tr>
        <w:trPr>
          <w:cantSplit/>
        </w:trPr>
        <w:tc>
          <w:tcPr>
            <w:tcW w:type="dxa" w:w="2304"/>
            <w:vAlign w:val="top"/>
          </w:tcPr>
          <w:p>
            <w:pPr>
              <w:spacing w:after="40" w:before="0" w:line="259" w:lineRule="auto"/>
            </w:pPr>
            <w:r>
              <w:rPr>
                <w:rFonts w:ascii="Calibri" w:hAnsi="Calibri"/>
                <w:b/>
                <w:i w:val="0"/>
                <w:color w:val="212121"/>
                <w:sz w:val="19"/>
              </w:rPr>
              <w:t>Fatigue and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Accompanies acute attacks and chronic disease with protein loss.</w:t>
            </w:r>
          </w:p>
        </w:tc>
      </w:tr>
      <w:tr>
        <w:trPr>
          <w:cantSplit/>
        </w:trPr>
        <w:tc>
          <w:tcPr>
            <w:tcW w:type="dxa" w:w="2304"/>
            <w:vAlign w:val="top"/>
          </w:tcPr>
          <w:p>
            <w:pPr>
              <w:spacing w:after="40" w:before="0" w:line="259" w:lineRule="auto"/>
            </w:pPr>
            <w:r>
              <w:rPr>
                <w:rFonts w:ascii="Calibri" w:hAnsi="Calibri"/>
                <w:b/>
                <w:i w:val="0"/>
                <w:color w:val="212121"/>
                <w:sz w:val="19"/>
              </w:rPr>
              <w:t>Breast or vulval swelling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sites of filarial lymphoedema in women.</w:t>
            </w:r>
          </w:p>
        </w:tc>
      </w:tr>
      <w:tr>
        <w:trPr>
          <w:cantSplit/>
        </w:trPr>
        <w:tc>
          <w:tcPr>
            <w:tcW w:type="dxa" w:w="2304"/>
            <w:vAlign w:val="top"/>
          </w:tcPr>
          <w:p>
            <w:pPr>
              <w:spacing w:after="40" w:before="0" w:line="259" w:lineRule="auto"/>
            </w:pPr>
            <w:r>
              <w:rPr>
                <w:rFonts w:ascii="Calibri" w:hAnsi="Calibri"/>
                <w:b/>
                <w:i w:val="0"/>
                <w:color w:val="212121"/>
                <w:sz w:val="19"/>
              </w:rPr>
              <w:t>Blood in urine (haematochyluria)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accompany chyluria when lymphatic rupture involves small vessels.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Pitting then non-pitting (brawny) lymphoedema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Staged limb swelling; early pitting oedema evolves into hardened, non-pitting tissue.</w:t>
            </w:r>
          </w:p>
        </w:tc>
      </w:tr>
      <w:tr>
        <w:trPr>
          <w:cantSplit/>
        </w:trPr>
        <w:tc>
          <w:tcPr>
            <w:tcW w:type="dxa" w:w="3456"/>
            <w:vAlign w:val="top"/>
          </w:tcPr>
          <w:p>
            <w:pPr>
              <w:spacing w:after="40" w:before="0" w:line="259" w:lineRule="auto"/>
            </w:pPr>
            <w:r>
              <w:rPr>
                <w:rFonts w:ascii="Calibri" w:hAnsi="Calibri"/>
                <w:b/>
                <w:i w:val="0"/>
                <w:color w:val="212121"/>
                <w:sz w:val="19"/>
              </w:rPr>
              <w:t>Elephantiasis (hyperkeratosis, verrucous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End-stage skin thickening, warty nodules and folds — the classic disfiguring sign.</w:t>
            </w:r>
          </w:p>
        </w:tc>
      </w:tr>
      <w:tr>
        <w:trPr>
          <w:cantSplit/>
        </w:trPr>
        <w:tc>
          <w:tcPr>
            <w:tcW w:type="dxa" w:w="3456"/>
            <w:vAlign w:val="top"/>
          </w:tcPr>
          <w:p>
            <w:pPr>
              <w:spacing w:after="40" w:before="0" w:line="259" w:lineRule="auto"/>
            </w:pPr>
            <w:r>
              <w:rPr>
                <w:rFonts w:ascii="Calibri" w:hAnsi="Calibri"/>
                <w:b/>
                <w:i w:val="0"/>
                <w:color w:val="212121"/>
                <w:sz w:val="19"/>
              </w:rPr>
              <w:t>Hydrocele (transilluminant scrotal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Fluid collection in the tunica vaginalis; commonest chronic sign in men, confirmed on USG.</w:t>
            </w:r>
          </w:p>
        </w:tc>
      </w:tr>
      <w:tr>
        <w:trPr>
          <w:cantSplit/>
        </w:trPr>
        <w:tc>
          <w:tcPr>
            <w:tcW w:type="dxa" w:w="3456"/>
            <w:vAlign w:val="top"/>
          </w:tcPr>
          <w:p>
            <w:pPr>
              <w:spacing w:after="40" w:before="0" w:line="259" w:lineRule="auto"/>
            </w:pPr>
            <w:r>
              <w:rPr>
                <w:rFonts w:ascii="Calibri" w:hAnsi="Calibri"/>
                <w:b/>
                <w:i w:val="0"/>
                <w:color w:val="212121"/>
                <w:sz w:val="19"/>
              </w:rPr>
              <w:t>Tender lymphadenopathy with retrograde lymphangitis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Acute adenolymphangitis — inflamed cord spreading distally from the node.</w:t>
            </w:r>
          </w:p>
        </w:tc>
      </w:tr>
      <w:tr>
        <w:trPr>
          <w:cantSplit/>
        </w:trPr>
        <w:tc>
          <w:tcPr>
            <w:tcW w:type="dxa" w:w="3456"/>
            <w:vAlign w:val="top"/>
          </w:tcPr>
          <w:p>
            <w:pPr>
              <w:spacing w:after="40" w:before="0" w:line="259" w:lineRule="auto"/>
            </w:pPr>
            <w:r>
              <w:rPr>
                <w:rFonts w:ascii="Calibri" w:hAnsi="Calibri"/>
                <w:b/>
                <w:i w:val="0"/>
                <w:color w:val="212121"/>
                <w:sz w:val="19"/>
              </w:rPr>
              <w:t>Thickened spermatic cord / epididymo-orchitis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thickened cord and tender epididymis during acute genital attacks.</w:t>
            </w:r>
          </w:p>
        </w:tc>
      </w:tr>
      <w:tr>
        <w:trPr>
          <w:cantSplit/>
        </w:trPr>
        <w:tc>
          <w:tcPr>
            <w:tcW w:type="dxa" w:w="3456"/>
            <w:vAlign w:val="top"/>
          </w:tcPr>
          <w:p>
            <w:pPr>
              <w:spacing w:after="40" w:before="0" w:line="259" w:lineRule="auto"/>
            </w:pPr>
            <w:r>
              <w:rPr>
                <w:rFonts w:ascii="Calibri" w:hAnsi="Calibri"/>
                <w:b/>
                <w:i w:val="0"/>
                <w:color w:val="212121"/>
                <w:sz w:val="19"/>
              </w:rPr>
              <w:t>Positive night blood smear for microfilariae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Motile microfilariae on a 10 pm–2 am Giemsa smear confirm active infection.</w:t>
            </w:r>
          </w:p>
        </w:tc>
      </w:tr>
      <w:tr>
        <w:trPr>
          <w:cantSplit/>
        </w:trPr>
        <w:tc>
          <w:tcPr>
            <w:tcW w:type="dxa" w:w="3456"/>
            <w:vAlign w:val="top"/>
          </w:tcPr>
          <w:p>
            <w:pPr>
              <w:spacing w:after="40" w:before="0" w:line="259" w:lineRule="auto"/>
            </w:pPr>
            <w:r>
              <w:rPr>
                <w:rFonts w:ascii="Calibri" w:hAnsi="Calibri"/>
                <w:b/>
                <w:i w:val="0"/>
                <w:color w:val="212121"/>
                <w:sz w:val="19"/>
              </w:rPr>
              <w:t>Filarial dance sign on ultrasound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Continuous motion of live adult worms within dilated scrotal/lymphatic vessels.</w:t>
            </w:r>
          </w:p>
        </w:tc>
      </w:tr>
      <w:tr>
        <w:trPr>
          <w:cantSplit/>
        </w:trPr>
        <w:tc>
          <w:tcPr>
            <w:tcW w:type="dxa" w:w="3456"/>
            <w:vAlign w:val="top"/>
          </w:tcPr>
          <w:p>
            <w:pPr>
              <w:spacing w:after="40" w:before="0" w:line="259" w:lineRule="auto"/>
            </w:pPr>
            <w:r>
              <w:rPr>
                <w:rFonts w:ascii="Calibri" w:hAnsi="Calibri"/>
                <w:b/>
                <w:i w:val="0"/>
                <w:color w:val="212121"/>
                <w:sz w:val="19"/>
              </w:rPr>
              <w:t>Chylous (milky) urine on inspection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Confirmed by chyle and fat/protein on urinalysis.</w:t>
            </w:r>
          </w:p>
        </w:tc>
      </w:tr>
      <w:tr>
        <w:trPr>
          <w:cantSplit/>
        </w:trPr>
        <w:tc>
          <w:tcPr>
            <w:tcW w:type="dxa" w:w="3456"/>
            <w:vAlign w:val="top"/>
          </w:tcPr>
          <w:p>
            <w:pPr>
              <w:spacing w:after="40" w:before="0" w:line="259" w:lineRule="auto"/>
            </w:pPr>
            <w:r>
              <w:rPr>
                <w:rFonts w:ascii="Calibri" w:hAnsi="Calibri"/>
                <w:b/>
                <w:i w:val="0"/>
                <w:color w:val="212121"/>
                <w:sz w:val="19"/>
              </w:rPr>
              <w:t>Marked peripheral eosinophilia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Very high eosinophil count (often &gt;3000/µL) with raised IgE, especially in TPE.</w:t>
            </w:r>
          </w:p>
        </w:tc>
      </w:tr>
      <w:tr>
        <w:trPr>
          <w:cantSplit/>
        </w:trPr>
        <w:tc>
          <w:tcPr>
            <w:tcW w:type="dxa" w:w="3456"/>
            <w:vAlign w:val="top"/>
          </w:tcPr>
          <w:p>
            <w:pPr>
              <w:spacing w:after="40" w:before="0" w:line="259" w:lineRule="auto"/>
            </w:pPr>
            <w:r>
              <w:rPr>
                <w:rFonts w:ascii="Calibri" w:hAnsi="Calibri"/>
                <w:b/>
                <w:i w:val="0"/>
                <w:color w:val="212121"/>
                <w:sz w:val="19"/>
              </w:rPr>
              <w:t>Interdigital entry lesions / secondary infection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Cracks, tinea and cellulitis that precipitate recurrent acute attacks.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adenolymphangitis (ADL) / filarial fever with retrograde lymphangitis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epididymo-orchitis and funiculitis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Tropical pulmonary eosinophilia (acute immunological response)</w:t>
            </w:r>
          </w:p>
        </w:tc>
        <w:tc>
          <w:tcPr>
            <w:tcW w:type="dxa" w:w="2980"/>
            <w:vAlign w:val="top"/>
          </w:tcPr>
          <w:p>
            <w:pPr>
              <w:spacing w:after="40" w:before="0" w:line="259" w:lineRule="auto"/>
            </w:pPr>
            <w:r>
              <w:rPr>
                <w:rFonts w:ascii="Calibri" w:hAnsi="Calibri"/>
                <w:b w:val="0"/>
                <w:i w:val="0"/>
                <w:color w:val="212121"/>
                <w:sz w:val="19"/>
              </w:rPr>
              <w:t>Acute, often recurrent inflammatory episodes driven by the parasite and secondary infection; each attack promotes chronic damage.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lymphoedema of limbs (and rarely breast/vulva)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Hydrocele and chronic genital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Chyluria with protein and fat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secondary bacterial (cellulitis) and fungal skin infections</w:t>
            </w:r>
          </w:p>
        </w:tc>
        <w:tc>
          <w:tcPr>
            <w:tcW w:type="dxa" w:w="2980"/>
            <w:vAlign w:val="top"/>
          </w:tcPr>
          <w:p>
            <w:pPr>
              <w:spacing w:after="40" w:before="0" w:line="259" w:lineRule="auto"/>
            </w:pPr>
            <w:r>
              <w:rPr>
                <w:rFonts w:ascii="Calibri" w:hAnsi="Calibri"/>
                <w:b w:val="0"/>
                <w:i w:val="0"/>
                <w:color w:val="212121"/>
                <w:sz w:val="19"/>
              </w:rPr>
              <w:t>Chronic sequelae of longstanding lymphatic damage and repeated acute attacks.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Elephantiasis — irreversible disfiguring limb/genital enlargement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physical disability and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social stigma / exclusion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livelihood and economic hardship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Life-threatening secondary infections / sepsis from recurrent cellulitis</w:t>
            </w:r>
          </w:p>
        </w:tc>
        <w:tc>
          <w:tcPr>
            <w:tcW w:type="dxa" w:w="2980"/>
            <w:vAlign w:val="top"/>
          </w:tcPr>
          <w:p>
            <w:pPr>
              <w:spacing w:after="40" w:before="0" w:line="259" w:lineRule="auto"/>
            </w:pPr>
            <w:r>
              <w:rPr>
                <w:rFonts w:ascii="Calibri" w:hAnsi="Calibri"/>
                <w:b w:val="0"/>
                <w:i w:val="0"/>
                <w:color w:val="212121"/>
                <w:sz w:val="19"/>
              </w:rPr>
              <w:t>Long-term, largely irreversible disability, psychosocial and economic consequences — LF is a leading cause of long-term disability worldwide.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Acute adenolymphangitis (ADL) / recurrent bacterial cellulitis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Secondary bacterial infection triggers acute attacks that are the principal driver of lymphoedema progression to elephantiasis; skin hygiene interrupts this cycle.</w:t>
            </w:r>
          </w:p>
        </w:tc>
      </w:tr>
      <w:tr>
        <w:trPr>
          <w:cantSplit/>
        </w:trPr>
        <w:tc>
          <w:tcPr>
            <w:tcW w:type="dxa" w:w="2232"/>
            <w:vAlign w:val="top"/>
          </w:tcPr>
          <w:p>
            <w:pPr>
              <w:spacing w:after="40" w:before="0" w:line="259" w:lineRule="auto"/>
            </w:pPr>
            <w:r>
              <w:rPr>
                <w:rFonts w:ascii="Calibri" w:hAnsi="Calibri"/>
                <w:b/>
                <w:i w:val="0"/>
                <w:color w:val="212121"/>
                <w:sz w:val="19"/>
              </w:rPr>
              <w:t>Hydrocele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The commonest chronic manifestation of bancroftian filariasis in men; about 25 million men affected worldwide, frequently requiring hydrocelectomy.</w:t>
            </w:r>
          </w:p>
          <w:p>
            <w:pPr>
              <w:spacing w:after="40" w:before="0" w:line="259" w:lineRule="auto"/>
            </w:pPr>
            <w:r>
              <w:rPr>
                <w:rFonts w:ascii="Calibri" w:hAnsi="Calibri"/>
                <w:b/>
                <w:i w:val="0"/>
                <w:color w:val="212121"/>
                <w:sz w:val="19"/>
              </w:rPr>
              <w:t>~25 million men (global)</w:t>
            </w:r>
          </w:p>
        </w:tc>
      </w:tr>
      <w:tr>
        <w:trPr>
          <w:cantSplit/>
        </w:trPr>
        <w:tc>
          <w:tcPr>
            <w:tcW w:type="dxa" w:w="2232"/>
            <w:vAlign w:val="top"/>
          </w:tcPr>
          <w:p>
            <w:pPr>
              <w:spacing w:after="40" w:before="0" w:line="259" w:lineRule="auto"/>
            </w:pPr>
            <w:r>
              <w:rPr>
                <w:rFonts w:ascii="Calibri" w:hAnsi="Calibri"/>
                <w:b/>
                <w:i w:val="0"/>
                <w:color w:val="212121"/>
                <w:sz w:val="19"/>
              </w:rPr>
              <w:t>Chronic lymphoedema / elephantiasis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Progressive, largely irreversible limb swelling from cumulative lymphatic damage; over 15 million people affected globally.</w:t>
            </w:r>
          </w:p>
          <w:p>
            <w:pPr>
              <w:spacing w:after="40" w:before="0" w:line="259" w:lineRule="auto"/>
            </w:pPr>
            <w:r>
              <w:rPr>
                <w:rFonts w:ascii="Calibri" w:hAnsi="Calibri"/>
                <w:b/>
                <w:i w:val="0"/>
                <w:color w:val="212121"/>
                <w:sz w:val="19"/>
              </w:rPr>
              <w:t>&gt;15 million (global)</w:t>
            </w:r>
          </w:p>
        </w:tc>
      </w:tr>
      <w:tr>
        <w:trPr>
          <w:cantSplit/>
        </w:trPr>
        <w:tc>
          <w:tcPr>
            <w:tcW w:type="dxa" w:w="2232"/>
            <w:vAlign w:val="top"/>
          </w:tcPr>
          <w:p>
            <w:pPr>
              <w:spacing w:after="40" w:before="0" w:line="259" w:lineRule="auto"/>
            </w:pPr>
            <w:r>
              <w:rPr>
                <w:rFonts w:ascii="Calibri" w:hAnsi="Calibri"/>
                <w:b/>
                <w:i w:val="0"/>
                <w:color w:val="212121"/>
                <w:sz w:val="19"/>
              </w:rPr>
              <w:t>Tropical pulmonary eosinophilia (TPE)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Immunological hyper-response to filarial antigens causing asthma-like nocturnal cough with very high eosinophilia and IgE; often misdiagnosed as asthma.</w:t>
            </w:r>
          </w:p>
        </w:tc>
      </w:tr>
      <w:tr>
        <w:trPr>
          <w:cantSplit/>
        </w:trPr>
        <w:tc>
          <w:tcPr>
            <w:tcW w:type="dxa" w:w="2232"/>
            <w:vAlign w:val="top"/>
          </w:tcPr>
          <w:p>
            <w:pPr>
              <w:spacing w:after="40" w:before="0" w:line="259" w:lineRule="auto"/>
            </w:pPr>
            <w:r>
              <w:rPr>
                <w:rFonts w:ascii="Calibri" w:hAnsi="Calibri"/>
                <w:b/>
                <w:i w:val="0"/>
                <w:color w:val="212121"/>
                <w:sz w:val="19"/>
              </w:rPr>
              <w:t>Chyluria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Rupture of dilated lymphatics into the urinary tract causes milky urine with fat/protein loss; aggravated by dietary fat.</w:t>
            </w:r>
          </w:p>
        </w:tc>
      </w:tr>
      <w:tr>
        <w:trPr>
          <w:cantSplit/>
        </w:trPr>
        <w:tc>
          <w:tcPr>
            <w:tcW w:type="dxa" w:w="2232"/>
            <w:vAlign w:val="top"/>
          </w:tcPr>
          <w:p>
            <w:pPr>
              <w:spacing w:after="40" w:before="0" w:line="259" w:lineRule="auto"/>
            </w:pPr>
            <w:r>
              <w:rPr>
                <w:rFonts w:ascii="Calibri" w:hAnsi="Calibri"/>
                <w:b/>
                <w:i w:val="0"/>
                <w:color w:val="212121"/>
                <w:sz w:val="19"/>
              </w:rPr>
              <w:t>Secondary bacterial &amp; fungal skin infection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Interdigital tinea and cellulitis provide portals of entry and precipitate ADL; bidirectional with lymphoedema, which itself predisposes to infection.</w:t>
            </w:r>
          </w:p>
        </w:tc>
      </w:tr>
      <w:tr>
        <w:trPr>
          <w:cantSplit/>
        </w:trPr>
        <w:tc>
          <w:tcPr>
            <w:tcW w:type="dxa" w:w="2232"/>
            <w:vAlign w:val="top"/>
          </w:tcPr>
          <w:p>
            <w:pPr>
              <w:spacing w:after="40" w:before="0" w:line="259" w:lineRule="auto"/>
            </w:pPr>
            <w:r>
              <w:rPr>
                <w:rFonts w:ascii="Calibri" w:hAnsi="Calibri"/>
                <w:b/>
                <w:i w:val="0"/>
                <w:color w:val="212121"/>
                <w:sz w:val="19"/>
              </w:rPr>
              <w:t>Depression &amp; psychosocial distress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Disfigurement and stigma from elephantiasis/hydrocele commonly cause depression, anxiety and social exclusion, which reduce self-care adherence.</w:t>
            </w:r>
          </w:p>
        </w:tc>
      </w:tr>
      <w:tr>
        <w:trPr>
          <w:cantSplit/>
        </w:trPr>
        <w:tc>
          <w:tcPr>
            <w:tcW w:type="dxa" w:w="2232"/>
            <w:vAlign w:val="top"/>
          </w:tcPr>
          <w:p>
            <w:pPr>
              <w:spacing w:after="40" w:before="0" w:line="259" w:lineRule="auto"/>
            </w:pPr>
            <w:r>
              <w:rPr>
                <w:rFonts w:ascii="Calibri" w:hAnsi="Calibri"/>
                <w:b/>
                <w:i w:val="0"/>
                <w:color w:val="212121"/>
                <w:sz w:val="19"/>
              </w:rPr>
              <w:t>Soil-transmitted helminthiasis &amp; other co-endemic NTDs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Co-endemic in the same impoverished populations; MDA drugs (albendazole, ivermectin) used against LF also deworm intestinal helminths, a shared-platform benefit.</w:t>
            </w:r>
          </w:p>
        </w:tc>
      </w:tr>
      <w:tr>
        <w:trPr>
          <w:cantSplit/>
        </w:trPr>
        <w:tc>
          <w:tcPr>
            <w:tcW w:type="dxa" w:w="2232"/>
            <w:vAlign w:val="top"/>
          </w:tcPr>
          <w:p>
            <w:pPr>
              <w:spacing w:after="40" w:before="0" w:line="259" w:lineRule="auto"/>
            </w:pPr>
            <w:r>
              <w:rPr>
                <w:rFonts w:ascii="Calibri" w:hAnsi="Calibri"/>
                <w:b/>
                <w:i w:val="0"/>
                <w:color w:val="212121"/>
                <w:sz w:val="19"/>
              </w:rPr>
              <w:t>Malaria (vector/geographic overlap)</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Brugian and some bancroftian foci overlap with Anopheles-transmitted malaria; shared vector-control measures (bed nets, source reduction) benefit both.</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lymphatic filariasis spreads only through repeated bites of infected mosquitoes — not by touch — and that most infections are silent for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Participate fully in annual Mass Drug Administration (MDA): take the free single-dose DEC + albendazole (or IDA triple therapy where offered) even when you feel well, as it clears microfilariae and blocks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early warning signs (recurrent fever with painful limb/groin swelling, early leg or scrotal swelling) and seek a night blood test or antigen test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once lymphoedema or hydrocele develops, daily self-care and, for hydrocele, surgery can restore function and dignity.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community source reduction — clearing blocked drains and stagnant polluted water — to cut Culex breeding.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districts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MDA-eligible community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affected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workers from endemic areas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the affected limb twice daily with soap and clean water, rinse, and dry carefully including between the toes.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interdigital fungal infection and any wounds promptly; apply prescribed antiseptic/antifungal cream to entry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nails trimmed and apply an emollient to prevent skin cracks that let bacteria 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clean, comfortable, protective footwear at all times to avoid injury and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WHO morbidity-management (MMDP) package to prevent acute attacks and slow progression to elephantiasis.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Lymphoedema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Elephantiasis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Barefoot / rural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ADL</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daily prescribed limb exercises (ankle pumps, flexion/extension) to activate the muscle pump and promote lymph drainage.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affected limb when resting and at night to reduce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standing or sitting with the leg dependent; take movement 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simple compression/bandaging as advised by the care provider once acute inflammation has settled.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lymphoedema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Post-hydrocelectomy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patients with leg swelling</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under an insecticide-treated bed net every night — the vector bites at night when microfilariae peak in the blood.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windows and doors and use repellents during evening/night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sleeping unprotected outdoors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indoor and peri-domestic vector control (larviciding of polluted water, drain clearance).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 night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near stagnant water</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chyluria, follow a low-fat, high-protein diet and increase fluid intake to reduce chylous urine and replace protein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medium-chain-triglyceride fats if advised, as they bypass the intestinal lymphatics.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overall nutrition to support immunity and wound healing in chronic limbs.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especially during acute febrile (ADL) attacks.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chyluria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chronic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ADL</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counselling and peer/patient-support groups to cope with stigma and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and reduce self-care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community to reduce social exclusion and support daily limb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that consistent self-care visibly improves the limb, restoring confidence and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 elephantiasis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large hydrocele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withdrawn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which impairs immunity, wound healing and respiratory reserve — relevant if tropical pulmonary eosinophilia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if a smoker, particularly before or after hydrocele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chronic filarial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TPE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can impair hygiene, nutrition and adherence to daily limb care and MDA.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that worsens self-neglect of the affected limb.</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lymphoedema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self-care adherence</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56012/" TargetMode="External"/><Relationship Id="rId10" Type="http://schemas.openxmlformats.org/officeDocument/2006/relationships/hyperlink" Target="https://www.who.int/news-room/fact-sheets/detail/lymphatic-filariasis" TargetMode="External"/><Relationship Id="rId11" Type="http://schemas.openxmlformats.org/officeDocument/2006/relationships/hyperlink" Target="https://www.cdc.gov/dpdx/lymphaticfilariasis/index.html" TargetMode="External"/><Relationship Id="rId12" Type="http://schemas.openxmlformats.org/officeDocument/2006/relationships/hyperlink" Target="https://www.who.int/india/health-topics/lymphatic-filaria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