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Post-Kala-azar Dermal Leishmaniasis</w:t>
      </w:r>
    </w:p>
    <w:p>
      <w:pPr>
        <w:spacing w:before="0" w:after="160"/>
      </w:pPr>
      <w:r>
        <w:rPr>
          <w:rFonts w:ascii="Calibri" w:hAnsi="Calibri"/>
          <w:b/>
          <w:i w:val="0"/>
          <w:color w:val="212121"/>
          <w:sz w:val="22"/>
        </w:rPr>
        <w:t xml:space="preserve">AKA </w:t>
      </w:r>
      <w:r>
        <w:rPr>
          <w:rFonts w:ascii="Calibri" w:hAnsi="Calibri"/>
          <w:b w:val="0"/>
          <w:i w:val="0"/>
          <w:color w:val="212121"/>
          <w:sz w:val="22"/>
        </w:rPr>
        <w:t>i.e., PKDL, Post-kala-azar dermal leishmanoid, Dermal leishmanoid, a skin sequel of kala-azar (visceral leishmaniasis)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Post-kala-azar dermal leishmaniasis (PKDL) is a chronic dermatological sequel of visceral leishmaniasis (kala-azar) caused by the protozoan parasite Leishmania donovani. It appears months to years after apparent cure of kala-azar (occasionally without a documented prior episode) as hypopigmented macules, papules, nodules or plaques that typically begin on the face and spread to the trunk and limbs. Patients are usually systemically well and the lesions are asymptomatic, but the parasite-laden skin acts as a human reservoir that infects sandflies, making PKDL the principal obstacle to eliminating kala-azar in South Asia.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the Indian subcontinent, roughly 5-10% of successfully treated kala-azar patients go on to develop PKDL. An Indian phase-IV study that followed 1,750 treated VL patients found a PKDL incidence of about 10%, with a median onset of 25.4 months after treatment and 95% of cases appearing by around 43 months. Disease is concentrated in the kala-azar heartland of Bihar, Jharkhand, West Bengal and eastern Uttar Pradesh, and as India approaches the kala-azar elimination target, undetected PKDL cases have become the key residual source of transmission.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PKDL is diagnosed in a person from an endemic area with a past (or occasionally concurrent) history of kala-azar who develops characteristic skin lesions, supported by parasitological, molecular or serological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treated visceral leishmaniasis (kala-azar) in a Leishmania donovani endemic area, together with hypopigmented macular, papular, nodular or plaque lesions that classically begin on the face;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Leishmania donovani amastigotes (Leishman-Donovan bodies) on slit-skin smear or skin biopsy - yield is high in nodular/papular lesions but low in macular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skin-biopsy histopathology showing a dermal lymphohistiocytic or granulomatous infiltrate, with or without visible amastigotes;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PCR / quantitative PCR of a skin lesion for L. donovani kinetoplast DNA - the most sensitive method, especially for paucibacillary macular PKDL;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rK39 rapid test or anti-leishmanial serology (usually remains reactive from the prior VL episode; supportive, not confirmatory);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clinical mimics - particularly leprosy (PKDL lesions retain normal sensation and there is no nerve thickening), vitiligo and sarcoidosis.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PKDL is classified mainly by the morphology of the skin lesions, which also predicts parasite load and infectivity; regional patterns differ between the Indian subcontinent and East Africa:</w:t>
      </w:r>
    </w:p>
    <w:p>
      <w:pPr>
        <w:spacing w:before="0" w:after="80"/>
      </w:pPr>
      <w:r>
        <w:rPr>
          <w:rFonts w:ascii="Calibri" w:hAnsi="Calibri"/>
          <w:b w:val="0"/>
          <w:i w:val="0"/>
          <w:color w:val="212121"/>
          <w:sz w:val="21"/>
        </w:rPr>
        <w:t>(1) Macular (hypopigmented) PKDL - flat, ill-defined hypopigmented macules and patches, often the earliest and most paucibacillary form. It is common in Indian series, is easily mistaken for leprosy or vitiligo, and is difficult to confirm on smear, so molecular testing is frequently required;</w:t>
      </w:r>
    </w:p>
    <w:p>
      <w:pPr>
        <w:spacing w:before="0" w:after="80"/>
      </w:pPr>
      <w:r>
        <w:rPr>
          <w:rFonts w:ascii="Calibri" w:hAnsi="Calibri"/>
          <w:b w:val="0"/>
          <w:i w:val="0"/>
          <w:color w:val="212121"/>
          <w:sz w:val="21"/>
        </w:rPr>
        <w:t>(2) Papulo-nodular / polymorphic PKDL - a mixture of macules, papules, nodules and plaques, characteristically distributed over the malar area, chin and perioral region (a butterfly pattern), ears, trunk and limbs. These lesions are parasite-rich and are the most efficient in infecting sandflies;</w:t>
      </w:r>
    </w:p>
    <w:p>
      <w:pPr>
        <w:spacing w:before="0" w:after="80"/>
      </w:pPr>
      <w:r>
        <w:rPr>
          <w:rFonts w:ascii="Calibri" w:hAnsi="Calibri"/>
          <w:b w:val="0"/>
          <w:i w:val="0"/>
          <w:color w:val="212121"/>
          <w:sz w:val="21"/>
        </w:rPr>
        <w:t>(3) Mixed / erythematous forms - some patients show diffuse facial infiltration or erythema; in advanced polymorphic disease the face may take on a leonine appearance. HIV-associated PKDL is often atypical, verrucous or ulcerated and prone to relapse;</w:t>
      </w:r>
    </w:p>
    <w:p>
      <w:pPr>
        <w:spacing w:before="0" w:after="80"/>
      </w:pPr>
      <w:r>
        <w:rPr>
          <w:rFonts w:ascii="Calibri" w:hAnsi="Calibri"/>
          <w:b w:val="0"/>
          <w:i w:val="0"/>
          <w:color w:val="212121"/>
          <w:sz w:val="21"/>
        </w:rPr>
        <w:t>Regionally, Indian/South Asian PKDL tends to arise in adolescents and young adults 1-4 or more years after VL treatment, whereas East African PKDL occurs in young children within months of treatment and often self-heals - a distinction relevant to case-finding and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Prior visceral leishmaniasis: PKDL almost always follows an episode of kala-azar caused by Leishmania donovani, with parasites persisting in and reactivating within the skin.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Inadequate or incomplete anti-leishmanial treatment: sub-curative or poorly adhered VL therapy leaves residual parasites and predisposes to PKDL.</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VL treatment regimen used: the choice of drug influences PKDL risk (for example miltefosine-based and some combination regimens have shown higher PKDL incidence than single-dose liposomal amphotericin B in field studies).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immune dysregulation: an altered dermal immune response with raised IL-10 and mixed Th1/Th2 (IFN-gamma, TNF-alpha) activity allows parasites to establish in the skin.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Young age and male sex: adolescents, young adults and children are most affected, with a male excess in hospital-based series.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Malnutrition and poverty: protein-energy undernutrition impairs cell-mediated immunity and has been emphasised as a risk factor for PKDL in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Immunosuppression: HIV co-infection and other immunocompromised states predispose to atypical, severe and relapsing PKDL.</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On the Indian subcontinent PKDL predominantly emerges in adolescents and economically active young adults, usually 1-4 years or more after their kala-azar was treated. The lag reflects gradual reactivation of L. donovani in the skin after apparent visceral cure.</w:t>
            </w:r>
          </w:p>
          <w:p>
            <w:pPr>
              <w:spacing w:after="40" w:before="60" w:line="259" w:lineRule="auto"/>
            </w:pPr>
            <w:r>
              <w:rPr>
                <w:rFonts w:ascii="Calibri" w:hAnsi="Calibri"/>
                <w:b w:val="0"/>
                <w:i w:val="0"/>
                <w:color w:val="212121"/>
                <w:sz w:val="19"/>
              </w:rPr>
              <w:t>In an Indian phase-IV cohort of 1,750 treated VL patients, PKDL developed at a median of 25.4 months after treatment, with 95% of cases appearing by about 43 months.</w:t>
            </w:r>
          </w:p>
          <w:p>
            <w:pPr>
              <w:spacing w:after="40" w:line="252" w:lineRule="auto"/>
            </w:pPr>
            <w:hyperlink r:id="rId9">
              <w:r>
                <w:rPr>
                  <w:rFonts w:ascii="Calibri" w:hAnsi="Calibri" w:cs="Calibri"/>
                  <w:sz w:val="18"/>
                  <w:color w:val="1155CC"/>
                  <w:u w:val="single"/>
                </w:rPr>
                <w:t xml:space="preserve">pmc.ncbi.nlm.nih.gov — PKDL risk factors (Zijlstra 2026)</w:t>
              </w:r>
            </w:hyperlink>
          </w:p>
          <w:p>
            <w:pPr>
              <w:spacing w:before="60" w:after="40"/>
            </w:pPr>
            <w:r>
              <w:rPr>
                <w:rFonts w:ascii="Calibri" w:hAnsi="Calibri"/>
                <w:b w:val="0"/>
                <w:i w:val="0"/>
                <w:color w:val="5A5A5A"/>
                <w:sz w:val="18"/>
              </w:rPr>
              <w:t>#PKDL  #youngadults  #kalaazar  #reservoir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(&lt; 12 years)</w:t>
            </w:r>
          </w:p>
        </w:tc>
        <w:tc>
          <w:tcPr>
            <w:tcW w:type="dxa" w:w="4276"/>
            <w:vAlign w:val="top"/>
          </w:tcPr>
          <w:p>
            <w:pPr>
              <w:spacing w:after="60" w:line="259" w:lineRule="auto"/>
            </w:pPr>
            <w:r>
              <w:rPr>
                <w:rFonts w:ascii="Calibri" w:hAnsi="Calibri"/>
                <w:b w:val="0"/>
                <w:i w:val="0"/>
                <w:color w:val="212121"/>
                <w:sz w:val="19"/>
              </w:rPr>
              <w:t>Younger children are also vulnerable; East African PKDL classically affects young children within months of VL treatment, and even in India a subset of cases occurs in children, in whom developing immunity less effectively clears dermal parasites.</w:t>
            </w:r>
          </w:p>
          <w:p>
            <w:pPr>
              <w:spacing w:after="40" w:before="60" w:line="259" w:lineRule="auto"/>
            </w:pPr>
            <w:r>
              <w:rPr>
                <w:rFonts w:ascii="Calibri" w:hAnsi="Calibri"/>
                <w:b w:val="0"/>
                <w:i w:val="0"/>
                <w:color w:val="212121"/>
                <w:sz w:val="19"/>
              </w:rPr>
              <w:t>One Indian trial found the risk of PKDL to be higher in children under 12 years (and in females).</w:t>
            </w:r>
          </w:p>
          <w:p>
            <w:pPr>
              <w:spacing w:after="40" w:line="252" w:lineRule="auto"/>
            </w:pPr>
            <w:hyperlink r:id="rId9">
              <w:r>
                <w:rPr>
                  <w:rFonts w:ascii="Calibri" w:hAnsi="Calibri" w:cs="Calibri"/>
                  <w:sz w:val="18"/>
                  <w:color w:val="1155CC"/>
                  <w:u w:val="single"/>
                </w:rPr>
                <w:t xml:space="preserve">pmc.ncbi.nlm.nih.gov — PKDL risk factors (Zijlstra 2026)</w:t>
              </w:r>
            </w:hyperlink>
          </w:p>
          <w:p>
            <w:pPr>
              <w:spacing w:before="60" w:after="40"/>
            </w:pPr>
            <w:r>
              <w:rPr>
                <w:rFonts w:ascii="Calibri" w:hAnsi="Calibri"/>
                <w:b w:val="0"/>
                <w:i w:val="0"/>
                <w:color w:val="5A5A5A"/>
                <w:sz w:val="18"/>
              </w:rPr>
              <w:t>#children  #paediatric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Hospital-based series report a clear male excess, partly reflecting greater occupational outdoor sandfly exposure and better care-seeking among men; community surveys show a more balanced ratio, indicating under-detection of women.</w:t>
            </w:r>
          </w:p>
          <w:p>
            <w:pPr>
              <w:spacing w:after="40" w:before="60" w:line="259" w:lineRule="auto"/>
            </w:pPr>
            <w:r>
              <w:rPr>
                <w:rFonts w:ascii="Calibri" w:hAnsi="Calibri"/>
                <w:b w:val="0"/>
                <w:i w:val="0"/>
                <w:color w:val="212121"/>
                <w:sz w:val="19"/>
              </w:rPr>
              <w:t>Hospital studies show a male-to-female ratio of about 3-4:1, whereas endemic-community ratios are much more balanced (about 1.2-1.9:1).</w:t>
            </w:r>
          </w:p>
          <w:p>
            <w:pPr>
              <w:spacing w:after="40" w:line="252" w:lineRule="auto"/>
            </w:pPr>
            <w:hyperlink r:id="rId9">
              <w:r>
                <w:rPr>
                  <w:rFonts w:ascii="Calibri" w:hAnsi="Calibri" w:cs="Calibri"/>
                  <w:sz w:val="18"/>
                  <w:color w:val="1155CC"/>
                  <w:u w:val="single"/>
                </w:rPr>
                <w:t xml:space="preserve">pmc.ncbi.nlm.nih.gov — PKDL risk factors (Zijlstra 2026)</w:t>
              </w:r>
            </w:hyperlink>
          </w:p>
          <w:p>
            <w:pPr>
              <w:spacing w:before="60" w:after="40"/>
            </w:pPr>
            <w:r>
              <w:rPr>
                <w:rFonts w:ascii="Calibri" w:hAnsi="Calibri"/>
                <w:b w:val="0"/>
                <w:i w:val="0"/>
                <w:color w:val="5A5A5A"/>
                <w:sz w:val="18"/>
              </w:rPr>
              <w:t>#male  #careseeking  #exposure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marginalised rural populations</w:t>
            </w:r>
          </w:p>
        </w:tc>
        <w:tc>
          <w:tcPr>
            <w:tcW w:type="dxa" w:w="4276"/>
            <w:vAlign w:val="top"/>
          </w:tcPr>
          <w:p>
            <w:pPr>
              <w:spacing w:after="60" w:line="259" w:lineRule="auto"/>
            </w:pPr>
            <w:r>
              <w:rPr>
                <w:rFonts w:ascii="Calibri" w:hAnsi="Calibri"/>
                <w:b w:val="0"/>
                <w:i w:val="0"/>
                <w:color w:val="212121"/>
                <w:sz w:val="19"/>
              </w:rPr>
              <w:t>Like kala-azar itself, PKDL is a disease of poverty. Cracked mud-and-thatch housing, cattle sheds, crowding and low health awareness increase sandfly exposure and delay diagnosis, allowing infective lesions to persist untreated in the community.</w:t>
            </w:r>
          </w:p>
          <w:p>
            <w:pPr>
              <w:spacing w:after="40" w:before="60" w:line="259" w:lineRule="auto"/>
            </w:pPr>
            <w:r>
              <w:rPr>
                <w:rFonts w:ascii="Calibri" w:hAnsi="Calibri"/>
                <w:b w:val="0"/>
                <w:i w:val="0"/>
                <w:color w:val="212121"/>
                <w:sz w:val="19"/>
              </w:rPr>
              <w:t>PKDL burden clusters in the poorest rural districts of the eastern Gangetic plains, the same populations that bear the kala-azar burden.</w:t>
            </w:r>
          </w:p>
          <w:p>
            <w:pPr>
              <w:spacing w:after="40" w:line="252" w:lineRule="auto"/>
            </w:pPr>
            <w:hyperlink r:id="rId10">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#poverty  #ruralhealth  #neglectedtropicaldisease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Residents of Bihar, Jharkhand, West Bengal &amp; eastern UP</w:t>
            </w:r>
          </w:p>
        </w:tc>
        <w:tc>
          <w:tcPr>
            <w:tcW w:type="dxa" w:w="4276"/>
            <w:vAlign w:val="top"/>
          </w:tcPr>
          <w:p>
            <w:pPr>
              <w:spacing w:after="60" w:line="259" w:lineRule="auto"/>
            </w:pPr>
            <w:r>
              <w:rPr>
                <w:rFonts w:ascii="Calibri" w:hAnsi="Calibri"/>
                <w:b w:val="0"/>
                <w:i w:val="0"/>
                <w:color w:val="212121"/>
                <w:sz w:val="19"/>
              </w:rPr>
              <w:t>PKDL is geographically tied to the kala-azar endemic belt of the eastern Gangetic plains, where anthroponotic L. donovani transmission by Phlebotomus argentipes is sustained. Most Indian PKDL cases are reported from these states.</w:t>
            </w:r>
          </w:p>
          <w:p>
            <w:pPr>
              <w:spacing w:after="40" w:before="60" w:line="259" w:lineRule="auto"/>
            </w:pPr>
            <w:r>
              <w:rPr>
                <w:rFonts w:ascii="Calibri" w:hAnsi="Calibri"/>
                <w:b w:val="0"/>
                <w:i w:val="0"/>
                <w:color w:val="212121"/>
                <w:sz w:val="19"/>
              </w:rPr>
              <w:t>Bihar and the neighbouring eastern states account for the overwhelming majority of India's kala-azar and PKDL caseload.</w:t>
            </w:r>
          </w:p>
          <w:p>
            <w:pPr>
              <w:spacing w:after="40" w:line="252" w:lineRule="auto"/>
            </w:pPr>
            <w:hyperlink r:id="rId11">
              <w:r>
                <w:rPr>
                  <w:rFonts w:ascii="Calibri" w:hAnsi="Calibri" w:cs="Calibri"/>
                  <w:sz w:val="18"/>
                  <w:color w:val="1155CC"/>
                  <w:u w:val="single"/>
                </w:rPr>
                <w:t xml:space="preserve">pubmed — PKDL in the Indian sub-continent (Kumar 2023)</w:t>
              </w:r>
            </w:hyperlink>
          </w:p>
          <w:p>
            <w:pPr>
              <w:spacing w:before="60" w:after="40"/>
            </w:pPr>
            <w:r>
              <w:rPr>
                <w:rFonts w:ascii="Calibri" w:hAnsi="Calibri"/>
                <w:b w:val="0"/>
                <w:i w:val="0"/>
                <w:color w:val="5A5A5A"/>
                <w:sz w:val="18"/>
              </w:rPr>
              <w:t>#Bihar  #Gangeticplains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Habitat</w:t>
            </w:r>
          </w:p>
        </w:tc>
        <w:tc>
          <w:tcPr>
            <w:tcW w:type="dxa" w:w="2160"/>
            <w:vAlign w:val="top"/>
          </w:tcPr>
          <w:p>
            <w:pPr>
              <w:spacing w:after="40" w:before="0" w:line="259" w:lineRule="auto"/>
            </w:pPr>
            <w:r>
              <w:rPr>
                <w:rFonts w:ascii="Calibri" w:hAnsi="Calibri"/>
                <w:b w:val="0"/>
                <w:i w:val="0"/>
                <w:color w:val="212121"/>
                <w:sz w:val="19"/>
              </w:rPr>
              <w:t>Rural villages with mud housing &amp; livestock</w:t>
            </w:r>
          </w:p>
        </w:tc>
        <w:tc>
          <w:tcPr>
            <w:tcW w:type="dxa" w:w="4276"/>
            <w:vAlign w:val="top"/>
          </w:tcPr>
          <w:p>
            <w:pPr>
              <w:spacing w:after="60" w:line="259" w:lineRule="auto"/>
            </w:pPr>
            <w:r>
              <w:rPr>
                <w:rFonts w:ascii="Calibri" w:hAnsi="Calibri"/>
                <w:b w:val="0"/>
                <w:i w:val="0"/>
                <w:color w:val="212121"/>
                <w:sz w:val="19"/>
              </w:rPr>
              <w:t>Villages in the Terai and Gangetic lowlands provide ideal humid, warm micro-habitats for sandfly breeding in cracked walls, organic debris and cattle sheds, maintaining year-round vector density near homes.</w:t>
            </w:r>
          </w:p>
          <w:p>
            <w:pPr>
              <w:spacing w:after="40" w:before="60" w:line="259" w:lineRule="auto"/>
            </w:pPr>
            <w:r>
              <w:rPr>
                <w:rFonts w:ascii="Calibri" w:hAnsi="Calibri"/>
                <w:b w:val="0"/>
                <w:i w:val="0"/>
                <w:color w:val="212121"/>
                <w:sz w:val="19"/>
              </w:rPr>
              <w:t>High peri-domestic sandfly density in poorly constructed rural dwellings drives ongoing transmission and PKDL persistence.</w:t>
            </w:r>
          </w:p>
          <w:p>
            <w:pPr>
              <w:spacing w:before="60" w:after="40"/>
            </w:pPr>
            <w:r>
              <w:rPr>
                <w:rFonts w:ascii="Calibri" w:hAnsi="Calibri"/>
                <w:b w:val="0"/>
                <w:i w:val="0"/>
                <w:color w:val="5A5A5A"/>
                <w:sz w:val="18"/>
              </w:rPr>
              <w:t>#sandfly  #Phlebotomus  #housing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Vector exposure</w:t>
            </w:r>
          </w:p>
        </w:tc>
        <w:tc>
          <w:tcPr>
            <w:tcW w:type="dxa" w:w="2160"/>
            <w:vAlign w:val="top"/>
          </w:tcPr>
          <w:p>
            <w:pPr>
              <w:spacing w:after="40" w:before="0" w:line="259" w:lineRule="auto"/>
            </w:pPr>
            <w:r>
              <w:rPr>
                <w:rFonts w:ascii="Calibri" w:hAnsi="Calibri"/>
                <w:b w:val="0"/>
                <w:i w:val="0"/>
                <w:color w:val="212121"/>
                <w:sz w:val="19"/>
              </w:rPr>
              <w:t>People sleeping outdoors or without bed nets</w:t>
            </w:r>
          </w:p>
        </w:tc>
        <w:tc>
          <w:tcPr>
            <w:tcW w:type="dxa" w:w="4276"/>
            <w:vAlign w:val="top"/>
          </w:tcPr>
          <w:p>
            <w:pPr>
              <w:spacing w:after="60" w:line="259" w:lineRule="auto"/>
            </w:pPr>
            <w:r>
              <w:rPr>
                <w:rFonts w:ascii="Calibri" w:hAnsi="Calibri"/>
                <w:b w:val="0"/>
                <w:i w:val="0"/>
                <w:color w:val="212121"/>
                <w:sz w:val="19"/>
              </w:rPr>
              <w:t>Phlebotomus argentipes bites mainly at night near the ground. Sleeping on the floor, outdoors, or without an insecticide-treated net markedly increases exposure to infective bites and to acquiring/transmitting infection.</w:t>
            </w:r>
          </w:p>
          <w:p>
            <w:pPr>
              <w:spacing w:after="40" w:before="60" w:line="259" w:lineRule="auto"/>
            </w:pPr>
            <w:r>
              <w:rPr>
                <w:rFonts w:ascii="Calibri" w:hAnsi="Calibri"/>
                <w:b w:val="0"/>
                <w:i w:val="0"/>
                <w:color w:val="212121"/>
                <w:sz w:val="19"/>
              </w:rPr>
              <w:t>Consistent use of insecticide-treated nets and indoor residual spraying reduces sandfly biting and transmission.</w:t>
            </w:r>
          </w:p>
          <w:p>
            <w:pPr>
              <w:spacing w:after="40" w:line="252" w:lineRule="auto"/>
            </w:pPr>
            <w:hyperlink r:id="rId10">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#bednets  #IRS  #nightbites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w:t>
            </w:r>
          </w:p>
        </w:tc>
        <w:tc>
          <w:tcPr>
            <w:tcW w:type="dxa" w:w="2160"/>
            <w:vAlign w:val="top"/>
          </w:tcPr>
          <w:p>
            <w:pPr>
              <w:spacing w:after="40" w:before="0" w:line="259" w:lineRule="auto"/>
            </w:pPr>
            <w:r>
              <w:rPr>
                <w:rFonts w:ascii="Calibri" w:hAnsi="Calibri"/>
                <w:b w:val="0"/>
                <w:i w:val="0"/>
                <w:color w:val="212121"/>
                <w:sz w:val="19"/>
              </w:rPr>
              <w:t>Seasonal migrant labourers from endemic districts</w:t>
            </w:r>
          </w:p>
        </w:tc>
        <w:tc>
          <w:tcPr>
            <w:tcW w:type="dxa" w:w="4276"/>
            <w:vAlign w:val="top"/>
          </w:tcPr>
          <w:p>
            <w:pPr>
              <w:spacing w:after="60" w:line="259" w:lineRule="auto"/>
            </w:pPr>
            <w:r>
              <w:rPr>
                <w:rFonts w:ascii="Calibri" w:hAnsi="Calibri"/>
                <w:b w:val="0"/>
                <w:i w:val="0"/>
                <w:color w:val="212121"/>
                <w:sz w:val="19"/>
              </w:rPr>
              <w:t>Seasonal and labour migration out of endemic blocks can carry infective PKDL cases into new areas and complicate case-finding and follow-up, sustaining transmission chains.</w:t>
            </w:r>
          </w:p>
          <w:p>
            <w:pPr>
              <w:spacing w:after="40" w:before="60" w:line="259" w:lineRule="auto"/>
            </w:pPr>
            <w:r>
              <w:rPr>
                <w:rFonts w:ascii="Calibri" w:hAnsi="Calibri"/>
                <w:b w:val="0"/>
                <w:i w:val="0"/>
                <w:color w:val="212121"/>
                <w:sz w:val="19"/>
              </w:rPr>
              <w:t>Undetected mobile PKDL cases are recognised as a challenge for the last-mile kala-azar elimination effort.</w:t>
            </w:r>
          </w:p>
          <w:p>
            <w:pPr>
              <w:spacing w:after="40" w:line="252" w:lineRule="auto"/>
            </w:pPr>
            <w:hyperlink r:id="rId12">
              <w:r>
                <w:rPr>
                  <w:rFonts w:ascii="Calibri" w:hAnsi="Calibri" w:cs="Calibri"/>
                  <w:sz w:val="18"/>
                  <w:color w:val="1155CC"/>
                  <w:u w:val="single"/>
                </w:rPr>
                <w:t xml:space="preserve">pubmed — PKDL Consortium report (Chatterjee 2026)</w:t>
              </w:r>
            </w:hyperlink>
          </w:p>
          <w:p>
            <w:pPr>
              <w:spacing w:before="60" w:after="40"/>
            </w:pPr>
            <w:r>
              <w:rPr>
                <w:rFonts w:ascii="Calibri" w:hAnsi="Calibri"/>
                <w:b w:val="0"/>
                <w:i w:val="0"/>
                <w:color w:val="5A5A5A"/>
                <w:sz w:val="18"/>
              </w:rPr>
              <w:t>#migration  #casefinding  #elimination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Undernourished, protein-deficient individuals</w:t>
            </w:r>
          </w:p>
        </w:tc>
        <w:tc>
          <w:tcPr>
            <w:tcW w:type="dxa" w:w="4276"/>
            <w:vAlign w:val="top"/>
          </w:tcPr>
          <w:p>
            <w:pPr>
              <w:spacing w:after="60" w:line="259" w:lineRule="auto"/>
            </w:pPr>
            <w:r>
              <w:rPr>
                <w:rFonts w:ascii="Calibri" w:hAnsi="Calibri"/>
                <w:b w:val="0"/>
                <w:i w:val="0"/>
                <w:color w:val="212121"/>
                <w:sz w:val="19"/>
              </w:rPr>
              <w:t>Protein-energy malnutrition and micronutrient deficiency impair the Th1 cell-mediated immunity needed to control L. donovani, favouring dermal parasite persistence after visceral cure.</w:t>
            </w:r>
          </w:p>
          <w:p>
            <w:pPr>
              <w:spacing w:after="40" w:before="60" w:line="259" w:lineRule="auto"/>
            </w:pPr>
            <w:r>
              <w:rPr>
                <w:rFonts w:ascii="Calibri" w:hAnsi="Calibri"/>
                <w:b w:val="0"/>
                <w:i w:val="0"/>
                <w:color w:val="212121"/>
                <w:sz w:val="19"/>
              </w:rPr>
              <w:t>Malnutrition has recently been emphasised as a potential risk factor for PKDL in India.</w:t>
            </w:r>
          </w:p>
          <w:p>
            <w:pPr>
              <w:spacing w:after="40" w:line="252" w:lineRule="auto"/>
            </w:pPr>
            <w:hyperlink r:id="rId9">
              <w:r>
                <w:rPr>
                  <w:rFonts w:ascii="Calibri" w:hAnsi="Calibri" w:cs="Calibri"/>
                  <w:sz w:val="18"/>
                  <w:color w:val="1155CC"/>
                  <w:u w:val="single"/>
                </w:rPr>
                <w:t xml:space="preserve">pmc.ncbi.nlm.nih.gov — PKDL risk factors (Zijlstra 2026)</w:t>
              </w:r>
            </w:hyperlink>
          </w:p>
          <w:p>
            <w:pPr>
              <w:spacing w:before="60" w:after="40"/>
            </w:pPr>
            <w:r>
              <w:rPr>
                <w:rFonts w:ascii="Calibri" w:hAnsi="Calibri"/>
                <w:b w:val="0"/>
                <w:i w:val="0"/>
                <w:color w:val="5A5A5A"/>
                <w:sz w:val="18"/>
              </w:rPr>
              <w:t>#malnutrition  #proteinenergy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Individuals with susceptible immune-gene profiles / family clustering</w:t>
            </w:r>
          </w:p>
        </w:tc>
        <w:tc>
          <w:tcPr>
            <w:tcW w:type="dxa" w:w="4276"/>
            <w:vAlign w:val="top"/>
          </w:tcPr>
          <w:p>
            <w:pPr>
              <w:spacing w:after="60" w:line="259" w:lineRule="auto"/>
            </w:pPr>
            <w:r>
              <w:rPr>
                <w:rFonts w:ascii="Calibri" w:hAnsi="Calibri"/>
                <w:b w:val="0"/>
                <w:i w:val="0"/>
                <w:color w:val="212121"/>
                <w:sz w:val="19"/>
              </w:rPr>
              <w:t>Host genetic background influences whether infection is controlled or progresses; familial clustering of leishmaniasis and variants affecting cytokine and macrophage function (e.g. IL-10, SLC11A1/HLA pathways) modulate the dermal immune response underlying PKDL.</w:t>
            </w:r>
          </w:p>
          <w:p>
            <w:pPr>
              <w:spacing w:after="40" w:before="60" w:line="259" w:lineRule="auto"/>
            </w:pPr>
            <w:r>
              <w:rPr>
                <w:rFonts w:ascii="Calibri" w:hAnsi="Calibri"/>
                <w:b w:val="0"/>
                <w:i w:val="0"/>
                <w:color w:val="212121"/>
                <w:sz w:val="19"/>
              </w:rPr>
              <w:t>PKDL skin shows a dysregulated immune signature (e.g. altered interferon signalling with raised IFN-gamma and TNF-alpha) despite parasite persistence.</w:t>
            </w:r>
          </w:p>
          <w:p>
            <w:pPr>
              <w:spacing w:after="40" w:line="252" w:lineRule="auto"/>
            </w:pPr>
            <w:hyperlink r:id="rId9">
              <w:r>
                <w:rPr>
                  <w:rFonts w:ascii="Calibri" w:hAnsi="Calibri" w:cs="Calibri"/>
                  <w:sz w:val="18"/>
                  <w:color w:val="1155CC"/>
                  <w:u w:val="single"/>
                </w:rPr>
                <w:t xml:space="preserve">pmc.ncbi.nlm.nih.gov — PKDL risk factors (Zijlstra 2026)</w:t>
              </w:r>
            </w:hyperlink>
          </w:p>
          <w:p>
            <w:pPr>
              <w:spacing w:before="60" w:after="40"/>
            </w:pPr>
            <w:r>
              <w:rPr>
                <w:rFonts w:ascii="Calibri" w:hAnsi="Calibri"/>
                <w:b w:val="0"/>
                <w:i w:val="0"/>
                <w:color w:val="5A5A5A"/>
                <w:sz w:val="18"/>
              </w:rPr>
              <w:t>#immunogenetics  #IL10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kala-azar (VL)</w:t>
            </w:r>
          </w:p>
        </w:tc>
        <w:tc>
          <w:tcPr>
            <w:tcW w:type="dxa" w:w="2160"/>
            <w:vAlign w:val="top"/>
          </w:tcPr>
          <w:p>
            <w:pPr>
              <w:spacing w:after="40" w:before="0" w:line="259" w:lineRule="auto"/>
            </w:pPr>
            <w:r>
              <w:rPr>
                <w:rFonts w:ascii="Calibri" w:hAnsi="Calibri"/>
                <w:b w:val="0"/>
                <w:i w:val="0"/>
                <w:color w:val="212121"/>
                <w:sz w:val="19"/>
              </w:rPr>
              <w:t>Patients treated for visceral leishmaniasis</w:t>
            </w:r>
          </w:p>
        </w:tc>
        <w:tc>
          <w:tcPr>
            <w:tcW w:type="dxa" w:w="4276"/>
            <w:vAlign w:val="top"/>
          </w:tcPr>
          <w:p>
            <w:pPr>
              <w:spacing w:after="60" w:line="259" w:lineRule="auto"/>
            </w:pPr>
            <w:r>
              <w:rPr>
                <w:rFonts w:ascii="Calibri" w:hAnsi="Calibri"/>
                <w:b w:val="0"/>
                <w:i w:val="0"/>
                <w:color w:val="212121"/>
                <w:sz w:val="19"/>
              </w:rPr>
              <w:t>A previous episode of kala-azar is the essential antecedent of PKDL; residual parasites persist in the skin and reactivate months to years later.</w:t>
            </w:r>
          </w:p>
          <w:p>
            <w:pPr>
              <w:spacing w:after="40" w:before="60" w:line="259" w:lineRule="auto"/>
            </w:pPr>
            <w:r>
              <w:rPr>
                <w:rFonts w:ascii="Calibri" w:hAnsi="Calibri"/>
                <w:b w:val="0"/>
                <w:i w:val="0"/>
                <w:color w:val="212121"/>
                <w:sz w:val="19"/>
              </w:rPr>
              <w:t>About 5-10% of treated kala-azar patients in the Indian subcontinent develop PKDL.</w:t>
            </w:r>
          </w:p>
          <w:p>
            <w:pPr>
              <w:spacing w:after="40" w:line="252" w:lineRule="auto"/>
            </w:pPr>
            <w:hyperlink r:id="rId10">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#kalaazar  #sequel  #VL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Incomplete VL treatment</w:t>
            </w:r>
          </w:p>
        </w:tc>
        <w:tc>
          <w:tcPr>
            <w:tcW w:type="dxa" w:w="2160"/>
            <w:vAlign w:val="top"/>
          </w:tcPr>
          <w:p>
            <w:pPr>
              <w:spacing w:after="40" w:before="0" w:line="259" w:lineRule="auto"/>
            </w:pPr>
            <w:r>
              <w:rPr>
                <w:rFonts w:ascii="Calibri" w:hAnsi="Calibri"/>
                <w:b w:val="0"/>
                <w:i w:val="0"/>
                <w:color w:val="212121"/>
                <w:sz w:val="19"/>
              </w:rPr>
              <w:t>Patients with sub-curative or interrupted VL therapy</w:t>
            </w:r>
          </w:p>
        </w:tc>
        <w:tc>
          <w:tcPr>
            <w:tcW w:type="dxa" w:w="4276"/>
            <w:vAlign w:val="top"/>
          </w:tcPr>
          <w:p>
            <w:pPr>
              <w:spacing w:after="60" w:line="259" w:lineRule="auto"/>
            </w:pPr>
            <w:r>
              <w:rPr>
                <w:rFonts w:ascii="Calibri" w:hAnsi="Calibri"/>
                <w:b w:val="0"/>
                <w:i w:val="0"/>
                <w:color w:val="212121"/>
                <w:sz w:val="19"/>
              </w:rPr>
              <w:t>Inadequate dosing, poor adherence or an unfavourable regimen leaves residual parasites, increasing the likelihood and infectivity of subsequent PKDL.</w:t>
            </w:r>
          </w:p>
          <w:p>
            <w:pPr>
              <w:spacing w:after="40" w:before="60" w:line="259" w:lineRule="auto"/>
            </w:pPr>
            <w:r>
              <w:rPr>
                <w:rFonts w:ascii="Calibri" w:hAnsi="Calibri"/>
                <w:b w:val="0"/>
                <w:i w:val="0"/>
                <w:color w:val="212121"/>
                <w:sz w:val="19"/>
              </w:rPr>
              <w:t>PKDL incidence varies with the VL regimen used - some miltefosine-based and combination regimens showed higher PKDL rates than single-dose liposomal amphotericin B in field data.</w:t>
            </w:r>
          </w:p>
          <w:p>
            <w:pPr>
              <w:spacing w:after="40" w:line="252" w:lineRule="auto"/>
            </w:pPr>
            <w:hyperlink r:id="rId9">
              <w:r>
                <w:rPr>
                  <w:rFonts w:ascii="Calibri" w:hAnsi="Calibri" w:cs="Calibri"/>
                  <w:sz w:val="18"/>
                  <w:color w:val="1155CC"/>
                  <w:u w:val="single"/>
                </w:rPr>
                <w:t xml:space="preserve">pmc.ncbi.nlm.nih.gov — PKDL risk factors (Zijlstra 2026)</w:t>
              </w:r>
            </w:hyperlink>
          </w:p>
          <w:p>
            <w:pPr>
              <w:spacing w:before="60" w:after="40"/>
            </w:pPr>
            <w:r>
              <w:rPr>
                <w:rFonts w:ascii="Calibri" w:hAnsi="Calibri"/>
                <w:b w:val="0"/>
                <w:i w:val="0"/>
                <w:color w:val="5A5A5A"/>
                <w:sz w:val="18"/>
              </w:rPr>
              <w:t>#adherence  #treatmentfailure  #miltefosine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HIV-positive &amp; immunocompromised patients</w:t>
            </w:r>
          </w:p>
        </w:tc>
        <w:tc>
          <w:tcPr>
            <w:tcW w:type="dxa" w:w="4276"/>
            <w:vAlign w:val="top"/>
          </w:tcPr>
          <w:p>
            <w:pPr>
              <w:spacing w:after="60" w:line="259" w:lineRule="auto"/>
            </w:pPr>
            <w:r>
              <w:rPr>
                <w:rFonts w:ascii="Calibri" w:hAnsi="Calibri"/>
                <w:b w:val="0"/>
                <w:i w:val="0"/>
                <w:color w:val="212121"/>
                <w:sz w:val="19"/>
              </w:rPr>
              <w:t>Immunosuppression permits atypical, extensive, verrucous or ulcerated PKDL that relapses frequently and carries a high parasite load, complicating both treatment and control.</w:t>
            </w:r>
          </w:p>
          <w:p>
            <w:pPr>
              <w:spacing w:after="40" w:before="60" w:line="259" w:lineRule="auto"/>
            </w:pPr>
            <w:r>
              <w:rPr>
                <w:rFonts w:ascii="Calibri" w:hAnsi="Calibri"/>
                <w:b w:val="0"/>
                <w:i w:val="0"/>
                <w:color w:val="212121"/>
                <w:sz w:val="19"/>
              </w:rPr>
              <w:t>HIV co-infection is associated with atypical and relapsing PKDL and higher reservoir potential.</w:t>
            </w:r>
          </w:p>
          <w:p>
            <w:pPr>
              <w:spacing w:after="40" w:line="252" w:lineRule="auto"/>
            </w:pPr>
            <w:hyperlink r:id="rId10">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#HIV  #immunosuppression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Concurrent infection</w:t>
            </w:r>
          </w:p>
        </w:tc>
        <w:tc>
          <w:tcPr>
            <w:tcW w:type="dxa" w:w="2160"/>
            <w:vAlign w:val="top"/>
          </w:tcPr>
          <w:p>
            <w:pPr>
              <w:spacing w:after="40" w:before="0" w:line="259" w:lineRule="auto"/>
            </w:pPr>
            <w:r>
              <w:rPr>
                <w:rFonts w:ascii="Calibri" w:hAnsi="Calibri"/>
                <w:b w:val="0"/>
                <w:i w:val="0"/>
                <w:color w:val="212121"/>
                <w:sz w:val="19"/>
              </w:rPr>
              <w:t>Patients with co-endemic infections (e.g. leprosy, TB)</w:t>
            </w:r>
          </w:p>
        </w:tc>
        <w:tc>
          <w:tcPr>
            <w:tcW w:type="dxa" w:w="4276"/>
            <w:vAlign w:val="top"/>
          </w:tcPr>
          <w:p>
            <w:pPr>
              <w:spacing w:after="60" w:line="259" w:lineRule="auto"/>
            </w:pPr>
            <w:r>
              <w:rPr>
                <w:rFonts w:ascii="Calibri" w:hAnsi="Calibri"/>
                <w:b w:val="0"/>
                <w:i w:val="0"/>
                <w:color w:val="212121"/>
                <w:sz w:val="19"/>
              </w:rPr>
              <w:t>Co-endemic mycobacterial disease in the same poor populations can mimic PKDL (leprosy) or reflect shared immune vulnerability, complicating diagnosis and delaying correct treatment.</w:t>
            </w:r>
          </w:p>
          <w:p>
            <w:pPr>
              <w:spacing w:after="40" w:before="60" w:line="259" w:lineRule="auto"/>
            </w:pPr>
            <w:r>
              <w:rPr>
                <w:rFonts w:ascii="Calibri" w:hAnsi="Calibri"/>
                <w:b w:val="0"/>
                <w:i w:val="0"/>
                <w:color w:val="212121"/>
                <w:sz w:val="19"/>
              </w:rPr>
              <w:t>Macular PKDL is frequently misdiagnosed as leprosy; preserved sensation and absent nerve thickening help distinguish it.</w:t>
            </w:r>
          </w:p>
          <w:p>
            <w:pPr>
              <w:spacing w:after="40" w:line="252" w:lineRule="auto"/>
            </w:pPr>
            <w:hyperlink r:id="rId13">
              <w:r>
                <w:rPr>
                  <w:rFonts w:ascii="Calibri" w:hAnsi="Calibri" w:cs="Calibri"/>
                  <w:sz w:val="18"/>
                  <w:color w:val="1155CC"/>
                  <w:u w:val="single"/>
                </w:rPr>
                <w:t xml:space="preserve">pubmed — PKDL overview (Ganguly 2010)</w:t>
              </w:r>
            </w:hyperlink>
          </w:p>
          <w:p>
            <w:pPr>
              <w:spacing w:before="60" w:after="40"/>
            </w:pPr>
            <w:r>
              <w:rPr>
                <w:rFonts w:ascii="Calibri" w:hAnsi="Calibri"/>
                <w:b w:val="0"/>
                <w:i w:val="0"/>
                <w:color w:val="5A5A5A"/>
                <w:sz w:val="18"/>
              </w:rPr>
              <w:t>#leprosy  #differential  #misdiagnosis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General physical fitness supports the cell-mediated immunity that controls Leishmania, but activity neither prevents nor treats PKDL.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Protein-energy malnutrition and micronutrient deficiency impair the Th1 immunity needed to clear L. donovani; malnutrition has been emphasised as a risk factor for PKDL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Where and how one sleeps matters more than sleep quality: sleeping outdoors or without an insecticide-treated net raises nocturnal exposure to Phlebotomus argentipes bites that transmit the parasite.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tobacco is not a recognised risk factor for PKDL, though it may modestly impair host mucosal immunity.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chronic heavy drinking with associated undernutrition and immune suppression may impair recovery, but evidence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Chiefly a consequence rather than a cause - visible facial lesions cause stigma, anxiety and social exclusion; psychological distress does not drive the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Safe water and environmental sanitation are part of general vector control but do not independently prevent PKDL.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Environmental sanitation, improved housing, indoor residual spraying and reducing peri-domestic sandfly breeding lower vector density; personal hygiene alone cannot prevent this vector-borne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determinants are disease-specific: a prior episode of kala-azar, inadequate or incomplete VL treatment, the regimen used, HIV/immunosuppression and malnutrition provoke the emergence of PKDL.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Post-VL adults &amp; children</w:t>
            </w:r>
          </w:p>
        </w:tc>
        <w:tc>
          <w:tcPr>
            <w:tcW w:type="dxa" w:w="1512"/>
            <w:vAlign w:val="top"/>
          </w:tcPr>
          <w:p>
            <w:pPr>
              <w:spacing w:after="40" w:before="0" w:line="259" w:lineRule="auto"/>
            </w:pPr>
            <w:r>
              <w:rPr>
                <w:rFonts w:ascii="Calibri" w:hAnsi="Calibri"/>
                <w:b w:val="0"/>
                <w:i w:val="0"/>
                <w:color w:val="212121"/>
                <w:sz w:val="19"/>
              </w:rPr>
              <w:t>18.5-24.9 kg/m² (adults)</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60" w:line="259" w:lineRule="auto"/>
            </w:pPr>
            <w:r>
              <w:rPr>
                <w:rFonts w:ascii="Calibri" w:hAnsi="Calibri"/>
                <w:b w:val="0"/>
                <w:i w:val="0"/>
                <w:color w:val="212121"/>
                <w:sz w:val="19"/>
              </w:rPr>
              <w:t>Undernutrition impairs cell-mediated immunity and is a risk factor for PKDL</w:t>
            </w:r>
          </w:p>
          <w:p>
            <w:pPr>
              <w:spacing w:after="40" w:line="252" w:lineRule="auto"/>
            </w:pPr>
            <w:hyperlink r:id="rId9">
              <w:r>
                <w:rPr>
                  <w:rFonts w:ascii="Calibri" w:hAnsi="Calibri" w:cs="Calibri"/>
                  <w:sz w:val="18"/>
                  <w:color w:val="1155CC"/>
                  <w:u w:val="single"/>
                </w:rPr>
                <w:t xml:space="preserve">https://pmc.ncbi.nlm.nih.gov/articles/PMC12928490/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Undernourished post-VL patients</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w:t>
            </w:r>
          </w:p>
        </w:tc>
        <w:tc>
          <w:tcPr>
            <w:tcW w:type="dxa" w:w="1468"/>
            <w:vAlign w:val="top"/>
          </w:tcPr>
          <w:p>
            <w:pPr>
              <w:spacing w:after="40" w:before="0" w:line="259" w:lineRule="auto"/>
            </w:pPr>
            <w:r>
              <w:rPr>
                <w:rFonts w:ascii="Calibri" w:hAnsi="Calibri"/>
                <w:b w:val="0"/>
                <w:i w:val="0"/>
                <w:color w:val="212121"/>
                <w:sz w:val="19"/>
              </w:rPr>
              <w:t>Low albumin marks protein-energy malnutrition and reduced immune reserve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History of treated kala-azar (VL)</w:t>
            </w:r>
          </w:p>
        </w:tc>
        <w:tc>
          <w:tcPr>
            <w:tcW w:type="dxa" w:w="1655"/>
            <w:vAlign w:val="top"/>
          </w:tcPr>
          <w:p>
            <w:pPr>
              <w:spacing w:after="40" w:before="0" w:line="259" w:lineRule="auto"/>
            </w:pPr>
            <w:r>
              <w:rPr>
                <w:rFonts w:ascii="Calibri" w:hAnsi="Calibri"/>
                <w:b w:val="0"/>
                <w:i w:val="0"/>
                <w:color w:val="212121"/>
                <w:sz w:val="19"/>
              </w:rPr>
              <w:t>Endemic-area residents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prior VL episode</w:t>
            </w:r>
          </w:p>
        </w:tc>
        <w:tc>
          <w:tcPr>
            <w:tcW w:type="dxa" w:w="1468"/>
            <w:vAlign w:val="top"/>
          </w:tcPr>
          <w:p>
            <w:pPr>
              <w:spacing w:after="60" w:line="259" w:lineRule="auto"/>
            </w:pPr>
            <w:r>
              <w:rPr>
                <w:rFonts w:ascii="Calibri" w:hAnsi="Calibri"/>
                <w:b w:val="0"/>
                <w:i w:val="0"/>
                <w:color w:val="212121"/>
                <w:sz w:val="19"/>
              </w:rPr>
              <w:t>Essential antecedent; ~5-10% of treated VL patients develop PKDL</w:t>
            </w:r>
          </w:p>
          <w:p>
            <w:pPr>
              <w:spacing w:after="40" w:line="252" w:lineRule="auto"/>
            </w:pPr>
            <w:hyperlink r:id="rId10">
              <w:r>
                <w:rPr>
                  <w:rFonts w:ascii="Calibri" w:hAnsi="Calibri" w:cs="Calibri"/>
                  <w:sz w:val="18"/>
                  <w:color w:val="1155CC"/>
                  <w:u w:val="single"/>
                </w:rPr>
                <w:t xml:space="preserve">https://www.who.int/news-room/fact-sheets/detail/leishmaniasis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Interval since VL treatment (months)</w:t>
            </w:r>
          </w:p>
        </w:tc>
        <w:tc>
          <w:tcPr>
            <w:tcW w:type="dxa" w:w="1655"/>
            <w:vAlign w:val="top"/>
          </w:tcPr>
          <w:p>
            <w:pPr>
              <w:spacing w:after="40" w:before="0" w:line="259" w:lineRule="auto"/>
            </w:pPr>
            <w:r>
              <w:rPr>
                <w:rFonts w:ascii="Calibri" w:hAnsi="Calibri"/>
                <w:b w:val="0"/>
                <w:i w:val="0"/>
                <w:color w:val="212121"/>
                <w:sz w:val="19"/>
              </w:rPr>
              <w:t>Post-VL adolescents &amp; adults (India)</w:t>
            </w:r>
          </w:p>
        </w:tc>
        <w:tc>
          <w:tcPr>
            <w:tcW w:type="dxa" w:w="1512"/>
            <w:vAlign w:val="top"/>
          </w:tcPr>
          <w:p>
            <w:pPr>
              <w:spacing w:after="40" w:before="0" w:line="259" w:lineRule="auto"/>
            </w:pPr>
            <w:r>
              <w:rPr>
                <w:rFonts w:ascii="Calibri" w:hAnsi="Calibri"/>
                <w:b w:val="0"/>
                <w:i w:val="0"/>
                <w:color w:val="212121"/>
                <w:sz w:val="19"/>
              </w:rPr>
              <w:t>Active surveillance up to ~43 months</w:t>
            </w:r>
          </w:p>
        </w:tc>
        <w:tc>
          <w:tcPr>
            <w:tcW w:type="dxa" w:w="1512"/>
            <w:vAlign w:val="top"/>
          </w:tcPr>
          <w:p>
            <w:pPr>
              <w:spacing w:after="40" w:before="0" w:line="259" w:lineRule="auto"/>
            </w:pPr>
            <w:r>
              <w:rPr>
                <w:rFonts w:ascii="Calibri" w:hAnsi="Calibri"/>
                <w:b w:val="0"/>
                <w:i w:val="0"/>
                <w:color w:val="212121"/>
                <w:sz w:val="19"/>
              </w:rPr>
              <w:t>Peak risk ~6-36 months (median ~25)</w:t>
            </w:r>
          </w:p>
        </w:tc>
        <w:tc>
          <w:tcPr>
            <w:tcW w:type="dxa" w:w="1468"/>
            <w:vAlign w:val="top"/>
          </w:tcPr>
          <w:p>
            <w:pPr>
              <w:spacing w:after="60" w:line="259" w:lineRule="auto"/>
            </w:pPr>
            <w:r>
              <w:rPr>
                <w:rFonts w:ascii="Calibri" w:hAnsi="Calibri"/>
                <w:b w:val="0"/>
                <w:i w:val="0"/>
                <w:color w:val="212121"/>
                <w:sz w:val="19"/>
              </w:rPr>
              <w:t>95% of Indian PKDL appears by about 43 months post-VL</w:t>
            </w:r>
          </w:p>
          <w:p>
            <w:pPr>
              <w:spacing w:after="40" w:line="252" w:lineRule="auto"/>
            </w:pPr>
            <w:hyperlink r:id="rId9">
              <w:r>
                <w:rPr>
                  <w:rFonts w:ascii="Calibri" w:hAnsi="Calibri" w:cs="Calibri"/>
                  <w:sz w:val="18"/>
                  <w:color w:val="1155CC"/>
                  <w:u w:val="single"/>
                </w:rPr>
                <w:t xml:space="preserve">https://pmc.ncbi.nlm.nih.gov/articles/PMC12928490/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HIV serostatus / CD4 count</w:t>
            </w:r>
          </w:p>
        </w:tc>
        <w:tc>
          <w:tcPr>
            <w:tcW w:type="dxa" w:w="1655"/>
            <w:vAlign w:val="top"/>
          </w:tcPr>
          <w:p>
            <w:pPr>
              <w:spacing w:after="40" w:before="0" w:line="259" w:lineRule="auto"/>
            </w:pPr>
            <w:r>
              <w:rPr>
                <w:rFonts w:ascii="Calibri" w:hAnsi="Calibri"/>
                <w:b w:val="0"/>
                <w:i w:val="0"/>
                <w:color w:val="212121"/>
                <w:sz w:val="19"/>
              </w:rPr>
              <w:t>Immunosuppressed patients</w:t>
            </w:r>
          </w:p>
        </w:tc>
        <w:tc>
          <w:tcPr>
            <w:tcW w:type="dxa" w:w="1512"/>
            <w:vAlign w:val="top"/>
          </w:tcPr>
          <w:p>
            <w:pPr>
              <w:spacing w:after="40" w:before="0" w:line="259" w:lineRule="auto"/>
            </w:pPr>
            <w:r>
              <w:rPr>
                <w:rFonts w:ascii="Calibri" w:hAnsi="Calibri"/>
                <w:b w:val="0"/>
                <w:i w:val="0"/>
                <w:color w:val="212121"/>
                <w:sz w:val="19"/>
              </w:rPr>
              <w:t>HIV-negative; CD4 &gt; 500 cells/µL</w:t>
            </w:r>
          </w:p>
        </w:tc>
        <w:tc>
          <w:tcPr>
            <w:tcW w:type="dxa" w:w="1512"/>
            <w:vAlign w:val="top"/>
          </w:tcPr>
          <w:p>
            <w:pPr>
              <w:spacing w:after="40" w:before="0" w:line="259" w:lineRule="auto"/>
            </w:pPr>
            <w:r>
              <w:rPr>
                <w:rFonts w:ascii="Calibri" w:hAnsi="Calibri"/>
                <w:b w:val="0"/>
                <w:i w:val="0"/>
                <w:color w:val="212121"/>
                <w:sz w:val="19"/>
              </w:rPr>
              <w:t>HIV-positive; low CD4</w:t>
            </w:r>
          </w:p>
        </w:tc>
        <w:tc>
          <w:tcPr>
            <w:tcW w:type="dxa" w:w="1468"/>
            <w:vAlign w:val="top"/>
          </w:tcPr>
          <w:p>
            <w:pPr>
              <w:spacing w:after="40" w:before="0" w:line="259" w:lineRule="auto"/>
            </w:pPr>
            <w:r>
              <w:rPr>
                <w:rFonts w:ascii="Calibri" w:hAnsi="Calibri"/>
                <w:b w:val="0"/>
                <w:i w:val="0"/>
                <w:color w:val="212121"/>
                <w:sz w:val="19"/>
              </w:rPr>
              <w:t>Immunosuppression predisposes to atypical, relapsing PKDL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Skin parasite load (qPCR, kDNA)</w:t>
            </w:r>
          </w:p>
        </w:tc>
        <w:tc>
          <w:tcPr>
            <w:tcW w:type="dxa" w:w="1655"/>
            <w:vAlign w:val="top"/>
          </w:tcPr>
          <w:p>
            <w:pPr>
              <w:spacing w:after="40" w:before="0" w:line="259" w:lineRule="auto"/>
            </w:pPr>
            <w:r>
              <w:rPr>
                <w:rFonts w:ascii="Calibri" w:hAnsi="Calibri"/>
                <w:b w:val="0"/>
                <w:i w:val="0"/>
                <w:color w:val="212121"/>
                <w:sz w:val="19"/>
              </w:rPr>
              <w:t>Nodular / polymorphic PKDL</w:t>
            </w:r>
          </w:p>
        </w:tc>
        <w:tc>
          <w:tcPr>
            <w:tcW w:type="dxa" w:w="1512"/>
            <w:vAlign w:val="top"/>
          </w:tcPr>
          <w:p>
            <w:pPr>
              <w:spacing w:after="40" w:before="0" w:line="259" w:lineRule="auto"/>
            </w:pPr>
            <w:r>
              <w:rPr>
                <w:rFonts w:ascii="Calibri" w:hAnsi="Calibri"/>
                <w:b w:val="0"/>
                <w:i w:val="0"/>
                <w:color w:val="212121"/>
                <w:sz w:val="19"/>
              </w:rPr>
              <w:t>Undetectable</w:t>
            </w:r>
          </w:p>
        </w:tc>
        <w:tc>
          <w:tcPr>
            <w:tcW w:type="dxa" w:w="1512"/>
            <w:vAlign w:val="top"/>
          </w:tcPr>
          <w:p>
            <w:pPr>
              <w:spacing w:after="40" w:before="0" w:line="259" w:lineRule="auto"/>
            </w:pPr>
            <w:r>
              <w:rPr>
                <w:rFonts w:ascii="Calibri" w:hAnsi="Calibri"/>
                <w:b w:val="0"/>
                <w:i w:val="0"/>
                <w:color w:val="212121"/>
                <w:sz w:val="19"/>
              </w:rPr>
              <w:t>High parasite load</w:t>
            </w:r>
          </w:p>
        </w:tc>
        <w:tc>
          <w:tcPr>
            <w:tcW w:type="dxa" w:w="1468"/>
            <w:vAlign w:val="top"/>
          </w:tcPr>
          <w:p>
            <w:pPr>
              <w:spacing w:after="40" w:before="0" w:line="259" w:lineRule="auto"/>
            </w:pPr>
            <w:r>
              <w:rPr>
                <w:rFonts w:ascii="Calibri" w:hAnsi="Calibri"/>
                <w:b w:val="0"/>
                <w:i w:val="0"/>
                <w:color w:val="212121"/>
                <w:sz w:val="19"/>
              </w:rPr>
              <w:t>Correlates with infectivity to sandflies and reservoir potential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rK39 serology</w:t>
            </w:r>
          </w:p>
        </w:tc>
        <w:tc>
          <w:tcPr>
            <w:tcW w:type="dxa" w:w="1655"/>
            <w:vAlign w:val="top"/>
          </w:tcPr>
          <w:p>
            <w:pPr>
              <w:spacing w:after="40" w:before="0" w:line="259" w:lineRule="auto"/>
            </w:pPr>
            <w:r>
              <w:rPr>
                <w:rFonts w:ascii="Calibri" w:hAnsi="Calibri"/>
                <w:b w:val="0"/>
                <w:i w:val="0"/>
                <w:color w:val="212121"/>
                <w:sz w:val="19"/>
              </w:rPr>
              <w:t>Suspected PKDL</w:t>
            </w:r>
          </w:p>
        </w:tc>
        <w:tc>
          <w:tcPr>
            <w:tcW w:type="dxa" w:w="1512"/>
            <w:vAlign w:val="top"/>
          </w:tcPr>
          <w:p>
            <w:pPr>
              <w:spacing w:after="40" w:before="0" w:line="259" w:lineRule="auto"/>
            </w:pPr>
            <w:r>
              <w:rPr>
                <w:rFonts w:ascii="Calibri" w:hAnsi="Calibri"/>
                <w:b w:val="0"/>
                <w:i w:val="0"/>
                <w:color w:val="212121"/>
                <w:sz w:val="19"/>
              </w:rPr>
              <w:t>Interpreted in context</w:t>
            </w:r>
          </w:p>
        </w:tc>
        <w:tc>
          <w:tcPr>
            <w:tcW w:type="dxa" w:w="1512"/>
            <w:vAlign w:val="top"/>
          </w:tcPr>
          <w:p>
            <w:pPr>
              <w:spacing w:after="40" w:before="0" w:line="259" w:lineRule="auto"/>
            </w:pPr>
            <w:r>
              <w:rPr>
                <w:rFonts w:ascii="Calibri" w:hAnsi="Calibri"/>
                <w:b w:val="0"/>
                <w:i w:val="0"/>
                <w:color w:val="212121"/>
                <w:sz w:val="19"/>
              </w:rPr>
              <w:t>Positive (usually persists after VL)</w:t>
            </w:r>
          </w:p>
        </w:tc>
        <w:tc>
          <w:tcPr>
            <w:tcW w:type="dxa" w:w="1468"/>
            <w:vAlign w:val="top"/>
          </w:tcPr>
          <w:p>
            <w:pPr>
              <w:spacing w:after="40" w:before="0" w:line="259" w:lineRule="auto"/>
            </w:pPr>
            <w:r>
              <w:rPr>
                <w:rFonts w:ascii="Calibri" w:hAnsi="Calibri"/>
                <w:b w:val="0"/>
                <w:i w:val="0"/>
                <w:color w:val="212121"/>
                <w:sz w:val="19"/>
              </w:rPr>
              <w:t>Supports diagnosis in a treated-VL patient with skin lesions; not proof of active disease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Insecticide-treated net (LLIN) use</w:t>
            </w:r>
          </w:p>
        </w:tc>
        <w:tc>
          <w:tcPr>
            <w:tcW w:type="dxa" w:w="1655"/>
            <w:vAlign w:val="top"/>
          </w:tcPr>
          <w:p>
            <w:pPr>
              <w:spacing w:after="40" w:before="0" w:line="259" w:lineRule="auto"/>
            </w:pPr>
            <w:r>
              <w:rPr>
                <w:rFonts w:ascii="Calibri" w:hAnsi="Calibri"/>
                <w:b w:val="0"/>
                <w:i w:val="0"/>
                <w:color w:val="212121"/>
                <w:sz w:val="19"/>
              </w:rPr>
              <w:t>Endemic rural households</w:t>
            </w:r>
          </w:p>
        </w:tc>
        <w:tc>
          <w:tcPr>
            <w:tcW w:type="dxa" w:w="1512"/>
            <w:vAlign w:val="top"/>
          </w:tcPr>
          <w:p>
            <w:pPr>
              <w:spacing w:after="40" w:before="0" w:line="259" w:lineRule="auto"/>
            </w:pPr>
            <w:r>
              <w:rPr>
                <w:rFonts w:ascii="Calibri" w:hAnsi="Calibri"/>
                <w:b w:val="0"/>
                <w:i w:val="0"/>
                <w:color w:val="212121"/>
                <w:sz w:val="19"/>
              </w:rPr>
              <w:t>Consistent nightly use</w:t>
            </w:r>
          </w:p>
        </w:tc>
        <w:tc>
          <w:tcPr>
            <w:tcW w:type="dxa" w:w="1512"/>
            <w:vAlign w:val="top"/>
          </w:tcPr>
          <w:p>
            <w:pPr>
              <w:spacing w:after="40" w:before="0" w:line="259" w:lineRule="auto"/>
            </w:pPr>
            <w:r>
              <w:rPr>
                <w:rFonts w:ascii="Calibri" w:hAnsi="Calibri"/>
                <w:b w:val="0"/>
                <w:i w:val="0"/>
                <w:color w:val="212121"/>
                <w:sz w:val="19"/>
              </w:rPr>
              <w:t>No / irregular use</w:t>
            </w:r>
          </w:p>
        </w:tc>
        <w:tc>
          <w:tcPr>
            <w:tcW w:type="dxa" w:w="1468"/>
            <w:vAlign w:val="top"/>
          </w:tcPr>
          <w:p>
            <w:pPr>
              <w:spacing w:after="60" w:line="259" w:lineRule="auto"/>
            </w:pPr>
            <w:r>
              <w:rPr>
                <w:rFonts w:ascii="Calibri" w:hAnsi="Calibri"/>
                <w:b w:val="0"/>
                <w:i w:val="0"/>
                <w:color w:val="212121"/>
                <w:sz w:val="19"/>
              </w:rPr>
              <w:t>Reduces nocturnal sandfly bites and onward transmission</w:t>
            </w:r>
          </w:p>
          <w:p>
            <w:pPr>
              <w:spacing w:after="40" w:line="252" w:lineRule="auto"/>
            </w:pPr>
            <w:hyperlink r:id="rId10">
              <w:r>
                <w:rPr>
                  <w:rFonts w:ascii="Calibri" w:hAnsi="Calibri" w:cs="Calibri"/>
                  <w:sz w:val="18"/>
                  <w:color w:val="1155CC"/>
                  <w:u w:val="single"/>
                </w:rPr>
                <w:t xml:space="preserve">https://www.who.int/news-room/fact-sheets/detail/leishmaniasis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Indoor residual spraying (IRS) coverage</w:t>
            </w:r>
          </w:p>
        </w:tc>
        <w:tc>
          <w:tcPr>
            <w:tcW w:type="dxa" w:w="1655"/>
            <w:vAlign w:val="top"/>
          </w:tcPr>
          <w:p>
            <w:pPr>
              <w:spacing w:after="40" w:before="0" w:line="259" w:lineRule="auto"/>
            </w:pPr>
            <w:r>
              <w:rPr>
                <w:rFonts w:ascii="Calibri" w:hAnsi="Calibri"/>
                <w:b w:val="0"/>
                <w:i w:val="0"/>
                <w:color w:val="212121"/>
                <w:sz w:val="19"/>
              </w:rPr>
              <w:t>Endemic villages</w:t>
            </w:r>
          </w:p>
        </w:tc>
        <w:tc>
          <w:tcPr>
            <w:tcW w:type="dxa" w:w="1512"/>
            <w:vAlign w:val="top"/>
          </w:tcPr>
          <w:p>
            <w:pPr>
              <w:spacing w:after="40" w:before="0" w:line="259" w:lineRule="auto"/>
            </w:pPr>
            <w:r>
              <w:rPr>
                <w:rFonts w:ascii="Calibri" w:hAnsi="Calibri"/>
                <w:b w:val="0"/>
                <w:i w:val="0"/>
                <w:color w:val="212121"/>
                <w:sz w:val="19"/>
              </w:rPr>
              <w:t>High household coverage (target ≥ 80%)</w:t>
            </w:r>
          </w:p>
        </w:tc>
        <w:tc>
          <w:tcPr>
            <w:tcW w:type="dxa" w:w="1512"/>
            <w:vAlign w:val="top"/>
          </w:tcPr>
          <w:p>
            <w:pPr>
              <w:spacing w:after="40" w:before="0" w:line="259" w:lineRule="auto"/>
            </w:pPr>
            <w:r>
              <w:rPr>
                <w:rFonts w:ascii="Calibri" w:hAnsi="Calibri"/>
                <w:b w:val="0"/>
                <w:i w:val="0"/>
                <w:color w:val="212121"/>
                <w:sz w:val="19"/>
              </w:rPr>
              <w:t>&lt; 80% / none</w:t>
            </w:r>
          </w:p>
        </w:tc>
        <w:tc>
          <w:tcPr>
            <w:tcW w:type="dxa" w:w="1468"/>
            <w:vAlign w:val="top"/>
          </w:tcPr>
          <w:p>
            <w:pPr>
              <w:spacing w:after="40" w:before="0" w:line="259" w:lineRule="auto"/>
            </w:pPr>
            <w:r>
              <w:rPr>
                <w:rFonts w:ascii="Calibri" w:hAnsi="Calibri"/>
                <w:b w:val="0"/>
                <w:i w:val="0"/>
                <w:color w:val="212121"/>
                <w:sz w:val="19"/>
              </w:rPr>
              <w:t>Vector control lowers Phlebotomus argentipes density and transmission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Leishman-Donovan bodies</w:t>
            </w:r>
          </w:p>
        </w:tc>
        <w:tc>
          <w:tcPr>
            <w:tcW w:type="dxa" w:w="892"/>
            <w:vAlign w:val="top"/>
          </w:tcPr>
          <w:p>
            <w:pPr>
              <w:spacing w:after="40" w:before="0" w:line="259" w:lineRule="auto"/>
            </w:pPr>
            <w:r>
              <w:rPr>
                <w:rFonts w:ascii="Calibri" w:hAnsi="Calibri"/>
                <w:b w:val="0"/>
                <w:i w:val="0"/>
                <w:color w:val="212121"/>
                <w:sz w:val="16"/>
              </w:rPr>
              <w:t>Slit-skin smear microscopy</w:t>
            </w:r>
          </w:p>
        </w:tc>
        <w:tc>
          <w:tcPr>
            <w:tcW w:type="dxa" w:w="950"/>
            <w:vAlign w:val="top"/>
          </w:tcPr>
          <w:p>
            <w:pPr>
              <w:spacing w:after="40" w:before="0" w:line="259" w:lineRule="auto"/>
            </w:pPr>
            <w:r>
              <w:rPr>
                <w:rFonts w:ascii="Calibri" w:hAnsi="Calibri"/>
                <w:b w:val="0"/>
                <w:i w:val="0"/>
                <w:color w:val="212121"/>
                <w:sz w:val="16"/>
              </w:rPr>
              <w:t>No amastigotes</w:t>
            </w:r>
          </w:p>
        </w:tc>
        <w:tc>
          <w:tcPr>
            <w:tcW w:type="dxa" w:w="950"/>
            <w:vAlign w:val="top"/>
          </w:tcPr>
          <w:p>
            <w:pPr>
              <w:spacing w:after="40" w:before="0" w:line="259" w:lineRule="auto"/>
            </w:pPr>
            <w:r>
              <w:rPr>
                <w:rFonts w:ascii="Calibri" w:hAnsi="Calibri"/>
                <w:b w:val="0"/>
                <w:i w:val="0"/>
                <w:color w:val="212121"/>
                <w:sz w:val="16"/>
              </w:rPr>
              <w:t>Amastigotes (LD bodies) seen</w:t>
            </w:r>
          </w:p>
        </w:tc>
        <w:tc>
          <w:tcPr>
            <w:tcW w:type="dxa" w:w="1036"/>
            <w:vAlign w:val="top"/>
          </w:tcPr>
          <w:p>
            <w:pPr>
              <w:spacing w:after="40" w:before="0" w:line="259" w:lineRule="auto"/>
            </w:pPr>
            <w:r>
              <w:rPr>
                <w:rFonts w:ascii="Calibri" w:hAnsi="Calibri"/>
                <w:b w:val="0"/>
                <w:i w:val="0"/>
                <w:color w:val="212121"/>
                <w:sz w:val="16"/>
              </w:rPr>
              <w:t>Confirms PKDL; sensitivity high in nodular/papular lesions but low in macular disease</w:t>
            </w:r>
          </w:p>
        </w:tc>
        <w:tc>
          <w:tcPr>
            <w:tcW w:type="dxa" w:w="1036"/>
            <w:vAlign w:val="top"/>
          </w:tcPr>
          <w:p>
            <w:pPr>
              <w:spacing w:after="40" w:before="0" w:line="259" w:lineRule="auto"/>
            </w:pPr>
            <w:r>
              <w:rPr>
                <w:rFonts w:ascii="Calibri" w:hAnsi="Calibri"/>
                <w:b w:val="0"/>
                <w:i w:val="0"/>
                <w:color w:val="212121"/>
                <w:sz w:val="16"/>
              </w:rPr>
              <w:t>Nodular/polymorphic PKDL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(low sensitivity in macular)</w:t>
            </w:r>
          </w:p>
        </w:tc>
        <w:tc>
          <w:tcPr>
            <w:tcW w:type="dxa" w:w="720"/>
            <w:vAlign w:val="top"/>
          </w:tcPr>
          <w:p>
            <w:pPr>
              <w:spacing w:after="40" w:before="0" w:line="259" w:lineRule="auto"/>
            </w:pPr>
            <w:r>
              <w:rPr>
                <w:rFonts w:ascii="Calibri" w:hAnsi="Calibri"/>
                <w:b w:val="0"/>
                <w:i w:val="0"/>
                <w:color w:val="212121"/>
                <w:sz w:val="16"/>
              </w:rPr>
              <w:t>Smear/scraping taken from an active lesion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Dermal infiltrate</w:t>
            </w:r>
          </w:p>
        </w:tc>
        <w:tc>
          <w:tcPr>
            <w:tcW w:type="dxa" w:w="892"/>
            <w:vAlign w:val="top"/>
          </w:tcPr>
          <w:p>
            <w:pPr>
              <w:spacing w:after="40" w:before="0" w:line="259" w:lineRule="auto"/>
            </w:pPr>
            <w:r>
              <w:rPr>
                <w:rFonts w:ascii="Calibri" w:hAnsi="Calibri"/>
                <w:b w:val="0"/>
                <w:i w:val="0"/>
                <w:color w:val="212121"/>
                <w:sz w:val="16"/>
              </w:rPr>
              <w:t>Skin biopsy</w:t>
            </w:r>
          </w:p>
        </w:tc>
        <w:tc>
          <w:tcPr>
            <w:tcW w:type="dxa" w:w="950"/>
            <w:vAlign w:val="top"/>
          </w:tcPr>
          <w:p>
            <w:pPr>
              <w:spacing w:after="40" w:before="0" w:line="259" w:lineRule="auto"/>
            </w:pPr>
            <w:r>
              <w:rPr>
                <w:rFonts w:ascii="Calibri" w:hAnsi="Calibri"/>
                <w:b w:val="0"/>
                <w:i w:val="0"/>
                <w:color w:val="212121"/>
                <w:sz w:val="16"/>
              </w:rPr>
              <w:t>Normal dermis</w:t>
            </w:r>
          </w:p>
        </w:tc>
        <w:tc>
          <w:tcPr>
            <w:tcW w:type="dxa" w:w="950"/>
            <w:vAlign w:val="top"/>
          </w:tcPr>
          <w:p>
            <w:pPr>
              <w:spacing w:after="40" w:before="0" w:line="259" w:lineRule="auto"/>
            </w:pPr>
            <w:r>
              <w:rPr>
                <w:rFonts w:ascii="Calibri" w:hAnsi="Calibri"/>
                <w:b w:val="0"/>
                <w:i w:val="0"/>
                <w:color w:val="212121"/>
                <w:sz w:val="16"/>
              </w:rPr>
              <w:t>Lymphohistiocytic/granulomatous infiltrate ± amastigotes</w:t>
            </w:r>
          </w:p>
        </w:tc>
        <w:tc>
          <w:tcPr>
            <w:tcW w:type="dxa" w:w="1036"/>
            <w:vAlign w:val="top"/>
          </w:tcPr>
          <w:p>
            <w:pPr>
              <w:spacing w:after="40" w:before="0" w:line="259" w:lineRule="auto"/>
            </w:pPr>
            <w:r>
              <w:rPr>
                <w:rFonts w:ascii="Calibri" w:hAnsi="Calibri"/>
                <w:b w:val="0"/>
                <w:i w:val="0"/>
                <w:color w:val="212121"/>
                <w:sz w:val="16"/>
              </w:rPr>
              <w:t>Supports diagnosis and helps exclude leprosy, sarcoidosis and vitiligo</w:t>
            </w:r>
          </w:p>
        </w:tc>
        <w:tc>
          <w:tcPr>
            <w:tcW w:type="dxa" w:w="1036"/>
            <w:vAlign w:val="top"/>
          </w:tcPr>
          <w:p>
            <w:pPr>
              <w:spacing w:after="40" w:before="0" w:line="259" w:lineRule="auto"/>
            </w:pPr>
            <w:r>
              <w:rPr>
                <w:rFonts w:ascii="Calibri" w:hAnsi="Calibri"/>
                <w:b w:val="0"/>
                <w:i w:val="0"/>
                <w:color w:val="212121"/>
                <w:sz w:val="16"/>
              </w:rPr>
              <w:t>Macular &amp; polymorphic PKDL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Supportive/diagnostic</w:t>
            </w:r>
          </w:p>
        </w:tc>
        <w:tc>
          <w:tcPr>
            <w:tcW w:type="dxa" w:w="720"/>
            <w:vAlign w:val="top"/>
          </w:tcPr>
          <w:p>
            <w:pPr>
              <w:spacing w:after="40" w:before="0" w:line="259" w:lineRule="auto"/>
            </w:pPr>
            <w:r>
              <w:rPr>
                <w:rFonts w:ascii="Calibri" w:hAnsi="Calibri"/>
                <w:b w:val="0"/>
                <w:i w:val="0"/>
                <w:color w:val="212121"/>
                <w:sz w:val="16"/>
              </w:rPr>
              <w:t>Amastigotes may be sparse in macular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L. donovani kDNA</w:t>
            </w:r>
          </w:p>
        </w:tc>
        <w:tc>
          <w:tcPr>
            <w:tcW w:type="dxa" w:w="892"/>
            <w:vAlign w:val="top"/>
          </w:tcPr>
          <w:p>
            <w:pPr>
              <w:spacing w:after="40" w:before="0" w:line="259" w:lineRule="auto"/>
            </w:pPr>
            <w:r>
              <w:rPr>
                <w:rFonts w:ascii="Calibri" w:hAnsi="Calibri"/>
                <w:b w:val="0"/>
                <w:i w:val="0"/>
                <w:color w:val="212121"/>
                <w:sz w:val="16"/>
              </w:rPr>
              <w:t>PCR / quantitative PCR of skin</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L. donovani DNA detected</w:t>
            </w:r>
          </w:p>
        </w:tc>
        <w:tc>
          <w:tcPr>
            <w:tcW w:type="dxa" w:w="1036"/>
            <w:vAlign w:val="top"/>
          </w:tcPr>
          <w:p>
            <w:pPr>
              <w:spacing w:after="40" w:before="0" w:line="259" w:lineRule="auto"/>
            </w:pPr>
            <w:r>
              <w:rPr>
                <w:rFonts w:ascii="Calibri" w:hAnsi="Calibri"/>
                <w:b w:val="0"/>
                <w:i w:val="0"/>
                <w:color w:val="212121"/>
                <w:sz w:val="16"/>
              </w:rPr>
              <w:t>Most sensitive test, especially for paucibacillary macular PKDL; qPCR quantifies parasite load</w:t>
            </w:r>
          </w:p>
        </w:tc>
        <w:tc>
          <w:tcPr>
            <w:tcW w:type="dxa" w:w="1036"/>
            <w:vAlign w:val="top"/>
          </w:tcPr>
          <w:p>
            <w:pPr>
              <w:spacing w:after="40" w:before="0" w:line="259" w:lineRule="auto"/>
            </w:pPr>
            <w:r>
              <w:rPr>
                <w:rFonts w:ascii="Calibri" w:hAnsi="Calibri"/>
                <w:b w:val="0"/>
                <w:i w:val="0"/>
                <w:color w:val="212121"/>
                <w:sz w:val="16"/>
              </w:rPr>
              <w:t>All PKDL, esp. macular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Most sensitive / reference</w:t>
            </w:r>
          </w:p>
        </w:tc>
        <w:tc>
          <w:tcPr>
            <w:tcW w:type="dxa" w:w="720"/>
            <w:vAlign w:val="top"/>
          </w:tcPr>
          <w:p>
            <w:pPr>
              <w:spacing w:after="40" w:before="0" w:line="259" w:lineRule="auto"/>
            </w:pPr>
            <w:r>
              <w:rPr>
                <w:rFonts w:ascii="Calibri" w:hAnsi="Calibri"/>
                <w:b w:val="0"/>
                <w:i w:val="0"/>
                <w:color w:val="212121"/>
                <w:sz w:val="16"/>
              </w:rPr>
              <w:t>Also used to assess infectivity and treatment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rK39 antibody</w:t>
            </w:r>
          </w:p>
        </w:tc>
        <w:tc>
          <w:tcPr>
            <w:tcW w:type="dxa" w:w="892"/>
            <w:vAlign w:val="top"/>
          </w:tcPr>
          <w:p>
            <w:pPr>
              <w:spacing w:after="40" w:before="0" w:line="259" w:lineRule="auto"/>
            </w:pPr>
            <w:r>
              <w:rPr>
                <w:rFonts w:ascii="Calibri" w:hAnsi="Calibri"/>
                <w:b w:val="0"/>
                <w:i w:val="0"/>
                <w:color w:val="212121"/>
                <w:sz w:val="16"/>
              </w:rPr>
              <w:t>rK39 rapid diagnostic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band</w:t>
            </w:r>
          </w:p>
        </w:tc>
        <w:tc>
          <w:tcPr>
            <w:tcW w:type="dxa" w:w="1036"/>
            <w:vAlign w:val="top"/>
          </w:tcPr>
          <w:p>
            <w:pPr>
              <w:spacing w:after="40" w:before="0" w:line="259" w:lineRule="auto"/>
            </w:pPr>
            <w:r>
              <w:rPr>
                <w:rFonts w:ascii="Calibri" w:hAnsi="Calibri"/>
                <w:b w:val="0"/>
                <w:i w:val="0"/>
                <w:color w:val="212121"/>
                <w:sz w:val="16"/>
              </w:rPr>
              <w:t>Usually remains positive from prior VL; supportive in the right clinical context, not proof of active disease</w:t>
            </w:r>
          </w:p>
        </w:tc>
        <w:tc>
          <w:tcPr>
            <w:tcW w:type="dxa" w:w="1036"/>
            <w:vAlign w:val="top"/>
          </w:tcPr>
          <w:p>
            <w:pPr>
              <w:spacing w:after="40" w:before="0" w:line="259" w:lineRule="auto"/>
            </w:pPr>
            <w:r>
              <w:rPr>
                <w:rFonts w:ascii="Calibri" w:hAnsi="Calibri"/>
                <w:b w:val="0"/>
                <w:i w:val="0"/>
                <w:color w:val="212121"/>
                <w:sz w:val="16"/>
              </w:rPr>
              <w:t>Suspected PKDL after VL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(field)</w:t>
            </w:r>
          </w:p>
        </w:tc>
        <w:tc>
          <w:tcPr>
            <w:tcW w:type="dxa" w:w="720"/>
            <w:vAlign w:val="top"/>
          </w:tcPr>
          <w:p>
            <w:pPr>
              <w:spacing w:after="40" w:before="0" w:line="259" w:lineRule="auto"/>
            </w:pPr>
            <w:r>
              <w:rPr>
                <w:rFonts w:ascii="Calibri" w:hAnsi="Calibri"/>
                <w:b w:val="0"/>
                <w:i w:val="0"/>
                <w:color w:val="212121"/>
                <w:sz w:val="16"/>
              </w:rPr>
              <w:t>Point-of-care; widely available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Anti-leishmanial antibody titre</w:t>
            </w:r>
          </w:p>
        </w:tc>
        <w:tc>
          <w:tcPr>
            <w:tcW w:type="dxa" w:w="892"/>
            <w:vAlign w:val="top"/>
          </w:tcPr>
          <w:p>
            <w:pPr>
              <w:spacing w:after="40" w:before="0" w:line="259" w:lineRule="auto"/>
            </w:pPr>
            <w:r>
              <w:rPr>
                <w:rFonts w:ascii="Calibri" w:hAnsi="Calibri"/>
                <w:b w:val="0"/>
                <w:i w:val="0"/>
                <w:color w:val="212121"/>
                <w:sz w:val="16"/>
              </w:rPr>
              <w:t>Direct agglutination test (DAT)</w:t>
            </w:r>
          </w:p>
        </w:tc>
        <w:tc>
          <w:tcPr>
            <w:tcW w:type="dxa" w:w="950"/>
            <w:vAlign w:val="top"/>
          </w:tcPr>
          <w:p>
            <w:pPr>
              <w:spacing w:after="40" w:before="0" w:line="259" w:lineRule="auto"/>
            </w:pPr>
            <w:r>
              <w:rPr>
                <w:rFonts w:ascii="Calibri" w:hAnsi="Calibri"/>
                <w:b w:val="0"/>
                <w:i w:val="0"/>
                <w:color w:val="212121"/>
                <w:sz w:val="16"/>
              </w:rPr>
              <w:t>Below cut-off titre</w:t>
            </w:r>
          </w:p>
        </w:tc>
        <w:tc>
          <w:tcPr>
            <w:tcW w:type="dxa" w:w="950"/>
            <w:vAlign w:val="top"/>
          </w:tcPr>
          <w:p>
            <w:pPr>
              <w:spacing w:after="40" w:before="0" w:line="259" w:lineRule="auto"/>
            </w:pPr>
            <w:r>
              <w:rPr>
                <w:rFonts w:ascii="Calibri" w:hAnsi="Calibri"/>
                <w:b w:val="0"/>
                <w:i w:val="0"/>
                <w:color w:val="212121"/>
                <w:sz w:val="16"/>
              </w:rPr>
              <w:t>Raised titre</w:t>
            </w:r>
          </w:p>
        </w:tc>
        <w:tc>
          <w:tcPr>
            <w:tcW w:type="dxa" w:w="1036"/>
            <w:vAlign w:val="top"/>
          </w:tcPr>
          <w:p>
            <w:pPr>
              <w:spacing w:after="40" w:before="0" w:line="259" w:lineRule="auto"/>
            </w:pPr>
            <w:r>
              <w:rPr>
                <w:rFonts w:ascii="Calibri" w:hAnsi="Calibri"/>
                <w:b w:val="0"/>
                <w:i w:val="0"/>
                <w:color w:val="212121"/>
                <w:sz w:val="16"/>
              </w:rPr>
              <w:t>Supports leishmanial aetiology; cannot distinguish active from past infection</w:t>
            </w:r>
          </w:p>
        </w:tc>
        <w:tc>
          <w:tcPr>
            <w:tcW w:type="dxa" w:w="1036"/>
            <w:vAlign w:val="top"/>
          </w:tcPr>
          <w:p>
            <w:pPr>
              <w:spacing w:after="40" w:before="0" w:line="259" w:lineRule="auto"/>
            </w:pPr>
            <w:r>
              <w:rPr>
                <w:rFonts w:ascii="Calibri" w:hAnsi="Calibri"/>
                <w:b w:val="0"/>
                <w:i w:val="0"/>
                <w:color w:val="212121"/>
                <w:sz w:val="16"/>
              </w:rPr>
              <w:t>Suspected PKDL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Used where available in reference labs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Haemogram (Hb, counts)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Residual anaemia / cytopenias</w:t>
            </w:r>
          </w:p>
        </w:tc>
        <w:tc>
          <w:tcPr>
            <w:tcW w:type="dxa" w:w="1036"/>
            <w:vAlign w:val="top"/>
          </w:tcPr>
          <w:p>
            <w:pPr>
              <w:spacing w:after="40" w:before="0" w:line="259" w:lineRule="auto"/>
            </w:pPr>
            <w:r>
              <w:rPr>
                <w:rFonts w:ascii="Calibri" w:hAnsi="Calibri"/>
                <w:b w:val="0"/>
                <w:i w:val="0"/>
                <w:color w:val="212121"/>
                <w:sz w:val="16"/>
              </w:rPr>
              <w:t>Screens for incompletely resolved VL or relapse; PKDL alone is usually not cytopenic</w:t>
            </w:r>
          </w:p>
        </w:tc>
        <w:tc>
          <w:tcPr>
            <w:tcW w:type="dxa" w:w="1036"/>
            <w:vAlign w:val="top"/>
          </w:tcPr>
          <w:p>
            <w:pPr>
              <w:spacing w:after="40" w:before="0" w:line="259" w:lineRule="auto"/>
            </w:pPr>
            <w:r>
              <w:rPr>
                <w:rFonts w:ascii="Calibri" w:hAnsi="Calibri"/>
                <w:b w:val="0"/>
                <w:i w:val="0"/>
                <w:color w:val="212121"/>
                <w:sz w:val="16"/>
              </w:rPr>
              <w:t>Recently treated VL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Baseline/monitoring</w:t>
            </w:r>
          </w:p>
        </w:tc>
        <w:tc>
          <w:tcPr>
            <w:tcW w:type="dxa" w:w="720"/>
            <w:vAlign w:val="top"/>
          </w:tcPr>
          <w:p>
            <w:pPr>
              <w:spacing w:after="40" w:before="0" w:line="259" w:lineRule="auto"/>
            </w:pPr>
            <w:r>
              <w:rPr>
                <w:rFonts w:ascii="Calibri" w:hAnsi="Calibri"/>
                <w:b w:val="0"/>
                <w:i w:val="0"/>
                <w:color w:val="212121"/>
                <w:sz w:val="16"/>
              </w:rPr>
              <w:t>Marked cytopenia suggests active/relapsed VL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HIV antibody</w:t>
            </w:r>
          </w:p>
        </w:tc>
        <w:tc>
          <w:tcPr>
            <w:tcW w:type="dxa" w:w="892"/>
            <w:vAlign w:val="top"/>
          </w:tcPr>
          <w:p>
            <w:pPr>
              <w:spacing w:after="40" w:before="0" w:line="259" w:lineRule="auto"/>
            </w:pPr>
            <w:r>
              <w:rPr>
                <w:rFonts w:ascii="Calibri" w:hAnsi="Calibri"/>
                <w:b w:val="0"/>
                <w:i w:val="0"/>
                <w:color w:val="212121"/>
                <w:sz w:val="16"/>
              </w:rPr>
              <w:t>HIV serology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Identifies co-infection that causes atypical, relapsing PKDL and alters management</w:t>
            </w:r>
          </w:p>
        </w:tc>
        <w:tc>
          <w:tcPr>
            <w:tcW w:type="dxa" w:w="1036"/>
            <w:vAlign w:val="top"/>
          </w:tcPr>
          <w:p>
            <w:pPr>
              <w:spacing w:after="40" w:before="0" w:line="259" w:lineRule="auto"/>
            </w:pPr>
            <w:r>
              <w:rPr>
                <w:rFonts w:ascii="Calibri" w:hAnsi="Calibri"/>
                <w:b w:val="0"/>
                <w:i w:val="0"/>
                <w:color w:val="212121"/>
                <w:sz w:val="16"/>
              </w:rPr>
              <w:t>All PKDL, esp. atypical/relapsing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Guides regimen choice and follow-up intensity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Skin lesions after treated kala-azar</w:t>
            </w:r>
          </w:p>
        </w:tc>
        <w:tc>
          <w:tcPr>
            <w:tcW w:type="dxa" w:w="950"/>
            <w:vAlign w:val="top"/>
          </w:tcPr>
          <w:p>
            <w:pPr>
              <w:spacing w:after="40" w:before="0" w:line="259" w:lineRule="auto"/>
            </w:pPr>
            <w:r>
              <w:rPr>
                <w:rFonts w:ascii="Calibri" w:hAnsi="Calibri"/>
                <w:b w:val="0"/>
                <w:i w:val="0"/>
                <w:color w:val="212121"/>
                <w:sz w:val="16"/>
              </w:rPr>
              <w:t>No skin lesions</w:t>
            </w:r>
          </w:p>
        </w:tc>
        <w:tc>
          <w:tcPr>
            <w:tcW w:type="dxa" w:w="950"/>
            <w:vAlign w:val="top"/>
          </w:tcPr>
          <w:p>
            <w:pPr>
              <w:spacing w:after="40" w:before="0" w:line="259" w:lineRule="auto"/>
            </w:pPr>
            <w:r>
              <w:rPr>
                <w:rFonts w:ascii="Calibri" w:hAnsi="Calibri"/>
                <w:b w:val="0"/>
                <w:i w:val="0"/>
                <w:color w:val="212121"/>
                <w:sz w:val="16"/>
              </w:rPr>
              <w:t>New macules/papules/nodules after VL cure</w:t>
            </w:r>
          </w:p>
        </w:tc>
        <w:tc>
          <w:tcPr>
            <w:tcW w:type="dxa" w:w="1036"/>
            <w:vAlign w:val="top"/>
          </w:tcPr>
          <w:p>
            <w:pPr>
              <w:spacing w:after="40" w:before="0" w:line="259" w:lineRule="auto"/>
            </w:pPr>
            <w:r>
              <w:rPr>
                <w:rFonts w:ascii="Calibri" w:hAnsi="Calibri"/>
                <w:b w:val="0"/>
                <w:i w:val="0"/>
                <w:color w:val="212121"/>
                <w:sz w:val="16"/>
              </w:rPr>
              <w:t>Core clinical clue; PKDL follows apparent visceral cure by months to years</w:t>
            </w:r>
          </w:p>
        </w:tc>
        <w:tc>
          <w:tcPr>
            <w:tcW w:type="dxa" w:w="1036"/>
            <w:vAlign w:val="top"/>
          </w:tcPr>
          <w:p>
            <w:pPr>
              <w:spacing w:after="40" w:before="0" w:line="259" w:lineRule="auto"/>
            </w:pPr>
            <w:r>
              <w:rPr>
                <w:rFonts w:ascii="Calibri" w:hAnsi="Calibri"/>
                <w:b w:val="0"/>
                <w:i w:val="0"/>
                <w:color w:val="212121"/>
                <w:sz w:val="16"/>
              </w:rPr>
              <w:t>Treated VL patients in endemic areas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a past kala-azar episode and its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Endemic residence &amp; sandfly exposure</w:t>
            </w:r>
          </w:p>
        </w:tc>
        <w:tc>
          <w:tcPr>
            <w:tcW w:type="dxa" w:w="950"/>
            <w:vAlign w:val="top"/>
          </w:tcPr>
          <w:p>
            <w:pPr>
              <w:spacing w:after="40" w:before="0" w:line="259" w:lineRule="auto"/>
            </w:pPr>
            <w:r>
              <w:rPr>
                <w:rFonts w:ascii="Calibri" w:hAnsi="Calibri"/>
                <w:b w:val="0"/>
                <w:i w:val="0"/>
                <w:color w:val="212121"/>
                <w:sz w:val="16"/>
              </w:rPr>
              <w:t>Non-endemic, protected</w:t>
            </w:r>
          </w:p>
        </w:tc>
        <w:tc>
          <w:tcPr>
            <w:tcW w:type="dxa" w:w="950"/>
            <w:vAlign w:val="top"/>
          </w:tcPr>
          <w:p>
            <w:pPr>
              <w:spacing w:after="40" w:before="0" w:line="259" w:lineRule="auto"/>
            </w:pPr>
            <w:r>
              <w:rPr>
                <w:rFonts w:ascii="Calibri" w:hAnsi="Calibri"/>
                <w:b w:val="0"/>
                <w:i w:val="0"/>
                <w:color w:val="212121"/>
                <w:sz w:val="16"/>
              </w:rPr>
              <w:t>Endemic district; no bed-net use; mud housing</w:t>
            </w:r>
          </w:p>
        </w:tc>
        <w:tc>
          <w:tcPr>
            <w:tcW w:type="dxa" w:w="1036"/>
            <w:vAlign w:val="top"/>
          </w:tcPr>
          <w:p>
            <w:pPr>
              <w:spacing w:after="40" w:before="0" w:line="259" w:lineRule="auto"/>
            </w:pPr>
            <w:r>
              <w:rPr>
                <w:rFonts w:ascii="Calibri" w:hAnsi="Calibri"/>
                <w:b w:val="0"/>
                <w:i w:val="0"/>
                <w:color w:val="212121"/>
                <w:sz w:val="16"/>
              </w:rPr>
              <w:t>Establishes epidemiological plausibility and transmission risk</w:t>
            </w:r>
          </w:p>
        </w:tc>
        <w:tc>
          <w:tcPr>
            <w:tcW w:type="dxa" w:w="1036"/>
            <w:vAlign w:val="top"/>
          </w:tcPr>
          <w:p>
            <w:pPr>
              <w:spacing w:after="40" w:before="0" w:line="259" w:lineRule="auto"/>
            </w:pPr>
            <w:r>
              <w:rPr>
                <w:rFonts w:ascii="Calibri" w:hAnsi="Calibri"/>
                <w:b w:val="0"/>
                <w:i w:val="0"/>
                <w:color w:val="212121"/>
                <w:sz w:val="16"/>
              </w:rPr>
              <w:t>Rural endemic-belt residents</w:t>
            </w:r>
          </w:p>
        </w:tc>
        <w:tc>
          <w:tcPr>
            <w:tcW w:type="dxa" w:w="720"/>
            <w:vAlign w:val="top"/>
          </w:tcPr>
          <w:p>
            <w:pPr>
              <w:spacing w:after="40" w:before="0" w:line="259" w:lineRule="auto"/>
            </w:pPr>
            <w:r>
              <w:rPr>
                <w:rFonts w:ascii="Calibri" w:hAnsi="Calibri"/>
                <w:b w:val="0"/>
                <w:i w:val="0"/>
                <w:color w:val="212121"/>
                <w:sz w:val="16"/>
              </w:rPr>
              <w:t>Sleep;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bed-net use and household VL/PKDL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Lesion morphology &amp; distribution</w:t>
            </w:r>
          </w:p>
        </w:tc>
        <w:tc>
          <w:tcPr>
            <w:tcW w:type="dxa" w:w="979"/>
            <w:vAlign w:val="top"/>
          </w:tcPr>
          <w:p>
            <w:pPr>
              <w:spacing w:after="40" w:before="0" w:line="259" w:lineRule="auto"/>
            </w:pPr>
            <w:r>
              <w:rPr>
                <w:rFonts w:ascii="Calibri" w:hAnsi="Calibri"/>
                <w:b w:val="0"/>
                <w:i w:val="0"/>
                <w:color w:val="212121"/>
                <w:sz w:val="16"/>
              </w:rPr>
              <w:t>Macular/papular/nodular pattern, face-first</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Hypopigmented macules or papulonodular lesions on face, trunk, limbs</w:t>
            </w:r>
          </w:p>
        </w:tc>
        <w:tc>
          <w:tcPr>
            <w:tcW w:type="dxa" w:w="1036"/>
            <w:vAlign w:val="top"/>
          </w:tcPr>
          <w:p>
            <w:pPr>
              <w:spacing w:after="40" w:before="0" w:line="259" w:lineRule="auto"/>
            </w:pPr>
            <w:r>
              <w:rPr>
                <w:rFonts w:ascii="Calibri" w:hAnsi="Calibri"/>
                <w:b w:val="0"/>
                <w:i w:val="0"/>
                <w:color w:val="212121"/>
                <w:sz w:val="16"/>
              </w:rPr>
              <w:t>Defines the clinical type (macular vs polymorphic) and guides sampling</w:t>
            </w:r>
          </w:p>
        </w:tc>
        <w:tc>
          <w:tcPr>
            <w:tcW w:type="dxa" w:w="1036"/>
            <w:vAlign w:val="top"/>
          </w:tcPr>
          <w:p>
            <w:pPr>
              <w:spacing w:after="40" w:before="0" w:line="259" w:lineRule="auto"/>
            </w:pPr>
            <w:r>
              <w:rPr>
                <w:rFonts w:ascii="Calibri" w:hAnsi="Calibri"/>
                <w:b w:val="0"/>
                <w:i w:val="0"/>
                <w:color w:val="212121"/>
                <w:sz w:val="16"/>
              </w:rPr>
              <w:t>All suspected PKDL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Butterfly/perioral facial involvement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Sensory testing of lesions</w:t>
            </w:r>
          </w:p>
        </w:tc>
        <w:tc>
          <w:tcPr>
            <w:tcW w:type="dxa" w:w="979"/>
            <w:vAlign w:val="top"/>
          </w:tcPr>
          <w:p>
            <w:pPr>
              <w:spacing w:after="40" w:before="0" w:line="259" w:lineRule="auto"/>
            </w:pPr>
            <w:r>
              <w:rPr>
                <w:rFonts w:ascii="Calibri" w:hAnsi="Calibri"/>
                <w:b w:val="0"/>
                <w:i w:val="0"/>
                <w:color w:val="212121"/>
                <w:sz w:val="16"/>
              </w:rPr>
              <w:t>Sensation over lesions &amp; nerve thickening</w:t>
            </w:r>
          </w:p>
        </w:tc>
        <w:tc>
          <w:tcPr>
            <w:tcW w:type="dxa" w:w="950"/>
            <w:vAlign w:val="top"/>
          </w:tcPr>
          <w:p>
            <w:pPr>
              <w:spacing w:after="40" w:before="0" w:line="259" w:lineRule="auto"/>
            </w:pPr>
            <w:r>
              <w:rPr>
                <w:rFonts w:ascii="Calibri" w:hAnsi="Calibri"/>
                <w:b w:val="0"/>
                <w:i w:val="0"/>
                <w:color w:val="212121"/>
                <w:sz w:val="16"/>
              </w:rPr>
              <w:t>Normal sensation, no thickened nerves</w:t>
            </w:r>
          </w:p>
        </w:tc>
        <w:tc>
          <w:tcPr>
            <w:tcW w:type="dxa" w:w="950"/>
            <w:vAlign w:val="top"/>
          </w:tcPr>
          <w:p>
            <w:pPr>
              <w:spacing w:after="40" w:before="0" w:line="259" w:lineRule="auto"/>
            </w:pPr>
            <w:r>
              <w:rPr>
                <w:rFonts w:ascii="Calibri" w:hAnsi="Calibri"/>
                <w:b w:val="0"/>
                <w:i w:val="0"/>
                <w:color w:val="212121"/>
                <w:sz w:val="16"/>
              </w:rPr>
              <w:t>Preserved sensation (non-anaesthetic), no nerve thickening</w:t>
            </w:r>
          </w:p>
        </w:tc>
        <w:tc>
          <w:tcPr>
            <w:tcW w:type="dxa" w:w="1036"/>
            <w:vAlign w:val="top"/>
          </w:tcPr>
          <w:p>
            <w:pPr>
              <w:spacing w:after="40" w:before="0" w:line="259" w:lineRule="auto"/>
            </w:pPr>
            <w:r>
              <w:rPr>
                <w:rFonts w:ascii="Calibri" w:hAnsi="Calibri"/>
                <w:b w:val="0"/>
                <w:i w:val="0"/>
                <w:color w:val="212121"/>
                <w:sz w:val="16"/>
              </w:rPr>
              <w:t>Key discriminator from leprosy, whose lesions are typically anaesthetic with thickened nerves</w:t>
            </w:r>
          </w:p>
        </w:tc>
        <w:tc>
          <w:tcPr>
            <w:tcW w:type="dxa" w:w="1036"/>
            <w:vAlign w:val="top"/>
          </w:tcPr>
          <w:p>
            <w:pPr>
              <w:spacing w:after="40" w:before="0" w:line="259" w:lineRule="auto"/>
            </w:pPr>
            <w:r>
              <w:rPr>
                <w:rFonts w:ascii="Calibri" w:hAnsi="Calibri"/>
                <w:b w:val="0"/>
                <w:i w:val="0"/>
                <w:color w:val="212121"/>
                <w:sz w:val="16"/>
              </w:rPr>
              <w:t>Macular PKDL vs leprosy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 diagnosis</w:t>
            </w:r>
          </w:p>
        </w:tc>
        <w:tc>
          <w:tcPr>
            <w:tcW w:type="dxa" w:w="720"/>
            <w:vAlign w:val="top"/>
          </w:tcPr>
          <w:p>
            <w:pPr>
              <w:spacing w:after="40" w:before="0" w:line="259" w:lineRule="auto"/>
            </w:pPr>
            <w:r>
              <w:rPr>
                <w:rFonts w:ascii="Calibri" w:hAnsi="Calibri"/>
                <w:b w:val="0"/>
                <w:i w:val="0"/>
                <w:color w:val="212121"/>
                <w:sz w:val="16"/>
              </w:rPr>
              <w:t>Prevents misclassification and inappropriate MDT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w:t>
            </w:r>
          </w:p>
        </w:tc>
        <w:tc>
          <w:tcPr>
            <w:tcW w:type="dxa" w:w="950"/>
            <w:vAlign w:val="top"/>
          </w:tcPr>
          <w:p>
            <w:pPr>
              <w:spacing w:after="40" w:before="0" w:line="259" w:lineRule="auto"/>
            </w:pPr>
            <w:r>
              <w:rPr>
                <w:rFonts w:ascii="Calibri" w:hAnsi="Calibri"/>
                <w:b w:val="0"/>
                <w:i w:val="0"/>
                <w:color w:val="212121"/>
                <w:sz w:val="16"/>
              </w:rPr>
              <w:t>Systemic examination</w:t>
            </w:r>
          </w:p>
        </w:tc>
        <w:tc>
          <w:tcPr>
            <w:tcW w:type="dxa" w:w="979"/>
            <w:vAlign w:val="top"/>
          </w:tcPr>
          <w:p>
            <w:pPr>
              <w:spacing w:after="40" w:before="0" w:line="259" w:lineRule="auto"/>
            </w:pPr>
            <w:r>
              <w:rPr>
                <w:rFonts w:ascii="Calibri" w:hAnsi="Calibri"/>
                <w:b w:val="0"/>
                <w:i w:val="0"/>
                <w:color w:val="212121"/>
                <w:sz w:val="16"/>
              </w:rPr>
              <w:t>Fever, hepatosplenomegaly, wasting</w:t>
            </w:r>
          </w:p>
        </w:tc>
        <w:tc>
          <w:tcPr>
            <w:tcW w:type="dxa" w:w="950"/>
            <w:vAlign w:val="top"/>
          </w:tcPr>
          <w:p>
            <w:pPr>
              <w:spacing w:after="40" w:before="0" w:line="259" w:lineRule="auto"/>
            </w:pPr>
            <w:r>
              <w:rPr>
                <w:rFonts w:ascii="Calibri" w:hAnsi="Calibri"/>
                <w:b w:val="0"/>
                <w:i w:val="0"/>
                <w:color w:val="212121"/>
                <w:sz w:val="16"/>
              </w:rPr>
              <w:t>Systemically well</w:t>
            </w:r>
          </w:p>
        </w:tc>
        <w:tc>
          <w:tcPr>
            <w:tcW w:type="dxa" w:w="950"/>
            <w:vAlign w:val="top"/>
          </w:tcPr>
          <w:p>
            <w:pPr>
              <w:spacing w:after="40" w:before="0" w:line="259" w:lineRule="auto"/>
            </w:pPr>
            <w:r>
              <w:rPr>
                <w:rFonts w:ascii="Calibri" w:hAnsi="Calibri"/>
                <w:b w:val="0"/>
                <w:i w:val="0"/>
                <w:color w:val="212121"/>
                <w:sz w:val="16"/>
              </w:rPr>
              <w:t>Fever or splenomegaly suggests active/relapsed VL</w:t>
            </w:r>
          </w:p>
        </w:tc>
        <w:tc>
          <w:tcPr>
            <w:tcW w:type="dxa" w:w="1036"/>
            <w:vAlign w:val="top"/>
          </w:tcPr>
          <w:p>
            <w:pPr>
              <w:spacing w:after="40" w:before="0" w:line="259" w:lineRule="auto"/>
            </w:pPr>
            <w:r>
              <w:rPr>
                <w:rFonts w:ascii="Calibri" w:hAnsi="Calibri"/>
                <w:b w:val="0"/>
                <w:i w:val="0"/>
                <w:color w:val="212121"/>
                <w:sz w:val="16"/>
              </w:rPr>
              <w:t>PKDL patients are typically well; systemic signs point to concurrent or relapsed kala-azar</w:t>
            </w:r>
          </w:p>
        </w:tc>
        <w:tc>
          <w:tcPr>
            <w:tcW w:type="dxa" w:w="1036"/>
            <w:vAlign w:val="top"/>
          </w:tcPr>
          <w:p>
            <w:pPr>
              <w:spacing w:after="40" w:before="0" w:line="259" w:lineRule="auto"/>
            </w:pPr>
            <w:r>
              <w:rPr>
                <w:rFonts w:ascii="Calibri" w:hAnsi="Calibri"/>
                <w:b w:val="0"/>
                <w:i w:val="0"/>
                <w:color w:val="212121"/>
                <w:sz w:val="16"/>
              </w:rPr>
              <w:t>All PKDL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Safety/triage</w:t>
            </w:r>
          </w:p>
        </w:tc>
        <w:tc>
          <w:tcPr>
            <w:tcW w:type="dxa" w:w="720"/>
            <w:vAlign w:val="top"/>
          </w:tcPr>
          <w:p>
            <w:pPr>
              <w:spacing w:after="40" w:before="0" w:line="259" w:lineRule="auto"/>
            </w:pPr>
            <w:r>
              <w:rPr>
                <w:rFonts w:ascii="Calibri" w:hAnsi="Calibri"/>
                <w:b w:val="0"/>
                <w:i w:val="0"/>
                <w:color w:val="212121"/>
                <w:sz w:val="16"/>
              </w:rPr>
              <w:t>Splenomegaly warrants evaluation for VL relapse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Focused</w:t>
            </w:r>
          </w:p>
        </w:tc>
        <w:tc>
          <w:tcPr>
            <w:tcW w:type="dxa" w:w="950"/>
            <w:vAlign w:val="top"/>
          </w:tcPr>
          <w:p>
            <w:pPr>
              <w:spacing w:after="40" w:before="0" w:line="259" w:lineRule="auto"/>
            </w:pPr>
            <w:r>
              <w:rPr>
                <w:rFonts w:ascii="Calibri" w:hAnsi="Calibri"/>
                <w:b w:val="0"/>
                <w:i w:val="0"/>
                <w:color w:val="212121"/>
                <w:sz w:val="16"/>
              </w:rPr>
              <w:t>Mucosal &amp; ocular examination</w:t>
            </w:r>
          </w:p>
        </w:tc>
        <w:tc>
          <w:tcPr>
            <w:tcW w:type="dxa" w:w="979"/>
            <w:vAlign w:val="top"/>
          </w:tcPr>
          <w:p>
            <w:pPr>
              <w:spacing w:after="40" w:before="0" w:line="259" w:lineRule="auto"/>
            </w:pPr>
            <w:r>
              <w:rPr>
                <w:rFonts w:ascii="Calibri" w:hAnsi="Calibri"/>
                <w:b w:val="0"/>
                <w:i w:val="0"/>
                <w:color w:val="212121"/>
                <w:sz w:val="16"/>
              </w:rPr>
              <w:t>Mucosal nodules / ocular involvement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Lip/palate/tongue lesions or eye involvement</w:t>
            </w:r>
          </w:p>
        </w:tc>
        <w:tc>
          <w:tcPr>
            <w:tcW w:type="dxa" w:w="1036"/>
            <w:vAlign w:val="top"/>
          </w:tcPr>
          <w:p>
            <w:pPr>
              <w:spacing w:after="40" w:before="0" w:line="259" w:lineRule="auto"/>
            </w:pPr>
            <w:r>
              <w:rPr>
                <w:rFonts w:ascii="Calibri" w:hAnsi="Calibri"/>
                <w:b w:val="0"/>
                <w:i w:val="0"/>
                <w:color w:val="212121"/>
                <w:sz w:val="16"/>
              </w:rPr>
              <w:t>Detects less common mucosal or ocular PKDL that needs specialist care</w:t>
            </w:r>
          </w:p>
        </w:tc>
        <w:tc>
          <w:tcPr>
            <w:tcW w:type="dxa" w:w="1036"/>
            <w:vAlign w:val="top"/>
          </w:tcPr>
          <w:p>
            <w:pPr>
              <w:spacing w:after="40" w:before="0" w:line="259" w:lineRule="auto"/>
            </w:pPr>
            <w:r>
              <w:rPr>
                <w:rFonts w:ascii="Calibri" w:hAnsi="Calibri"/>
                <w:b w:val="0"/>
                <w:i w:val="0"/>
                <w:color w:val="212121"/>
                <w:sz w:val="16"/>
              </w:rPr>
              <w:t>Advanced or atypical PKDL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Complication screening</w:t>
            </w:r>
          </w:p>
        </w:tc>
        <w:tc>
          <w:tcPr>
            <w:tcW w:type="dxa" w:w="720"/>
            <w:vAlign w:val="top"/>
          </w:tcPr>
          <w:p>
            <w:pPr>
              <w:spacing w:after="40" w:before="0" w:line="259" w:lineRule="auto"/>
            </w:pPr>
            <w:r>
              <w:rPr>
                <w:rFonts w:ascii="Calibri" w:hAnsi="Calibri"/>
                <w:b w:val="0"/>
                <w:i w:val="0"/>
                <w:color w:val="212121"/>
                <w:sz w:val="16"/>
              </w:rPr>
              <w:t>More frequent in long-standing or HIV-associated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Hypopigmented macules /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Flat, pale, ill-defined lesions that are often the earliest sign, especially in Indian macular PKDL.</w:t>
            </w:r>
          </w:p>
        </w:tc>
      </w:tr>
      <w:tr>
        <w:trPr>
          <w:cantSplit/>
        </w:trPr>
        <w:tc>
          <w:tcPr>
            <w:tcW w:type="dxa" w:w="2304"/>
            <w:vAlign w:val="top"/>
          </w:tcPr>
          <w:p>
            <w:pPr>
              <w:spacing w:after="40" w:before="0" w:line="259" w:lineRule="auto"/>
            </w:pPr>
            <w:r>
              <w:rPr>
                <w:rFonts w:ascii="Calibri" w:hAnsi="Calibri"/>
                <w:b/>
                <w:i w:val="0"/>
                <w:color w:val="212121"/>
                <w:sz w:val="19"/>
              </w:rPr>
              <w:t>Papules and nodules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Raised skin-coloured to erythematous lesions of polymorphic PKDL, parasite-rich and highly infective.</w:t>
            </w:r>
          </w:p>
        </w:tc>
      </w:tr>
      <w:tr>
        <w:trPr>
          <w:cantSplit/>
        </w:trPr>
        <w:tc>
          <w:tcPr>
            <w:tcW w:type="dxa" w:w="2304"/>
            <w:vAlign w:val="top"/>
          </w:tcPr>
          <w:p>
            <w:pPr>
              <w:spacing w:after="40" w:before="0" w:line="259" w:lineRule="auto"/>
            </w:pPr>
            <w:r>
              <w:rPr>
                <w:rFonts w:ascii="Calibri" w:hAnsi="Calibri"/>
                <w:b/>
                <w:i w:val="0"/>
                <w:color w:val="212121"/>
                <w:sz w:val="19"/>
              </w:rPr>
              <w:t>Face-first rash (malar/perioral 'butterfly')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Lesions characteristically begin on the face - cheeks, chin and around the mouth - before spreading.</w:t>
            </w:r>
          </w:p>
        </w:tc>
      </w:tr>
      <w:tr>
        <w:trPr>
          <w:cantSplit/>
        </w:trPr>
        <w:tc>
          <w:tcPr>
            <w:tcW w:type="dxa" w:w="2304"/>
            <w:vAlign w:val="top"/>
          </w:tcPr>
          <w:p>
            <w:pPr>
              <w:spacing w:after="40" w:before="0" w:line="259" w:lineRule="auto"/>
            </w:pPr>
            <w:r>
              <w:rPr>
                <w:rFonts w:ascii="Calibri" w:hAnsi="Calibri"/>
                <w:b/>
                <w:i w:val="0"/>
                <w:color w:val="212121"/>
                <w:sz w:val="19"/>
              </w:rPr>
              <w:t>Lesions on trunk, arms and legs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Gradual centrifugal spread from the face to the trunk and limbs over months.</w:t>
            </w:r>
          </w:p>
        </w:tc>
      </w:tr>
      <w:tr>
        <w:trPr>
          <w:cantSplit/>
        </w:trPr>
        <w:tc>
          <w:tcPr>
            <w:tcW w:type="dxa" w:w="2304"/>
            <w:vAlign w:val="top"/>
          </w:tcPr>
          <w:p>
            <w:pPr>
              <w:spacing w:after="40" w:before="0" w:line="259" w:lineRule="auto"/>
            </w:pPr>
            <w:r>
              <w:rPr>
                <w:rFonts w:ascii="Calibri" w:hAnsi="Calibri"/>
                <w:b/>
                <w:i w:val="0"/>
                <w:color w:val="212121"/>
                <w:sz w:val="19"/>
              </w:rPr>
              <w:t>Asymptomatic lesions (no itch or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Lesions typically cause no itching, numbness or pain, so patients often do not seek care.</w:t>
            </w:r>
          </w:p>
        </w:tc>
      </w:tr>
      <w:tr>
        <w:trPr>
          <w:cantSplit/>
        </w:trPr>
        <w:tc>
          <w:tcPr>
            <w:tcW w:type="dxa" w:w="2304"/>
            <w:vAlign w:val="top"/>
          </w:tcPr>
          <w:p>
            <w:pPr>
              <w:spacing w:after="40" w:before="0" w:line="259" w:lineRule="auto"/>
            </w:pPr>
            <w:r>
              <w:rPr>
                <w:rFonts w:ascii="Calibri" w:hAnsi="Calibri"/>
                <w:b/>
                <w:i w:val="0"/>
                <w:color w:val="212121"/>
                <w:sz w:val="19"/>
              </w:rPr>
              <w:t>Feeling systemically well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Unlike kala-azar, PKDL usually causes no fever, weight loss or malaise - a diagnostic and public-health challenge.</w:t>
            </w:r>
          </w:p>
        </w:tc>
      </w:tr>
      <w:tr>
        <w:trPr>
          <w:cantSplit/>
        </w:trPr>
        <w:tc>
          <w:tcPr>
            <w:tcW w:type="dxa" w:w="2304"/>
            <w:vAlign w:val="top"/>
          </w:tcPr>
          <w:p>
            <w:pPr>
              <w:spacing w:after="40" w:before="0" w:line="259" w:lineRule="auto"/>
            </w:pPr>
            <w:r>
              <w:rPr>
                <w:rFonts w:ascii="Calibri" w:hAnsi="Calibri"/>
                <w:b/>
                <w:i w:val="0"/>
                <w:color w:val="212121"/>
                <w:sz w:val="19"/>
              </w:rPr>
              <w:t>Cosmetic disfigurement &amp; social distress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facial lesions cause stigma, anxiety and social/marital difficulties even without physical symptoms.</w:t>
            </w:r>
          </w:p>
        </w:tc>
      </w:tr>
      <w:tr>
        <w:trPr>
          <w:cantSplit/>
        </w:trPr>
        <w:tc>
          <w:tcPr>
            <w:tcW w:type="dxa" w:w="2304"/>
            <w:vAlign w:val="top"/>
          </w:tcPr>
          <w:p>
            <w:pPr>
              <w:spacing w:after="40" w:before="0" w:line="259" w:lineRule="auto"/>
            </w:pPr>
            <w:r>
              <w:rPr>
                <w:rFonts w:ascii="Calibri" w:hAnsi="Calibri"/>
                <w:b/>
                <w:i w:val="0"/>
                <w:color w:val="212121"/>
                <w:sz w:val="19"/>
              </w:rPr>
              <w:t>Plaques and diffuse facial infiltration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Confluent plaques or infiltration, sometimes leonine in advanced polymorphic disease.</w:t>
            </w:r>
          </w:p>
        </w:tc>
      </w:tr>
      <w:tr>
        <w:trPr>
          <w:cantSplit/>
        </w:trPr>
        <w:tc>
          <w:tcPr>
            <w:tcW w:type="dxa" w:w="2304"/>
            <w:vAlign w:val="top"/>
          </w:tcPr>
          <w:p>
            <w:pPr>
              <w:spacing w:after="40" w:before="0" w:line="259" w:lineRule="auto"/>
            </w:pPr>
            <w:r>
              <w:rPr>
                <w:rFonts w:ascii="Calibri" w:hAnsi="Calibri"/>
                <w:b/>
                <w:i w:val="0"/>
                <w:color w:val="212121"/>
                <w:sz w:val="19"/>
              </w:rPr>
              <w:t>Burning or photosensitivity of lesions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patients report mild burning or sun sensitivity over affected skin.</w:t>
            </w:r>
          </w:p>
        </w:tc>
      </w:tr>
      <w:tr>
        <w:trPr>
          <w:cantSplit/>
        </w:trPr>
        <w:tc>
          <w:tcPr>
            <w:tcW w:type="dxa" w:w="2304"/>
            <w:vAlign w:val="top"/>
          </w:tcPr>
          <w:p>
            <w:pPr>
              <w:spacing w:after="40" w:before="0" w:line="259" w:lineRule="auto"/>
            </w:pPr>
            <w:r>
              <w:rPr>
                <w:rFonts w:ascii="Calibri" w:hAnsi="Calibri"/>
                <w:b/>
                <w:i w:val="0"/>
                <w:color w:val="212121"/>
                <w:sz w:val="19"/>
              </w:rPr>
              <w:t>Mucosal lesions (lips, palate, tongue)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mucosal involvement, more likely in long-standing or immunosuppressed cases.</w:t>
            </w:r>
          </w:p>
        </w:tc>
      </w:tr>
      <w:tr>
        <w:trPr>
          <w:cantSplit/>
        </w:trPr>
        <w:tc>
          <w:tcPr>
            <w:tcW w:type="dxa" w:w="2304"/>
            <w:vAlign w:val="top"/>
          </w:tcPr>
          <w:p>
            <w:pPr>
              <w:spacing w:after="40" w:before="0" w:line="259" w:lineRule="auto"/>
            </w:pPr>
            <w:r>
              <w:rPr>
                <w:rFonts w:ascii="Calibri" w:hAnsi="Calibri"/>
                <w:b/>
                <w:i w:val="0"/>
                <w:color w:val="212121"/>
                <w:sz w:val="19"/>
              </w:rPr>
              <w:t>Verrucous or ulcerated lesions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Atypical warty or ulcerating lesions, characteristic of HIV-associated PKDL.</w:t>
            </w:r>
          </w:p>
        </w:tc>
      </w:tr>
      <w:tr>
        <w:trPr>
          <w:cantSplit/>
        </w:trPr>
        <w:tc>
          <w:tcPr>
            <w:tcW w:type="dxa" w:w="2304"/>
            <w:vAlign w:val="top"/>
          </w:tcPr>
          <w:p>
            <w:pPr>
              <w:spacing w:after="40" w:before="0" w:line="259" w:lineRule="auto"/>
            </w:pPr>
            <w:r>
              <w:rPr>
                <w:rFonts w:ascii="Calibri" w:hAnsi="Calibri"/>
                <w:b/>
                <w:i w:val="0"/>
                <w:color w:val="212121"/>
                <w:sz w:val="19"/>
              </w:rPr>
              <w:t>Ocular involvement (redness, photophobia)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anterior-segment involvement such as uveitis or keratitis.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Hypopigmented macules (leukoderma-like)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Symmetrical pale patches, often on the face, that can be mistaken for leprosy or vitiligo.</w:t>
            </w:r>
          </w:p>
        </w:tc>
      </w:tr>
      <w:tr>
        <w:trPr>
          <w:cantSplit/>
        </w:trPr>
        <w:tc>
          <w:tcPr>
            <w:tcW w:type="dxa" w:w="3456"/>
            <w:vAlign w:val="top"/>
          </w:tcPr>
          <w:p>
            <w:pPr>
              <w:spacing w:after="40" w:before="0" w:line="259" w:lineRule="auto"/>
            </w:pPr>
            <w:r>
              <w:rPr>
                <w:rFonts w:ascii="Calibri" w:hAnsi="Calibri"/>
                <w:b/>
                <w:i w:val="0"/>
                <w:color w:val="212121"/>
                <w:sz w:val="19"/>
              </w:rPr>
              <w:t>Papulonodular lesions over malar area, chin &amp; ears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Discrete papules and nodules in a characteristic facial distribution.</w:t>
            </w:r>
          </w:p>
        </w:tc>
      </w:tr>
      <w:tr>
        <w:trPr>
          <w:cantSplit/>
        </w:trPr>
        <w:tc>
          <w:tcPr>
            <w:tcW w:type="dxa" w:w="3456"/>
            <w:vAlign w:val="top"/>
          </w:tcPr>
          <w:p>
            <w:pPr>
              <w:spacing w:after="40" w:before="0" w:line="259" w:lineRule="auto"/>
            </w:pPr>
            <w:r>
              <w:rPr>
                <w:rFonts w:ascii="Calibri" w:hAnsi="Calibri"/>
                <w:b/>
                <w:i w:val="0"/>
                <w:color w:val="212121"/>
                <w:sz w:val="19"/>
              </w:rPr>
              <w:t>Preserved sensation over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Lesions are non-anaesthetic - a key sign distinguishing PKDL from leprosy.</w:t>
            </w:r>
          </w:p>
        </w:tc>
      </w:tr>
      <w:tr>
        <w:trPr>
          <w:cantSplit/>
        </w:trPr>
        <w:tc>
          <w:tcPr>
            <w:tcW w:type="dxa" w:w="3456"/>
            <w:vAlign w:val="top"/>
          </w:tcPr>
          <w:p>
            <w:pPr>
              <w:spacing w:after="40" w:before="0" w:line="259" w:lineRule="auto"/>
            </w:pPr>
            <w:r>
              <w:rPr>
                <w:rFonts w:ascii="Calibri" w:hAnsi="Calibri"/>
                <w:b/>
                <w:i w:val="0"/>
                <w:color w:val="212121"/>
                <w:sz w:val="19"/>
              </w:rPr>
              <w:t>No peripheral nerve thickening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thickened nerves further separates PKDL from leprosy.</w:t>
            </w:r>
          </w:p>
        </w:tc>
      </w:tr>
      <w:tr>
        <w:trPr>
          <w:cantSplit/>
        </w:trPr>
        <w:tc>
          <w:tcPr>
            <w:tcW w:type="dxa" w:w="3456"/>
            <w:vAlign w:val="top"/>
          </w:tcPr>
          <w:p>
            <w:pPr>
              <w:spacing w:after="40" w:before="0" w:line="259" w:lineRule="auto"/>
            </w:pPr>
            <w:r>
              <w:rPr>
                <w:rFonts w:ascii="Calibri" w:hAnsi="Calibri"/>
                <w:b/>
                <w:i w:val="0"/>
                <w:color w:val="212121"/>
                <w:sz w:val="19"/>
              </w:rPr>
              <w:t>Positive slit-skin smear (LD bodies) in nodular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Amastigotes readily demonstrated in parasite-rich nodular/papular lesions.</w:t>
            </w:r>
          </w:p>
        </w:tc>
      </w:tr>
      <w:tr>
        <w:trPr>
          <w:cantSplit/>
        </w:trPr>
        <w:tc>
          <w:tcPr>
            <w:tcW w:type="dxa" w:w="3456"/>
            <w:vAlign w:val="top"/>
          </w:tcPr>
          <w:p>
            <w:pPr>
              <w:spacing w:after="40" w:before="0" w:line="259" w:lineRule="auto"/>
            </w:pPr>
            <w:r>
              <w:rPr>
                <w:rFonts w:ascii="Calibri" w:hAnsi="Calibri"/>
                <w:b/>
                <w:i w:val="0"/>
                <w:color w:val="212121"/>
                <w:sz w:val="19"/>
              </w:rPr>
              <w:t>Absence of hepatosplenomegaly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organomegaly is typically absent; its presence suggests active or relapsed VL.</w:t>
            </w:r>
          </w:p>
        </w:tc>
      </w:tr>
      <w:tr>
        <w:trPr>
          <w:cantSplit/>
        </w:trPr>
        <w:tc>
          <w:tcPr>
            <w:tcW w:type="dxa" w:w="3456"/>
            <w:vAlign w:val="top"/>
          </w:tcPr>
          <w:p>
            <w:pPr>
              <w:spacing w:after="40" w:before="0" w:line="259" w:lineRule="auto"/>
            </w:pPr>
            <w:r>
              <w:rPr>
                <w:rFonts w:ascii="Calibri" w:hAnsi="Calibri"/>
                <w:b/>
                <w:i w:val="0"/>
                <w:color w:val="212121"/>
                <w:sz w:val="19"/>
              </w:rPr>
              <w:t>Diffuse facial infiltration /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Confluent infiltration giving a swollen, sometimes leonine facial appearance.</w:t>
            </w:r>
          </w:p>
        </w:tc>
      </w:tr>
      <w:tr>
        <w:trPr>
          <w:cantSplit/>
        </w:trPr>
        <w:tc>
          <w:tcPr>
            <w:tcW w:type="dxa" w:w="3456"/>
            <w:vAlign w:val="top"/>
          </w:tcPr>
          <w:p>
            <w:pPr>
              <w:spacing w:after="40" w:before="0" w:line="259" w:lineRule="auto"/>
            </w:pPr>
            <w:r>
              <w:rPr>
                <w:rFonts w:ascii="Calibri" w:hAnsi="Calibri"/>
                <w:b/>
                <w:i w:val="0"/>
                <w:color w:val="212121"/>
                <w:sz w:val="19"/>
              </w:rPr>
              <w:t>Mucosal granulomatous lesions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Granulomatous nodules of the lips, palate or tongue in advanced disease.</w:t>
            </w:r>
          </w:p>
        </w:tc>
      </w:tr>
      <w:tr>
        <w:trPr>
          <w:cantSplit/>
        </w:trPr>
        <w:tc>
          <w:tcPr>
            <w:tcW w:type="dxa" w:w="3456"/>
            <w:vAlign w:val="top"/>
          </w:tcPr>
          <w:p>
            <w:pPr>
              <w:spacing w:after="40" w:before="0" w:line="259" w:lineRule="auto"/>
            </w:pPr>
            <w:r>
              <w:rPr>
                <w:rFonts w:ascii="Calibri" w:hAnsi="Calibri"/>
                <w:b/>
                <w:i w:val="0"/>
                <w:color w:val="212121"/>
                <w:sz w:val="19"/>
              </w:rPr>
              <w:t>Verrucous / ulcerated plaques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Atypical morphology seen particularly with HIV co-infection.</w:t>
            </w:r>
          </w:p>
        </w:tc>
      </w:tr>
      <w:tr>
        <w:trPr>
          <w:cantSplit/>
        </w:trPr>
        <w:tc>
          <w:tcPr>
            <w:tcW w:type="dxa" w:w="3456"/>
            <w:vAlign w:val="top"/>
          </w:tcPr>
          <w:p>
            <w:pPr>
              <w:spacing w:after="40" w:before="0" w:line="259" w:lineRule="auto"/>
            </w:pPr>
            <w:r>
              <w:rPr>
                <w:rFonts w:ascii="Calibri" w:hAnsi="Calibri"/>
                <w:b/>
                <w:i w:val="0"/>
                <w:color w:val="212121"/>
                <w:sz w:val="19"/>
              </w:rPr>
              <w:t>Anterior uveitis / keratitis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Ocular signs of leishmanial involvement of the eye.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polymorphic lesions with facial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Diffuse infiltration giving a leonine facies in advanced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Mucosal involvement (lips, palate, tongue)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leishmaniasis (uveitis, keratitis)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lesions</w:t>
            </w:r>
          </w:p>
        </w:tc>
        <w:tc>
          <w:tcPr>
            <w:tcW w:type="dxa" w:w="2980"/>
            <w:vAlign w:val="top"/>
          </w:tcPr>
          <w:p>
            <w:pPr>
              <w:spacing w:after="40" w:before="0" w:line="259" w:lineRule="auto"/>
            </w:pPr>
            <w:r>
              <w:rPr>
                <w:rFonts w:ascii="Calibri" w:hAnsi="Calibri"/>
                <w:b w:val="0"/>
                <w:i w:val="0"/>
                <w:color w:val="212121"/>
                <w:sz w:val="19"/>
              </w:rPr>
              <w:t>Direct dermatological and local extension of persistent cutaneous parasitism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Acting as a human reservoir that infects sandflies and sustains kala-azar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Misdiagnosis as leprosy (or vitiligo/sarcoidosis) with wrong or delayed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stigma, anxiety, depression and social/marital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Atypical, extensive, relapsing disease in HIV co-infection</w:t>
            </w:r>
          </w:p>
        </w:tc>
        <w:tc>
          <w:tcPr>
            <w:tcW w:type="dxa" w:w="2980"/>
            <w:vAlign w:val="top"/>
          </w:tcPr>
          <w:p>
            <w:pPr>
              <w:spacing w:after="40" w:before="0" w:line="259" w:lineRule="auto"/>
            </w:pPr>
            <w:r>
              <w:rPr>
                <w:rFonts w:ascii="Calibri" w:hAnsi="Calibri"/>
                <w:b w:val="0"/>
                <w:i w:val="0"/>
                <w:color w:val="212121"/>
                <w:sz w:val="19"/>
              </w:rPr>
              <w:t>Consequences of persistent infective skin and of diagnostic confusion in co-endemic settings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Undetected cases undermining kala-azar elimination and seeding fresh VL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 of visceral leishmaniasis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toxicity (miltefosine teratogenicity and gastrointestinal effects; amphotericin nephrotoxicity; prolonged courses)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Emergence of drug resistance from repeated/incomplete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disfigurement with lasting social and economic disadvantage</w:t>
            </w:r>
          </w:p>
        </w:tc>
        <w:tc>
          <w:tcPr>
            <w:tcW w:type="dxa" w:w="2980"/>
            <w:vAlign w:val="top"/>
          </w:tcPr>
          <w:p>
            <w:pPr>
              <w:spacing w:after="40" w:before="0" w:line="259" w:lineRule="auto"/>
            </w:pPr>
            <w:r>
              <w:rPr>
                <w:rFonts w:ascii="Calibri" w:hAnsi="Calibri"/>
                <w:b w:val="0"/>
                <w:i w:val="0"/>
                <w:color w:val="212121"/>
                <w:sz w:val="19"/>
              </w:rPr>
              <w:t>Programmatic, long-term and treatment-related harms of longstanding or poorly managed PKDL</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Visceral leishmaniasis (kala-azar)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PKDL is a dermal sequel of kala-azar caused by the same L. donovani parasite; a prior VL episode is the essential antecedent and PKDL can herald or coexist with VL relapse. About 5-10% of treated VL patients in South Asia develop PKDL.</w:t>
            </w:r>
          </w:p>
          <w:p>
            <w:pPr>
              <w:spacing w:after="40" w:before="0" w:line="259" w:lineRule="auto"/>
            </w:pPr>
            <w:r>
              <w:rPr>
                <w:rFonts w:ascii="Calibri" w:hAnsi="Calibri"/>
                <w:b/>
                <w:i w:val="0"/>
                <w:color w:val="212121"/>
                <w:sz w:val="19"/>
              </w:rPr>
              <w:t>5-10% of treated VL</w:t>
            </w:r>
          </w:p>
        </w:tc>
      </w:tr>
      <w:tr>
        <w:trPr>
          <w:cantSplit/>
        </w:trPr>
        <w:tc>
          <w:tcPr>
            <w:tcW w:type="dxa" w:w="2232"/>
            <w:vAlign w:val="top"/>
          </w:tcPr>
          <w:p>
            <w:pPr>
              <w:spacing w:after="40" w:before="0" w:line="259" w:lineRule="auto"/>
            </w:pPr>
            <w:r>
              <w:rPr>
                <w:rFonts w:ascii="Calibri" w:hAnsi="Calibri"/>
                <w:b/>
                <w:i w:val="0"/>
                <w:color w:val="212121"/>
                <w:sz w:val="19"/>
              </w:rPr>
              <w:t>HIV/AIDS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HIV predisposes to atypical, extensive and relapsing PKDL with high parasite loads, while leishmanial infection can aggravate immune status; co-infection substantially alters diagnosis, treatment and follow-up.</w:t>
            </w:r>
          </w:p>
        </w:tc>
      </w:tr>
      <w:tr>
        <w:trPr>
          <w:cantSplit/>
        </w:trPr>
        <w:tc>
          <w:tcPr>
            <w:tcW w:type="dxa" w:w="2232"/>
            <w:vAlign w:val="top"/>
          </w:tcPr>
          <w:p>
            <w:pPr>
              <w:spacing w:after="40" w:before="0" w:line="259" w:lineRule="auto"/>
            </w:pPr>
            <w:r>
              <w:rPr>
                <w:rFonts w:ascii="Calibri" w:hAnsi="Calibri"/>
                <w:b/>
                <w:i w:val="0"/>
                <w:color w:val="212121"/>
                <w:sz w:val="19"/>
              </w:rPr>
              <w:t>Protein-energy malnutrition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Undernutrition impairs the cell-mediated immunity needed to clear dermal parasites and has been emphasised as a risk factor for PKDL in India.</w:t>
            </w:r>
          </w:p>
        </w:tc>
      </w:tr>
      <w:tr>
        <w:trPr>
          <w:cantSplit/>
        </w:trPr>
        <w:tc>
          <w:tcPr>
            <w:tcW w:type="dxa" w:w="2232"/>
            <w:vAlign w:val="top"/>
          </w:tcPr>
          <w:p>
            <w:pPr>
              <w:spacing w:after="40" w:before="0" w:line="259" w:lineRule="auto"/>
            </w:pPr>
            <w:r>
              <w:rPr>
                <w:rFonts w:ascii="Calibri" w:hAnsi="Calibri"/>
                <w:b/>
                <w:i w:val="0"/>
                <w:color w:val="212121"/>
                <w:sz w:val="19"/>
              </w:rPr>
              <w:t>Leprosy (Hansen's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Co-endemic in the same poor populations and the leading clinical mimic of macular PKDL; misdiagnosis leads to inappropriate multidrug therapy, so preserved sensation and absent nerve thickening are decisive.</w:t>
            </w:r>
          </w:p>
        </w:tc>
      </w:tr>
      <w:tr>
        <w:trPr>
          <w:cantSplit/>
        </w:trPr>
        <w:tc>
          <w:tcPr>
            <w:tcW w:type="dxa" w:w="2232"/>
            <w:vAlign w:val="top"/>
          </w:tcPr>
          <w:p>
            <w:pPr>
              <w:spacing w:after="40" w:before="0" w:line="259" w:lineRule="auto"/>
            </w:pPr>
            <w:r>
              <w:rPr>
                <w:rFonts w:ascii="Calibri" w:hAnsi="Calibri"/>
                <w:b/>
                <w:i w:val="0"/>
                <w:color w:val="212121"/>
                <w:sz w:val="19"/>
              </w:rPr>
              <w:t>Anaemia / residual cytopenias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Carried over from the antecedent kala-azar; marked cytopenia in a PKDL patient should prompt evaluation for active or relapsed VL.</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co-endemic infection of poverty and immune compromise that can coexist with or complicate PKDL and its immunosuppressive/therapeutic context.</w:t>
            </w:r>
          </w:p>
        </w:tc>
      </w:tr>
      <w:tr>
        <w:trPr>
          <w:cantSplit/>
        </w:trPr>
        <w:tc>
          <w:tcPr>
            <w:tcW w:type="dxa" w:w="2232"/>
            <w:vAlign w:val="top"/>
          </w:tcPr>
          <w:p>
            <w:pPr>
              <w:spacing w:after="40" w:before="0" w:line="259" w:lineRule="auto"/>
            </w:pPr>
            <w:r>
              <w:rPr>
                <w:rFonts w:ascii="Calibri" w:hAnsi="Calibri"/>
                <w:b/>
                <w:i w:val="0"/>
                <w:color w:val="212121"/>
                <w:sz w:val="19"/>
              </w:rPr>
              <w:t>Depression &amp; social-stigma-related distress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Visible, disfiguring facial lesions drive stigma, anxiety and depression, which reduce care-seeking and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any pale patch, papule or nodule appearing after treated kala-azar - especially on the face - may be PKDL and needs prompt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kala-azar treatment and attend all follow-up visits to reduce the risk of PKDL and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free PKDL and kala-azar diagnosis and treatment available at government CHC/PHCs in endemic blocks under the national elimination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suspected skin lesions to the local ASHA or health worker so cases are detected and the community reservoir is cleared.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PKDL patient feels well but can still infect sandflies and spread kala-azar, so treatment protects the whole community.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indoor residual spraying, sleep under insecticide-treated nets, and repair cracked mud walls to reduce sandfly breeding.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Treated kala-azar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blocks (Bihar, Jharkhand, West Bengal, eastern 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ASHAs and frontline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a VL/PKDL case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strictly to the prescribed anti-leishmanial regimen (e.g. supervised miltefosine or liposomal amphotericin B courses), which are longer than for kala-azar.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pregnancy during and for the advised period after miltefosine because it is teratogenic; use effective contraception.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reviews so response is confirmed and relapse or drug toxicity is detected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stop treatment when lesions start fading, as incomplete therapy fosters relapse and drug resistance.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PKDL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child-bearing age on miltefosine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HIV-PKDL co-infected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light-to-moderate activity to support general immunity and recovery after kala-azar.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daytime activity with consistent night-time vector protection, as physical activity itself does not prevent PKDL.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VL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endemic-area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adequate protein-energy diet with pulses, eggs, milk, green vegetables and locally available fruit to rebuild immunity after kala-azar.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and micronutrient deficiency, which are recognised risk factors for PKDL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and adolescents who have had kala-azar are nutritionally rehabilitated during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post-VL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rural households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under a long-lasting insecticide-treated net every night to cut nocturnal sandfly bites.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sleeping indoors in sprayed dwellings rather than outdoors or on the ground where sandflies bite.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whole-household net use so infective PKDL cases do not seed local transmission.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 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PKDL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labourers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offers no protection and impairs general and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overall recovery and treatment tolerance by not smoking.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PKDL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VL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worsens undernutrition and may impair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Limiting alcohol supports adherence to and tolerance of prolonged anti-leishmanial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PKDL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reassurance that PKDL is treatable and, with adherence, lesions resolve.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stigma actively - involve family and community so patients are not socially excluded.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linked to facial disfigurement and refer for support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peer and ASHA support to sustain treatment adherence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PKDL patients with visible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facing social/marital stigma</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2928490/" TargetMode="External"/><Relationship Id="rId10" Type="http://schemas.openxmlformats.org/officeDocument/2006/relationships/hyperlink" Target="https://www.who.int/news-room/fact-sheets/detail/leishmaniasis" TargetMode="External"/><Relationship Id="rId11" Type="http://schemas.openxmlformats.org/officeDocument/2006/relationships/hyperlink" Target="https://pubmed.ncbi.nlm.nih.gov/37638047/" TargetMode="External"/><Relationship Id="rId12" Type="http://schemas.openxmlformats.org/officeDocument/2006/relationships/hyperlink" Target="https://pubmed.ncbi.nlm.nih.gov/41845479/" TargetMode="External"/><Relationship Id="rId13" Type="http://schemas.openxmlformats.org/officeDocument/2006/relationships/hyperlink" Target="https://pubmed.ncbi.nlm.nih.gov/21128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