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Cutaneous Leishmaniasis</w:t>
      </w:r>
    </w:p>
    <w:p>
      <w:pPr>
        <w:spacing w:before="0" w:after="160"/>
      </w:pPr>
      <w:r>
        <w:rPr>
          <w:rFonts w:ascii="Calibri" w:hAnsi="Calibri"/>
          <w:b/>
          <w:i w:val="0"/>
          <w:color w:val="212121"/>
          <w:sz w:val="22"/>
        </w:rPr>
        <w:t xml:space="preserve">AKA </w:t>
      </w:r>
      <w:r>
        <w:rPr>
          <w:rFonts w:ascii="Calibri" w:hAnsi="Calibri"/>
          <w:b w:val="0"/>
          <w:i w:val="0"/>
          <w:color w:val="212121"/>
          <w:sz w:val="22"/>
        </w:rPr>
        <w:t>i.e., CL, Oriental sore, Delhi boil, Bikaner sore, Baghdad/Aleppo boil, Tropical sore, Leishmania tropica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Cutaneous leishmaniasis (CL) is a vector-borne protozoal infection of the skin caused by several dermotropic Leishmania species and transmitted by the bite of infected female phlebotomine sandflies. At the bite site the parasite multiplies as amastigotes within dermal macrophages, producing a slowly enlarging papule that becomes a nodule and then a characteristic painless ulcer with a raised, indurated border (the classic “oriental sore”) on exposed skin. Lesions usually heal over months to a few years but leave a disfiguring, often stigmatising, depressed scar. It is the most common form of leishmaniasis worldwide; in India the disease is caused chiefly by Leishmania tropica in the Thar desert of Rajasthan and by an emerging dermotropic strain of Leishmania donovani in Himachal Pradesh.</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Globally an estimated 600,000 to 1 million new cases of cutaneous leishmaniasis occur each year, of which only about 200,000 are reported to WHO, and around 95% arise in the Americas, the Mediterranean basin, the Middle East and central Asia. Seven countries — none in South Asia — account for roughly 83% of reported CL cases. In India CL is far less common than visceral leishmaniasis (kala-azar) and is not covered by the national elimination programme, so it is under-recognised and under-reported. Indigenous transmission is concentrated in two foci — the Thar desert of Rajasthan, especially Bikaner district, where anthroponotic L. tropica predominates, and the mid-hill valleys of Himachal Pradesh (and adjoining Uttarakhand), where an unusual dermotropic Leishmania donovani has emerged — with additional sporadic and imported cases in migrant workers, travellers and armed-forces personnel returning from endemic countries of the Middle East and Central Asia.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 an endemic setting cutaneous leishmaniasis is suspected from the appearance and chronicity of the lesion and confirmed parasitologically.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chronic (weeks-to-months), usually painless papule, nodule or ulcer with a raised indurated border on an exposed part of the body (face, ears, neck, forearms, hands or legs) in a person residing in or having travelled to an endemic area, which fails to heal with ordinary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Leishmania amastigotes (Leishman–Donovan bodies with their characteristic kinetoplast) on a Giemsa-stained slit-skin smear or dermal scraping/impression smear taken from the raised active edge of the lesion — the simplest first-line confirmation;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histopathological examination of a lesion biopsy showing amastigotes within dermal macrophages with a granulomatous infiltrate (excluding mimics such as tuberculosis, leprosy and skin malignancy), with the press-imprint-smear technique offering higher sensitivity than routine histology;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culture of aspirate/biopsy on Novy–MacNeal–Nicolle (NNN) medium and/or PCR-based assays to confirm and speciate the parasite (distinguishing L. tropica, L. major and dermotropic L. donovani), which guides prognosis and choice of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leishmanin (Montenegro) intradermal skin test (delayed-type hypersensitivity induration ≥ 5 mm) supports localized CL but is negative in diffuse cutaneous disease; species confirmation and exclusion of mucosal, diffuse and recidivans forms complete the work-up.</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Cutaneous leishmaniasis can be classified by causative species/geography and by clinical form:</w:t>
      </w:r>
    </w:p>
    <w:p>
      <w:pPr>
        <w:spacing w:before="0" w:after="80"/>
      </w:pPr>
      <w:r>
        <w:rPr>
          <w:rFonts w:ascii="Calibri" w:hAnsi="Calibri"/>
          <w:b w:val="0"/>
          <w:i w:val="0"/>
          <w:color w:val="212121"/>
          <w:sz w:val="21"/>
        </w:rPr>
        <w:t>(1) Old World CL (oriental sore) — the form seen in India, the Middle East, Central Asia, the Mediterranean and Africa, caused by L. tropica (usually anthroponotic, dry/urban), L. major (zoonotic, rural/desert with a rodent reservoir) and L. aethiopica, transmitted by Phlebotomus sandflies;</w:t>
      </w:r>
    </w:p>
    <w:p>
      <w:pPr>
        <w:spacing w:before="0" w:after="80"/>
      </w:pPr>
      <w:r>
        <w:rPr>
          <w:rFonts w:ascii="Calibri" w:hAnsi="Calibri"/>
          <w:b w:val="0"/>
          <w:i w:val="0"/>
          <w:color w:val="212121"/>
          <w:sz w:val="21"/>
        </w:rPr>
        <w:t>(2) Indian foci — anthroponotic L. tropica CL of the Thar desert (Bikaner, Rajasthan) transmitted mainly by Phlebotomus sergenti, and an emerging dermotropic Leishmania donovani causing typical and atypical CL in the mid-hills of Himachal Pradesh and Uttarakhand;</w:t>
      </w:r>
    </w:p>
    <w:p>
      <w:pPr>
        <w:spacing w:before="0" w:after="80"/>
      </w:pPr>
      <w:r>
        <w:rPr>
          <w:rFonts w:ascii="Calibri" w:hAnsi="Calibri"/>
          <w:b w:val="0"/>
          <w:i w:val="0"/>
          <w:color w:val="212121"/>
          <w:sz w:val="21"/>
        </w:rPr>
        <w:t>(3) New World (American) CL and mucocutaneous leishmaniasis (espundia) — caused by the L. mexicana and L. (Viannia) braziliensis complexes in Latin America, the latter capable of destructive naso-oropharyngeal spread; in India these are seen only as imported disease;</w:t>
      </w:r>
    </w:p>
    <w:p>
      <w:pPr>
        <w:spacing w:before="0" w:after="80"/>
      </w:pPr>
      <w:r>
        <w:rPr>
          <w:rFonts w:ascii="Calibri" w:hAnsi="Calibri"/>
          <w:b w:val="0"/>
          <w:i w:val="0"/>
          <w:color w:val="212121"/>
          <w:sz w:val="21"/>
        </w:rPr>
        <w:t>(4) Diffuse cutaneous leishmaniasis (DCL) — a rare anergic form with widespread non-ulcerating nodules resembling lepromatous leprosy, occurring in people with a poor cell-mediated (Th1) immune response and a negative leishmanin test;</w:t>
      </w:r>
    </w:p>
    <w:p>
      <w:pPr>
        <w:spacing w:before="0" w:after="80"/>
      </w:pPr>
      <w:r>
        <w:rPr>
          <w:rFonts w:ascii="Calibri" w:hAnsi="Calibri"/>
          <w:b w:val="0"/>
          <w:i w:val="0"/>
          <w:color w:val="212121"/>
          <w:sz w:val="21"/>
        </w:rPr>
        <w:t>(5) Leishmaniasis recidivans (lupoid leishmaniasis) — a chronic, relapsing form (usually L. tropica) in which new papules appear around the scar of an apparently healed lesion and may persist for years.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Leishmania infection: Infection of dermal macrophages by amastigotes of dermotropic Leishmania species — in India chiefly L. tropica (Rajasthan) and dermotropic L. donovani (Himachal Pradesh), with L. major in some desert areas.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Sandfly vector: Transmission by the bite of infected female phlebotomine sandflies (Phlebotomus sergenti and P. papatasi in India), which are small, nocturnal (dusk-to-dawn) and breed in wall cracks, rodent burrows and organic debris.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Reservoir host: L. tropica CL is largely anthroponotic (humans are the reservoir); L. major is zoonotic with desert rodents/gerbils as reservoirs, while dogs act as reservoirs for some species.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Poverty and housing: Poor housing with cracked walls, peri-domestic rubbish and lack of vector control increases sandfly density and human–vector contact.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 and climate: The hot arid Thar desert and particular sub-Himalayan valleys provide vector habitat; deforestation, migration and climate change are expanding endemic ranges.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immunity: The balance of the cell-mediated (Th1) response determines outcome — an effective response localizes and heals the lesion, whereas impaired immunity (HIV, malnutrition, immunosuppressive drugs) predisposes to diffuse, chronic, multiple or atypical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In endemic Indian foci CL affects all ages including young children, who acquire infection through peri-domestic sandfly exposure and frequently present with facial lesions. Works by allowing dermotropic Leishmania amastigotes to multiply within skin macrophages at the bite site.</w:t>
            </w:r>
          </w:p>
          <w:p>
            <w:pPr>
              <w:spacing w:after="40" w:before="60" w:line="259" w:lineRule="auto"/>
            </w:pPr>
            <w:r>
              <w:rPr>
                <w:rFonts w:ascii="Calibri" w:hAnsi="Calibri"/>
                <w:b w:val="0"/>
                <w:i w:val="0"/>
                <w:color w:val="212121"/>
                <w:sz w:val="19"/>
              </w:rPr>
              <w:t>Paediatric cutaneous leishmaniasis is well documented as a substantial share of cases in India's Rajasthan (Bikaner) focus.</w:t>
            </w:r>
          </w:p>
          <w:p>
            <w:pPr>
              <w:spacing w:after="40" w:line="252" w:lineRule="auto"/>
            </w:pPr>
            <w:hyperlink r:id="rId9">
              <w:r>
                <w:rPr>
                  <w:rFonts w:ascii="Calibri" w:hAnsi="Calibri" w:cs="Calibri"/>
                  <w:sz w:val="18"/>
                  <w:color w:val="1155CC"/>
                  <w:u w:val="single"/>
                </w:rPr>
                <w:t xml:space="preserve">pubmed.ncbi.nlm.nih.gov/25294618 — Paediatric CL in an endemic region in India</w:t>
              </w:r>
            </w:hyperlink>
          </w:p>
          <w:p>
            <w:pPr>
              <w:spacing w:before="60" w:after="40"/>
            </w:pPr>
            <w:r>
              <w:rPr>
                <w:rFonts w:ascii="Calibri" w:hAnsi="Calibri"/>
                <w:b w:val="0"/>
                <w:i w:val="0"/>
                <w:color w:val="5A5A5A"/>
                <w:sz w:val="18"/>
              </w:rPr>
              <w:t>#cutaneousleishmaniasis  #children  #facialesions  #Bikaner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adults</w:t>
            </w:r>
          </w:p>
        </w:tc>
        <w:tc>
          <w:tcPr>
            <w:tcW w:type="dxa" w:w="4276"/>
            <w:vAlign w:val="top"/>
          </w:tcPr>
          <w:p>
            <w:pPr>
              <w:spacing w:after="60" w:line="259" w:lineRule="auto"/>
            </w:pPr>
            <w:r>
              <w:rPr>
                <w:rFonts w:ascii="Calibri" w:hAnsi="Calibri"/>
                <w:b w:val="0"/>
                <w:i w:val="0"/>
                <w:color w:val="212121"/>
                <w:sz w:val="19"/>
              </w:rPr>
              <w:t>Adults of working age bear a large share of the burden, reflecting occupational and outdoor exposure to night-biting sandflies in desert and hill environments.</w:t>
            </w:r>
          </w:p>
          <w:p>
            <w:pPr>
              <w:spacing w:after="40" w:before="60" w:line="259" w:lineRule="auto"/>
            </w:pPr>
            <w:r>
              <w:rPr>
                <w:rFonts w:ascii="Calibri" w:hAnsi="Calibri"/>
                <w:b w:val="0"/>
                <w:i w:val="0"/>
                <w:color w:val="212121"/>
                <w:sz w:val="19"/>
              </w:rPr>
              <w:t>Outdoor and occupational exposure during dusk-to-dawn sandfly activity is a key driver of infection in endemic areas.</w:t>
            </w:r>
          </w:p>
          <w:p>
            <w:pPr>
              <w:spacing w:after="40" w:line="252" w:lineRule="auto"/>
            </w:pPr>
            <w:hyperlink r:id="rId10">
              <w:r>
                <w:rPr>
                  <w:rFonts w:ascii="Calibri" w:hAnsi="Calibri" w:cs="Calibri"/>
                  <w:sz w:val="18"/>
                  <w:color w:val="1155CC"/>
                  <w:u w:val="single"/>
                </w:rPr>
                <w:t xml:space="preserve">cdc.gov — About Leishmaniasis</w:t>
              </w:r>
            </w:hyperlink>
          </w:p>
          <w:p>
            <w:pPr>
              <w:spacing w:before="60" w:after="40"/>
            </w:pPr>
            <w:r>
              <w:rPr>
                <w:rFonts w:ascii="Calibri" w:hAnsi="Calibri"/>
                <w:b w:val="0"/>
                <w:i w:val="0"/>
                <w:color w:val="5A5A5A"/>
                <w:sz w:val="18"/>
              </w:rPr>
              <w:t>#adults  #occupational  #outdoorexposure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often show a higher reported incidence, attributed to greater outdoor, occupational and night-time exposure to sandflies (agriculture, herding, construction, border and military duty) and to differences in health-seeking.</w:t>
            </w:r>
          </w:p>
          <w:p>
            <w:pPr>
              <w:spacing w:after="40" w:before="60" w:line="259" w:lineRule="auto"/>
            </w:pPr>
            <w:r>
              <w:rPr>
                <w:rFonts w:ascii="Calibri" w:hAnsi="Calibri"/>
                <w:b w:val="0"/>
                <w:i w:val="0"/>
                <w:color w:val="212121"/>
                <w:sz w:val="19"/>
              </w:rPr>
              <w:t>A male preponderance is commonly reported across South Asian and Middle-Eastern CL foci owing to greater outdoor exposure.</w:t>
            </w:r>
          </w:p>
          <w:p>
            <w:pPr>
              <w:spacing w:before="60" w:after="40"/>
            </w:pPr>
            <w:r>
              <w:rPr>
                <w:rFonts w:ascii="Calibri" w:hAnsi="Calibri"/>
                <w:b w:val="0"/>
                <w:i w:val="0"/>
                <w:color w:val="5A5A5A"/>
                <w:sz w:val="18"/>
              </w:rPr>
              <w:t>#male  #outdoorwork  #exposure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rural &amp; peri-urban households</w:t>
            </w:r>
          </w:p>
        </w:tc>
        <w:tc>
          <w:tcPr>
            <w:tcW w:type="dxa" w:w="4276"/>
            <w:vAlign w:val="top"/>
          </w:tcPr>
          <w:p>
            <w:pPr>
              <w:spacing w:after="60" w:line="259" w:lineRule="auto"/>
            </w:pPr>
            <w:r>
              <w:rPr>
                <w:rFonts w:ascii="Calibri" w:hAnsi="Calibri"/>
                <w:b w:val="0"/>
                <w:i w:val="0"/>
                <w:color w:val="212121"/>
                <w:sz w:val="19"/>
              </w:rPr>
              <w:t>Poverty clusters with poor housing, undernutrition, peri-domestic rubbish and absent vector control, all of which raise sandfly density and human–vector contact.</w:t>
            </w:r>
          </w:p>
          <w:p>
            <w:pPr>
              <w:spacing w:after="40" w:before="60" w:line="259" w:lineRule="auto"/>
            </w:pPr>
            <w:r>
              <w:rPr>
                <w:rFonts w:ascii="Calibri" w:hAnsi="Calibri"/>
                <w:b w:val="0"/>
                <w:i w:val="0"/>
                <w:color w:val="212121"/>
                <w:sz w:val="19"/>
              </w:rPr>
              <w:t>WHO lists poverty, poor housing and domestic sanitary conditions among the principal risk factors for cutaneous leishmaniasis.</w:t>
            </w:r>
          </w:p>
          <w:p>
            <w:pPr>
              <w:spacing w:after="40" w:line="252" w:lineRule="auto"/>
            </w:pPr>
            <w:hyperlink r:id="rId11">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#poverty  #housing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Thar desert of Rajasthan (Bikaner)</w:t>
            </w:r>
          </w:p>
        </w:tc>
        <w:tc>
          <w:tcPr>
            <w:tcW w:type="dxa" w:w="4276"/>
            <w:vAlign w:val="top"/>
          </w:tcPr>
          <w:p>
            <w:pPr>
              <w:spacing w:after="60" w:line="259" w:lineRule="auto"/>
            </w:pPr>
            <w:r>
              <w:rPr>
                <w:rFonts w:ascii="Calibri" w:hAnsi="Calibri"/>
                <w:b w:val="0"/>
                <w:i w:val="0"/>
                <w:color w:val="212121"/>
                <w:sz w:val="19"/>
              </w:rPr>
              <w:t>Bikaner and adjoining arid districts of Rajasthan are the classic Indian focus of anthroponotic L. tropica CL (the “Bikaner sore”), where humans are the reservoir and Phlebotomus sergenti the vector.</w:t>
            </w:r>
          </w:p>
          <w:p>
            <w:pPr>
              <w:spacing w:after="40" w:before="60" w:line="259" w:lineRule="auto"/>
            </w:pPr>
            <w:r>
              <w:rPr>
                <w:rFonts w:ascii="Calibri" w:hAnsi="Calibri"/>
                <w:b w:val="0"/>
                <w:i w:val="0"/>
                <w:color w:val="212121"/>
                <w:sz w:val="19"/>
              </w:rPr>
              <w:t>L. tropica was identified and characterised as the cause of cutaneous leishmaniasis in Bikaner, India, using molecular and immunological tools.</w:t>
            </w:r>
          </w:p>
          <w:p>
            <w:pPr>
              <w:spacing w:after="40" w:line="252" w:lineRule="auto"/>
            </w:pPr>
            <w:hyperlink r:id="rId12">
              <w:r>
                <w:rPr>
                  <w:rFonts w:ascii="Calibri" w:hAnsi="Calibri" w:cs="Calibri"/>
                  <w:sz w:val="18"/>
                  <w:color w:val="1155CC"/>
                  <w:u w:val="single"/>
                </w:rPr>
                <w:t xml:space="preserve">pubmed.ncbi.nlm.nih.gov/17488912 — CL caused by L. tropica in Bikaner</w:t>
              </w:r>
            </w:hyperlink>
          </w:p>
          <w:p>
            <w:pPr>
              <w:spacing w:before="60" w:after="40"/>
            </w:pPr>
            <w:r>
              <w:rPr>
                <w:rFonts w:ascii="Calibri" w:hAnsi="Calibri"/>
                <w:b w:val="0"/>
                <w:i w:val="0"/>
                <w:color w:val="5A5A5A"/>
                <w:sz w:val="18"/>
              </w:rPr>
              <w:t>#Rajasthan  #Bikaner  #Ltropica  #Thardesert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Himachal Pradesh &amp; Uttarakhand (sub-Himalayan)</w:t>
            </w:r>
          </w:p>
        </w:tc>
        <w:tc>
          <w:tcPr>
            <w:tcW w:type="dxa" w:w="4276"/>
            <w:vAlign w:val="top"/>
          </w:tcPr>
          <w:p>
            <w:pPr>
              <w:spacing w:after="60" w:line="259" w:lineRule="auto"/>
            </w:pPr>
            <w:r>
              <w:rPr>
                <w:rFonts w:ascii="Calibri" w:hAnsi="Calibri"/>
                <w:b w:val="0"/>
                <w:i w:val="0"/>
                <w:color w:val="212121"/>
                <w:sz w:val="19"/>
              </w:rPr>
              <w:t>The mid-hill valleys of Himachal Pradesh (and adjoining Uttarakhand) are an emerging focus where an unusual dermotropic Leishmania donovani produces both typical and atypical cutaneous disease.</w:t>
            </w:r>
          </w:p>
          <w:p>
            <w:pPr>
              <w:spacing w:after="40" w:before="60" w:line="259" w:lineRule="auto"/>
            </w:pPr>
            <w:r>
              <w:rPr>
                <w:rFonts w:ascii="Calibri" w:hAnsi="Calibri"/>
                <w:b w:val="0"/>
                <w:i w:val="0"/>
                <w:color w:val="212121"/>
                <w:sz w:val="19"/>
              </w:rPr>
              <w:t>Emerging Leishmania donovani lineages were associated with cutaneous leishmaniasis in Himachal Pradesh, India, in 2023.</w:t>
            </w:r>
          </w:p>
          <w:p>
            <w:pPr>
              <w:spacing w:after="40" w:line="252" w:lineRule="auto"/>
            </w:pPr>
            <w:hyperlink r:id="rId13">
              <w:r>
                <w:rPr>
                  <w:rFonts w:ascii="Calibri" w:hAnsi="Calibri" w:cs="Calibri"/>
                  <w:sz w:val="18"/>
                  <w:color w:val="1155CC"/>
                  <w:u w:val="single"/>
                </w:rPr>
                <w:t xml:space="preserve">pubmed.ncbi.nlm.nih.gov/39174021 — Emerging L. donovani CL, Himachal Pradesh</w:t>
              </w:r>
            </w:hyperlink>
          </w:p>
          <w:p>
            <w:pPr>
              <w:spacing w:before="60" w:after="40"/>
            </w:pPr>
            <w:r>
              <w:rPr>
                <w:rFonts w:ascii="Calibri" w:hAnsi="Calibri"/>
                <w:b w:val="0"/>
                <w:i w:val="0"/>
                <w:color w:val="5A5A5A"/>
                <w:sz w:val="18"/>
              </w:rPr>
              <w:t>#HimachalPradesh  #Ldonovani  #emergingfocus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Housing &amp; environment</w:t>
            </w:r>
          </w:p>
        </w:tc>
        <w:tc>
          <w:tcPr>
            <w:tcW w:type="dxa" w:w="2160"/>
            <w:vAlign w:val="top"/>
          </w:tcPr>
          <w:p>
            <w:pPr>
              <w:spacing w:after="40" w:before="0" w:line="259" w:lineRule="auto"/>
            </w:pPr>
            <w:r>
              <w:rPr>
                <w:rFonts w:ascii="Calibri" w:hAnsi="Calibri"/>
                <w:b w:val="0"/>
                <w:i w:val="0"/>
                <w:color w:val="212121"/>
                <w:sz w:val="19"/>
              </w:rPr>
              <w:t>Cracked mud/stone houses near rodent burrows &amp; rubbish</w:t>
            </w:r>
          </w:p>
        </w:tc>
        <w:tc>
          <w:tcPr>
            <w:tcW w:type="dxa" w:w="4276"/>
            <w:vAlign w:val="top"/>
          </w:tcPr>
          <w:p>
            <w:pPr>
              <w:spacing w:after="60" w:line="259" w:lineRule="auto"/>
            </w:pPr>
            <w:r>
              <w:rPr>
                <w:rFonts w:ascii="Calibri" w:hAnsi="Calibri"/>
                <w:b w:val="0"/>
                <w:i w:val="0"/>
                <w:color w:val="212121"/>
                <w:sz w:val="19"/>
              </w:rPr>
              <w:t>Cracked walls, peri-domestic rubbish, animal shelters and rodent burrows provide the resting and breeding sites sandflies need, sustaining peri-domestic transmission.</w:t>
            </w:r>
          </w:p>
          <w:p>
            <w:pPr>
              <w:spacing w:after="40" w:before="60" w:line="259" w:lineRule="auto"/>
            </w:pPr>
            <w:r>
              <w:rPr>
                <w:rFonts w:ascii="Calibri" w:hAnsi="Calibri"/>
                <w:b w:val="0"/>
                <w:i w:val="0"/>
                <w:color w:val="212121"/>
                <w:sz w:val="19"/>
              </w:rPr>
              <w:t>WHO identifies poor housing and domestic sanitary conditions (e.g. lack of waste management) as factors that increase sandfly breeding and human exposure.</w:t>
            </w:r>
          </w:p>
          <w:p>
            <w:pPr>
              <w:spacing w:after="40" w:line="252" w:lineRule="auto"/>
            </w:pPr>
            <w:hyperlink r:id="rId11">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#housing  #sandflyhabitat  #rodentreservoir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 &amp; deployment</w:t>
            </w:r>
          </w:p>
        </w:tc>
        <w:tc>
          <w:tcPr>
            <w:tcW w:type="dxa" w:w="2160"/>
            <w:vAlign w:val="top"/>
          </w:tcPr>
          <w:p>
            <w:pPr>
              <w:spacing w:after="40" w:before="0" w:line="259" w:lineRule="auto"/>
            </w:pPr>
            <w:r>
              <w:rPr>
                <w:rFonts w:ascii="Calibri" w:hAnsi="Calibri"/>
                <w:b w:val="0"/>
                <w:i w:val="0"/>
                <w:color w:val="212121"/>
                <w:sz w:val="19"/>
              </w:rPr>
              <w:t>Returning migrants, travellers &amp; armed-forces personnel</w:t>
            </w:r>
          </w:p>
        </w:tc>
        <w:tc>
          <w:tcPr>
            <w:tcW w:type="dxa" w:w="4276"/>
            <w:vAlign w:val="top"/>
          </w:tcPr>
          <w:p>
            <w:pPr>
              <w:spacing w:after="60" w:line="259" w:lineRule="auto"/>
            </w:pPr>
            <w:r>
              <w:rPr>
                <w:rFonts w:ascii="Calibri" w:hAnsi="Calibri"/>
                <w:b w:val="0"/>
                <w:i w:val="0"/>
                <w:color w:val="212121"/>
                <w:sz w:val="19"/>
              </w:rPr>
              <w:t>Indians returning from the Gulf, wider Middle East and Central Asia, and military/paramilitary personnel deployed to endemic areas, import CL and may present far from any Indian focus.</w:t>
            </w:r>
          </w:p>
          <w:p>
            <w:pPr>
              <w:spacing w:after="40" w:before="60" w:line="259" w:lineRule="auto"/>
            </w:pPr>
            <w:r>
              <w:rPr>
                <w:rFonts w:ascii="Calibri" w:hAnsi="Calibri"/>
                <w:b w:val="0"/>
                <w:i w:val="0"/>
                <w:color w:val="212121"/>
                <w:sz w:val="19"/>
              </w:rPr>
              <w:t>Population mobility into and out of endemic areas is a recognised risk factor for cutaneous leishmaniasis.</w:t>
            </w:r>
          </w:p>
          <w:p>
            <w:pPr>
              <w:spacing w:after="40" w:line="252" w:lineRule="auto"/>
            </w:pPr>
            <w:hyperlink r:id="rId11">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#importedCL  #migrants  #travel  #military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Outdoor occupation</w:t>
            </w:r>
          </w:p>
        </w:tc>
        <w:tc>
          <w:tcPr>
            <w:tcW w:type="dxa" w:w="2160"/>
            <w:vAlign w:val="top"/>
          </w:tcPr>
          <w:p>
            <w:pPr>
              <w:spacing w:after="40" w:before="0" w:line="259" w:lineRule="auto"/>
            </w:pPr>
            <w:r>
              <w:rPr>
                <w:rFonts w:ascii="Calibri" w:hAnsi="Calibri"/>
                <w:b w:val="0"/>
                <w:i w:val="0"/>
                <w:color w:val="212121"/>
                <w:sz w:val="19"/>
              </w:rPr>
              <w:t>Farmers, herders, construction &amp; desert/border workers</w:t>
            </w:r>
          </w:p>
        </w:tc>
        <w:tc>
          <w:tcPr>
            <w:tcW w:type="dxa" w:w="4276"/>
            <w:vAlign w:val="top"/>
          </w:tcPr>
          <w:p>
            <w:pPr>
              <w:spacing w:after="60" w:line="259" w:lineRule="auto"/>
            </w:pPr>
            <w:r>
              <w:rPr>
                <w:rFonts w:ascii="Calibri" w:hAnsi="Calibri"/>
                <w:b w:val="0"/>
                <w:i w:val="0"/>
                <w:color w:val="212121"/>
                <w:sz w:val="19"/>
              </w:rPr>
              <w:t>Prolonged dusk-to-dawn outdoor activity near vector habitats increases the number of infective sandfly bites on exposed skin.</w:t>
            </w:r>
          </w:p>
          <w:p>
            <w:pPr>
              <w:spacing w:after="40" w:before="60" w:line="259" w:lineRule="auto"/>
            </w:pPr>
            <w:r>
              <w:rPr>
                <w:rFonts w:ascii="Calibri" w:hAnsi="Calibri"/>
                <w:b w:val="0"/>
                <w:i w:val="0"/>
                <w:color w:val="212121"/>
                <w:sz w:val="19"/>
              </w:rPr>
              <w:t>Sandflies are active from dusk to dawn, so outdoor occupational exposure at these times raises infection risk.</w:t>
            </w:r>
          </w:p>
          <w:p>
            <w:pPr>
              <w:spacing w:after="40" w:line="252" w:lineRule="auto"/>
            </w:pPr>
            <w:hyperlink r:id="rId10">
              <w:r>
                <w:rPr>
                  <w:rFonts w:ascii="Calibri" w:hAnsi="Calibri" w:cs="Calibri"/>
                  <w:sz w:val="18"/>
                  <w:color w:val="1155CC"/>
                  <w:u w:val="single"/>
                </w:rPr>
                <w:t xml:space="preserve">cdc.gov — About Leishmaniasis</w:t>
              </w:r>
            </w:hyperlink>
          </w:p>
          <w:p>
            <w:pPr>
              <w:spacing w:before="60" w:after="40"/>
            </w:pPr>
            <w:r>
              <w:rPr>
                <w:rFonts w:ascii="Calibri" w:hAnsi="Calibri"/>
                <w:b w:val="0"/>
                <w:i w:val="0"/>
                <w:color w:val="5A5A5A"/>
                <w:sz w:val="18"/>
              </w:rPr>
              <w:t>#agriculture  #herding  #occupationalexposure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Sleeping arrangement</w:t>
            </w:r>
          </w:p>
        </w:tc>
        <w:tc>
          <w:tcPr>
            <w:tcW w:type="dxa" w:w="2160"/>
            <w:vAlign w:val="top"/>
          </w:tcPr>
          <w:p>
            <w:pPr>
              <w:spacing w:after="40" w:before="0" w:line="259" w:lineRule="auto"/>
            </w:pPr>
            <w:r>
              <w:rPr>
                <w:rFonts w:ascii="Calibri" w:hAnsi="Calibri"/>
                <w:b w:val="0"/>
                <w:i w:val="0"/>
                <w:color w:val="212121"/>
                <w:sz w:val="19"/>
              </w:rPr>
              <w:t>People sleeping outdoors or on rooftops without nets</w:t>
            </w:r>
          </w:p>
        </w:tc>
        <w:tc>
          <w:tcPr>
            <w:tcW w:type="dxa" w:w="4276"/>
            <w:vAlign w:val="top"/>
          </w:tcPr>
          <w:p>
            <w:pPr>
              <w:spacing w:after="60" w:line="259" w:lineRule="auto"/>
            </w:pPr>
            <w:r>
              <w:rPr>
                <w:rFonts w:ascii="Calibri" w:hAnsi="Calibri"/>
                <w:b w:val="0"/>
                <w:i w:val="0"/>
                <w:color w:val="212121"/>
                <w:sz w:val="19"/>
              </w:rPr>
              <w:t>Sandflies bite at night close to the ground; sleeping outdoors, on rooftops or without a fine-mesh insecticide-treated net markedly increases infective bites.</w:t>
            </w:r>
          </w:p>
          <w:p>
            <w:pPr>
              <w:spacing w:after="40" w:before="60" w:line="259" w:lineRule="auto"/>
            </w:pPr>
            <w:r>
              <w:rPr>
                <w:rFonts w:ascii="Calibri" w:hAnsi="Calibri"/>
                <w:b w:val="0"/>
                <w:i w:val="0"/>
                <w:color w:val="212121"/>
                <w:sz w:val="19"/>
              </w:rPr>
              <w:t>Because sandflies bite from dusk to dawn, unprotected night-time sleeping is an important behavioural exposure.</w:t>
            </w:r>
          </w:p>
          <w:p>
            <w:pPr>
              <w:spacing w:after="40" w:line="252" w:lineRule="auto"/>
            </w:pPr>
            <w:hyperlink r:id="rId10">
              <w:r>
                <w:rPr>
                  <w:rFonts w:ascii="Calibri" w:hAnsi="Calibri" w:cs="Calibri"/>
                  <w:sz w:val="18"/>
                  <w:color w:val="1155CC"/>
                  <w:u w:val="single"/>
                </w:rPr>
                <w:t xml:space="preserve">cdc.gov — About Leishmaniasis</w:t>
              </w:r>
            </w:hyperlink>
          </w:p>
          <w:p>
            <w:pPr>
              <w:spacing w:before="60" w:after="40"/>
            </w:pPr>
            <w:r>
              <w:rPr>
                <w:rFonts w:ascii="Calibri" w:hAnsi="Calibri"/>
                <w:b w:val="0"/>
                <w:i w:val="0"/>
                <w:color w:val="5A5A5A"/>
                <w:sz w:val="18"/>
              </w:rPr>
              <w:t>#outdoorsleeping  #bednets  #nighttimebiting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w:t>
            </w:r>
          </w:p>
        </w:tc>
        <w:tc>
          <w:tcPr>
            <w:tcW w:type="dxa" w:w="2160"/>
            <w:vAlign w:val="top"/>
          </w:tcPr>
          <w:p>
            <w:pPr>
              <w:spacing w:after="40" w:before="0" w:line="259" w:lineRule="auto"/>
            </w:pPr>
            <w:r>
              <w:rPr>
                <w:rFonts w:ascii="Calibri" w:hAnsi="Calibri"/>
                <w:b w:val="0"/>
                <w:i w:val="0"/>
                <w:color w:val="212121"/>
                <w:sz w:val="19"/>
              </w:rPr>
              <w:t>Seasonal labour migrants</w:t>
            </w:r>
          </w:p>
        </w:tc>
        <w:tc>
          <w:tcPr>
            <w:tcW w:type="dxa" w:w="4276"/>
            <w:vAlign w:val="top"/>
          </w:tcPr>
          <w:p>
            <w:pPr>
              <w:spacing w:after="60" w:line="259" w:lineRule="auto"/>
            </w:pPr>
            <w:r>
              <w:rPr>
                <w:rFonts w:ascii="Calibri" w:hAnsi="Calibri"/>
                <w:b w:val="0"/>
                <w:i w:val="0"/>
                <w:color w:val="212121"/>
                <w:sz w:val="19"/>
              </w:rPr>
              <w:t>Movement between endemic and non-endemic districts can seed new foci and generate imported cases that present away from where infection was acquired.</w:t>
            </w:r>
          </w:p>
          <w:p>
            <w:pPr>
              <w:spacing w:after="40" w:before="60" w:line="259" w:lineRule="auto"/>
            </w:pPr>
            <w:r>
              <w:rPr>
                <w:rFonts w:ascii="Calibri" w:hAnsi="Calibri"/>
                <w:b w:val="0"/>
                <w:i w:val="0"/>
                <w:color w:val="212121"/>
                <w:sz w:val="19"/>
              </w:rPr>
              <w:t>Labour migration is a recognised factor in spreading and maintaining leishmaniasis transmission.</w:t>
            </w:r>
          </w:p>
          <w:p>
            <w:pPr>
              <w:spacing w:before="60" w:after="40"/>
            </w:pPr>
            <w:r>
              <w:rPr>
                <w:rFonts w:ascii="Calibri" w:hAnsi="Calibri"/>
                <w:b w:val="0"/>
                <w:i w:val="0"/>
                <w:color w:val="5A5A5A"/>
                <w:sz w:val="18"/>
              </w:rPr>
              <w:t>#migration  #labour  #importedcases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micronutrient-deficient individuals</w:t>
            </w:r>
          </w:p>
        </w:tc>
        <w:tc>
          <w:tcPr>
            <w:tcW w:type="dxa" w:w="4276"/>
            <w:vAlign w:val="top"/>
          </w:tcPr>
          <w:p>
            <w:pPr>
              <w:spacing w:after="60" w:line="259" w:lineRule="auto"/>
            </w:pPr>
            <w:r>
              <w:rPr>
                <w:rFonts w:ascii="Calibri" w:hAnsi="Calibri"/>
                <w:b w:val="0"/>
                <w:i w:val="0"/>
                <w:color w:val="212121"/>
                <w:sz w:val="19"/>
              </w:rPr>
              <w:t>Protein-energy malnutrition and deficiencies of iron, vitamin A and zinc impair the Th1 cell-mediated immunity that contains the parasite, favouring larger, chronic, multiple or diffuse lesions.</w:t>
            </w:r>
          </w:p>
          <w:p>
            <w:pPr>
              <w:spacing w:after="40" w:before="60" w:line="259" w:lineRule="auto"/>
            </w:pPr>
            <w:r>
              <w:rPr>
                <w:rFonts w:ascii="Calibri" w:hAnsi="Calibri"/>
                <w:b w:val="0"/>
                <w:i w:val="0"/>
                <w:color w:val="212121"/>
                <w:sz w:val="19"/>
              </w:rPr>
              <w:t>WHO identifies malnutrition — including protein-energy and iron, vitamin A and zinc deficiency — as an established risk factor for leishmaniasis.</w:t>
            </w:r>
          </w:p>
          <w:p>
            <w:pPr>
              <w:spacing w:after="40" w:line="252" w:lineRule="auto"/>
            </w:pPr>
            <w:hyperlink r:id="rId11">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#malnutrition  #micronutrients  #Th1immunity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 &amp; family clustering</w:t>
            </w:r>
          </w:p>
        </w:tc>
        <w:tc>
          <w:tcPr>
            <w:tcW w:type="dxa" w:w="2160"/>
            <w:vAlign w:val="top"/>
          </w:tcPr>
          <w:p>
            <w:pPr>
              <w:spacing w:after="40" w:before="0" w:line="259" w:lineRule="auto"/>
            </w:pPr>
            <w:r>
              <w:rPr>
                <w:rFonts w:ascii="Calibri" w:hAnsi="Calibri"/>
                <w:b w:val="0"/>
                <w:i w:val="0"/>
                <w:color w:val="212121"/>
                <w:sz w:val="19"/>
              </w:rPr>
              <w:t>Household members of a case</w:t>
            </w:r>
          </w:p>
        </w:tc>
        <w:tc>
          <w:tcPr>
            <w:tcW w:type="dxa" w:w="4276"/>
            <w:vAlign w:val="top"/>
          </w:tcPr>
          <w:p>
            <w:pPr>
              <w:spacing w:after="60" w:line="259" w:lineRule="auto"/>
            </w:pPr>
            <w:r>
              <w:rPr>
                <w:rFonts w:ascii="Calibri" w:hAnsi="Calibri"/>
                <w:b w:val="0"/>
                <w:i w:val="0"/>
                <w:color w:val="212121"/>
                <w:sz w:val="19"/>
              </w:rPr>
              <w:t>CL clusters within households and villages, reflecting shared vector exposure together with host genetic variation in macrophage function and the Th1/Th2 balance that governs whether infection heals or disseminates.</w:t>
            </w:r>
          </w:p>
          <w:p>
            <w:pPr>
              <w:spacing w:after="40" w:before="60" w:line="259" w:lineRule="auto"/>
            </w:pPr>
            <w:r>
              <w:rPr>
                <w:rFonts w:ascii="Calibri" w:hAnsi="Calibri"/>
                <w:b w:val="0"/>
                <w:i w:val="0"/>
                <w:color w:val="212121"/>
                <w:sz w:val="19"/>
              </w:rPr>
              <w:t>Household and village clustering of cutaneous leishmaniasis is consistently described in endemic communities.</w:t>
            </w:r>
          </w:p>
          <w:p>
            <w:pPr>
              <w:spacing w:before="60" w:after="40"/>
            </w:pPr>
            <w:r>
              <w:rPr>
                <w:rFonts w:ascii="Calibri" w:hAnsi="Calibri"/>
                <w:b w:val="0"/>
                <w:i w:val="0"/>
                <w:color w:val="5A5A5A"/>
                <w:sz w:val="18"/>
              </w:rPr>
              <w:t>#familyclustering  #hostgenetics  #immunity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HIV/AIDS</w:t>
            </w:r>
          </w:p>
        </w:tc>
        <w:tc>
          <w:tcPr>
            <w:tcW w:type="dxa" w:w="2160"/>
            <w:vAlign w:val="top"/>
          </w:tcPr>
          <w:p>
            <w:pPr>
              <w:spacing w:after="40" w:before="0" w:line="259" w:lineRule="auto"/>
            </w:pPr>
            <w:r>
              <w:rPr>
                <w:rFonts w:ascii="Calibri" w:hAnsi="Calibri"/>
                <w:b w:val="0"/>
                <w:i w:val="0"/>
                <w:color w:val="212121"/>
                <w:sz w:val="19"/>
              </w:rPr>
              <w:t>People living with HIV</w:t>
            </w:r>
          </w:p>
        </w:tc>
        <w:tc>
          <w:tcPr>
            <w:tcW w:type="dxa" w:w="4276"/>
            <w:vAlign w:val="top"/>
          </w:tcPr>
          <w:p>
            <w:pPr>
              <w:spacing w:after="60" w:line="259" w:lineRule="auto"/>
            </w:pPr>
            <w:r>
              <w:rPr>
                <w:rFonts w:ascii="Calibri" w:hAnsi="Calibri"/>
                <w:b w:val="0"/>
                <w:i w:val="0"/>
                <w:color w:val="212121"/>
                <w:sz w:val="19"/>
              </w:rPr>
              <w:t>Impaired cell-mediated immunity predisposes to atypical, diffuse, multiple or relapsing cutaneous disease with a poorer response to treatment and higher risk of visceralisation.</w:t>
            </w:r>
          </w:p>
          <w:p>
            <w:pPr>
              <w:spacing w:after="40" w:before="60" w:line="259" w:lineRule="auto"/>
            </w:pPr>
            <w:r>
              <w:rPr>
                <w:rFonts w:ascii="Calibri" w:hAnsi="Calibri"/>
                <w:b w:val="0"/>
                <w:i w:val="0"/>
                <w:color w:val="212121"/>
                <w:sz w:val="19"/>
              </w:rPr>
              <w:t>People with weakened immune systems are at particular risk of severe and atypical leishmaniasis after infection.</w:t>
            </w:r>
          </w:p>
          <w:p>
            <w:pPr>
              <w:spacing w:after="40" w:line="252" w:lineRule="auto"/>
            </w:pPr>
            <w:hyperlink r:id="rId10">
              <w:r>
                <w:rPr>
                  <w:rFonts w:ascii="Calibri" w:hAnsi="Calibri" w:cs="Calibri"/>
                  <w:sz w:val="18"/>
                  <w:color w:val="1155CC"/>
                  <w:u w:val="single"/>
                </w:rPr>
                <w:t xml:space="preserve">cdc.gov — About Leishmaniasis</w:t>
              </w:r>
            </w:hyperlink>
          </w:p>
          <w:p>
            <w:pPr>
              <w:spacing w:before="60" w:after="40"/>
            </w:pPr>
            <w:r>
              <w:rPr>
                <w:rFonts w:ascii="Calibri" w:hAnsi="Calibri"/>
                <w:b w:val="0"/>
                <w:i w:val="0"/>
                <w:color w:val="5A5A5A"/>
                <w:sz w:val="18"/>
              </w:rPr>
              <w:t>#HIV  #immunosuppression  #atypicalCL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Transplant, corticosteroid, anti-TNF &amp; chemotherapy recipients</w:t>
            </w:r>
          </w:p>
        </w:tc>
        <w:tc>
          <w:tcPr>
            <w:tcW w:type="dxa" w:w="4276"/>
            <w:vAlign w:val="top"/>
          </w:tcPr>
          <w:p>
            <w:pPr>
              <w:spacing w:after="60" w:line="259" w:lineRule="auto"/>
            </w:pPr>
            <w:r>
              <w:rPr>
                <w:rFonts w:ascii="Calibri" w:hAnsi="Calibri"/>
                <w:b w:val="0"/>
                <w:i w:val="0"/>
                <w:color w:val="212121"/>
                <w:sz w:val="19"/>
              </w:rPr>
              <w:t>Immunosuppressive therapy and organ transplantation impair the Th1 response, predisposing to disseminated or atypical CL and to reactivation of latent infection, sometimes years after exposure.</w:t>
            </w:r>
          </w:p>
          <w:p>
            <w:pPr>
              <w:spacing w:after="40" w:before="60" w:line="259" w:lineRule="auto"/>
            </w:pPr>
            <w:r>
              <w:rPr>
                <w:rFonts w:ascii="Calibri" w:hAnsi="Calibri"/>
                <w:b w:val="0"/>
                <w:i w:val="0"/>
                <w:color w:val="212121"/>
                <w:sz w:val="19"/>
              </w:rPr>
              <w:t>Diffuse cutaneous leishmaniasis occurs in people with a poor cell-mediated immune response and can spread over the body.</w:t>
            </w:r>
          </w:p>
          <w:p>
            <w:pPr>
              <w:spacing w:after="40" w:line="252" w:lineRule="auto"/>
            </w:pPr>
            <w:hyperlink r:id="rId14">
              <w:r>
                <w:rPr>
                  <w:rFonts w:ascii="Calibri" w:hAnsi="Calibri" w:cs="Calibri"/>
                  <w:sz w:val="18"/>
                  <w:color w:val="1155CC"/>
                  <w:u w:val="single"/>
                </w:rPr>
                <w:t xml:space="preserve">ncbi.nlm.nih.gov — StatPearls: Leishmaniasis</w:t>
              </w:r>
            </w:hyperlink>
          </w:p>
          <w:p>
            <w:pPr>
              <w:spacing w:before="60" w:after="40"/>
            </w:pPr>
            <w:r>
              <w:rPr>
                <w:rFonts w:ascii="Calibri" w:hAnsi="Calibri"/>
                <w:b w:val="0"/>
                <w:i w:val="0"/>
                <w:color w:val="5A5A5A"/>
                <w:sz w:val="18"/>
              </w:rPr>
              <w:t>#immunosuppression  #reactivation  #transplant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w:t>
            </w:r>
          </w:p>
        </w:tc>
        <w:tc>
          <w:tcPr>
            <w:tcW w:type="dxa" w:w="2160"/>
            <w:vAlign w:val="top"/>
          </w:tcPr>
          <w:p>
            <w:pPr>
              <w:spacing w:after="40" w:before="0" w:line="259" w:lineRule="auto"/>
            </w:pPr>
            <w:r>
              <w:rPr>
                <w:rFonts w:ascii="Calibri" w:hAnsi="Calibri"/>
                <w:b w:val="0"/>
                <w:i w:val="0"/>
                <w:color w:val="212121"/>
                <w:sz w:val="19"/>
              </w:rPr>
              <w:t>Severely undernourished patients</w:t>
            </w:r>
          </w:p>
        </w:tc>
        <w:tc>
          <w:tcPr>
            <w:tcW w:type="dxa" w:w="4276"/>
            <w:vAlign w:val="top"/>
          </w:tcPr>
          <w:p>
            <w:pPr>
              <w:spacing w:after="60" w:line="259" w:lineRule="auto"/>
            </w:pPr>
            <w:r>
              <w:rPr>
                <w:rFonts w:ascii="Calibri" w:hAnsi="Calibri"/>
                <w:b w:val="0"/>
                <w:i w:val="0"/>
                <w:color w:val="212121"/>
                <w:sz w:val="19"/>
              </w:rPr>
              <w:t>Concurrent malnutrition impairs immunity and wound healing, promoting larger, chronic or diffuse lesions and slower resolution.</w:t>
            </w:r>
          </w:p>
          <w:p>
            <w:pPr>
              <w:spacing w:after="40" w:before="60" w:line="259" w:lineRule="auto"/>
            </w:pPr>
            <w:r>
              <w:rPr>
                <w:rFonts w:ascii="Calibri" w:hAnsi="Calibri"/>
                <w:b w:val="0"/>
                <w:i w:val="0"/>
                <w:color w:val="212121"/>
                <w:sz w:val="19"/>
              </w:rPr>
              <w:t>Malnutrition is both a risk factor for leishmaniasis and a driver of more severe disease.</w:t>
            </w:r>
          </w:p>
          <w:p>
            <w:pPr>
              <w:spacing w:after="40" w:line="252" w:lineRule="auto"/>
            </w:pPr>
            <w:hyperlink r:id="rId11">
              <w:r>
                <w:rPr>
                  <w:rFonts w:ascii="Calibri" w:hAnsi="Calibri" w:cs="Calibri"/>
                  <w:sz w:val="18"/>
                  <w:color w:val="1155CC"/>
                  <w:u w:val="single"/>
                </w:rPr>
                <w:t xml:space="preserve">who.int — Leishmaniasis fact sheet</w:t>
              </w:r>
            </w:hyperlink>
          </w:p>
          <w:p>
            <w:pPr>
              <w:spacing w:before="60" w:after="40"/>
            </w:pPr>
            <w:r>
              <w:rPr>
                <w:rFonts w:ascii="Calibri" w:hAnsi="Calibri"/>
                <w:b w:val="0"/>
                <w:i w:val="0"/>
                <w:color w:val="5A5A5A"/>
                <w:sz w:val="18"/>
              </w:rPr>
              <w:t>#malnutrition  #poorhealing  #immunity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Hyperglycaemia impairs neutrophil/macrophage function and wound healing, which may prolong lesion healing and predispose to secondary bacterial infection of the ulcer.</w:t>
            </w:r>
          </w:p>
          <w:p>
            <w:pPr>
              <w:spacing w:after="40" w:before="60" w:line="259" w:lineRule="auto"/>
            </w:pPr>
            <w:r>
              <w:rPr>
                <w:rFonts w:ascii="Calibri" w:hAnsi="Calibri"/>
                <w:b w:val="0"/>
                <w:i w:val="0"/>
                <w:color w:val="212121"/>
                <w:sz w:val="19"/>
              </w:rPr>
              <w:t>Impaired immunity and delayed wound healing in poorly controlled diabetes can slow resolution of skin ulcers.</w:t>
            </w:r>
          </w:p>
          <w:p>
            <w:pPr>
              <w:spacing w:before="60" w:after="40"/>
            </w:pPr>
            <w:r>
              <w:rPr>
                <w:rFonts w:ascii="Calibri" w:hAnsi="Calibri"/>
                <w:b w:val="0"/>
                <w:i w:val="0"/>
                <w:color w:val="5A5A5A"/>
                <w:sz w:val="18"/>
              </w:rPr>
              <w:t>#diabetes  #delayedhealing  #secondaryinfection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neither causes nor prevents CL; good general fitness and nutrition support the Th1 cell-mediated immunity that localizes and heals lesions.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Malnutrition — protein-energy and iron, vitamin A and zinc deficiency — is a WHO-recognised risk factor that impairs cell-mediated immunity and predisposes to larger, chronic, multiple or diffuse cutaneous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Sandflies bite from dusk to dawn near the ground; sleeping outdoors, on rooftops or without a fine-mesh insecticide-treated net increases the number of infective bites.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is not an established risk factor for CL, though smoking impairs immunity and wound healing and is best avoided while lesions heal.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causal but heavy use impairs nutrition and immunity and adds to the hepatotoxicity of systemic antileishmanial drugs.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Disfiguring facial lesions and scars carry major stigma and psychological morbidity (anxiety, depression, social withdrawal), especially in women and children; mental state does not cause the infection.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CL is vector-borne, not waterborne, but peri-domestic stagnant organic matter and poor sanitation support sandfly breeding; wound irrigation aids ulcer care.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cutaneous leishmaniasis.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Environmental hygiene and vector control (clearing rubbish and rodent burrows, plastering cracked walls, indoor residual spraying, treated nets) reduce sandfly density, and lesion hygiene prevents secondary bacterial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Immunosuppression — especially HIV and immunosuppressive drugs — and severe malnutrition provoke diffuse, multiple, atypical or relapsing disease and a poor treatment response.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60" w:line="259" w:lineRule="auto"/>
            </w:pPr>
            <w:r>
              <w:rPr>
                <w:rFonts w:ascii="Calibri" w:hAnsi="Calibri"/>
                <w:b w:val="0"/>
                <w:i w:val="0"/>
                <w:color w:val="212121"/>
                <w:sz w:val="19"/>
              </w:rPr>
              <w:t>Undernutrition impairs cell-mediated immunity and wound healing</w:t>
            </w:r>
          </w:p>
          <w:p>
            <w:pPr>
              <w:spacing w:after="40" w:line="252" w:lineRule="auto"/>
            </w:pPr>
            <w:hyperlink r:id="rId11">
              <w:r>
                <w:rPr>
                  <w:rFonts w:ascii="Calibri" w:hAnsi="Calibri" w:cs="Calibri"/>
                  <w:sz w:val="18"/>
                  <w:color w:val="1155CC"/>
                  <w:u w:val="single"/>
                </w:rPr>
                <w:t xml:space="preserve">https://www.who.int/news-room/fact-sheets/detail/leishmaniasis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Mid-upper arm circumference (MUAC)</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&gt; 13.5 cm</w:t>
            </w:r>
          </w:p>
        </w:tc>
        <w:tc>
          <w:tcPr>
            <w:tcW w:type="dxa" w:w="1512"/>
            <w:vAlign w:val="top"/>
          </w:tcPr>
          <w:p>
            <w:pPr>
              <w:spacing w:after="40" w:before="0" w:line="259" w:lineRule="auto"/>
            </w:pPr>
            <w:r>
              <w:rPr>
                <w:rFonts w:ascii="Calibri" w:hAnsi="Calibri"/>
                <w:b w:val="0"/>
                <w:i w:val="0"/>
                <w:color w:val="212121"/>
                <w:sz w:val="19"/>
              </w:rPr>
              <w:t>&lt; 11.5 cm (severe acute malnutrition)</w:t>
            </w:r>
          </w:p>
        </w:tc>
        <w:tc>
          <w:tcPr>
            <w:tcW w:type="dxa" w:w="1468"/>
            <w:vAlign w:val="top"/>
          </w:tcPr>
          <w:p>
            <w:pPr>
              <w:spacing w:after="40" w:before="0" w:line="259" w:lineRule="auto"/>
            </w:pPr>
            <w:r>
              <w:rPr>
                <w:rFonts w:ascii="Calibri" w:hAnsi="Calibri"/>
                <w:b w:val="0"/>
                <w:i w:val="0"/>
                <w:color w:val="212121"/>
                <w:sz w:val="19"/>
              </w:rPr>
              <w:t>Marker of severe undernutrition and impaired immunity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Iron / vitamin A / zinc status</w:t>
            </w:r>
          </w:p>
        </w:tc>
        <w:tc>
          <w:tcPr>
            <w:tcW w:type="dxa" w:w="1655"/>
            <w:vAlign w:val="top"/>
          </w:tcPr>
          <w:p>
            <w:pPr>
              <w:spacing w:after="40" w:before="0" w:line="259" w:lineRule="auto"/>
            </w:pPr>
            <w:r>
              <w:rPr>
                <w:rFonts w:ascii="Calibri" w:hAnsi="Calibri"/>
                <w:b w:val="0"/>
                <w:i w:val="0"/>
                <w:color w:val="212121"/>
                <w:sz w:val="19"/>
              </w:rPr>
              <w:t>Adults &amp; children</w:t>
            </w:r>
          </w:p>
        </w:tc>
        <w:tc>
          <w:tcPr>
            <w:tcW w:type="dxa" w:w="1512"/>
            <w:vAlign w:val="top"/>
          </w:tcPr>
          <w:p>
            <w:pPr>
              <w:spacing w:after="40" w:before="0" w:line="259" w:lineRule="auto"/>
            </w:pPr>
            <w:r>
              <w:rPr>
                <w:rFonts w:ascii="Calibri" w:hAnsi="Calibri"/>
                <w:b w:val="0"/>
                <w:i w:val="0"/>
                <w:color w:val="212121"/>
                <w:sz w:val="19"/>
              </w:rPr>
              <w:t>Replete</w:t>
            </w:r>
          </w:p>
        </w:tc>
        <w:tc>
          <w:tcPr>
            <w:tcW w:type="dxa" w:w="1512"/>
            <w:vAlign w:val="top"/>
          </w:tcPr>
          <w:p>
            <w:pPr>
              <w:spacing w:after="40" w:before="0" w:line="259" w:lineRule="auto"/>
            </w:pPr>
            <w:r>
              <w:rPr>
                <w:rFonts w:ascii="Calibri" w:hAnsi="Calibri"/>
                <w:b w:val="0"/>
                <w:i w:val="0"/>
                <w:color w:val="212121"/>
                <w:sz w:val="19"/>
              </w:rPr>
              <w:t>Deficient</w:t>
            </w:r>
          </w:p>
        </w:tc>
        <w:tc>
          <w:tcPr>
            <w:tcW w:type="dxa" w:w="1468"/>
            <w:vAlign w:val="top"/>
          </w:tcPr>
          <w:p>
            <w:pPr>
              <w:spacing w:after="60" w:line="259" w:lineRule="auto"/>
            </w:pPr>
            <w:r>
              <w:rPr>
                <w:rFonts w:ascii="Calibri" w:hAnsi="Calibri"/>
                <w:b w:val="0"/>
                <w:i w:val="0"/>
                <w:color w:val="212121"/>
                <w:sz w:val="19"/>
              </w:rPr>
              <w:t>Micronutrient deficiency impairs the Th1 response that contains the parasite</w:t>
            </w:r>
          </w:p>
          <w:p>
            <w:pPr>
              <w:spacing w:after="40" w:line="252" w:lineRule="auto"/>
            </w:pPr>
            <w:hyperlink r:id="rId11">
              <w:r>
                <w:rPr>
                  <w:rFonts w:ascii="Calibri" w:hAnsi="Calibri" w:cs="Calibri"/>
                  <w:sz w:val="18"/>
                  <w:color w:val="1155CC"/>
                  <w:u w:val="single"/>
                </w:rPr>
                <w:t xml:space="preserve">https://www.who.int/news-room/fact-sheets/detail/leishmaniasis</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CD4 count (cells/µL)</w:t>
            </w:r>
          </w:p>
        </w:tc>
        <w:tc>
          <w:tcPr>
            <w:tcW w:type="dxa" w:w="1655"/>
            <w:vAlign w:val="top"/>
          </w:tcPr>
          <w:p>
            <w:pPr>
              <w:spacing w:after="40" w:before="0" w:line="259" w:lineRule="auto"/>
            </w:pPr>
            <w:r>
              <w:rPr>
                <w:rFonts w:ascii="Calibri" w:hAnsi="Calibri"/>
                <w:b w:val="0"/>
                <w:i w:val="0"/>
                <w:color w:val="212121"/>
                <w:sz w:val="19"/>
              </w:rPr>
              <w:t>HIV-positive</w:t>
            </w:r>
          </w:p>
        </w:tc>
        <w:tc>
          <w:tcPr>
            <w:tcW w:type="dxa" w:w="1512"/>
            <w:vAlign w:val="top"/>
          </w:tcPr>
          <w:p>
            <w:pPr>
              <w:spacing w:after="40" w:before="0" w:line="259" w:lineRule="auto"/>
            </w:pPr>
            <w:r>
              <w:rPr>
                <w:rFonts w:ascii="Calibri" w:hAnsi="Calibri"/>
                <w:b w:val="0"/>
                <w:i w:val="0"/>
                <w:color w:val="212121"/>
                <w:sz w:val="19"/>
              </w:rPr>
              <w:t>&gt; 500</w:t>
            </w:r>
          </w:p>
        </w:tc>
        <w:tc>
          <w:tcPr>
            <w:tcW w:type="dxa" w:w="1512"/>
            <w:vAlign w:val="top"/>
          </w:tcPr>
          <w:p>
            <w:pPr>
              <w:spacing w:after="40" w:before="0" w:line="259" w:lineRule="auto"/>
            </w:pPr>
            <w:r>
              <w:rPr>
                <w:rFonts w:ascii="Calibri" w:hAnsi="Calibri"/>
                <w:b w:val="0"/>
                <w:i w:val="0"/>
                <w:color w:val="212121"/>
                <w:sz w:val="19"/>
              </w:rPr>
              <w:t>&lt; 200 (severe immunosuppression)</w:t>
            </w:r>
          </w:p>
        </w:tc>
        <w:tc>
          <w:tcPr>
            <w:tcW w:type="dxa" w:w="1468"/>
            <w:vAlign w:val="top"/>
          </w:tcPr>
          <w:p>
            <w:pPr>
              <w:spacing w:after="60" w:line="259" w:lineRule="auto"/>
            </w:pPr>
            <w:r>
              <w:rPr>
                <w:rFonts w:ascii="Calibri" w:hAnsi="Calibri"/>
                <w:b w:val="0"/>
                <w:i w:val="0"/>
                <w:color w:val="212121"/>
                <w:sz w:val="19"/>
              </w:rPr>
              <w:t>Low CD4 predisposes to diffuse, atypical and relapsing CL</w:t>
            </w:r>
          </w:p>
          <w:p>
            <w:pPr>
              <w:spacing w:after="40" w:line="252" w:lineRule="auto"/>
            </w:pPr>
            <w:hyperlink r:id="rId14">
              <w:r>
                <w:rPr>
                  <w:rFonts w:ascii="Calibri" w:hAnsi="Calibri" w:cs="Calibri"/>
                  <w:sz w:val="18"/>
                  <w:color w:val="1155CC"/>
                  <w:u w:val="single"/>
                </w:rPr>
                <w:t xml:space="preserve">https://www.ncbi.nlm.nih.gov/books/NBK531456/</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Insecticide-treated net use</w:t>
            </w:r>
          </w:p>
        </w:tc>
        <w:tc>
          <w:tcPr>
            <w:tcW w:type="dxa" w:w="1655"/>
            <w:vAlign w:val="top"/>
          </w:tcPr>
          <w:p>
            <w:pPr>
              <w:spacing w:after="40" w:before="0" w:line="259" w:lineRule="auto"/>
            </w:pPr>
            <w:r>
              <w:rPr>
                <w:rFonts w:ascii="Calibri" w:hAnsi="Calibri"/>
                <w:b w:val="0"/>
                <w:i w:val="0"/>
                <w:color w:val="212121"/>
                <w:sz w:val="19"/>
              </w:rPr>
              <w:t>Household members in endemic foci</w:t>
            </w:r>
          </w:p>
        </w:tc>
        <w:tc>
          <w:tcPr>
            <w:tcW w:type="dxa" w:w="1512"/>
            <w:vAlign w:val="top"/>
          </w:tcPr>
          <w:p>
            <w:pPr>
              <w:spacing w:after="40" w:before="0" w:line="259" w:lineRule="auto"/>
            </w:pPr>
            <w:r>
              <w:rPr>
                <w:rFonts w:ascii="Calibri" w:hAnsi="Calibri"/>
                <w:b w:val="0"/>
                <w:i w:val="0"/>
                <w:color w:val="212121"/>
                <w:sz w:val="19"/>
              </w:rPr>
              <w:t>Fine-mesh net every night</w:t>
            </w:r>
          </w:p>
        </w:tc>
        <w:tc>
          <w:tcPr>
            <w:tcW w:type="dxa" w:w="1512"/>
            <w:vAlign w:val="top"/>
          </w:tcPr>
          <w:p>
            <w:pPr>
              <w:spacing w:after="40" w:before="0" w:line="259" w:lineRule="auto"/>
            </w:pPr>
            <w:r>
              <w:rPr>
                <w:rFonts w:ascii="Calibri" w:hAnsi="Calibri"/>
                <w:b w:val="0"/>
                <w:i w:val="0"/>
                <w:color w:val="212121"/>
                <w:sz w:val="19"/>
              </w:rPr>
              <w:t>No net / sleeping outdoors</w:t>
            </w:r>
          </w:p>
        </w:tc>
        <w:tc>
          <w:tcPr>
            <w:tcW w:type="dxa" w:w="1468"/>
            <w:vAlign w:val="top"/>
          </w:tcPr>
          <w:p>
            <w:pPr>
              <w:spacing w:after="40" w:before="0" w:line="259" w:lineRule="auto"/>
            </w:pPr>
            <w:r>
              <w:rPr>
                <w:rFonts w:ascii="Calibri" w:hAnsi="Calibri"/>
                <w:b w:val="0"/>
                <w:i w:val="0"/>
                <w:color w:val="212121"/>
                <w:sz w:val="19"/>
              </w:rPr>
              <w:t>Reduces night-time sandfly bites (sandflies pass through ordinary nets)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residual spraying (IRS) coverage</w:t>
            </w:r>
          </w:p>
        </w:tc>
        <w:tc>
          <w:tcPr>
            <w:tcW w:type="dxa" w:w="1655"/>
            <w:vAlign w:val="top"/>
          </w:tcPr>
          <w:p>
            <w:pPr>
              <w:spacing w:after="40" w:before="0" w:line="259" w:lineRule="auto"/>
            </w:pPr>
            <w:r>
              <w:rPr>
                <w:rFonts w:ascii="Calibri" w:hAnsi="Calibri"/>
                <w:b w:val="0"/>
                <w:i w:val="0"/>
                <w:color w:val="212121"/>
                <w:sz w:val="19"/>
              </w:rPr>
              <w:t>Endemic villages</w:t>
            </w:r>
          </w:p>
        </w:tc>
        <w:tc>
          <w:tcPr>
            <w:tcW w:type="dxa" w:w="1512"/>
            <w:vAlign w:val="top"/>
          </w:tcPr>
          <w:p>
            <w:pPr>
              <w:spacing w:after="40" w:before="0" w:line="259" w:lineRule="auto"/>
            </w:pPr>
            <w:r>
              <w:rPr>
                <w:rFonts w:ascii="Calibri" w:hAnsi="Calibri"/>
                <w:b w:val="0"/>
                <w:i w:val="0"/>
                <w:color w:val="212121"/>
                <w:sz w:val="19"/>
              </w:rPr>
              <w:t>High household coverage before peak season</w:t>
            </w:r>
          </w:p>
        </w:tc>
        <w:tc>
          <w:tcPr>
            <w:tcW w:type="dxa" w:w="1512"/>
            <w:vAlign w:val="top"/>
          </w:tcPr>
          <w:p>
            <w:pPr>
              <w:spacing w:after="40" w:before="0" w:line="259" w:lineRule="auto"/>
            </w:pPr>
            <w:r>
              <w:rPr>
                <w:rFonts w:ascii="Calibri" w:hAnsi="Calibri"/>
                <w:b w:val="0"/>
                <w:i w:val="0"/>
                <w:color w:val="212121"/>
                <w:sz w:val="19"/>
              </w:rPr>
              <w:t>Low / no coverage</w:t>
            </w:r>
          </w:p>
        </w:tc>
        <w:tc>
          <w:tcPr>
            <w:tcW w:type="dxa" w:w="1468"/>
            <w:vAlign w:val="top"/>
          </w:tcPr>
          <w:p>
            <w:pPr>
              <w:spacing w:after="40" w:before="0" w:line="259" w:lineRule="auto"/>
            </w:pPr>
            <w:r>
              <w:rPr>
                <w:rFonts w:ascii="Calibri" w:hAnsi="Calibri"/>
                <w:b w:val="0"/>
                <w:i w:val="0"/>
                <w:color w:val="212121"/>
                <w:sz w:val="19"/>
              </w:rPr>
              <w:t>Reduces peri-domestic sandfly density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Sleeping location</w:t>
            </w:r>
          </w:p>
        </w:tc>
        <w:tc>
          <w:tcPr>
            <w:tcW w:type="dxa" w:w="1655"/>
            <w:vAlign w:val="top"/>
          </w:tcPr>
          <w:p>
            <w:pPr>
              <w:spacing w:after="40" w:before="0" w:line="259" w:lineRule="auto"/>
            </w:pPr>
            <w:r>
              <w:rPr>
                <w:rFonts w:ascii="Calibri" w:hAnsi="Calibri"/>
                <w:b w:val="0"/>
                <w:i w:val="0"/>
                <w:color w:val="212121"/>
                <w:sz w:val="19"/>
              </w:rPr>
              <w:t>Rural / desert endemic households</w:t>
            </w:r>
          </w:p>
        </w:tc>
        <w:tc>
          <w:tcPr>
            <w:tcW w:type="dxa" w:w="1512"/>
            <w:vAlign w:val="top"/>
          </w:tcPr>
          <w:p>
            <w:pPr>
              <w:spacing w:after="40" w:before="0" w:line="259" w:lineRule="auto"/>
            </w:pPr>
            <w:r>
              <w:rPr>
                <w:rFonts w:ascii="Calibri" w:hAnsi="Calibri"/>
                <w:b w:val="0"/>
                <w:i w:val="0"/>
                <w:color w:val="212121"/>
                <w:sz w:val="19"/>
              </w:rPr>
              <w:t>Raised cot indoors under a net</w:t>
            </w:r>
          </w:p>
        </w:tc>
        <w:tc>
          <w:tcPr>
            <w:tcW w:type="dxa" w:w="1512"/>
            <w:vAlign w:val="top"/>
          </w:tcPr>
          <w:p>
            <w:pPr>
              <w:spacing w:after="40" w:before="0" w:line="259" w:lineRule="auto"/>
            </w:pPr>
            <w:r>
              <w:rPr>
                <w:rFonts w:ascii="Calibri" w:hAnsi="Calibri"/>
                <w:b w:val="0"/>
                <w:i w:val="0"/>
                <w:color w:val="212121"/>
                <w:sz w:val="19"/>
              </w:rPr>
              <w:t>Rooftop, floor or outdoors without a net</w:t>
            </w:r>
          </w:p>
        </w:tc>
        <w:tc>
          <w:tcPr>
            <w:tcW w:type="dxa" w:w="1468"/>
            <w:vAlign w:val="top"/>
          </w:tcPr>
          <w:p>
            <w:pPr>
              <w:spacing w:after="40" w:before="0" w:line="259" w:lineRule="auto"/>
            </w:pPr>
            <w:r>
              <w:rPr>
                <w:rFonts w:ascii="Calibri" w:hAnsi="Calibri"/>
                <w:b w:val="0"/>
                <w:i w:val="0"/>
                <w:color w:val="212121"/>
                <w:sz w:val="19"/>
              </w:rPr>
              <w:t>Ground-level, unprotected sleep increases exposure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Lesion number &amp; duration</w:t>
            </w:r>
          </w:p>
        </w:tc>
        <w:tc>
          <w:tcPr>
            <w:tcW w:type="dxa" w:w="1655"/>
            <w:vAlign w:val="top"/>
          </w:tcPr>
          <w:p>
            <w:pPr>
              <w:spacing w:after="40" w:before="0" w:line="259" w:lineRule="auto"/>
            </w:pPr>
            <w:r>
              <w:rPr>
                <w:rFonts w:ascii="Calibri" w:hAnsi="Calibri"/>
                <w:b w:val="0"/>
                <w:i w:val="0"/>
                <w:color w:val="212121"/>
                <w:sz w:val="19"/>
              </w:rPr>
              <w:t>Patients with CL</w:t>
            </w:r>
          </w:p>
        </w:tc>
        <w:tc>
          <w:tcPr>
            <w:tcW w:type="dxa" w:w="1512"/>
            <w:vAlign w:val="top"/>
          </w:tcPr>
          <w:p>
            <w:pPr>
              <w:spacing w:after="40" w:before="0" w:line="259" w:lineRule="auto"/>
            </w:pPr>
            <w:r>
              <w:rPr>
                <w:rFonts w:ascii="Calibri" w:hAnsi="Calibri"/>
                <w:b w:val="0"/>
                <w:i w:val="0"/>
                <w:color w:val="212121"/>
                <w:sz w:val="19"/>
              </w:rPr>
              <w:t>Single lesion, self-healing &lt; 6 months</w:t>
            </w:r>
          </w:p>
        </w:tc>
        <w:tc>
          <w:tcPr>
            <w:tcW w:type="dxa" w:w="1512"/>
            <w:vAlign w:val="top"/>
          </w:tcPr>
          <w:p>
            <w:pPr>
              <w:spacing w:after="40" w:before="0" w:line="259" w:lineRule="auto"/>
            </w:pPr>
            <w:r>
              <w:rPr>
                <w:rFonts w:ascii="Calibri" w:hAnsi="Calibri"/>
                <w:b w:val="0"/>
                <w:i w:val="0"/>
                <w:color w:val="212121"/>
                <w:sz w:val="19"/>
              </w:rPr>
              <w:t>Multiple lesions or non-healing &gt; 6–12 months</w:t>
            </w:r>
          </w:p>
        </w:tc>
        <w:tc>
          <w:tcPr>
            <w:tcW w:type="dxa" w:w="1468"/>
            <w:vAlign w:val="top"/>
          </w:tcPr>
          <w:p>
            <w:pPr>
              <w:spacing w:after="60" w:line="259" w:lineRule="auto"/>
            </w:pPr>
            <w:r>
              <w:rPr>
                <w:rFonts w:ascii="Calibri" w:hAnsi="Calibri"/>
                <w:b w:val="0"/>
                <w:i w:val="0"/>
                <w:color w:val="212121"/>
                <w:sz w:val="19"/>
              </w:rPr>
              <w:t>Multiplicity/chronicity suggests impaired immunity and need for systemic therapy</w:t>
            </w:r>
          </w:p>
          <w:p>
            <w:pPr>
              <w:spacing w:after="40" w:line="252" w:lineRule="auto"/>
            </w:pPr>
            <w:hyperlink r:id="rId14">
              <w:r>
                <w:rPr>
                  <w:rFonts w:ascii="Calibri" w:hAnsi="Calibri" w:cs="Calibri"/>
                  <w:sz w:val="18"/>
                  <w:color w:val="1155CC"/>
                  <w:u w:val="single"/>
                </w:rPr>
                <w:t xml:space="preserve">https://www.ncbi.nlm.nih.gov/books/NBK531456/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Leishmanin (Montenegro) skin test</w:t>
            </w:r>
          </w:p>
        </w:tc>
        <w:tc>
          <w:tcPr>
            <w:tcW w:type="dxa" w:w="1655"/>
            <w:vAlign w:val="top"/>
          </w:tcPr>
          <w:p>
            <w:pPr>
              <w:spacing w:after="40" w:before="0" w:line="259" w:lineRule="auto"/>
            </w:pPr>
            <w:r>
              <w:rPr>
                <w:rFonts w:ascii="Calibri" w:hAnsi="Calibri"/>
                <w:b w:val="0"/>
                <w:i w:val="0"/>
                <w:color w:val="212121"/>
                <w:sz w:val="19"/>
              </w:rPr>
              <w:t>Patients with CL</w:t>
            </w:r>
          </w:p>
        </w:tc>
        <w:tc>
          <w:tcPr>
            <w:tcW w:type="dxa" w:w="1512"/>
            <w:vAlign w:val="top"/>
          </w:tcPr>
          <w:p>
            <w:pPr>
              <w:spacing w:after="40" w:before="0" w:line="259" w:lineRule="auto"/>
            </w:pPr>
            <w:r>
              <w:rPr>
                <w:rFonts w:ascii="Calibri" w:hAnsi="Calibri"/>
                <w:b w:val="0"/>
                <w:i w:val="0"/>
                <w:color w:val="212121"/>
                <w:sz w:val="19"/>
              </w:rPr>
              <w:t>≥ 5 mm induration (localized CL)</w:t>
            </w:r>
          </w:p>
        </w:tc>
        <w:tc>
          <w:tcPr>
            <w:tcW w:type="dxa" w:w="1512"/>
            <w:vAlign w:val="top"/>
          </w:tcPr>
          <w:p>
            <w:pPr>
              <w:spacing w:after="40" w:before="0" w:line="259" w:lineRule="auto"/>
            </w:pPr>
            <w:r>
              <w:rPr>
                <w:rFonts w:ascii="Calibri" w:hAnsi="Calibri"/>
                <w:b w:val="0"/>
                <w:i w:val="0"/>
                <w:color w:val="212121"/>
                <w:sz w:val="19"/>
              </w:rPr>
              <w:t>Negative (diffuse / anergic disease)</w:t>
            </w:r>
          </w:p>
        </w:tc>
        <w:tc>
          <w:tcPr>
            <w:tcW w:type="dxa" w:w="1468"/>
            <w:vAlign w:val="top"/>
          </w:tcPr>
          <w:p>
            <w:pPr>
              <w:spacing w:after="60" w:line="259" w:lineRule="auto"/>
            </w:pPr>
            <w:r>
              <w:rPr>
                <w:rFonts w:ascii="Calibri" w:hAnsi="Calibri"/>
                <w:b w:val="0"/>
                <w:i w:val="0"/>
                <w:color w:val="212121"/>
                <w:sz w:val="19"/>
              </w:rPr>
              <w:t>Reflects cell-mediated immune competence</w:t>
            </w:r>
          </w:p>
          <w:p>
            <w:pPr>
              <w:spacing w:after="40" w:line="252" w:lineRule="auto"/>
            </w:pPr>
            <w:hyperlink r:id="rId14">
              <w:r>
                <w:rPr>
                  <w:rFonts w:ascii="Calibri" w:hAnsi="Calibri" w:cs="Calibri"/>
                  <w:sz w:val="18"/>
                  <w:color w:val="1155CC"/>
                  <w:u w:val="single"/>
                </w:rPr>
                <w:t xml:space="preserve">https://www.ncbi.nlm.nih.gov/books/NBK531456/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Amastigotes (Leishman–Donovan bodies)</w:t>
            </w:r>
          </w:p>
        </w:tc>
        <w:tc>
          <w:tcPr>
            <w:tcW w:type="dxa" w:w="892"/>
            <w:vAlign w:val="top"/>
          </w:tcPr>
          <w:p>
            <w:pPr>
              <w:spacing w:after="40" w:before="0" w:line="259" w:lineRule="auto"/>
            </w:pPr>
            <w:r>
              <w:rPr>
                <w:rFonts w:ascii="Calibri" w:hAnsi="Calibri"/>
                <w:b w:val="0"/>
                <w:i w:val="0"/>
                <w:color w:val="212121"/>
                <w:sz w:val="16"/>
              </w:rPr>
              <w:t>Slit-skin smear / dermal scraping (Giemsa)</w:t>
            </w:r>
          </w:p>
        </w:tc>
        <w:tc>
          <w:tcPr>
            <w:tcW w:type="dxa" w:w="950"/>
            <w:vAlign w:val="top"/>
          </w:tcPr>
          <w:p>
            <w:pPr>
              <w:spacing w:after="40" w:before="0" w:line="259" w:lineRule="auto"/>
            </w:pPr>
            <w:r>
              <w:rPr>
                <w:rFonts w:ascii="Calibri" w:hAnsi="Calibri"/>
                <w:b w:val="0"/>
                <w:i w:val="0"/>
                <w:color w:val="212121"/>
                <w:sz w:val="16"/>
              </w:rPr>
              <w:t>No amastigotes</w:t>
            </w:r>
          </w:p>
        </w:tc>
        <w:tc>
          <w:tcPr>
            <w:tcW w:type="dxa" w:w="950"/>
            <w:vAlign w:val="top"/>
          </w:tcPr>
          <w:p>
            <w:pPr>
              <w:spacing w:after="40" w:before="0" w:line="259" w:lineRule="auto"/>
            </w:pPr>
            <w:r>
              <w:rPr>
                <w:rFonts w:ascii="Calibri" w:hAnsi="Calibri"/>
                <w:b w:val="0"/>
                <w:i w:val="0"/>
                <w:color w:val="212121"/>
                <w:sz w:val="16"/>
              </w:rPr>
              <w:t>Amastigotes with kinetoplast seen</w:t>
            </w:r>
          </w:p>
        </w:tc>
        <w:tc>
          <w:tcPr>
            <w:tcW w:type="dxa" w:w="1036"/>
            <w:vAlign w:val="top"/>
          </w:tcPr>
          <w:p>
            <w:pPr>
              <w:spacing w:after="40" w:before="0" w:line="259" w:lineRule="auto"/>
            </w:pPr>
            <w:r>
              <w:rPr>
                <w:rFonts w:ascii="Calibri" w:hAnsi="Calibri"/>
                <w:b w:val="0"/>
                <w:i w:val="0"/>
                <w:color w:val="212121"/>
                <w:sz w:val="16"/>
              </w:rPr>
              <w:t>Simplest first-line parasitological confirmation, taken from the raised active edge of the lesion</w:t>
            </w:r>
          </w:p>
        </w:tc>
        <w:tc>
          <w:tcPr>
            <w:tcW w:type="dxa" w:w="1036"/>
            <w:vAlign w:val="top"/>
          </w:tcPr>
          <w:p>
            <w:pPr>
              <w:spacing w:after="40" w:before="0" w:line="259" w:lineRule="auto"/>
            </w:pPr>
            <w:r>
              <w:rPr>
                <w:rFonts w:ascii="Calibri" w:hAnsi="Calibri"/>
                <w:b w:val="0"/>
                <w:i w:val="0"/>
                <w:color w:val="212121"/>
                <w:sz w:val="16"/>
              </w:rPr>
              <w:t>Suspected CL in endemic area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First-line (field)</w:t>
            </w:r>
          </w:p>
        </w:tc>
        <w:tc>
          <w:tcPr>
            <w:tcW w:type="dxa" w:w="720"/>
            <w:vAlign w:val="top"/>
          </w:tcPr>
          <w:p>
            <w:pPr>
              <w:spacing w:after="40" w:before="0" w:line="259" w:lineRule="auto"/>
            </w:pPr>
            <w:r>
              <w:rPr>
                <w:rFonts w:ascii="Calibri" w:hAnsi="Calibri"/>
                <w:b w:val="0"/>
                <w:i w:val="0"/>
                <w:color w:val="212121"/>
                <w:sz w:val="16"/>
              </w:rPr>
              <w:t>Sample the indurated border, not the ulcer floor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Histopathological</w:t>
            </w:r>
          </w:p>
        </w:tc>
        <w:tc>
          <w:tcPr>
            <w:tcW w:type="dxa" w:w="1036"/>
            <w:vAlign w:val="top"/>
          </w:tcPr>
          <w:p>
            <w:pPr>
              <w:spacing w:after="40" w:before="0" w:line="259" w:lineRule="auto"/>
            </w:pPr>
            <w:r>
              <w:rPr>
                <w:rFonts w:ascii="Calibri" w:hAnsi="Calibri"/>
                <w:b w:val="0"/>
                <w:i w:val="0"/>
                <w:color w:val="212121"/>
                <w:sz w:val="16"/>
              </w:rPr>
              <w:t>Amastigotes in dermal macrophages</w:t>
            </w:r>
          </w:p>
        </w:tc>
        <w:tc>
          <w:tcPr>
            <w:tcW w:type="dxa" w:w="892"/>
            <w:vAlign w:val="top"/>
          </w:tcPr>
          <w:p>
            <w:pPr>
              <w:spacing w:after="40" w:before="0" w:line="259" w:lineRule="auto"/>
            </w:pPr>
            <w:r>
              <w:rPr>
                <w:rFonts w:ascii="Calibri" w:hAnsi="Calibri"/>
                <w:b w:val="0"/>
                <w:i w:val="0"/>
                <w:color w:val="212121"/>
                <w:sz w:val="16"/>
              </w:rPr>
              <w:t>Skin biopsy histopathology / press-imprint smear</w:t>
            </w:r>
          </w:p>
        </w:tc>
        <w:tc>
          <w:tcPr>
            <w:tcW w:type="dxa" w:w="950"/>
            <w:vAlign w:val="top"/>
          </w:tcPr>
          <w:p>
            <w:pPr>
              <w:spacing w:after="40" w:before="0" w:line="259" w:lineRule="auto"/>
            </w:pPr>
            <w:r>
              <w:rPr>
                <w:rFonts w:ascii="Calibri" w:hAnsi="Calibri"/>
                <w:b w:val="0"/>
                <w:i w:val="0"/>
                <w:color w:val="212121"/>
                <w:sz w:val="16"/>
              </w:rPr>
              <w:t>No amastigotes</w:t>
            </w:r>
          </w:p>
        </w:tc>
        <w:tc>
          <w:tcPr>
            <w:tcW w:type="dxa" w:w="950"/>
            <w:vAlign w:val="top"/>
          </w:tcPr>
          <w:p>
            <w:pPr>
              <w:spacing w:after="40" w:before="0" w:line="259" w:lineRule="auto"/>
            </w:pPr>
            <w:r>
              <w:rPr>
                <w:rFonts w:ascii="Calibri" w:hAnsi="Calibri"/>
                <w:b w:val="0"/>
                <w:i w:val="0"/>
                <w:color w:val="212121"/>
                <w:sz w:val="16"/>
              </w:rPr>
              <w:t>Amastigotes with granulomatous dermal infiltrate</w:t>
            </w:r>
          </w:p>
        </w:tc>
        <w:tc>
          <w:tcPr>
            <w:tcW w:type="dxa" w:w="1036"/>
            <w:vAlign w:val="top"/>
          </w:tcPr>
          <w:p>
            <w:pPr>
              <w:spacing w:after="40" w:before="0" w:line="259" w:lineRule="auto"/>
            </w:pPr>
            <w:r>
              <w:rPr>
                <w:rFonts w:ascii="Calibri" w:hAnsi="Calibri"/>
                <w:b w:val="0"/>
                <w:i w:val="0"/>
                <w:color w:val="212121"/>
                <w:sz w:val="16"/>
              </w:rPr>
              <w:t>Confirms diagnosis and excludes mimics (TB, leprosy, malignancy); imprint smear is more sensitive than routine histology</w:t>
            </w:r>
          </w:p>
        </w:tc>
        <w:tc>
          <w:tcPr>
            <w:tcW w:type="dxa" w:w="1036"/>
            <w:vAlign w:val="top"/>
          </w:tcPr>
          <w:p>
            <w:pPr>
              <w:spacing w:after="40" w:before="0" w:line="259" w:lineRule="auto"/>
            </w:pPr>
            <w:r>
              <w:rPr>
                <w:rFonts w:ascii="Calibri" w:hAnsi="Calibri"/>
                <w:b w:val="0"/>
                <w:i w:val="0"/>
                <w:color w:val="212121"/>
                <w:sz w:val="16"/>
              </w:rPr>
              <w:t>Atypical or chronic lesions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Useful when smear is negative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Culture</w:t>
            </w:r>
          </w:p>
        </w:tc>
        <w:tc>
          <w:tcPr>
            <w:tcW w:type="dxa" w:w="1036"/>
            <w:vAlign w:val="top"/>
          </w:tcPr>
          <w:p>
            <w:pPr>
              <w:spacing w:after="40" w:before="0" w:line="259" w:lineRule="auto"/>
            </w:pPr>
            <w:r>
              <w:rPr>
                <w:rFonts w:ascii="Calibri" w:hAnsi="Calibri"/>
                <w:b w:val="0"/>
                <w:i w:val="0"/>
                <w:color w:val="212121"/>
                <w:sz w:val="16"/>
              </w:rPr>
              <w:t>Promastigotes</w:t>
            </w:r>
          </w:p>
        </w:tc>
        <w:tc>
          <w:tcPr>
            <w:tcW w:type="dxa" w:w="892"/>
            <w:vAlign w:val="top"/>
          </w:tcPr>
          <w:p>
            <w:pPr>
              <w:spacing w:after="40" w:before="0" w:line="259" w:lineRule="auto"/>
            </w:pPr>
            <w:r>
              <w:rPr>
                <w:rFonts w:ascii="Calibri" w:hAnsi="Calibri"/>
                <w:b w:val="0"/>
                <w:i w:val="0"/>
                <w:color w:val="212121"/>
                <w:sz w:val="16"/>
              </w:rPr>
              <w:t>Novy–MacNeal–Nicolle (NNN) culture</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Promastigote growth</w:t>
            </w:r>
          </w:p>
        </w:tc>
        <w:tc>
          <w:tcPr>
            <w:tcW w:type="dxa" w:w="1036"/>
            <w:vAlign w:val="top"/>
          </w:tcPr>
          <w:p>
            <w:pPr>
              <w:spacing w:after="40" w:before="0" w:line="259" w:lineRule="auto"/>
            </w:pPr>
            <w:r>
              <w:rPr>
                <w:rFonts w:ascii="Calibri" w:hAnsi="Calibri"/>
                <w:b w:val="0"/>
                <w:i w:val="0"/>
                <w:color w:val="212121"/>
                <w:sz w:val="16"/>
              </w:rPr>
              <w:t>Confirms viable parasite and enables speciation; sensitivity is low, higher with micro-culture</w:t>
            </w:r>
          </w:p>
        </w:tc>
        <w:tc>
          <w:tcPr>
            <w:tcW w:type="dxa" w:w="1036"/>
            <w:vAlign w:val="top"/>
          </w:tcPr>
          <w:p>
            <w:pPr>
              <w:spacing w:after="40" w:before="0" w:line="259" w:lineRule="auto"/>
            </w:pPr>
            <w:r>
              <w:rPr>
                <w:rFonts w:ascii="Calibri" w:hAnsi="Calibri"/>
                <w:b w:val="0"/>
                <w:i w:val="0"/>
                <w:color w:val="212121"/>
                <w:sz w:val="16"/>
              </w:rPr>
              <w:t>Confirmation &amp; speciation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Slow; requires specialised laboratory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Leishmania DNA / species</w:t>
            </w:r>
          </w:p>
        </w:tc>
        <w:tc>
          <w:tcPr>
            <w:tcW w:type="dxa" w:w="892"/>
            <w:vAlign w:val="top"/>
          </w:tcPr>
          <w:p>
            <w:pPr>
              <w:spacing w:after="40" w:before="0" w:line="259" w:lineRule="auto"/>
            </w:pPr>
            <w:r>
              <w:rPr>
                <w:rFonts w:ascii="Calibri" w:hAnsi="Calibri"/>
                <w:b w:val="0"/>
                <w:i w:val="0"/>
                <w:color w:val="212121"/>
                <w:sz w:val="16"/>
              </w:rPr>
              <w:t>PCR &amp; sequencing</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Detected; species identified</w:t>
            </w:r>
          </w:p>
        </w:tc>
        <w:tc>
          <w:tcPr>
            <w:tcW w:type="dxa" w:w="1036"/>
            <w:vAlign w:val="top"/>
          </w:tcPr>
          <w:p>
            <w:pPr>
              <w:spacing w:after="40" w:before="0" w:line="259" w:lineRule="auto"/>
            </w:pPr>
            <w:r>
              <w:rPr>
                <w:rFonts w:ascii="Calibri" w:hAnsi="Calibri"/>
                <w:b w:val="0"/>
                <w:i w:val="0"/>
                <w:color w:val="212121"/>
                <w:sz w:val="16"/>
              </w:rPr>
              <w:t>Most sensitive method; distinguishes L. tropica, L. major and dermotropic L. donovani, guiding prognosis and therapy</w:t>
            </w:r>
          </w:p>
        </w:tc>
        <w:tc>
          <w:tcPr>
            <w:tcW w:type="dxa" w:w="1036"/>
            <w:vAlign w:val="top"/>
          </w:tcPr>
          <w:p>
            <w:pPr>
              <w:spacing w:after="40" w:before="0" w:line="259" w:lineRule="auto"/>
            </w:pPr>
            <w:r>
              <w:rPr>
                <w:rFonts w:ascii="Calibri" w:hAnsi="Calibri"/>
                <w:b w:val="0"/>
                <w:i w:val="0"/>
                <w:color w:val="212121"/>
                <w:sz w:val="16"/>
              </w:rPr>
              <w:t>Atypical, chronic or research settings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Advanced (species ID)</w:t>
            </w:r>
          </w:p>
        </w:tc>
        <w:tc>
          <w:tcPr>
            <w:tcW w:type="dxa" w:w="720"/>
            <w:vAlign w:val="top"/>
          </w:tcPr>
          <w:p>
            <w:pPr>
              <w:spacing w:after="40" w:before="0" w:line="259" w:lineRule="auto"/>
            </w:pPr>
            <w:r>
              <w:rPr>
                <w:rFonts w:ascii="Calibri" w:hAnsi="Calibri"/>
                <w:b w:val="0"/>
                <w:i w:val="0"/>
                <w:color w:val="212121"/>
                <w:sz w:val="16"/>
              </w:rPr>
              <w:t>Indian CL and VL strains can be genetically related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Leishmanin (Montenegro) skin test</w:t>
            </w:r>
          </w:p>
        </w:tc>
        <w:tc>
          <w:tcPr>
            <w:tcW w:type="dxa" w:w="892"/>
            <w:vAlign w:val="top"/>
          </w:tcPr>
          <w:p>
            <w:pPr>
              <w:spacing w:after="40" w:before="0" w:line="259" w:lineRule="auto"/>
            </w:pPr>
            <w:r>
              <w:rPr>
                <w:rFonts w:ascii="Calibri" w:hAnsi="Calibri"/>
                <w:b w:val="0"/>
                <w:i w:val="0"/>
                <w:color w:val="212121"/>
                <w:sz w:val="16"/>
              </w:rPr>
              <w:t>Intradermal delayed-type hypersensitivity</w:t>
            </w:r>
          </w:p>
        </w:tc>
        <w:tc>
          <w:tcPr>
            <w:tcW w:type="dxa" w:w="950"/>
            <w:vAlign w:val="top"/>
          </w:tcPr>
          <w:p>
            <w:pPr>
              <w:spacing w:after="40" w:before="0" w:line="259" w:lineRule="auto"/>
            </w:pPr>
            <w:r>
              <w:rPr>
                <w:rFonts w:ascii="Calibri" w:hAnsi="Calibri"/>
                <w:b w:val="0"/>
                <w:i w:val="0"/>
                <w:color w:val="212121"/>
                <w:sz w:val="16"/>
              </w:rPr>
              <w:t>≥ 5 mm induration in localized CL</w:t>
            </w:r>
          </w:p>
        </w:tc>
        <w:tc>
          <w:tcPr>
            <w:tcW w:type="dxa" w:w="950"/>
            <w:vAlign w:val="top"/>
          </w:tcPr>
          <w:p>
            <w:pPr>
              <w:spacing w:after="40" w:before="0" w:line="259" w:lineRule="auto"/>
            </w:pPr>
            <w:r>
              <w:rPr>
                <w:rFonts w:ascii="Calibri" w:hAnsi="Calibri"/>
                <w:b w:val="0"/>
                <w:i w:val="0"/>
                <w:color w:val="212121"/>
                <w:sz w:val="16"/>
              </w:rPr>
              <w:t>Negative in diffuse/anergic disease</w:t>
            </w:r>
          </w:p>
        </w:tc>
        <w:tc>
          <w:tcPr>
            <w:tcW w:type="dxa" w:w="1036"/>
            <w:vAlign w:val="top"/>
          </w:tcPr>
          <w:p>
            <w:pPr>
              <w:spacing w:after="40" w:before="0" w:line="259" w:lineRule="auto"/>
            </w:pPr>
            <w:r>
              <w:rPr>
                <w:rFonts w:ascii="Calibri" w:hAnsi="Calibri"/>
                <w:b w:val="0"/>
                <w:i w:val="0"/>
                <w:color w:val="212121"/>
                <w:sz w:val="16"/>
              </w:rPr>
              <w:t>Reflects cell-mediated immunity; supports localized CL and helps identify anergic diffuse disease</w:t>
            </w:r>
          </w:p>
        </w:tc>
        <w:tc>
          <w:tcPr>
            <w:tcW w:type="dxa" w:w="1036"/>
            <w:vAlign w:val="top"/>
          </w:tcPr>
          <w:p>
            <w:pPr>
              <w:spacing w:after="40" w:before="0" w:line="259" w:lineRule="auto"/>
            </w:pPr>
            <w:r>
              <w:rPr>
                <w:rFonts w:ascii="Calibri" w:hAnsi="Calibri"/>
                <w:b w:val="0"/>
                <w:i w:val="0"/>
                <w:color w:val="212121"/>
                <w:sz w:val="16"/>
              </w:rPr>
              <w:t>Localized vs diffuse CL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diagnostic on its own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 / haematological</w:t>
            </w:r>
          </w:p>
        </w:tc>
        <w:tc>
          <w:tcPr>
            <w:tcW w:type="dxa" w:w="1036"/>
            <w:vAlign w:val="top"/>
          </w:tcPr>
          <w:p>
            <w:pPr>
              <w:spacing w:after="40" w:before="0" w:line="259" w:lineRule="auto"/>
            </w:pPr>
            <w:r>
              <w:rPr>
                <w:rFonts w:ascii="Calibri" w:hAnsi="Calibri"/>
                <w:b w:val="0"/>
                <w:i w:val="0"/>
                <w:color w:val="212121"/>
                <w:sz w:val="16"/>
              </w:rPr>
              <w:t>HIV status, CBC</w:t>
            </w:r>
          </w:p>
        </w:tc>
        <w:tc>
          <w:tcPr>
            <w:tcW w:type="dxa" w:w="892"/>
            <w:vAlign w:val="top"/>
          </w:tcPr>
          <w:p>
            <w:pPr>
              <w:spacing w:after="40" w:before="0" w:line="259" w:lineRule="auto"/>
            </w:pPr>
            <w:r>
              <w:rPr>
                <w:rFonts w:ascii="Calibri" w:hAnsi="Calibri"/>
                <w:b w:val="0"/>
                <w:i w:val="0"/>
                <w:color w:val="212121"/>
                <w:sz w:val="16"/>
              </w:rPr>
              <w:t>HIV screening + complete blood count</w:t>
            </w:r>
          </w:p>
        </w:tc>
        <w:tc>
          <w:tcPr>
            <w:tcW w:type="dxa" w:w="950"/>
            <w:vAlign w:val="top"/>
          </w:tcPr>
          <w:p>
            <w:pPr>
              <w:spacing w:after="40" w:before="0" w:line="259" w:lineRule="auto"/>
            </w:pPr>
            <w:r>
              <w:rPr>
                <w:rFonts w:ascii="Calibri" w:hAnsi="Calibri"/>
                <w:b w:val="0"/>
                <w:i w:val="0"/>
                <w:color w:val="212121"/>
                <w:sz w:val="16"/>
              </w:rPr>
              <w:t>Non-reactive; normal counts</w:t>
            </w:r>
          </w:p>
        </w:tc>
        <w:tc>
          <w:tcPr>
            <w:tcW w:type="dxa" w:w="950"/>
            <w:vAlign w:val="top"/>
          </w:tcPr>
          <w:p>
            <w:pPr>
              <w:spacing w:after="40" w:before="0" w:line="259" w:lineRule="auto"/>
            </w:pPr>
            <w:r>
              <w:rPr>
                <w:rFonts w:ascii="Calibri" w:hAnsi="Calibri"/>
                <w:b w:val="0"/>
                <w:i w:val="0"/>
                <w:color w:val="212121"/>
                <w:sz w:val="16"/>
              </w:rPr>
              <w:t>Reactive / cytopenias</w:t>
            </w:r>
          </w:p>
        </w:tc>
        <w:tc>
          <w:tcPr>
            <w:tcW w:type="dxa" w:w="1036"/>
            <w:vAlign w:val="top"/>
          </w:tcPr>
          <w:p>
            <w:pPr>
              <w:spacing w:after="40" w:before="0" w:line="259" w:lineRule="auto"/>
            </w:pPr>
            <w:r>
              <w:rPr>
                <w:rFonts w:ascii="Calibri" w:hAnsi="Calibri"/>
                <w:b w:val="0"/>
                <w:i w:val="0"/>
                <w:color w:val="212121"/>
                <w:sz w:val="16"/>
              </w:rPr>
              <w:t>Identifies immunosuppression that predisposes to atypical, diffuse or relapsing disease</w:t>
            </w:r>
          </w:p>
        </w:tc>
        <w:tc>
          <w:tcPr>
            <w:tcW w:type="dxa" w:w="1036"/>
            <w:vAlign w:val="top"/>
          </w:tcPr>
          <w:p>
            <w:pPr>
              <w:spacing w:after="40" w:before="0" w:line="259" w:lineRule="auto"/>
            </w:pPr>
            <w:r>
              <w:rPr>
                <w:rFonts w:ascii="Calibri" w:hAnsi="Calibri"/>
                <w:b w:val="0"/>
                <w:i w:val="0"/>
                <w:color w:val="212121"/>
                <w:sz w:val="16"/>
              </w:rPr>
              <w:t>Multiple/atypical lesions,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in atypical CL</w:t>
            </w:r>
          </w:p>
        </w:tc>
        <w:tc>
          <w:tcPr>
            <w:tcW w:type="dxa" w:w="720"/>
            <w:vAlign w:val="top"/>
          </w:tcPr>
          <w:p>
            <w:pPr>
              <w:spacing w:after="40" w:before="0" w:line="259" w:lineRule="auto"/>
            </w:pPr>
            <w:r>
              <w:rPr>
                <w:rFonts w:ascii="Calibri" w:hAnsi="Calibri"/>
                <w:b w:val="0"/>
                <w:i w:val="0"/>
                <w:color w:val="212121"/>
                <w:sz w:val="16"/>
              </w:rPr>
              <w:t>Screen for visceralisation if immunocompromised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&amp; liver function</w:t>
            </w:r>
          </w:p>
        </w:tc>
        <w:tc>
          <w:tcPr>
            <w:tcW w:type="dxa" w:w="892"/>
            <w:vAlign w:val="top"/>
          </w:tcPr>
          <w:p>
            <w:pPr>
              <w:spacing w:after="40" w:before="0" w:line="259" w:lineRule="auto"/>
            </w:pPr>
            <w:r>
              <w:rPr>
                <w:rFonts w:ascii="Calibri" w:hAnsi="Calibri"/>
                <w:b w:val="0"/>
                <w:i w:val="0"/>
                <w:color w:val="212121"/>
                <w:sz w:val="16"/>
              </w:rPr>
              <w:t>RFT / LFT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Deranged</w:t>
            </w:r>
          </w:p>
        </w:tc>
        <w:tc>
          <w:tcPr>
            <w:tcW w:type="dxa" w:w="1036"/>
            <w:vAlign w:val="top"/>
          </w:tcPr>
          <w:p>
            <w:pPr>
              <w:spacing w:after="40" w:before="0" w:line="259" w:lineRule="auto"/>
            </w:pPr>
            <w:r>
              <w:rPr>
                <w:rFonts w:ascii="Calibri" w:hAnsi="Calibri"/>
                <w:b w:val="0"/>
                <w:i w:val="0"/>
                <w:color w:val="212121"/>
                <w:sz w:val="16"/>
              </w:rPr>
              <w:t>Baseline and monitoring before systemic pentavalent antimonials, amphotericin B or miltefosine (nephro-/hepatotoxicity; miltefosine is teratogenic)</w:t>
            </w:r>
          </w:p>
        </w:tc>
        <w:tc>
          <w:tcPr>
            <w:tcW w:type="dxa" w:w="1036"/>
            <w:vAlign w:val="top"/>
          </w:tcPr>
          <w:p>
            <w:pPr>
              <w:spacing w:after="40" w:before="0" w:line="259" w:lineRule="auto"/>
            </w:pPr>
            <w:r>
              <w:rPr>
                <w:rFonts w:ascii="Calibri" w:hAnsi="Calibri"/>
                <w:b w:val="0"/>
                <w:i w:val="0"/>
                <w:color w:val="212121"/>
                <w:sz w:val="16"/>
              </w:rPr>
              <w:t>Patients starting systemic therapy</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Also check pregnancy status before miltefosine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Lesion history</w:t>
            </w:r>
          </w:p>
        </w:tc>
        <w:tc>
          <w:tcPr>
            <w:tcW w:type="dxa" w:w="979"/>
            <w:vAlign w:val="top"/>
          </w:tcPr>
          <w:p>
            <w:pPr>
              <w:spacing w:after="40" w:before="0" w:line="259" w:lineRule="auto"/>
            </w:pPr>
            <w:r>
              <w:rPr>
                <w:rFonts w:ascii="Calibri" w:hAnsi="Calibri"/>
                <w:b w:val="0"/>
                <w:i w:val="0"/>
                <w:color w:val="212121"/>
                <w:sz w:val="16"/>
              </w:rPr>
              <w:t>Chronic non-healing skin lesion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Weeks-to-months painless papule/nodule/ulcer unresponsive to antibiotics</w:t>
            </w:r>
          </w:p>
        </w:tc>
        <w:tc>
          <w:tcPr>
            <w:tcW w:type="dxa" w:w="1036"/>
            <w:vAlign w:val="top"/>
          </w:tcPr>
          <w:p>
            <w:pPr>
              <w:spacing w:after="40" w:before="0" w:line="259" w:lineRule="auto"/>
            </w:pPr>
            <w:r>
              <w:rPr>
                <w:rFonts w:ascii="Calibri" w:hAnsi="Calibri"/>
                <w:b w:val="0"/>
                <w:i w:val="0"/>
                <w:color w:val="212121"/>
                <w:sz w:val="16"/>
              </w:rPr>
              <w:t>Cardinal clue to CL</w:t>
            </w:r>
          </w:p>
        </w:tc>
        <w:tc>
          <w:tcPr>
            <w:tcW w:type="dxa" w:w="1036"/>
            <w:vAlign w:val="top"/>
          </w:tcPr>
          <w:p>
            <w:pPr>
              <w:spacing w:after="40" w:before="0" w:line="259" w:lineRule="auto"/>
            </w:pPr>
            <w:r>
              <w:rPr>
                <w:rFonts w:ascii="Calibri" w:hAnsi="Calibri"/>
                <w:b w:val="0"/>
                <w:i w:val="0"/>
                <w:color w:val="212121"/>
                <w:sz w:val="16"/>
              </w:rPr>
              <w:t>Endemic-area residents &amp; travellers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time course and prior treatments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Residence / travel</w:t>
            </w:r>
          </w:p>
        </w:tc>
        <w:tc>
          <w:tcPr>
            <w:tcW w:type="dxa" w:w="979"/>
            <w:vAlign w:val="top"/>
          </w:tcPr>
          <w:p>
            <w:pPr>
              <w:spacing w:after="40" w:before="0" w:line="259" w:lineRule="auto"/>
            </w:pPr>
            <w:r>
              <w:rPr>
                <w:rFonts w:ascii="Calibri" w:hAnsi="Calibri"/>
                <w:b w:val="0"/>
                <w:i w:val="0"/>
                <w:color w:val="212121"/>
                <w:sz w:val="16"/>
              </w:rPr>
              <w:t>Stay in endemic focus (Bikaner/Thar, Himachal, or Middle East/Central Asia)</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Residence or travel in an endemic area in preceding weeks-months</w:t>
            </w:r>
          </w:p>
        </w:tc>
        <w:tc>
          <w:tcPr>
            <w:tcW w:type="dxa" w:w="1036"/>
            <w:vAlign w:val="top"/>
          </w:tcPr>
          <w:p>
            <w:pPr>
              <w:spacing w:after="40" w:before="0" w:line="259" w:lineRule="auto"/>
            </w:pPr>
            <w:r>
              <w:rPr>
                <w:rFonts w:ascii="Calibri" w:hAnsi="Calibri"/>
                <w:b w:val="0"/>
                <w:i w:val="0"/>
                <w:color w:val="212121"/>
                <w:sz w:val="16"/>
              </w:rPr>
              <w:t>Establishes epidemiological risk and likely species</w:t>
            </w:r>
          </w:p>
        </w:tc>
        <w:tc>
          <w:tcPr>
            <w:tcW w:type="dxa" w:w="1036"/>
            <w:vAlign w:val="top"/>
          </w:tcPr>
          <w:p>
            <w:pPr>
              <w:spacing w:after="40" w:before="0" w:line="259" w:lineRule="auto"/>
            </w:pPr>
            <w:r>
              <w:rPr>
                <w:rFonts w:ascii="Calibri" w:hAnsi="Calibri"/>
                <w:b w:val="0"/>
                <w:i w:val="0"/>
                <w:color w:val="212121"/>
                <w:sz w:val="16"/>
              </w:rPr>
              <w:t>Migrants, travellers, armed forces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 tropica in Rajasthan; L. donovani CL in Himachal Pradesh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Lesion morphology &amp; site</w:t>
            </w:r>
          </w:p>
        </w:tc>
        <w:tc>
          <w:tcPr>
            <w:tcW w:type="dxa" w:w="979"/>
            <w:vAlign w:val="top"/>
          </w:tcPr>
          <w:p>
            <w:pPr>
              <w:spacing w:after="40" w:before="0" w:line="259" w:lineRule="auto"/>
            </w:pPr>
            <w:r>
              <w:rPr>
                <w:rFonts w:ascii="Calibri" w:hAnsi="Calibri"/>
                <w:b w:val="0"/>
                <w:i w:val="0"/>
                <w:color w:val="212121"/>
                <w:sz w:val="16"/>
              </w:rPr>
              <w:t>Ulcer with raised indurated border on exposed skin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‘Oriental sore’ on face/ears/hands/legs</w:t>
            </w:r>
          </w:p>
        </w:tc>
        <w:tc>
          <w:tcPr>
            <w:tcW w:type="dxa" w:w="1036"/>
            <w:vAlign w:val="top"/>
          </w:tcPr>
          <w:p>
            <w:pPr>
              <w:spacing w:after="40" w:before="0" w:line="259" w:lineRule="auto"/>
            </w:pPr>
            <w:r>
              <w:rPr>
                <w:rFonts w:ascii="Calibri" w:hAnsi="Calibri"/>
                <w:b w:val="0"/>
                <w:i w:val="0"/>
                <w:color w:val="212121"/>
                <w:sz w:val="16"/>
              </w:rPr>
              <w:t>Hallmark lesion of localized CL</w:t>
            </w:r>
          </w:p>
        </w:tc>
        <w:tc>
          <w:tcPr>
            <w:tcW w:type="dxa" w:w="1036"/>
            <w:vAlign w:val="top"/>
          </w:tcPr>
          <w:p>
            <w:pPr>
              <w:spacing w:after="40" w:before="0" w:line="259" w:lineRule="auto"/>
            </w:pPr>
            <w:r>
              <w:rPr>
                <w:rFonts w:ascii="Calibri" w:hAnsi="Calibri"/>
                <w:b w:val="0"/>
                <w:i w:val="0"/>
                <w:color w:val="212121"/>
                <w:sz w:val="16"/>
              </w:rPr>
              <w:t>All suspected CL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Key sign</w:t>
            </w:r>
          </w:p>
        </w:tc>
        <w:tc>
          <w:tcPr>
            <w:tcW w:type="dxa" w:w="720"/>
            <w:vAlign w:val="top"/>
          </w:tcPr>
          <w:p>
            <w:pPr>
              <w:spacing w:after="40" w:before="0" w:line="259" w:lineRule="auto"/>
            </w:pPr>
            <w:r>
              <w:rPr>
                <w:rFonts w:ascii="Calibri" w:hAnsi="Calibri"/>
                <w:b w:val="0"/>
                <w:i w:val="0"/>
                <w:color w:val="212121"/>
                <w:sz w:val="16"/>
              </w:rPr>
              <w:t>Exposed parts reflect sandfly access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Number &amp; distribution</w:t>
            </w:r>
          </w:p>
        </w:tc>
        <w:tc>
          <w:tcPr>
            <w:tcW w:type="dxa" w:w="979"/>
            <w:vAlign w:val="top"/>
          </w:tcPr>
          <w:p>
            <w:pPr>
              <w:spacing w:after="40" w:before="0" w:line="259" w:lineRule="auto"/>
            </w:pPr>
            <w:r>
              <w:rPr>
                <w:rFonts w:ascii="Calibri" w:hAnsi="Calibri"/>
                <w:b w:val="0"/>
                <w:i w:val="0"/>
                <w:color w:val="212121"/>
                <w:sz w:val="16"/>
              </w:rPr>
              <w:t>Single vs multiple / satellite / sporotrichoid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Multiple lesions or nodular lymphangitic (sporotrichoid) spread</w:t>
            </w:r>
          </w:p>
        </w:tc>
        <w:tc>
          <w:tcPr>
            <w:tcW w:type="dxa" w:w="1036"/>
            <w:vAlign w:val="top"/>
          </w:tcPr>
          <w:p>
            <w:pPr>
              <w:spacing w:after="40" w:before="0" w:line="259" w:lineRule="auto"/>
            </w:pPr>
            <w:r>
              <w:rPr>
                <w:rFonts w:ascii="Calibri" w:hAnsi="Calibri"/>
                <w:b w:val="0"/>
                <w:i w:val="0"/>
                <w:color w:val="212121"/>
                <w:sz w:val="16"/>
              </w:rPr>
              <w:t>Multiplicity suggests heavy exposure or impaired immunity</w:t>
            </w:r>
          </w:p>
        </w:tc>
        <w:tc>
          <w:tcPr>
            <w:tcW w:type="dxa" w:w="1036"/>
            <w:vAlign w:val="top"/>
          </w:tcPr>
          <w:p>
            <w:pPr>
              <w:spacing w:after="40" w:before="0" w:line="259" w:lineRule="auto"/>
            </w:pPr>
            <w:r>
              <w:rPr>
                <w:rFonts w:ascii="Calibri" w:hAnsi="Calibri"/>
                <w:b w:val="0"/>
                <w:i w:val="0"/>
                <w:color w:val="212121"/>
                <w:sz w:val="16"/>
              </w:rPr>
              <w:t>Immunocompromised, heavily exposed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need for systemic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Mucosal examination</w:t>
            </w:r>
          </w:p>
        </w:tc>
        <w:tc>
          <w:tcPr>
            <w:tcW w:type="dxa" w:w="979"/>
            <w:vAlign w:val="top"/>
          </w:tcPr>
          <w:p>
            <w:pPr>
              <w:spacing w:after="40" w:before="0" w:line="259" w:lineRule="auto"/>
            </w:pPr>
            <w:r>
              <w:rPr>
                <w:rFonts w:ascii="Calibri" w:hAnsi="Calibri"/>
                <w:b w:val="0"/>
                <w:i w:val="0"/>
                <w:color w:val="212121"/>
                <w:sz w:val="16"/>
              </w:rPr>
              <w:t>Naso-oropharyngeal mucosa</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Mucosal ulceration or septal perforation</w:t>
            </w:r>
          </w:p>
        </w:tc>
        <w:tc>
          <w:tcPr>
            <w:tcW w:type="dxa" w:w="1036"/>
            <w:vAlign w:val="top"/>
          </w:tcPr>
          <w:p>
            <w:pPr>
              <w:spacing w:after="40" w:before="0" w:line="259" w:lineRule="auto"/>
            </w:pPr>
            <w:r>
              <w:rPr>
                <w:rFonts w:ascii="Calibri" w:hAnsi="Calibri"/>
                <w:b w:val="0"/>
                <w:i w:val="0"/>
                <w:color w:val="212121"/>
                <w:sz w:val="16"/>
              </w:rPr>
              <w:t>Screens for mucocutaneous spread (mainly New World species / imported disease)</w:t>
            </w:r>
          </w:p>
        </w:tc>
        <w:tc>
          <w:tcPr>
            <w:tcW w:type="dxa" w:w="1036"/>
            <w:vAlign w:val="top"/>
          </w:tcPr>
          <w:p>
            <w:pPr>
              <w:spacing w:after="40" w:before="0" w:line="259" w:lineRule="auto"/>
            </w:pPr>
            <w:r>
              <w:rPr>
                <w:rFonts w:ascii="Calibri" w:hAnsi="Calibri"/>
                <w:b w:val="0"/>
                <w:i w:val="0"/>
                <w:color w:val="212121"/>
                <w:sz w:val="16"/>
              </w:rPr>
              <w:t>Travellers from Latin America, persistent facial lesions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Mandates systemic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Scar / recidivans check</w:t>
            </w:r>
          </w:p>
        </w:tc>
        <w:tc>
          <w:tcPr>
            <w:tcW w:type="dxa" w:w="979"/>
            <w:vAlign w:val="top"/>
          </w:tcPr>
          <w:p>
            <w:pPr>
              <w:spacing w:after="40" w:before="0" w:line="259" w:lineRule="auto"/>
            </w:pPr>
            <w:r>
              <w:rPr>
                <w:rFonts w:ascii="Calibri" w:hAnsi="Calibri"/>
                <w:b w:val="0"/>
                <w:i w:val="0"/>
                <w:color w:val="212121"/>
                <w:sz w:val="16"/>
              </w:rPr>
              <w:t>Healed lesion area</w:t>
            </w:r>
          </w:p>
        </w:tc>
        <w:tc>
          <w:tcPr>
            <w:tcW w:type="dxa" w:w="950"/>
            <w:vAlign w:val="top"/>
          </w:tcPr>
          <w:p>
            <w:pPr>
              <w:spacing w:after="40" w:before="0" w:line="259" w:lineRule="auto"/>
            </w:pPr>
            <w:r>
              <w:rPr>
                <w:rFonts w:ascii="Calibri" w:hAnsi="Calibri"/>
                <w:b w:val="0"/>
                <w:i w:val="0"/>
                <w:color w:val="212121"/>
                <w:sz w:val="16"/>
              </w:rPr>
              <w:t>Stable scar</w:t>
            </w:r>
          </w:p>
        </w:tc>
        <w:tc>
          <w:tcPr>
            <w:tcW w:type="dxa" w:w="950"/>
            <w:vAlign w:val="top"/>
          </w:tcPr>
          <w:p>
            <w:pPr>
              <w:spacing w:after="40" w:before="0" w:line="259" w:lineRule="auto"/>
            </w:pPr>
            <w:r>
              <w:rPr>
                <w:rFonts w:ascii="Calibri" w:hAnsi="Calibri"/>
                <w:b w:val="0"/>
                <w:i w:val="0"/>
                <w:color w:val="212121"/>
                <w:sz w:val="16"/>
              </w:rPr>
              <w:t>New papules around a healed scar (lupoid recidivans)</w:t>
            </w:r>
          </w:p>
        </w:tc>
        <w:tc>
          <w:tcPr>
            <w:tcW w:type="dxa" w:w="1036"/>
            <w:vAlign w:val="top"/>
          </w:tcPr>
          <w:p>
            <w:pPr>
              <w:spacing w:after="40" w:before="0" w:line="259" w:lineRule="auto"/>
            </w:pPr>
            <w:r>
              <w:rPr>
                <w:rFonts w:ascii="Calibri" w:hAnsi="Calibri"/>
                <w:b w:val="0"/>
                <w:i w:val="0"/>
                <w:color w:val="212121"/>
                <w:sz w:val="16"/>
              </w:rPr>
              <w:t>Indicates relapsing L. tropica disease</w:t>
            </w:r>
          </w:p>
        </w:tc>
        <w:tc>
          <w:tcPr>
            <w:tcW w:type="dxa" w:w="1036"/>
            <w:vAlign w:val="top"/>
          </w:tcPr>
          <w:p>
            <w:pPr>
              <w:spacing w:after="40" w:before="0" w:line="259" w:lineRule="auto"/>
            </w:pPr>
            <w:r>
              <w:rPr>
                <w:rFonts w:ascii="Calibri" w:hAnsi="Calibri"/>
                <w:b w:val="0"/>
                <w:i w:val="0"/>
                <w:color w:val="212121"/>
                <w:sz w:val="16"/>
              </w:rPr>
              <w:t>Previously treated CL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Characteristic</w:t>
            </w:r>
          </w:p>
        </w:tc>
        <w:tc>
          <w:tcPr>
            <w:tcW w:type="dxa" w:w="720"/>
            <w:vAlign w:val="top"/>
          </w:tcPr>
          <w:p>
            <w:pPr>
              <w:spacing w:after="40" w:before="0" w:line="259" w:lineRule="auto"/>
            </w:pPr>
            <w:r>
              <w:rPr>
                <w:rFonts w:ascii="Calibri" w:hAnsi="Calibri"/>
                <w:b w:val="0"/>
                <w:i w:val="0"/>
                <w:color w:val="212121"/>
                <w:sz w:val="16"/>
              </w:rPr>
              <w:t>Typical &amp; atypical relapsing forms described in Himachal Pradesh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Immune &amp; nutritional status</w:t>
            </w:r>
          </w:p>
        </w:tc>
        <w:tc>
          <w:tcPr>
            <w:tcW w:type="dxa" w:w="979"/>
            <w:vAlign w:val="top"/>
          </w:tcPr>
          <w:p>
            <w:pPr>
              <w:spacing w:after="40" w:before="0" w:line="259" w:lineRule="auto"/>
            </w:pPr>
            <w:r>
              <w:rPr>
                <w:rFonts w:ascii="Calibri" w:hAnsi="Calibri"/>
                <w:b w:val="0"/>
                <w:i w:val="0"/>
                <w:color w:val="212121"/>
                <w:sz w:val="16"/>
              </w:rPr>
              <w:t>HIV / immunosuppression / malnutrition</w:t>
            </w:r>
          </w:p>
        </w:tc>
        <w:tc>
          <w:tcPr>
            <w:tcW w:type="dxa" w:w="950"/>
            <w:vAlign w:val="top"/>
          </w:tcPr>
          <w:p>
            <w:pPr>
              <w:spacing w:after="40" w:before="0" w:line="259" w:lineRule="auto"/>
            </w:pPr>
            <w:r>
              <w:rPr>
                <w:rFonts w:ascii="Calibri" w:hAnsi="Calibri"/>
                <w:b w:val="0"/>
                <w:i w:val="0"/>
                <w:color w:val="212121"/>
                <w:sz w:val="16"/>
              </w:rPr>
              <w:t>Immunocompetent, well-nourished</w:t>
            </w:r>
          </w:p>
        </w:tc>
        <w:tc>
          <w:tcPr>
            <w:tcW w:type="dxa" w:w="950"/>
            <w:vAlign w:val="top"/>
          </w:tcPr>
          <w:p>
            <w:pPr>
              <w:spacing w:after="40" w:before="0" w:line="259" w:lineRule="auto"/>
            </w:pPr>
            <w:r>
              <w:rPr>
                <w:rFonts w:ascii="Calibri" w:hAnsi="Calibri"/>
                <w:b w:val="0"/>
                <w:i w:val="0"/>
                <w:color w:val="212121"/>
                <w:sz w:val="16"/>
              </w:rPr>
              <w:t>Immunocompromised or undernourished</w:t>
            </w:r>
          </w:p>
        </w:tc>
        <w:tc>
          <w:tcPr>
            <w:tcW w:type="dxa" w:w="1036"/>
            <w:vAlign w:val="top"/>
          </w:tcPr>
          <w:p>
            <w:pPr>
              <w:spacing w:after="40" w:before="0" w:line="259" w:lineRule="auto"/>
            </w:pPr>
            <w:r>
              <w:rPr>
                <w:rFonts w:ascii="Calibri" w:hAnsi="Calibri"/>
                <w:b w:val="0"/>
                <w:i w:val="0"/>
                <w:color w:val="212121"/>
                <w:sz w:val="16"/>
              </w:rPr>
              <w:t>Predicts diffuse, atypical or relapsing disease and slower healing</w:t>
            </w:r>
          </w:p>
        </w:tc>
        <w:tc>
          <w:tcPr>
            <w:tcW w:type="dxa" w:w="1036"/>
            <w:vAlign w:val="top"/>
          </w:tcPr>
          <w:p>
            <w:pPr>
              <w:spacing w:after="40" w:before="0" w:line="259" w:lineRule="auto"/>
            </w:pPr>
            <w:r>
              <w:rPr>
                <w:rFonts w:ascii="Calibri" w:hAnsi="Calibri"/>
                <w:b w:val="0"/>
                <w:i w:val="0"/>
                <w:color w:val="212121"/>
                <w:sz w:val="16"/>
              </w:rPr>
              <w:t>Atypical, multiple or refractory lesions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HIV testing and nutritional support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Painless skin lump (papule/nodule)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Starts as a small painless papule at the sandfly-bite site that enlarges to a nodule over weeks.</w:t>
            </w:r>
          </w:p>
        </w:tc>
      </w:tr>
      <w:tr>
        <w:trPr>
          <w:cantSplit/>
        </w:trPr>
        <w:tc>
          <w:tcPr>
            <w:tcW w:type="dxa" w:w="2304"/>
            <w:vAlign w:val="top"/>
          </w:tcPr>
          <w:p>
            <w:pPr>
              <w:spacing w:after="40" w:before="0" w:line="259" w:lineRule="auto"/>
            </w:pPr>
            <w:r>
              <w:rPr>
                <w:rFonts w:ascii="Calibri" w:hAnsi="Calibri"/>
                <w:b/>
                <w:i w:val="0"/>
                <w:color w:val="212121"/>
                <w:sz w:val="19"/>
              </w:rPr>
              <w:t>Skin ulcer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nodule breaks down into a painless ulcer with a raised indurated border and a crusted, sunken centre — the classic ‘oriental sore’.</w:t>
            </w:r>
          </w:p>
        </w:tc>
      </w:tr>
      <w:tr>
        <w:trPr>
          <w:cantSplit/>
        </w:trPr>
        <w:tc>
          <w:tcPr>
            <w:tcW w:type="dxa" w:w="2304"/>
            <w:vAlign w:val="top"/>
          </w:tcPr>
          <w:p>
            <w:pPr>
              <w:spacing w:after="40" w:before="0" w:line="259" w:lineRule="auto"/>
            </w:pPr>
            <w:r>
              <w:rPr>
                <w:rFonts w:ascii="Calibri" w:hAnsi="Calibri"/>
                <w:b/>
                <w:i w:val="0"/>
                <w:color w:val="212121"/>
                <w:sz w:val="19"/>
              </w:rPr>
              <w:t>Non-healing sore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lesion persists for months and fails to heal with ordinary antibiotics, prompting suspicion of CL.</w:t>
            </w:r>
          </w:p>
        </w:tc>
      </w:tr>
      <w:tr>
        <w:trPr>
          <w:cantSplit/>
        </w:trPr>
        <w:tc>
          <w:tcPr>
            <w:tcW w:type="dxa" w:w="2304"/>
            <w:vAlign w:val="top"/>
          </w:tcPr>
          <w:p>
            <w:pPr>
              <w:spacing w:after="40" w:before="0" w:line="259" w:lineRule="auto"/>
            </w:pPr>
            <w:r>
              <w:rPr>
                <w:rFonts w:ascii="Calibri" w:hAnsi="Calibri"/>
                <w:b/>
                <w:i w:val="0"/>
                <w:color w:val="212121"/>
                <w:sz w:val="19"/>
              </w:rPr>
              <w:t>Lesions on exposed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Face, ears, neck, hands, forearms and legs are affected because these are accessible to biting sandflies.</w:t>
            </w:r>
          </w:p>
        </w:tc>
      </w:tr>
      <w:tr>
        <w:trPr>
          <w:cantSplit/>
        </w:trPr>
        <w:tc>
          <w:tcPr>
            <w:tcW w:type="dxa" w:w="2304"/>
            <w:vAlign w:val="top"/>
          </w:tcPr>
          <w:p>
            <w:pPr>
              <w:spacing w:after="40" w:before="0" w:line="259" w:lineRule="auto"/>
            </w:pPr>
            <w:r>
              <w:rPr>
                <w:rFonts w:ascii="Calibri" w:hAnsi="Calibri"/>
                <w:b/>
                <w:i w:val="0"/>
                <w:color w:val="212121"/>
                <w:sz w:val="19"/>
              </w:rPr>
              <w:t>Disfigurement &amp; scarring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Healing leaves a depressed, atrophic and often stigmatising scar, especially on the face.</w:t>
            </w:r>
          </w:p>
        </w:tc>
      </w:tr>
      <w:tr>
        <w:trPr>
          <w:cantSplit/>
        </w:trPr>
        <w:tc>
          <w:tcPr>
            <w:tcW w:type="dxa" w:w="2304"/>
            <w:vAlign w:val="top"/>
          </w:tcPr>
          <w:p>
            <w:pPr>
              <w:spacing w:after="40" w:before="0" w:line="259" w:lineRule="auto"/>
            </w:pPr>
            <w:r>
              <w:rPr>
                <w:rFonts w:ascii="Calibri" w:hAnsi="Calibri"/>
                <w:b/>
                <w:i w:val="0"/>
                <w:color w:val="212121"/>
                <w:sz w:val="19"/>
              </w:rPr>
              <w:t>Itching or mild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Lesions are usually painless but may itch; significant pain suggests secondary bacterial infection.</w:t>
            </w:r>
          </w:p>
        </w:tc>
      </w:tr>
      <w:tr>
        <w:trPr>
          <w:cantSplit/>
        </w:trPr>
        <w:tc>
          <w:tcPr>
            <w:tcW w:type="dxa" w:w="2304"/>
            <w:vAlign w:val="top"/>
          </w:tcPr>
          <w:p>
            <w:pPr>
              <w:spacing w:after="40" w:before="0" w:line="259" w:lineRule="auto"/>
            </w:pPr>
            <w:r>
              <w:rPr>
                <w:rFonts w:ascii="Calibri" w:hAnsi="Calibri"/>
                <w:b/>
                <w:i w:val="0"/>
                <w:color w:val="212121"/>
                <w:sz w:val="19"/>
              </w:rPr>
              <w:t>Multiple / satellite lesions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multiple bites or local spread; more frequent with impaired immunity.</w:t>
            </w:r>
          </w:p>
        </w:tc>
      </w:tr>
      <w:tr>
        <w:trPr>
          <w:cantSplit/>
        </w:trPr>
        <w:tc>
          <w:tcPr>
            <w:tcW w:type="dxa" w:w="2304"/>
            <w:vAlign w:val="top"/>
          </w:tcPr>
          <w:p>
            <w:pPr>
              <w:spacing w:after="40" w:before="0" w:line="259" w:lineRule="auto"/>
            </w:pPr>
            <w:r>
              <w:rPr>
                <w:rFonts w:ascii="Calibri" w:hAnsi="Calibri"/>
                <w:b/>
                <w:i w:val="0"/>
                <w:color w:val="212121"/>
                <w:sz w:val="19"/>
              </w:rPr>
              <w:t>Regional lymph node swelling / nodular lymphangitis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Sporotrichoid spread of nodules along lymphatics draining the lesion.</w:t>
            </w:r>
          </w:p>
        </w:tc>
      </w:tr>
      <w:tr>
        <w:trPr>
          <w:cantSplit/>
        </w:trPr>
        <w:tc>
          <w:tcPr>
            <w:tcW w:type="dxa" w:w="2304"/>
            <w:vAlign w:val="top"/>
          </w:tcPr>
          <w:p>
            <w:pPr>
              <w:spacing w:after="40" w:before="0" w:line="259" w:lineRule="auto"/>
            </w:pPr>
            <w:r>
              <w:rPr>
                <w:rFonts w:ascii="Calibri" w:hAnsi="Calibri"/>
                <w:b/>
                <w:i w:val="0"/>
                <w:color w:val="212121"/>
                <w:sz w:val="19"/>
              </w:rPr>
              <w:t>Nasal stuffiness, bleeding or oral ulceration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mucosal (mucocutaneous) involvement — mainly New World species or imported disease.</w:t>
            </w:r>
          </w:p>
        </w:tc>
      </w:tr>
      <w:tr>
        <w:trPr>
          <w:cantSplit/>
        </w:trPr>
        <w:tc>
          <w:tcPr>
            <w:tcW w:type="dxa" w:w="2304"/>
            <w:vAlign w:val="top"/>
          </w:tcPr>
          <w:p>
            <w:pPr>
              <w:spacing w:after="40" w:before="0" w:line="259" w:lineRule="auto"/>
            </w:pPr>
            <w:r>
              <w:rPr>
                <w:rFonts w:ascii="Calibri" w:hAnsi="Calibri"/>
                <w:b/>
                <w:i w:val="0"/>
                <w:color w:val="212121"/>
                <w:sz w:val="19"/>
              </w:rPr>
              <w:t>Widespread nodules without ulceration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Diffuse cutaneous leishmaniasis in anergic, immunocompromised hosts.</w:t>
            </w:r>
          </w:p>
        </w:tc>
      </w:tr>
      <w:tr>
        <w:trPr>
          <w:cantSplit/>
        </w:trPr>
        <w:tc>
          <w:tcPr>
            <w:tcW w:type="dxa" w:w="2304"/>
            <w:vAlign w:val="top"/>
          </w:tcPr>
          <w:p>
            <w:pPr>
              <w:spacing w:after="40" w:before="0" w:line="259" w:lineRule="auto"/>
            </w:pPr>
            <w:r>
              <w:rPr>
                <w:rFonts w:ascii="Calibri" w:hAnsi="Calibri"/>
                <w:b/>
                <w:i w:val="0"/>
                <w:color w:val="212121"/>
                <w:sz w:val="19"/>
              </w:rPr>
              <w:t>Recurrence around an old scar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New papules encircling a healed scar indicate leishmaniasis recidivans (lupoid form).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Ulcer with raised indurated (violaceous) border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classic oriental sore — a well-circumscribed ulcer with a rolled, indurated edge.</w:t>
            </w:r>
          </w:p>
        </w:tc>
      </w:tr>
      <w:tr>
        <w:trPr>
          <w:cantSplit/>
        </w:trPr>
        <w:tc>
          <w:tcPr>
            <w:tcW w:type="dxa" w:w="3456"/>
            <w:vAlign w:val="top"/>
          </w:tcPr>
          <w:p>
            <w:pPr>
              <w:spacing w:after="40" w:before="0" w:line="259" w:lineRule="auto"/>
            </w:pPr>
            <w:r>
              <w:rPr>
                <w:rFonts w:ascii="Calibri" w:hAnsi="Calibri"/>
                <w:b/>
                <w:i w:val="0"/>
                <w:color w:val="212121"/>
                <w:sz w:val="19"/>
              </w:rPr>
              <w:t>Papulonodular lesion at bite site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Early sign before ulceration, at an exposed skin site.</w:t>
            </w:r>
          </w:p>
        </w:tc>
      </w:tr>
      <w:tr>
        <w:trPr>
          <w:cantSplit/>
        </w:trPr>
        <w:tc>
          <w:tcPr>
            <w:tcW w:type="dxa" w:w="3456"/>
            <w:vAlign w:val="top"/>
          </w:tcPr>
          <w:p>
            <w:pPr>
              <w:spacing w:after="40" w:before="0" w:line="259" w:lineRule="auto"/>
            </w:pPr>
            <w:r>
              <w:rPr>
                <w:rFonts w:ascii="Calibri" w:hAnsi="Calibri"/>
                <w:b/>
                <w:i w:val="0"/>
                <w:color w:val="212121"/>
                <w:sz w:val="19"/>
              </w:rPr>
              <w:t>Crusted ‘volcano’ ulcer with central depression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Typical morphology with a central crust or eschar.</w:t>
            </w:r>
          </w:p>
        </w:tc>
      </w:tr>
      <w:tr>
        <w:trPr>
          <w:cantSplit/>
        </w:trPr>
        <w:tc>
          <w:tcPr>
            <w:tcW w:type="dxa" w:w="3456"/>
            <w:vAlign w:val="top"/>
          </w:tcPr>
          <w:p>
            <w:pPr>
              <w:spacing w:after="40" w:before="0" w:line="259" w:lineRule="auto"/>
            </w:pPr>
            <w:r>
              <w:rPr>
                <w:rFonts w:ascii="Calibri" w:hAnsi="Calibri"/>
                <w:b/>
                <w:i w:val="0"/>
                <w:color w:val="212121"/>
                <w:sz w:val="19"/>
              </w:rPr>
              <w:t>Depressed atrophic scar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Residual disfiguring scar after healing; frequently stigmatising.</w:t>
            </w:r>
          </w:p>
        </w:tc>
      </w:tr>
      <w:tr>
        <w:trPr>
          <w:cantSplit/>
        </w:trPr>
        <w:tc>
          <w:tcPr>
            <w:tcW w:type="dxa" w:w="3456"/>
            <w:vAlign w:val="top"/>
          </w:tcPr>
          <w:p>
            <w:pPr>
              <w:spacing w:after="40" w:before="0" w:line="259" w:lineRule="auto"/>
            </w:pPr>
            <w:r>
              <w:rPr>
                <w:rFonts w:ascii="Calibri" w:hAnsi="Calibri"/>
                <w:b/>
                <w:i w:val="0"/>
                <w:color w:val="212121"/>
                <w:sz w:val="19"/>
              </w:rPr>
              <w:t>Satellite lesions / sporotrichoid nodules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Papules or nodules spreading along lymphatics from the primary lesion.</w:t>
            </w:r>
          </w:p>
        </w:tc>
      </w:tr>
      <w:tr>
        <w:trPr>
          <w:cantSplit/>
        </w:trPr>
        <w:tc>
          <w:tcPr>
            <w:tcW w:type="dxa" w:w="3456"/>
            <w:vAlign w:val="top"/>
          </w:tcPr>
          <w:p>
            <w:pPr>
              <w:spacing w:after="40" w:before="0" w:line="259" w:lineRule="auto"/>
            </w:pPr>
            <w:r>
              <w:rPr>
                <w:rFonts w:ascii="Calibri" w:hAnsi="Calibri"/>
                <w:b/>
                <w:i w:val="0"/>
                <w:color w:val="212121"/>
                <w:sz w:val="19"/>
              </w:rPr>
              <w:t>Regional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Enlarged draining nodes, sometimes preceding the skin lesion.</w:t>
            </w:r>
          </w:p>
        </w:tc>
      </w:tr>
      <w:tr>
        <w:trPr>
          <w:cantSplit/>
        </w:trPr>
        <w:tc>
          <w:tcPr>
            <w:tcW w:type="dxa" w:w="3456"/>
            <w:vAlign w:val="top"/>
          </w:tcPr>
          <w:p>
            <w:pPr>
              <w:spacing w:after="40" w:before="0" w:line="259" w:lineRule="auto"/>
            </w:pPr>
            <w:r>
              <w:rPr>
                <w:rFonts w:ascii="Calibri" w:hAnsi="Calibri"/>
                <w:b/>
                <w:i w:val="0"/>
                <w:color w:val="212121"/>
                <w:sz w:val="19"/>
              </w:rPr>
              <w:t>Secondary bacterial infection (pus, cellulitis, pain)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Impetiginisation of the ulcer causing pain, purulence and surrounding erythema.</w:t>
            </w:r>
          </w:p>
        </w:tc>
      </w:tr>
      <w:tr>
        <w:trPr>
          <w:cantSplit/>
        </w:trPr>
        <w:tc>
          <w:tcPr>
            <w:tcW w:type="dxa" w:w="3456"/>
            <w:vAlign w:val="top"/>
          </w:tcPr>
          <w:p>
            <w:pPr>
              <w:spacing w:after="40" w:before="0" w:line="259" w:lineRule="auto"/>
            </w:pPr>
            <w:r>
              <w:rPr>
                <w:rFonts w:ascii="Calibri" w:hAnsi="Calibri"/>
                <w:b/>
                <w:i w:val="0"/>
                <w:color w:val="212121"/>
                <w:sz w:val="19"/>
              </w:rPr>
              <w:t>Mucosal ulceration of nose or mouth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Naso-oropharyngeal ulceration/perforation of mucocutaneous leishmaniasis (mainly New World).</w:t>
            </w:r>
          </w:p>
        </w:tc>
      </w:tr>
      <w:tr>
        <w:trPr>
          <w:cantSplit/>
        </w:trPr>
        <w:tc>
          <w:tcPr>
            <w:tcW w:type="dxa" w:w="3456"/>
            <w:vAlign w:val="top"/>
          </w:tcPr>
          <w:p>
            <w:pPr>
              <w:spacing w:after="40" w:before="0" w:line="259" w:lineRule="auto"/>
            </w:pPr>
            <w:r>
              <w:rPr>
                <w:rFonts w:ascii="Calibri" w:hAnsi="Calibri"/>
                <w:b/>
                <w:i w:val="0"/>
                <w:color w:val="212121"/>
                <w:sz w:val="19"/>
              </w:rPr>
              <w:t>Diffuse non-ulcerating nodules / plaques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Widespread infiltrated nodules resembling lepromatous leprosy (leonine facies) in diffuse cutaneous disease.</w:t>
            </w:r>
          </w:p>
        </w:tc>
      </w:tr>
      <w:tr>
        <w:trPr>
          <w:cantSplit/>
        </w:trPr>
        <w:tc>
          <w:tcPr>
            <w:tcW w:type="dxa" w:w="3456"/>
            <w:vAlign w:val="top"/>
          </w:tcPr>
          <w:p>
            <w:pPr>
              <w:spacing w:after="40" w:before="0" w:line="259" w:lineRule="auto"/>
            </w:pPr>
            <w:r>
              <w:rPr>
                <w:rFonts w:ascii="Calibri" w:hAnsi="Calibri"/>
                <w:b/>
                <w:i w:val="0"/>
                <w:color w:val="212121"/>
                <w:sz w:val="19"/>
              </w:rPr>
              <w:t>Lupoid papules around a healed scar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Reddish-brown ‘apple-jelly’ papules of leishmaniasis recidivans.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ulcer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Large or multiple disfiguring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the ulcer (impetiginisation,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Disfiguring atrophic scarring, especially of the face</w:t>
            </w:r>
          </w:p>
        </w:tc>
        <w:tc>
          <w:tcPr>
            <w:tcW w:type="dxa" w:w="2980"/>
            <w:vAlign w:val="top"/>
          </w:tcPr>
          <w:p>
            <w:pPr>
              <w:spacing w:after="40" w:before="0" w:line="259" w:lineRule="auto"/>
            </w:pPr>
            <w:r>
              <w:rPr>
                <w:rFonts w:ascii="Calibri" w:hAnsi="Calibri"/>
                <w:b w:val="0"/>
                <w:i w:val="0"/>
                <w:color w:val="212121"/>
                <w:sz w:val="19"/>
              </w:rPr>
              <w:t>Direct consequences of the dermal parasitic lesion and its healing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Leishmaniasis recidivans (relapse around a healed scar)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Diffuse cutaneous leishmaniasis in immunocompromised/anergic hosts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Sporotrichoid (nodular lymphangitic)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Mucocutaneous involvement (mainly New World species / imported disease)</w:t>
            </w:r>
          </w:p>
        </w:tc>
        <w:tc>
          <w:tcPr>
            <w:tcW w:type="dxa" w:w="2980"/>
            <w:vAlign w:val="top"/>
          </w:tcPr>
          <w:p>
            <w:pPr>
              <w:spacing w:after="40" w:before="0" w:line="259" w:lineRule="auto"/>
            </w:pPr>
            <w:r>
              <w:rPr>
                <w:rFonts w:ascii="Calibri" w:hAnsi="Calibri"/>
                <w:b w:val="0"/>
                <w:i w:val="0"/>
                <w:color w:val="212121"/>
                <w:sz w:val="19"/>
              </w:rPr>
              <w:t>Result from impaired cell-mediated immunity, species virulence or delayed/inadequate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disfigurement, particularly of the face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psychosocial stigma, social exclusion and reduced marriage/employment prospects (especially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Drug-related toxicity from pentavalent antimonials, amphotericin B or miltefosine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Ongoing anthroponotic transmission from untreated human reservoirs (notably L. tropica)</w:t>
            </w:r>
          </w:p>
        </w:tc>
        <w:tc>
          <w:tcPr>
            <w:tcW w:type="dxa" w:w="2980"/>
            <w:vAlign w:val="top"/>
          </w:tcPr>
          <w:p>
            <w:pPr>
              <w:spacing w:after="40" w:before="0" w:line="259" w:lineRule="auto"/>
            </w:pPr>
            <w:r>
              <w:rPr>
                <w:rFonts w:ascii="Calibri" w:hAnsi="Calibri"/>
                <w:b w:val="0"/>
                <w:i w:val="0"/>
                <w:color w:val="212121"/>
                <w:sz w:val="19"/>
              </w:rPr>
              <w:t>Irreversible individual or community-level outcomes of untreated, relapsing or immunosuppressed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HIV/AIDS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Immunosuppression predisposes to atypical, diffuse, multiple and relapsing cutaneous disease with poorer treatment response and a risk of visceralisation.</w:t>
            </w:r>
          </w:p>
        </w:tc>
      </w:tr>
      <w:tr>
        <w:trPr>
          <w:cantSplit/>
        </w:trPr>
        <w:tc>
          <w:tcPr>
            <w:tcW w:type="dxa" w:w="2232"/>
            <w:vAlign w:val="top"/>
          </w:tcPr>
          <w:p>
            <w:pPr>
              <w:spacing w:after="40" w:before="0" w:line="259" w:lineRule="auto"/>
            </w:pPr>
            <w:r>
              <w:rPr>
                <w:rFonts w:ascii="Calibri" w:hAnsi="Calibri"/>
                <w:b/>
                <w:i w:val="0"/>
                <w:color w:val="212121"/>
                <w:sz w:val="19"/>
              </w:rPr>
              <w:t>Protein-energy malnutrition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Impairs the Th1 cell-mediated immunity that contains the parasite, predisposing to larger, chronic or diffuse lesions; severe disease in turn worsens nutrition.</w:t>
            </w:r>
          </w:p>
        </w:tc>
      </w:tr>
      <w:tr>
        <w:trPr>
          <w:cantSplit/>
        </w:trPr>
        <w:tc>
          <w:tcPr>
            <w:tcW w:type="dxa" w:w="2232"/>
            <w:vAlign w:val="top"/>
          </w:tcPr>
          <w:p>
            <w:pPr>
              <w:spacing w:after="40" w:before="0" w:line="259" w:lineRule="auto"/>
            </w:pPr>
            <w:r>
              <w:rPr>
                <w:rFonts w:ascii="Calibri" w:hAnsi="Calibri"/>
                <w:b/>
                <w:i w:val="0"/>
                <w:color w:val="212121"/>
                <w:sz w:val="19"/>
              </w:rPr>
              <w:t>Secondary bacterial infection (impetiginisation, cellulitis)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open ulcer is readily colonised, causing pain, pus, surrounding cellulitis and delayed healing.</w:t>
            </w:r>
          </w:p>
        </w:tc>
      </w:tr>
      <w:tr>
        <w:trPr>
          <w:cantSplit/>
        </w:trPr>
        <w:tc>
          <w:tcPr>
            <w:tcW w:type="dxa" w:w="2232"/>
            <w:vAlign w:val="top"/>
          </w:tcPr>
          <w:p>
            <w:pPr>
              <w:spacing w:after="40" w:before="0" w:line="259" w:lineRule="auto"/>
            </w:pPr>
            <w:r>
              <w:rPr>
                <w:rFonts w:ascii="Calibri" w:hAnsi="Calibri"/>
                <w:b/>
                <w:i w:val="0"/>
                <w:color w:val="212121"/>
                <w:sz w:val="19"/>
              </w:rPr>
              <w:t>Visceral leishmaniasis / dermotropic L. donovani overlap</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India the L. donovani complex can cause both visceral and cutaneous disease, and L. tropica strains show genetic overlap with viscerotropic forms, complicating classification and management.</w:t>
            </w:r>
          </w:p>
        </w:tc>
      </w:tr>
      <w:tr>
        <w:trPr>
          <w:cantSplit/>
        </w:trPr>
        <w:tc>
          <w:tcPr>
            <w:tcW w:type="dxa" w:w="2232"/>
            <w:vAlign w:val="top"/>
          </w:tcPr>
          <w:p>
            <w:pPr>
              <w:spacing w:after="40" w:before="0" w:line="259" w:lineRule="auto"/>
            </w:pPr>
            <w:r>
              <w:rPr>
                <w:rFonts w:ascii="Calibri" w:hAnsi="Calibri"/>
                <w:b/>
                <w:i w:val="0"/>
                <w:color w:val="212121"/>
                <w:sz w:val="19"/>
              </w:rPr>
              <w:t>Post-kala-azar dermal leishmaniasis (PKDL)</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dermal leishmaniasis following visceral disease that must be distinguished from CL; it shares dermotropic parasite biology and acts as a human reservoir.</w:t>
            </w:r>
          </w:p>
        </w:tc>
      </w:tr>
      <w:tr>
        <w:trPr>
          <w:cantSplit/>
        </w:trPr>
        <w:tc>
          <w:tcPr>
            <w:tcW w:type="dxa" w:w="2232"/>
            <w:vAlign w:val="top"/>
          </w:tcPr>
          <w:p>
            <w:pPr>
              <w:spacing w:after="40" w:before="0" w:line="259" w:lineRule="auto"/>
            </w:pPr>
            <w:r>
              <w:rPr>
                <w:rFonts w:ascii="Calibri" w:hAnsi="Calibri"/>
                <w:b/>
                <w:i w:val="0"/>
                <w:color w:val="212121"/>
                <w:sz w:val="19"/>
              </w:rPr>
              <w:t>Immunosuppressive therapy / organ transplantation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Predisposes to disseminated or atypical CL and to reactivation; immunosuppression often must be modified to allow cure.</w:t>
            </w:r>
          </w:p>
        </w:tc>
      </w:tr>
      <w:tr>
        <w:trPr>
          <w:cantSplit/>
        </w:trPr>
        <w:tc>
          <w:tcPr>
            <w:tcW w:type="dxa" w:w="2232"/>
            <w:vAlign w:val="top"/>
          </w:tcPr>
          <w:p>
            <w:pPr>
              <w:spacing w:after="40" w:before="0" w:line="259" w:lineRule="auto"/>
            </w:pPr>
            <w:r>
              <w:rPr>
                <w:rFonts w:ascii="Calibri" w:hAnsi="Calibri"/>
                <w:b/>
                <w:i w:val="0"/>
                <w:color w:val="212121"/>
                <w:sz w:val="19"/>
              </w:rPr>
              <w:t>Depression &amp; anxiety (psychosocial morbidity)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Disfiguring lesions and scars cause stigma, low self-esteem and social withdrawal, especially in women and children, which in turn reduce care-seeking and adherence.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 slowly growing, painless skin lump or non-healing ulcer on an exposed part (face, hands, legs) — especially after time in the Thar desert of Rajasthan, the Himachal hills or endemic countries abroad — and seek early testing rather than repeated antibiotic courses.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CL is caught from night-biting sandflies, not by touch, so lesions need not be hidden out of fear of contagion.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bites with long clothing, DEET repellents, fine-mesh insecticide-treated nets and by avoiding outdoor sleeping at dusk and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community vector control — indoor residual spraying, clearing rubbish and rodent burrows, and plastering cracked walls.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treatment and attend follow-up, as inadequate treatment causes relapse (recidivans) and sustains anthroponotic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squeezing, cauterising or applying unproven traditional remedies, which worsen scarring and secondary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endemic foci (Bikaner/Thar, Himachal Pradesh)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workers &amp; travellers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Armed-forces personnel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a case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normal physical activity and good general fitness to support the immune-mediated healing of lesions — CL does not restrict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active lesions clean, covered and protected from trauma during work or exercise to prevent secondary bacterial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outdoor work only with bite protection to avoid re-exposure and new lesions.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CL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and 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Convalescent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adequate, protein-rich, balanced diet to support the cell-mediated immunity that contains and heals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vitamin A and zinc deficiencies, which impair immunity and wound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catch-up nutrition for children and undernourished patients during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affordable local protein and micronutrient sources — pulses, milk, eggs, green leafy vegetables and seasonal fruit.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antileishmanial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indoors on a raised cot under a fine-mesh insecticide-treated net rather than on the floor, rooftop or outdoors.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the household participates in indoor residual spraying before the peak sandfly season.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sleeping areas away from rubbish heaps, animal shelters and rodent burrows where sandflies breed.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fine-mesh nets, as sandflies are small enough to pass through ordinary mosquito nets.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desert endemic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and border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which impairs immunity and delays wound healing of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during and after treatment to support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contacts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which impairs nutrition and immunity and adds to the hepatotoxicity of systemic antileishmanial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during systemic therapy (pentavalent antimonials, amphotericin B or miltefosine) to protect liver and kidney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 on systemic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deranged liver function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stigma of disfiguring facial lesions and scars through counselling and community awareness, especially for women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arising from disfigurement and social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that most lesions heal with treatment and that early, appropriate therapy minimises scarring.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adherence support to complete treatment and attend follow-up for relapse and recidivans.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facial or multiple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residual scarring</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5294618/" TargetMode="External"/><Relationship Id="rId10" Type="http://schemas.openxmlformats.org/officeDocument/2006/relationships/hyperlink" Target="https://www.cdc.gov/leishmaniasis/about/index.html" TargetMode="External"/><Relationship Id="rId11" Type="http://schemas.openxmlformats.org/officeDocument/2006/relationships/hyperlink" Target="https://www.who.int/news-room/fact-sheets/detail/leishmaniasis" TargetMode="External"/><Relationship Id="rId12" Type="http://schemas.openxmlformats.org/officeDocument/2006/relationships/hyperlink" Target="https://pubmed.ncbi.nlm.nih.gov/17488912/" TargetMode="External"/><Relationship Id="rId13" Type="http://schemas.openxmlformats.org/officeDocument/2006/relationships/hyperlink" Target="https://pubmed.ncbi.nlm.nih.gov/39174021/" TargetMode="External"/><Relationship Id="rId14" Type="http://schemas.openxmlformats.org/officeDocument/2006/relationships/hyperlink" Target="https://www.ncbi.nlm.nih.gov/books/NBK531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