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Melioidosis</w:t>
      </w:r>
    </w:p>
    <w:p>
      <w:pPr>
        <w:spacing w:before="0" w:after="160"/>
      </w:pPr>
      <w:r>
        <w:rPr>
          <w:rFonts w:ascii="Calibri" w:hAnsi="Calibri"/>
          <w:b/>
          <w:i w:val="0"/>
          <w:color w:val="212121"/>
          <w:sz w:val="22"/>
        </w:rPr>
        <w:t xml:space="preserve">AKA </w:t>
      </w:r>
      <w:r>
        <w:rPr>
          <w:rFonts w:ascii="Calibri" w:hAnsi="Calibri"/>
          <w:b w:val="0"/>
          <w:i w:val="0"/>
          <w:color w:val="212121"/>
          <w:sz w:val="22"/>
        </w:rPr>
        <w:t>i.e., Whitmore's disease, Burkholderia pseudomallei infection, Nightcliff gardener's disease, Pseudoglanders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Melioidosis is a potentially fatal bacterial infection caused by Burkholderia pseudomallei, a Gram-negative saprophytic bacillus that lives in wet tropical soil and surface water. Humans acquire it through percutaneous inoculation (breaks in the skin), inhalation, or ingestion during contact with contaminated soil or water, most often among people with diabetes or other immune compromise. It is a notorious clinical mimic with protean presentations ranging from a localized skin abscess to fulminant multi-organ sepsis, and in India it is heavily underdiagnosed, particularly in coastal, agricultural, diabetic populations.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Melioidosis is markedly underdiagnosed in India. Modelling estimates predict more than 50,000 cases annually nationwide, giving India one of the highest predicted burdens in the world, yet historically fewer than 1,000 cases were reported in the literature and local records, a roughly 98% detection gap. A cumulative review counted about 1,694 reported cases from 1953 to 2023, concentrated in the southern and coastal states: Karnataka (42.6%), Tamil Nadu (33%), Odisha (7.6%), Kerala (7.5%) and Puducherry (4.4%). Globally the disease is estimated to cause about 165,000 cases and 89,000 deaths each year.</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Melioidosis is confirmed microbiologically; because clinical and radiological features mimic tuberculosis and other sepsis, a high index of suspicion in an endemic, diabetic, soil-exposed patient is essential.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Definitive: culture and isolation of Burkholderia pseudomallei from any clinical specimen (blood, sputum, pus/abscess aspirate, urine, throat or rectal swab, wound swab) - culture is the gold standard and is considered confirmatory even from a single site;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growth on selective Ashdown agar (or Burkholderia cepacia selective agar) with characteristic wrinkled colonies; automated identification systems may misidentify the organism, so trained microbiology input is required;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biosafety: once B. pseudomallei is suspected, isolates must be handled in a Biosafety Level-3 laboratory as it is a hazard-group-3 / potential bioterrorism agent;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rapid tests: PCR / molecular assays and lateral-flow antigen detection may support a diagnosis but do not replace culture;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serology (indirect haemagglutination antibody, IHA) is only supportive and is unreliable in endemic India because of high background seropositivity;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imaging (chest X-ray, ultrasonography, CT of thorax and abdomen) to detect pneumonia and visceral abscesses of liver, spleen, kidney and prostate;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every confirmed case should be screened for underlying diabetes (HbA1c / fasting glucose) and for renal impairment, as these define risk and guide management.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Melioidosis is classified by tempo of illness and by extent and site of infection:</w:t>
      </w:r>
    </w:p>
    <w:p>
      <w:pPr>
        <w:spacing w:before="0" w:after="80"/>
      </w:pPr>
      <w:r>
        <w:rPr>
          <w:rFonts w:ascii="Calibri" w:hAnsi="Calibri"/>
          <w:b w:val="0"/>
          <w:i w:val="0"/>
          <w:color w:val="212121"/>
          <w:sz w:val="21"/>
        </w:rPr>
        <w:t>(1) Acute melioidosis (symptoms less than 2 months), the commonest form, which may be localized (skin abscess or ulcer with regional lymphadenitis), pulmonary (community-acquired pneumonia, often upper-lobe and cavitating, closely mimicking tuberculosis), or disseminated / septicaemic with bacteraemia and metastatic abscesses;</w:t>
      </w:r>
    </w:p>
    <w:p>
      <w:pPr>
        <w:spacing w:before="0" w:after="80"/>
      </w:pPr>
      <w:r>
        <w:rPr>
          <w:rFonts w:ascii="Calibri" w:hAnsi="Calibri"/>
          <w:b w:val="0"/>
          <w:i w:val="0"/>
          <w:color w:val="212121"/>
          <w:sz w:val="21"/>
        </w:rPr>
        <w:t>(2) Septic shock / fulminant melioidosis, an abrupt multi-organ presentation with high mortality, frequently precipitated by uncontrolled diabetes;</w:t>
      </w:r>
    </w:p>
    <w:p>
      <w:pPr>
        <w:spacing w:before="0" w:after="80"/>
      </w:pPr>
      <w:r>
        <w:rPr>
          <w:rFonts w:ascii="Calibri" w:hAnsi="Calibri"/>
          <w:b w:val="0"/>
          <w:i w:val="0"/>
          <w:color w:val="212121"/>
          <w:sz w:val="21"/>
        </w:rPr>
        <w:t>(3) Chronic melioidosis (symptoms more than 2 months), characterized by chronic suppuration, weight loss and cavitary lung disease that is repeatedly misdiagnosed as tuberculosis;</w:t>
      </w:r>
    </w:p>
    <w:p>
      <w:pPr>
        <w:spacing w:before="0" w:after="80"/>
      </w:pPr>
      <w:r>
        <w:rPr>
          <w:rFonts w:ascii="Calibri" w:hAnsi="Calibri"/>
          <w:b w:val="0"/>
          <w:i w:val="0"/>
          <w:color w:val="212121"/>
          <w:sz w:val="21"/>
        </w:rPr>
        <w:t>(4) Latent infection with later reactivation, where the organism persists for months to years after an inapparent primary infection and reactivates during immunosuppression or intercurrent illness; and</w:t>
      </w:r>
    </w:p>
    <w:p>
      <w:pPr>
        <w:spacing w:before="0" w:after="80"/>
      </w:pPr>
      <w:r>
        <w:rPr>
          <w:rFonts w:ascii="Calibri" w:hAnsi="Calibri"/>
          <w:b w:val="0"/>
          <w:i w:val="0"/>
          <w:color w:val="212121"/>
          <w:sz w:val="21"/>
        </w:rPr>
        <w:t>(5) Organ-specific / focal forms such as neuromelioidosis (brainstem encephalitis, brain or spinal abscess), osteomyelitis and septic arthritis, genitourinary (prostatic) abscess, and parotid abscess (characteristic in children in endemic regions).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Causative organism: Burkholderia pseudomallei, a Gram-negative, oxidase-positive environmental bacillus that survives in wet clay-rich tropical soil, rice paddies and surface water, and is the primary environmental reservoir.</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Route of acquisition: percutaneous inoculation through cuts and abrasions during barefoot soil/water contact is the dominant route; inhalation of aerosolized bacteria (heavy rain, cyclones) and ingestion of contaminated untreated water also cause infection, while person-to-person spread is very rare.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Monsoon and environmental disruption: heavy rainfall, flooding and soil disturbance mobilize and aerosolize the organism, producing a strong seasonal peak; in India about two-thirds of cases cluster in the monsoon months.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Host susceptibility - diabetes mellitus: impaired neutrophil chemotaxis, phagocytosis and oxidative killing in diabetics is the single most important predisposing factor, present in the majority of Indian cases.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Other immunocompromise: hazardous alcohol use, chronic kidney disease, chronic lung disease, thalassaemia, and corticosteroid or other immunosuppressive therapy each substantially raise risk.</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Occupational and behavioural exposure: rice-paddy farming, gardening and other agricultural work without protective footwear or gloves increases direct contact with the organism.</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Underdiagnosis / systemic factors: low clinician awareness, laboratory misidentification and scarce microbiology capacity in endemic rural India mean true incidence far exceeds reported figures.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(40-60 years)</w:t>
            </w:r>
          </w:p>
        </w:tc>
        <w:tc>
          <w:tcPr>
            <w:tcW w:type="dxa" w:w="4276"/>
            <w:vAlign w:val="top"/>
          </w:tcPr>
          <w:p>
            <w:pPr>
              <w:spacing w:after="60" w:line="259" w:lineRule="auto"/>
            </w:pPr>
            <w:r>
              <w:rPr>
                <w:rFonts w:ascii="Calibri" w:hAnsi="Calibri"/>
                <w:b w:val="0"/>
                <w:i w:val="0"/>
                <w:color w:val="212121"/>
                <w:sz w:val="19"/>
              </w:rPr>
              <w:t>Peak incidence is in middle-aged working adults because cumulative occupational soil/water exposure coincides with the onset of type 2 diabetes and other comorbidities that impair bacterial killing.</w:t>
            </w:r>
          </w:p>
          <w:p>
            <w:pPr>
              <w:spacing w:after="40" w:before="60" w:line="259" w:lineRule="auto"/>
            </w:pPr>
            <w:r>
              <w:rPr>
                <w:rFonts w:ascii="Calibri" w:hAnsi="Calibri"/>
                <w:b w:val="0"/>
                <w:i w:val="0"/>
                <w:color w:val="212121"/>
                <w:sz w:val="19"/>
              </w:rPr>
              <w:t>In the Indian case series the median age was about 45 years, with peak incidence between 40 and 55 years.</w:t>
            </w:r>
          </w:p>
          <w:p>
            <w:pPr>
              <w:spacing w:after="40" w:line="252" w:lineRule="auto"/>
            </w:pPr>
            <w:hyperlink r:id="rId9">
              <w:r>
                <w:rPr>
                  <w:rFonts w:ascii="Calibri" w:hAnsi="Calibri" w:cs="Calibri"/>
                  <w:sz w:val="18"/>
                  <w:color w:val="1155CC"/>
                  <w:u w:val="single"/>
                </w:rPr>
                <w:t xml:space="preserve">nature.com - Missing links of melioidosis in India</w:t>
              </w:r>
            </w:hyperlink>
          </w:p>
          <w:p>
            <w:pPr>
              <w:spacing w:before="60" w:after="40"/>
            </w:pPr>
            <w:r>
              <w:rPr>
                <w:rFonts w:ascii="Calibri" w:hAnsi="Calibri"/>
                <w:b w:val="0"/>
                <w:i w:val="0"/>
                <w:color w:val="5A5A5A"/>
                <w:sz w:val="18"/>
              </w:rPr>
              <w:t>#melioidosis  #middleage  #diabetes  #occupationalexposure  #underdiagnosed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(&gt;60 years)</w:t>
            </w:r>
          </w:p>
        </w:tc>
        <w:tc>
          <w:tcPr>
            <w:tcW w:type="dxa" w:w="4276"/>
            <w:vAlign w:val="top"/>
          </w:tcPr>
          <w:p>
            <w:pPr>
              <w:spacing w:after="60" w:line="259" w:lineRule="auto"/>
            </w:pPr>
            <w:r>
              <w:rPr>
                <w:rFonts w:ascii="Calibri" w:hAnsi="Calibri"/>
                <w:b w:val="0"/>
                <w:i w:val="0"/>
                <w:color w:val="212121"/>
                <w:sz w:val="19"/>
              </w:rPr>
              <w:t>Immunosenescence, higher rates of diabetes, chronic kidney and lung disease, and reduced physiological reserve raise the risk of disseminated infection, septic shock and death in older adults.</w:t>
            </w:r>
          </w:p>
          <w:p>
            <w:pPr>
              <w:spacing w:after="40" w:before="60" w:line="259" w:lineRule="auto"/>
            </w:pPr>
            <w:r>
              <w:rPr>
                <w:rFonts w:ascii="Calibri" w:hAnsi="Calibri"/>
                <w:b w:val="0"/>
                <w:i w:val="0"/>
                <w:color w:val="212121"/>
                <w:sz w:val="19"/>
              </w:rPr>
              <w:t>Case fatality is approximately 10% in well-resourced settings but exceeds 40% in resource-poor settings, with older comorbid patients over-represented among deaths.</w:t>
            </w:r>
          </w:p>
          <w:p>
            <w:pPr>
              <w:spacing w:after="40" w:line="252" w:lineRule="auto"/>
            </w:pPr>
            <w:hyperlink r:id="rId10">
              <w:r>
                <w:rPr>
                  <w:rFonts w:ascii="Calibri" w:hAnsi="Calibri" w:cs="Calibri"/>
                  <w:sz w:val="18"/>
                  <w:color w:val="1155CC"/>
                  <w:u w:val="single"/>
                </w:rPr>
                <w:t xml:space="preserve">Melioidosis - clinical overview</w:t>
              </w:r>
            </w:hyperlink>
          </w:p>
          <w:p>
            <w:pPr>
              <w:spacing w:before="60" w:after="40"/>
            </w:pPr>
            <w:r>
              <w:rPr>
                <w:rFonts w:ascii="Calibri" w:hAnsi="Calibri"/>
                <w:b w:val="0"/>
                <w:i w:val="0"/>
                <w:color w:val="5A5A5A"/>
                <w:sz w:val="18"/>
              </w:rPr>
              <w:t>#elderly  #immunosenescence  #sepsis  #comorbidity  #highmortality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predominate strongly, reflecting greater outdoor agricultural and soil/water occupational exposure and higher rates of hazardous alcohol use rather than an intrinsic biological difference (women actually show similar or higher environmental seropositivity).</w:t>
            </w:r>
          </w:p>
          <w:p>
            <w:pPr>
              <w:spacing w:after="40" w:before="60" w:line="259" w:lineRule="auto"/>
            </w:pPr>
            <w:r>
              <w:rPr>
                <w:rFonts w:ascii="Calibri" w:hAnsi="Calibri"/>
                <w:b w:val="0"/>
                <w:i w:val="0"/>
                <w:color w:val="212121"/>
                <w:sz w:val="19"/>
              </w:rPr>
              <w:t>Among Indian cases with recorded sex, 79.2% were male and 20.8% female.</w:t>
            </w:r>
          </w:p>
          <w:p>
            <w:pPr>
              <w:spacing w:after="40" w:line="252" w:lineRule="auto"/>
            </w:pPr>
            <w:hyperlink r:id="rId9">
              <w:r>
                <w:rPr>
                  <w:rFonts w:ascii="Calibri" w:hAnsi="Calibri" w:cs="Calibri"/>
                  <w:sz w:val="18"/>
                  <w:color w:val="1155CC"/>
                  <w:u w:val="single"/>
                </w:rPr>
                <w:t xml:space="preserve">nature.com - Missing links of melioidosis in India</w:t>
              </w:r>
            </w:hyperlink>
          </w:p>
          <w:p>
            <w:pPr>
              <w:spacing w:before="60" w:after="40"/>
            </w:pPr>
            <w:r>
              <w:rPr>
                <w:rFonts w:ascii="Calibri" w:hAnsi="Calibri"/>
                <w:b w:val="0"/>
                <w:i w:val="0"/>
                <w:color w:val="5A5A5A"/>
                <w:sz w:val="18"/>
              </w:rPr>
              <w:t>#malepredominance  #alcohol  #outdoorwork  #farming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Rural agricultural / low-income populations</w:t>
            </w:r>
          </w:p>
        </w:tc>
        <w:tc>
          <w:tcPr>
            <w:tcW w:type="dxa" w:w="4276"/>
            <w:vAlign w:val="top"/>
          </w:tcPr>
          <w:p>
            <w:pPr>
              <w:spacing w:after="60" w:line="259" w:lineRule="auto"/>
            </w:pPr>
            <w:r>
              <w:rPr>
                <w:rFonts w:ascii="Calibri" w:hAnsi="Calibri"/>
                <w:b w:val="0"/>
                <w:i w:val="0"/>
                <w:color w:val="212121"/>
                <w:sz w:val="19"/>
              </w:rPr>
              <w:t>Subsistence farmers and manual labourers combine intense barefoot soil/water contact with limited access to protective equipment, safe water and prompt microbiological diagnosis, so infection is both more likely and more likely to be missed.</w:t>
            </w:r>
          </w:p>
          <w:p>
            <w:pPr>
              <w:spacing w:after="40" w:before="60" w:line="259" w:lineRule="auto"/>
            </w:pPr>
            <w:r>
              <w:rPr>
                <w:rFonts w:ascii="Calibri" w:hAnsi="Calibri"/>
                <w:b w:val="0"/>
                <w:i w:val="0"/>
                <w:color w:val="212121"/>
                <w:sz w:val="19"/>
              </w:rPr>
              <w:t>Over 68% of India's population is rural, yet cases concentrate around the few centres with culture capability, indicating large-scale under-ascertainment among the rural poor.</w:t>
            </w:r>
          </w:p>
          <w:p>
            <w:pPr>
              <w:spacing w:after="40" w:line="252" w:lineRule="auto"/>
            </w:pPr>
            <w:hyperlink r:id="rId9">
              <w:r>
                <w:rPr>
                  <w:rFonts w:ascii="Calibri" w:hAnsi="Calibri" w:cs="Calibri"/>
                  <w:sz w:val="18"/>
                  <w:color w:val="1155CC"/>
                  <w:u w:val="single"/>
                </w:rPr>
                <w:t xml:space="preserve">nature.com - Missing links of melioidosis in India</w:t>
              </w:r>
            </w:hyperlink>
          </w:p>
          <w:p>
            <w:pPr>
              <w:spacing w:before="60" w:after="40"/>
            </w:pPr>
            <w:r>
              <w:rPr>
                <w:rFonts w:ascii="Calibri" w:hAnsi="Calibri"/>
                <w:b w:val="0"/>
                <w:i w:val="0"/>
                <w:color w:val="5A5A5A"/>
                <w:sz w:val="18"/>
              </w:rPr>
              <w:t>#rural  #poverty  #agriculture  #healthaccess  #diagnosticgap</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South Indian coastal populations (Karnataka, Tamil Nadu, Kerala, Puducherry)</w:t>
            </w:r>
          </w:p>
        </w:tc>
        <w:tc>
          <w:tcPr>
            <w:tcW w:type="dxa" w:w="4276"/>
            <w:vAlign w:val="top"/>
          </w:tcPr>
          <w:p>
            <w:pPr>
              <w:spacing w:after="60" w:line="259" w:lineRule="auto"/>
            </w:pPr>
            <w:r>
              <w:rPr>
                <w:rFonts w:ascii="Calibri" w:hAnsi="Calibri"/>
                <w:b w:val="0"/>
                <w:i w:val="0"/>
                <w:color w:val="212121"/>
                <w:sz w:val="19"/>
              </w:rPr>
              <w:t>Hot, humid coastal districts with clay-rich, waterlogged rice-growing soils provide the ideal environmental niche for B. pseudomallei, so the great majority of Indian cases arise here.</w:t>
            </w:r>
          </w:p>
          <w:p>
            <w:pPr>
              <w:spacing w:after="40" w:before="60" w:line="259" w:lineRule="auto"/>
            </w:pPr>
            <w:r>
              <w:rPr>
                <w:rFonts w:ascii="Calibri" w:hAnsi="Calibri"/>
                <w:b w:val="0"/>
                <w:i w:val="0"/>
                <w:color w:val="212121"/>
                <w:sz w:val="19"/>
              </w:rPr>
              <w:t>Karnataka accounts for about 42.6% and Tamil Nadu about 33% of reported Indian cases; Kerala and Puducherry add a further 7.5% and 4.4%.</w:t>
            </w:r>
          </w:p>
          <w:p>
            <w:pPr>
              <w:spacing w:after="40" w:line="252" w:lineRule="auto"/>
            </w:pPr>
            <w:hyperlink r:id="rId9">
              <w:r>
                <w:rPr>
                  <w:rFonts w:ascii="Calibri" w:hAnsi="Calibri" w:cs="Calibri"/>
                  <w:sz w:val="18"/>
                  <w:color w:val="1155CC"/>
                  <w:u w:val="single"/>
                </w:rPr>
                <w:t xml:space="preserve">nature.com - Missing links of melioidosis in India</w:t>
              </w:r>
            </w:hyperlink>
          </w:p>
          <w:p>
            <w:pPr>
              <w:spacing w:before="60" w:after="40"/>
            </w:pPr>
            <w:r>
              <w:rPr>
                <w:rFonts w:ascii="Calibri" w:hAnsi="Calibri"/>
                <w:b w:val="0"/>
                <w:i w:val="0"/>
                <w:color w:val="5A5A5A"/>
                <w:sz w:val="18"/>
              </w:rPr>
              <w:t>#coastal  #southindia  #karnataka  #tamilnadu  #endemic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Coastal residence / soil exposure</w:t>
            </w:r>
          </w:p>
        </w:tc>
        <w:tc>
          <w:tcPr>
            <w:tcW w:type="dxa" w:w="2160"/>
            <w:vAlign w:val="top"/>
          </w:tcPr>
          <w:p>
            <w:pPr>
              <w:spacing w:after="40" w:before="0" w:line="259" w:lineRule="auto"/>
            </w:pPr>
            <w:r>
              <w:rPr>
                <w:rFonts w:ascii="Calibri" w:hAnsi="Calibri"/>
                <w:b w:val="0"/>
                <w:i w:val="0"/>
                <w:color w:val="212121"/>
                <w:sz w:val="19"/>
              </w:rPr>
              <w:t>Coastal Karnataka (Udupi/Malabar coast) residents</w:t>
            </w:r>
          </w:p>
        </w:tc>
        <w:tc>
          <w:tcPr>
            <w:tcW w:type="dxa" w:w="4276"/>
            <w:vAlign w:val="top"/>
          </w:tcPr>
          <w:p>
            <w:pPr>
              <w:spacing w:after="60" w:line="259" w:lineRule="auto"/>
            </w:pPr>
            <w:r>
              <w:rPr>
                <w:rFonts w:ascii="Calibri" w:hAnsi="Calibri"/>
                <w:b w:val="0"/>
                <w:i w:val="0"/>
                <w:color w:val="212121"/>
                <w:sz w:val="19"/>
              </w:rPr>
              <w:t>Environmental exposure to the organism is extremely common in heavy-rainfall coastal belts, so background immunity is high and clinical disease surfaces whenever a susceptible (diabetic) host is inoculated.</w:t>
            </w:r>
          </w:p>
          <w:p>
            <w:pPr>
              <w:spacing w:after="40" w:before="60" w:line="259" w:lineRule="auto"/>
            </w:pPr>
            <w:r>
              <w:rPr>
                <w:rFonts w:ascii="Calibri" w:hAnsi="Calibri"/>
                <w:b w:val="0"/>
                <w:i w:val="0"/>
                <w:color w:val="212121"/>
                <w:sz w:val="19"/>
              </w:rPr>
              <w:t>A community serosurvey in Udupi district (annual rainfall ~385 cm) found about 29% of adults seropositive, with clustering hotspots reaching 53-57% near riverbeds with agricultural activity.</w:t>
            </w:r>
          </w:p>
          <w:p>
            <w:pPr>
              <w:spacing w:after="40" w:line="252" w:lineRule="auto"/>
            </w:pPr>
            <w:hyperlink r:id="rId11">
              <w:r>
                <w:rPr>
                  <w:rFonts w:ascii="Calibri" w:hAnsi="Calibri" w:cs="Calibri"/>
                  <w:sz w:val="18"/>
                  <w:color w:val="1155CC"/>
                  <w:u w:val="single"/>
                </w:rPr>
                <w:t xml:space="preserve">PLOS NTD - Seroprevalence in coastal SW India</w:t>
              </w:r>
            </w:hyperlink>
          </w:p>
          <w:p>
            <w:pPr>
              <w:spacing w:before="60" w:after="40"/>
            </w:pPr>
            <w:r>
              <w:rPr>
                <w:rFonts w:ascii="Calibri" w:hAnsi="Calibri"/>
                <w:b w:val="0"/>
                <w:i w:val="0"/>
                <w:color w:val="5A5A5A"/>
                <w:sz w:val="18"/>
              </w:rPr>
              <w:t>#seroprevalence  #udupi  #monsoon  #soilbacteria  #coastalbelt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Eastern coastal / high-rainfall zones</w:t>
            </w:r>
          </w:p>
        </w:tc>
        <w:tc>
          <w:tcPr>
            <w:tcW w:type="dxa" w:w="2160"/>
            <w:vAlign w:val="top"/>
          </w:tcPr>
          <w:p>
            <w:pPr>
              <w:spacing w:after="40" w:before="0" w:line="259" w:lineRule="auto"/>
            </w:pPr>
            <w:r>
              <w:rPr>
                <w:rFonts w:ascii="Calibri" w:hAnsi="Calibri"/>
                <w:b w:val="0"/>
                <w:i w:val="0"/>
                <w:color w:val="212121"/>
                <w:sz w:val="19"/>
              </w:rPr>
              <w:t>Odisha and eastern-coastal residents</w:t>
            </w:r>
          </w:p>
        </w:tc>
        <w:tc>
          <w:tcPr>
            <w:tcW w:type="dxa" w:w="4276"/>
            <w:vAlign w:val="top"/>
          </w:tcPr>
          <w:p>
            <w:pPr>
              <w:spacing w:after="60" w:line="259" w:lineRule="auto"/>
            </w:pPr>
            <w:r>
              <w:rPr>
                <w:rFonts w:ascii="Calibri" w:hAnsi="Calibri"/>
                <w:b w:val="0"/>
                <w:i w:val="0"/>
                <w:color w:val="212121"/>
                <w:sz w:val="19"/>
              </w:rPr>
              <w:t>Eastern coastal states with paddy cultivation and monsoon flooding form a second endemic focus; cases here are rising as diagnostic awareness improves.</w:t>
            </w:r>
          </w:p>
          <w:p>
            <w:pPr>
              <w:spacing w:after="40" w:before="60" w:line="259" w:lineRule="auto"/>
            </w:pPr>
            <w:r>
              <w:rPr>
                <w:rFonts w:ascii="Calibri" w:hAnsi="Calibri"/>
                <w:b w:val="0"/>
                <w:i w:val="0"/>
                <w:color w:val="212121"/>
                <w:sz w:val="19"/>
              </w:rPr>
              <w:t>Odisha contributes about 7.6% of reported Indian cases, the third-highest after Karnataka and Tamil Nadu.</w:t>
            </w:r>
          </w:p>
          <w:p>
            <w:pPr>
              <w:spacing w:after="40" w:line="252" w:lineRule="auto"/>
            </w:pPr>
            <w:hyperlink r:id="rId9">
              <w:r>
                <w:rPr>
                  <w:rFonts w:ascii="Calibri" w:hAnsi="Calibri" w:cs="Calibri"/>
                  <w:sz w:val="18"/>
                  <w:color w:val="1155CC"/>
                  <w:u w:val="single"/>
                </w:rPr>
                <w:t xml:space="preserve">nature.com - Missing links of melioidosis in India</w:t>
              </w:r>
            </w:hyperlink>
          </w:p>
          <w:p>
            <w:pPr>
              <w:spacing w:before="60" w:after="40"/>
            </w:pPr>
            <w:r>
              <w:rPr>
                <w:rFonts w:ascii="Calibri" w:hAnsi="Calibri"/>
                <w:b w:val="0"/>
                <w:i w:val="0"/>
                <w:color w:val="5A5A5A"/>
                <w:sz w:val="18"/>
              </w:rPr>
              <w:t>#odisha  #easterncoast  #paddyfields  #flooding  #emergingfocus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Occupational soil/water contact</w:t>
            </w:r>
          </w:p>
        </w:tc>
        <w:tc>
          <w:tcPr>
            <w:tcW w:type="dxa" w:w="2160"/>
            <w:vAlign w:val="top"/>
          </w:tcPr>
          <w:p>
            <w:pPr>
              <w:spacing w:after="40" w:before="0" w:line="259" w:lineRule="auto"/>
            </w:pPr>
            <w:r>
              <w:rPr>
                <w:rFonts w:ascii="Calibri" w:hAnsi="Calibri"/>
                <w:b w:val="0"/>
                <w:i w:val="0"/>
                <w:color w:val="212121"/>
                <w:sz w:val="19"/>
              </w:rPr>
              <w:t>Rice-paddy farmers, agricultural and construction labourers</w:t>
            </w:r>
          </w:p>
        </w:tc>
        <w:tc>
          <w:tcPr>
            <w:tcW w:type="dxa" w:w="4276"/>
            <w:vAlign w:val="top"/>
          </w:tcPr>
          <w:p>
            <w:pPr>
              <w:spacing w:after="60" w:line="259" w:lineRule="auto"/>
            </w:pPr>
            <w:r>
              <w:rPr>
                <w:rFonts w:ascii="Calibri" w:hAnsi="Calibri"/>
                <w:b w:val="0"/>
                <w:i w:val="0"/>
                <w:color w:val="212121"/>
                <w:sz w:val="19"/>
              </w:rPr>
              <w:t>Direct, prolonged barefoot contact with contaminated mud and water, often with minor wounds, is the classic exposure that inoculates the organism percutaneously.</w:t>
            </w:r>
          </w:p>
          <w:p>
            <w:pPr>
              <w:spacing w:after="40" w:before="60" w:line="259" w:lineRule="auto"/>
            </w:pPr>
            <w:r>
              <w:rPr>
                <w:rFonts w:ascii="Calibri" w:hAnsi="Calibri"/>
                <w:b w:val="0"/>
                <w:i w:val="0"/>
                <w:color w:val="212121"/>
                <w:sz w:val="19"/>
              </w:rPr>
              <w:t>Farmers and agricultural workers are disproportionately affected and show the highest susceptibility in Indian case analyses.</w:t>
            </w:r>
          </w:p>
          <w:p>
            <w:pPr>
              <w:spacing w:after="40" w:line="252" w:lineRule="auto"/>
            </w:pPr>
            <w:hyperlink r:id="rId9">
              <w:r>
                <w:rPr>
                  <w:rFonts w:ascii="Calibri" w:hAnsi="Calibri" w:cs="Calibri"/>
                  <w:sz w:val="18"/>
                  <w:color w:val="1155CC"/>
                  <w:u w:val="single"/>
                </w:rPr>
                <w:t xml:space="preserve">nature.com - Missing links of melioidosis in India</w:t>
              </w:r>
            </w:hyperlink>
          </w:p>
          <w:p>
            <w:pPr>
              <w:spacing w:before="60" w:after="40"/>
            </w:pPr>
            <w:r>
              <w:rPr>
                <w:rFonts w:ascii="Calibri" w:hAnsi="Calibri"/>
                <w:b w:val="0"/>
                <w:i w:val="0"/>
                <w:color w:val="5A5A5A"/>
                <w:sz w:val="18"/>
              </w:rPr>
              <w:t>#farmers  #paddyfields  #barefoot  #occupational  #woundinoculation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hazardous alcohol users</w:t>
            </w:r>
          </w:p>
        </w:tc>
        <w:tc>
          <w:tcPr>
            <w:tcW w:type="dxa" w:w="4276"/>
            <w:vAlign w:val="top"/>
          </w:tcPr>
          <w:p>
            <w:pPr>
              <w:spacing w:after="60" w:line="259" w:lineRule="auto"/>
            </w:pPr>
            <w:r>
              <w:rPr>
                <w:rFonts w:ascii="Calibri" w:hAnsi="Calibri"/>
                <w:b w:val="0"/>
                <w:i w:val="0"/>
                <w:color w:val="212121"/>
                <w:sz w:val="19"/>
              </w:rPr>
              <w:t>Excess alcohol impairs neutrophil and macrophage function and is often accompanied by liver disease, markedly increasing susceptibility to disseminated infection.</w:t>
            </w:r>
          </w:p>
          <w:p>
            <w:pPr>
              <w:spacing w:after="40" w:before="60" w:line="259" w:lineRule="auto"/>
            </w:pPr>
            <w:r>
              <w:rPr>
                <w:rFonts w:ascii="Calibri" w:hAnsi="Calibri"/>
                <w:b w:val="0"/>
                <w:i w:val="0"/>
                <w:color w:val="212121"/>
                <w:sz w:val="19"/>
              </w:rPr>
              <w:t>About 37% of patients in a South Indian tertiary-care series had a history of alcoholism.</w:t>
            </w:r>
          </w:p>
          <w:p>
            <w:pPr>
              <w:spacing w:after="40" w:line="252" w:lineRule="auto"/>
            </w:pPr>
            <w:hyperlink r:id="rId12">
              <w:r>
                <w:rPr>
                  <w:rFonts w:ascii="Calibri" w:hAnsi="Calibri" w:cs="Calibri"/>
                  <w:sz w:val="18"/>
                  <w:color w:val="1155CC"/>
                  <w:u w:val="single"/>
                </w:rPr>
                <w:t xml:space="preserve">IJCCM - Melioidosis in South India, 5-year experience</w:t>
              </w:r>
            </w:hyperlink>
          </w:p>
          <w:p>
            <w:pPr>
              <w:spacing w:before="60" w:after="40"/>
            </w:pPr>
            <w:r>
              <w:rPr>
                <w:rFonts w:ascii="Calibri" w:hAnsi="Calibri"/>
                <w:b w:val="0"/>
                <w:i w:val="0"/>
                <w:color w:val="5A5A5A"/>
                <w:sz w:val="18"/>
              </w:rPr>
              <w:t>#alcohol  #immunesuppression  #liverdisease  #dissemination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 chronic lung exposure</w:t>
            </w:r>
          </w:p>
        </w:tc>
        <w:tc>
          <w:tcPr>
            <w:tcW w:type="dxa" w:w="2160"/>
            <w:vAlign w:val="top"/>
          </w:tcPr>
          <w:p>
            <w:pPr>
              <w:spacing w:after="40" w:before="0" w:line="259" w:lineRule="auto"/>
            </w:pPr>
            <w:r>
              <w:rPr>
                <w:rFonts w:ascii="Calibri" w:hAnsi="Calibri"/>
                <w:b w:val="0"/>
                <w:i w:val="0"/>
                <w:color w:val="212121"/>
                <w:sz w:val="19"/>
              </w:rPr>
              <w:t>Smokers and biomass-smoke-exposed adults with chronic lung disease</w:t>
            </w:r>
          </w:p>
        </w:tc>
        <w:tc>
          <w:tcPr>
            <w:tcW w:type="dxa" w:w="4276"/>
            <w:vAlign w:val="top"/>
          </w:tcPr>
          <w:p>
            <w:pPr>
              <w:spacing w:after="60" w:line="259" w:lineRule="auto"/>
            </w:pPr>
            <w:r>
              <w:rPr>
                <w:rFonts w:ascii="Calibri" w:hAnsi="Calibri"/>
                <w:b w:val="0"/>
                <w:i w:val="0"/>
                <w:color w:val="212121"/>
                <w:sz w:val="19"/>
              </w:rPr>
              <w:t>Smoking and chronic lung disease impair mucociliary clearance and local immunity, predisposing to the pulmonary form after inhalational exposure.</w:t>
            </w:r>
          </w:p>
          <w:p>
            <w:pPr>
              <w:spacing w:after="40" w:before="60" w:line="259" w:lineRule="auto"/>
            </w:pPr>
            <w:r>
              <w:rPr>
                <w:rFonts w:ascii="Calibri" w:hAnsi="Calibri"/>
                <w:b w:val="0"/>
                <w:i w:val="0"/>
                <w:color w:val="212121"/>
                <w:sz w:val="19"/>
              </w:rPr>
              <w:t>Chronic lung disease is an established host risk factor; pulmonary involvement occurs in roughly half of symptomatic cases.</w:t>
            </w:r>
          </w:p>
          <w:p>
            <w:pPr>
              <w:spacing w:after="40" w:line="252" w:lineRule="auto"/>
            </w:pPr>
            <w:hyperlink r:id="rId10">
              <w:r>
                <w:rPr>
                  <w:rFonts w:ascii="Calibri" w:hAnsi="Calibri" w:cs="Calibri"/>
                  <w:sz w:val="18"/>
                  <w:color w:val="1155CC"/>
                  <w:u w:val="single"/>
                </w:rPr>
                <w:t xml:space="preserve">Melioidosis - clinical overview</w:t>
              </w:r>
            </w:hyperlink>
          </w:p>
          <w:p>
            <w:pPr>
              <w:spacing w:before="60" w:after="40"/>
            </w:pPr>
            <w:r>
              <w:rPr>
                <w:rFonts w:ascii="Calibri" w:hAnsi="Calibri"/>
                <w:b w:val="0"/>
                <w:i w:val="0"/>
                <w:color w:val="5A5A5A"/>
                <w:sz w:val="18"/>
              </w:rPr>
              <w:t>#smoking  #COPD  #pneumonia  #inhalation  #lungdisease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Contaminated / untreated water</w:t>
            </w:r>
          </w:p>
        </w:tc>
        <w:tc>
          <w:tcPr>
            <w:tcW w:type="dxa" w:w="2160"/>
            <w:vAlign w:val="top"/>
          </w:tcPr>
          <w:p>
            <w:pPr>
              <w:spacing w:after="40" w:before="0" w:line="259" w:lineRule="auto"/>
            </w:pPr>
            <w:r>
              <w:rPr>
                <w:rFonts w:ascii="Calibri" w:hAnsi="Calibri"/>
                <w:b w:val="0"/>
                <w:i w:val="0"/>
                <w:color w:val="212121"/>
                <w:sz w:val="19"/>
              </w:rPr>
              <w:t>Consumers of unchlorinated well, pond or river water</w:t>
            </w:r>
          </w:p>
        </w:tc>
        <w:tc>
          <w:tcPr>
            <w:tcW w:type="dxa" w:w="4276"/>
            <w:vAlign w:val="top"/>
          </w:tcPr>
          <w:p>
            <w:pPr>
              <w:spacing w:after="60" w:line="259" w:lineRule="auto"/>
            </w:pPr>
            <w:r>
              <w:rPr>
                <w:rFonts w:ascii="Calibri" w:hAnsi="Calibri"/>
                <w:b w:val="0"/>
                <w:i w:val="0"/>
                <w:color w:val="212121"/>
                <w:sz w:val="19"/>
              </w:rPr>
              <w:t>Ingestion of B. pseudomallei in untreated water is an established route of infection and can cause parotid, oropharyngeal and disseminated disease, especially where piped chlorinated supply is absent.</w:t>
            </w:r>
          </w:p>
          <w:p>
            <w:pPr>
              <w:spacing w:after="40" w:before="60" w:line="259" w:lineRule="auto"/>
            </w:pPr>
            <w:r>
              <w:rPr>
                <w:rFonts w:ascii="Calibri" w:hAnsi="Calibri"/>
                <w:b w:val="0"/>
                <w:i w:val="0"/>
                <w:color w:val="212121"/>
                <w:sz w:val="19"/>
              </w:rPr>
              <w:t>Ingestion of contaminated water is recognized alongside inoculation and inhalation as a transmission route; potable-water contamination has caused documented outbreaks.</w:t>
            </w:r>
          </w:p>
          <w:p>
            <w:pPr>
              <w:spacing w:after="40" w:line="252" w:lineRule="auto"/>
            </w:pPr>
            <w:hyperlink r:id="rId10">
              <w:r>
                <w:rPr>
                  <w:rFonts w:ascii="Calibri" w:hAnsi="Calibri" w:cs="Calibri"/>
                  <w:sz w:val="18"/>
                  <w:color w:val="1155CC"/>
                  <w:u w:val="single"/>
                </w:rPr>
                <w:t xml:space="preserve">Melioidosis - transmission routes</w:t>
              </w:r>
            </w:hyperlink>
          </w:p>
          <w:p>
            <w:pPr>
              <w:spacing w:before="60" w:after="40"/>
            </w:pPr>
            <w:r>
              <w:rPr>
                <w:rFonts w:ascii="Calibri" w:hAnsi="Calibri"/>
                <w:b w:val="0"/>
                <w:i w:val="0"/>
                <w:color w:val="5A5A5A"/>
                <w:sz w:val="18"/>
              </w:rPr>
              <w:t>#unsafewater  #ingestion  #wellwater  #waterborne  #chlorination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Thalassaemia / haemoglobinopathy</w:t>
            </w:r>
          </w:p>
        </w:tc>
        <w:tc>
          <w:tcPr>
            <w:tcW w:type="dxa" w:w="2160"/>
            <w:vAlign w:val="top"/>
          </w:tcPr>
          <w:p>
            <w:pPr>
              <w:spacing w:after="40" w:before="0" w:line="259" w:lineRule="auto"/>
            </w:pPr>
            <w:r>
              <w:rPr>
                <w:rFonts w:ascii="Calibri" w:hAnsi="Calibri"/>
                <w:b w:val="0"/>
                <w:i w:val="0"/>
                <w:color w:val="212121"/>
                <w:sz w:val="19"/>
              </w:rPr>
              <w:t>Individuals with thalassaemia (common in parts of India)</w:t>
            </w:r>
          </w:p>
        </w:tc>
        <w:tc>
          <w:tcPr>
            <w:tcW w:type="dxa" w:w="4276"/>
            <w:vAlign w:val="top"/>
          </w:tcPr>
          <w:p>
            <w:pPr>
              <w:spacing w:after="60" w:line="259" w:lineRule="auto"/>
            </w:pPr>
            <w:r>
              <w:rPr>
                <w:rFonts w:ascii="Calibri" w:hAnsi="Calibri"/>
                <w:b w:val="0"/>
                <w:i w:val="0"/>
                <w:color w:val="212121"/>
                <w:sz w:val="19"/>
              </w:rPr>
              <w:t>Thalassaemia is an independent, inherited risk factor for melioidosis, thought to relate to iron overload and impaired macrophage handling of the organism.</w:t>
            </w:r>
          </w:p>
          <w:p>
            <w:pPr>
              <w:spacing w:after="40" w:before="60" w:line="259" w:lineRule="auto"/>
            </w:pPr>
            <w:r>
              <w:rPr>
                <w:rFonts w:ascii="Calibri" w:hAnsi="Calibri"/>
                <w:b w:val="0"/>
                <w:i w:val="0"/>
                <w:color w:val="212121"/>
                <w:sz w:val="19"/>
              </w:rPr>
              <w:t>Thalassaemia is consistently listed among the established host risk factors for melioidosis alongside diabetes and renal disease.</w:t>
            </w:r>
          </w:p>
          <w:p>
            <w:pPr>
              <w:spacing w:after="40" w:line="252" w:lineRule="auto"/>
            </w:pPr>
            <w:hyperlink r:id="rId10">
              <w:r>
                <w:rPr>
                  <w:rFonts w:ascii="Calibri" w:hAnsi="Calibri" w:cs="Calibri"/>
                  <w:sz w:val="18"/>
                  <w:color w:val="1155CC"/>
                  <w:u w:val="single"/>
                </w:rPr>
                <w:t xml:space="preserve">Melioidosis - risk factors</w:t>
              </w:r>
            </w:hyperlink>
          </w:p>
          <w:p>
            <w:pPr>
              <w:spacing w:before="60" w:after="40"/>
            </w:pPr>
            <w:r>
              <w:rPr>
                <w:rFonts w:ascii="Calibri" w:hAnsi="Calibri"/>
                <w:b w:val="0"/>
                <w:i w:val="0"/>
                <w:color w:val="5A5A5A"/>
                <w:sz w:val="18"/>
              </w:rPr>
              <w:t>#thalassemia  #hemoglobinopathy  #ironoverload  #geneticrisk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Host immune susceptibility</w:t>
            </w:r>
          </w:p>
        </w:tc>
        <w:tc>
          <w:tcPr>
            <w:tcW w:type="dxa" w:w="2160"/>
            <w:vAlign w:val="top"/>
          </w:tcPr>
          <w:p>
            <w:pPr>
              <w:spacing w:after="40" w:before="0" w:line="259" w:lineRule="auto"/>
            </w:pPr>
            <w:r>
              <w:rPr>
                <w:rFonts w:ascii="Calibri" w:hAnsi="Calibri"/>
                <w:b w:val="0"/>
                <w:i w:val="0"/>
                <w:color w:val="212121"/>
                <w:sz w:val="19"/>
              </w:rPr>
              <w:t>Persons with impaired innate immunity</w:t>
            </w:r>
          </w:p>
        </w:tc>
        <w:tc>
          <w:tcPr>
            <w:tcW w:type="dxa" w:w="4276"/>
            <w:vAlign w:val="top"/>
          </w:tcPr>
          <w:p>
            <w:pPr>
              <w:spacing w:after="60" w:line="259" w:lineRule="auto"/>
            </w:pPr>
            <w:r>
              <w:rPr>
                <w:rFonts w:ascii="Calibri" w:hAnsi="Calibri"/>
                <w:b w:val="0"/>
                <w:i w:val="0"/>
                <w:color w:val="212121"/>
                <w:sz w:val="19"/>
              </w:rPr>
              <w:t>Host innate-immune capacity strongly determines outcome: those with intact defences may clear or contain the organism, whereas defective neutrophil/macrophage killing permits invasive disease even after common environmental exposure.</w:t>
            </w:r>
          </w:p>
          <w:p>
            <w:pPr>
              <w:spacing w:after="40" w:before="60" w:line="259" w:lineRule="auto"/>
            </w:pPr>
            <w:r>
              <w:rPr>
                <w:rFonts w:ascii="Calibri" w:hAnsi="Calibri"/>
                <w:b w:val="0"/>
                <w:i w:val="0"/>
                <w:color w:val="212121"/>
                <w:sz w:val="19"/>
              </w:rPr>
              <w:t>Only about 8% of children and 20% of adults with melioidosis have no identifiable risk factor, underscoring the dominant role of host susceptibility; notably, HIV does not appear to predispose.</w:t>
            </w:r>
          </w:p>
          <w:p>
            <w:pPr>
              <w:spacing w:after="40" w:line="252" w:lineRule="auto"/>
            </w:pPr>
            <w:hyperlink r:id="rId10">
              <w:r>
                <w:rPr>
                  <w:rFonts w:ascii="Calibri" w:hAnsi="Calibri" w:cs="Calibri"/>
                  <w:sz w:val="18"/>
                  <w:color w:val="1155CC"/>
                  <w:u w:val="single"/>
                </w:rPr>
                <w:t xml:space="preserve">Melioidosis - host risk factors</w:t>
              </w:r>
            </w:hyperlink>
          </w:p>
          <w:p>
            <w:pPr>
              <w:spacing w:before="60" w:after="40"/>
            </w:pPr>
            <w:r>
              <w:rPr>
                <w:rFonts w:ascii="Calibri" w:hAnsi="Calibri"/>
                <w:b w:val="0"/>
                <w:i w:val="0"/>
                <w:color w:val="5A5A5A"/>
                <w:sz w:val="18"/>
              </w:rPr>
              <w:t>#innateimmunity  #neutrophils  #hostfactors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type 2 diabetes (especially uncontrolled)</w:t>
            </w:r>
          </w:p>
        </w:tc>
        <w:tc>
          <w:tcPr>
            <w:tcW w:type="dxa" w:w="4276"/>
            <w:vAlign w:val="top"/>
          </w:tcPr>
          <w:p>
            <w:pPr>
              <w:spacing w:after="60" w:line="259" w:lineRule="auto"/>
            </w:pPr>
            <w:r>
              <w:rPr>
                <w:rFonts w:ascii="Calibri" w:hAnsi="Calibri"/>
                <w:b w:val="0"/>
                <w:i w:val="0"/>
                <w:color w:val="212121"/>
                <w:sz w:val="19"/>
              </w:rPr>
              <w:t>Diabetes is by far the dominant predisposition: hyperglycaemia impairs neutrophil migration, phagocytosis and oxidative killing of B. pseudomallei, converting environmental exposure into invasive, often septicaemic disease.</w:t>
            </w:r>
          </w:p>
          <w:p>
            <w:pPr>
              <w:spacing w:after="40" w:before="60" w:line="259" w:lineRule="auto"/>
            </w:pPr>
            <w:r>
              <w:rPr>
                <w:rFonts w:ascii="Calibri" w:hAnsi="Calibri"/>
                <w:b w:val="0"/>
                <w:i w:val="0"/>
                <w:color w:val="212121"/>
                <w:sz w:val="19"/>
              </w:rPr>
              <w:t>Diabetes is present in about 76.2% of Indian melioidosis patients (up to 88% in some South Indian series) and is the most common comorbidity worldwide, conferring roughly a 12-fold increased risk.</w:t>
            </w:r>
          </w:p>
          <w:p>
            <w:pPr>
              <w:spacing w:after="40" w:line="252" w:lineRule="auto"/>
            </w:pPr>
            <w:hyperlink r:id="rId13">
              <w:r>
                <w:rPr>
                  <w:rFonts w:ascii="Calibri" w:hAnsi="Calibri" w:cs="Calibri"/>
                  <w:sz w:val="18"/>
                  <w:color w:val="1155CC"/>
                  <w:u w:val="single"/>
                </w:rPr>
                <w:t xml:space="preserve">MDPI Life - Diabetes and melioidosis meta-analysis</w:t>
              </w:r>
            </w:hyperlink>
          </w:p>
          <w:p>
            <w:pPr>
              <w:spacing w:before="60" w:after="40"/>
            </w:pPr>
            <w:r>
              <w:rPr>
                <w:rFonts w:ascii="Calibri" w:hAnsi="Calibri"/>
                <w:b w:val="0"/>
                <w:i w:val="0"/>
                <w:color w:val="5A5A5A"/>
                <w:sz w:val="18"/>
              </w:rPr>
              <w:t>#diabetes  #hyperglycemia  #neutrophildysfunction  #majorriskfactor  #sepsis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Patients with CKD / renal impairment</w:t>
            </w:r>
          </w:p>
        </w:tc>
        <w:tc>
          <w:tcPr>
            <w:tcW w:type="dxa" w:w="4276"/>
            <w:vAlign w:val="top"/>
          </w:tcPr>
          <w:p>
            <w:pPr>
              <w:spacing w:after="60" w:line="259" w:lineRule="auto"/>
            </w:pPr>
            <w:r>
              <w:rPr>
                <w:rFonts w:ascii="Calibri" w:hAnsi="Calibri"/>
                <w:b w:val="0"/>
                <w:i w:val="0"/>
                <w:color w:val="212121"/>
                <w:sz w:val="19"/>
              </w:rPr>
              <w:t>Uraemia impairs immune function, and pre-existing renal disease predisposes to severe disease and acute-on-chronic kidney injury during melioidosis sepsis.</w:t>
            </w:r>
          </w:p>
          <w:p>
            <w:pPr>
              <w:spacing w:after="40" w:before="60" w:line="259" w:lineRule="auto"/>
            </w:pPr>
            <w:r>
              <w:rPr>
                <w:rFonts w:ascii="Calibri" w:hAnsi="Calibri"/>
                <w:b w:val="0"/>
                <w:i w:val="0"/>
                <w:color w:val="212121"/>
                <w:sz w:val="19"/>
              </w:rPr>
              <w:t>Chronic renal failure was present in about 23% of patients in a South Indian tertiary series, and acute kidney injury frequently complicates diabetic cases.</w:t>
            </w:r>
          </w:p>
          <w:p>
            <w:pPr>
              <w:spacing w:after="40" w:line="252" w:lineRule="auto"/>
            </w:pPr>
            <w:hyperlink r:id="rId12">
              <w:r>
                <w:rPr>
                  <w:rFonts w:ascii="Calibri" w:hAnsi="Calibri" w:cs="Calibri"/>
                  <w:sz w:val="18"/>
                  <w:color w:val="1155CC"/>
                  <w:u w:val="single"/>
                </w:rPr>
                <w:t xml:space="preserve">IJCCM - Melioidosis in South India, 5-year experience</w:t>
              </w:r>
            </w:hyperlink>
          </w:p>
          <w:p>
            <w:pPr>
              <w:spacing w:before="60" w:after="40"/>
            </w:pPr>
            <w:r>
              <w:rPr>
                <w:rFonts w:ascii="Calibri" w:hAnsi="Calibri"/>
                <w:b w:val="0"/>
                <w:i w:val="0"/>
                <w:color w:val="5A5A5A"/>
                <w:sz w:val="18"/>
              </w:rPr>
              <w:t>#CKD  #uremia  #AKI  #renalrisk  #severe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liver disease</w:t>
            </w:r>
          </w:p>
        </w:tc>
        <w:tc>
          <w:tcPr>
            <w:tcW w:type="dxa" w:w="2160"/>
            <w:vAlign w:val="top"/>
          </w:tcPr>
          <w:p>
            <w:pPr>
              <w:spacing w:after="40" w:before="0" w:line="259" w:lineRule="auto"/>
            </w:pPr>
            <w:r>
              <w:rPr>
                <w:rFonts w:ascii="Calibri" w:hAnsi="Calibri"/>
                <w:b w:val="0"/>
                <w:i w:val="0"/>
                <w:color w:val="212121"/>
                <w:sz w:val="19"/>
              </w:rPr>
              <w:t>Patients with alcoholic or chronic liver disease</w:t>
            </w:r>
          </w:p>
        </w:tc>
        <w:tc>
          <w:tcPr>
            <w:tcW w:type="dxa" w:w="4276"/>
            <w:vAlign w:val="top"/>
          </w:tcPr>
          <w:p>
            <w:pPr>
              <w:spacing w:after="60" w:line="259" w:lineRule="auto"/>
            </w:pPr>
            <w:r>
              <w:rPr>
                <w:rFonts w:ascii="Calibri" w:hAnsi="Calibri"/>
                <w:b w:val="0"/>
                <w:i w:val="0"/>
                <w:color w:val="212121"/>
                <w:sz w:val="19"/>
              </w:rPr>
              <w:t>Impaired hepatic reticuloendothelial clearance and coexisting alcohol use reduce bacterial control and predispose to bacteraemia and hepatic abscess.</w:t>
            </w:r>
          </w:p>
          <w:p>
            <w:pPr>
              <w:spacing w:after="40" w:before="60" w:line="259" w:lineRule="auto"/>
            </w:pPr>
            <w:r>
              <w:rPr>
                <w:rFonts w:ascii="Calibri" w:hAnsi="Calibri"/>
                <w:b w:val="0"/>
                <w:i w:val="0"/>
                <w:color w:val="212121"/>
                <w:sz w:val="19"/>
              </w:rPr>
              <w:t>Alcohol-related liver disease frequently coexists; hepatic and splenic abscesses were among the commonest metastatic foci in Indian series.</w:t>
            </w:r>
          </w:p>
          <w:p>
            <w:pPr>
              <w:spacing w:after="40" w:line="252" w:lineRule="auto"/>
            </w:pPr>
            <w:hyperlink r:id="rId12">
              <w:r>
                <w:rPr>
                  <w:rFonts w:ascii="Calibri" w:hAnsi="Calibri" w:cs="Calibri"/>
                  <w:sz w:val="18"/>
                  <w:color w:val="1155CC"/>
                  <w:u w:val="single"/>
                </w:rPr>
                <w:t xml:space="preserve">IJCCM - Melioidosis in South India, 5-year experience</w:t>
              </w:r>
            </w:hyperlink>
          </w:p>
          <w:p>
            <w:pPr>
              <w:spacing w:before="60" w:after="40"/>
            </w:pPr>
            <w:r>
              <w:rPr>
                <w:rFonts w:ascii="Calibri" w:hAnsi="Calibri"/>
                <w:b w:val="0"/>
                <w:i w:val="0"/>
                <w:color w:val="5A5A5A"/>
                <w:sz w:val="18"/>
              </w:rPr>
              <w:t>#liverdisease  #alcohol  #hepaticabscess  #bacteremia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 / steroid therapy</w:t>
            </w:r>
          </w:p>
        </w:tc>
        <w:tc>
          <w:tcPr>
            <w:tcW w:type="dxa" w:w="2160"/>
            <w:vAlign w:val="top"/>
          </w:tcPr>
          <w:p>
            <w:pPr>
              <w:spacing w:after="40" w:before="0" w:line="259" w:lineRule="auto"/>
            </w:pPr>
            <w:r>
              <w:rPr>
                <w:rFonts w:ascii="Calibri" w:hAnsi="Calibri"/>
                <w:b w:val="0"/>
                <w:i w:val="0"/>
                <w:color w:val="212121"/>
                <w:sz w:val="19"/>
              </w:rPr>
              <w:t>Patients on corticosteroids or other immunosuppressants</w:t>
            </w:r>
          </w:p>
        </w:tc>
        <w:tc>
          <w:tcPr>
            <w:tcW w:type="dxa" w:w="4276"/>
            <w:vAlign w:val="top"/>
          </w:tcPr>
          <w:p>
            <w:pPr>
              <w:spacing w:after="60" w:line="259" w:lineRule="auto"/>
            </w:pPr>
            <w:r>
              <w:rPr>
                <w:rFonts w:ascii="Calibri" w:hAnsi="Calibri"/>
                <w:b w:val="0"/>
                <w:i w:val="0"/>
                <w:color w:val="212121"/>
                <w:sz w:val="19"/>
              </w:rPr>
              <w:t>Iatrogenic immunosuppression blunts cell-mediated immunity and can precipitate reactivation of latent infection or fulminant primary disease.</w:t>
            </w:r>
          </w:p>
          <w:p>
            <w:pPr>
              <w:spacing w:after="40" w:before="60" w:line="259" w:lineRule="auto"/>
            </w:pPr>
            <w:r>
              <w:rPr>
                <w:rFonts w:ascii="Calibri" w:hAnsi="Calibri"/>
                <w:b w:val="0"/>
                <w:i w:val="0"/>
                <w:color w:val="212121"/>
                <w:sz w:val="19"/>
              </w:rPr>
              <w:t>Prolonged steroid use and immunosuppression are recognized independent risk factors for melioidosis and for reactivation of dormant infection.</w:t>
            </w:r>
          </w:p>
          <w:p>
            <w:pPr>
              <w:spacing w:after="40" w:line="252" w:lineRule="auto"/>
            </w:pPr>
            <w:hyperlink r:id="rId10">
              <w:r>
                <w:rPr>
                  <w:rFonts w:ascii="Calibri" w:hAnsi="Calibri" w:cs="Calibri"/>
                  <w:sz w:val="18"/>
                  <w:color w:val="1155CC"/>
                  <w:u w:val="single"/>
                </w:rPr>
                <w:t xml:space="preserve">Melioidosis - risk factors</w:t>
              </w:r>
            </w:hyperlink>
          </w:p>
          <w:p>
            <w:pPr>
              <w:spacing w:before="60" w:after="40"/>
            </w:pPr>
            <w:r>
              <w:rPr>
                <w:rFonts w:ascii="Calibri" w:hAnsi="Calibri"/>
                <w:b w:val="0"/>
                <w:i w:val="0"/>
                <w:color w:val="5A5A5A"/>
                <w:sz w:val="18"/>
              </w:rPr>
              <w:t>#steroids  #immunosuppression  #reactivation  #latentinfection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Risk here is driven by the type of activity, not fitness: occupational and recreational soil/water contact (paddy farming, gardening, construction) is the principal exposure. Farmers and agricultural workers are disproportionately represented among Indian cases.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Ingestion of B. pseudomallei via contaminated untreated water or produce is an established transmission route and has caused water-borne outbreaks, causing parotid, oropharyngeal and disseminated disease.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link to acquisition; chronic sleep deprivation may modestly impair immune defence, but evidence specific to melioidosis is lacking.</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and chronic lung disease impair pulmonary defences and predispose to the pneumonic form, which occurs in about half of symptomatic cases.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Hazardous alcohol use impairs neutrophil and macrophage function and is a well-established host risk factor; about 37% of patients in a South Indian series were alcoholics.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causal role in acquisition, but depression and poor coping undermine adherence to the prolonged (3-6 month) eradication antibiotic course, raising relapse risk.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Wet soil and surface/ground water are the primary environmental reservoir; contact with, inhalation of aerosols from, or ingestion of contaminated water is the central mechanism of infection, with strong monsoon seasonality.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association between caffeine intake and melioidosis risk or outcome.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Protective footwear, gloves and prompt cleaning/covering of wounds sharply reduce percutaneous inoculation; barefoot farming and neglected minor injuries are key preventable exposures.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Heavy monsoon rainfall, flooding, cyclones, soil disturbance, near-drowning and penetrating soil-contaminated wounds acutely provoke infection; about 66.9% of Indian cases occur in the monsoon (June-September).</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Protective footwear/gloves during soil-water work</w:t>
            </w:r>
          </w:p>
        </w:tc>
        <w:tc>
          <w:tcPr>
            <w:tcW w:type="dxa" w:w="1655"/>
            <w:vAlign w:val="top"/>
          </w:tcPr>
          <w:p>
            <w:pPr>
              <w:spacing w:after="40" w:before="0" w:line="259" w:lineRule="auto"/>
            </w:pPr>
            <w:r>
              <w:rPr>
                <w:rFonts w:ascii="Calibri" w:hAnsi="Calibri"/>
                <w:b w:val="0"/>
                <w:i w:val="0"/>
                <w:color w:val="212121"/>
                <w:sz w:val="19"/>
              </w:rPr>
              <w:t>Farmers, gardeners, labourers in endemic zones</w:t>
            </w:r>
          </w:p>
        </w:tc>
        <w:tc>
          <w:tcPr>
            <w:tcW w:type="dxa" w:w="1512"/>
            <w:vAlign w:val="top"/>
          </w:tcPr>
          <w:p>
            <w:pPr>
              <w:spacing w:after="40" w:before="0" w:line="259" w:lineRule="auto"/>
            </w:pPr>
            <w:r>
              <w:rPr>
                <w:rFonts w:ascii="Calibri" w:hAnsi="Calibri"/>
                <w:b w:val="0"/>
                <w:i w:val="0"/>
                <w:color w:val="212121"/>
                <w:sz w:val="19"/>
              </w:rPr>
              <w:t>Always worn; wounds cleaned and covered</w:t>
            </w:r>
          </w:p>
        </w:tc>
        <w:tc>
          <w:tcPr>
            <w:tcW w:type="dxa" w:w="1512"/>
            <w:vAlign w:val="top"/>
          </w:tcPr>
          <w:p>
            <w:pPr>
              <w:spacing w:after="40" w:before="0" w:line="259" w:lineRule="auto"/>
            </w:pPr>
            <w:r>
              <w:rPr>
                <w:rFonts w:ascii="Calibri" w:hAnsi="Calibri"/>
                <w:b w:val="0"/>
                <w:i w:val="0"/>
                <w:color w:val="212121"/>
                <w:sz w:val="19"/>
              </w:rPr>
              <w:t>Barefoot/ungloved contact with mud or standing water</w:t>
            </w:r>
          </w:p>
        </w:tc>
        <w:tc>
          <w:tcPr>
            <w:tcW w:type="dxa" w:w="1468"/>
            <w:vAlign w:val="top"/>
          </w:tcPr>
          <w:p>
            <w:pPr>
              <w:spacing w:after="60" w:line="259" w:lineRule="auto"/>
            </w:pPr>
            <w:r>
              <w:rPr>
                <w:rFonts w:ascii="Calibri" w:hAnsi="Calibri"/>
                <w:b w:val="0"/>
                <w:i w:val="0"/>
                <w:color w:val="212121"/>
                <w:sz w:val="19"/>
              </w:rPr>
              <w:t>Percutaneous inoculation is the dominant route; barrier protection is the single most effective prevention</w:t>
            </w:r>
          </w:p>
          <w:p>
            <w:pPr>
              <w:spacing w:after="40" w:line="252" w:lineRule="auto"/>
            </w:pPr>
            <w:hyperlink r:id="rId10">
              <w:r>
                <w:rPr>
                  <w:rFonts w:ascii="Calibri" w:hAnsi="Calibri" w:cs="Calibri"/>
                  <w:sz w:val="18"/>
                  <w:color w:val="1155CC"/>
                  <w:u w:val="single"/>
                </w:rPr>
                <w:t xml:space="preserve">https://en.wikipedia.org/wiki/Melioidosis</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Soil/water exposure during monsoon</w:t>
            </w:r>
          </w:p>
        </w:tc>
        <w:tc>
          <w:tcPr>
            <w:tcW w:type="dxa" w:w="1655"/>
            <w:vAlign w:val="top"/>
          </w:tcPr>
          <w:p>
            <w:pPr>
              <w:spacing w:after="40" w:before="0" w:line="259" w:lineRule="auto"/>
            </w:pPr>
            <w:r>
              <w:rPr>
                <w:rFonts w:ascii="Calibri" w:hAnsi="Calibri"/>
                <w:b w:val="0"/>
                <w:i w:val="0"/>
                <w:color w:val="212121"/>
                <w:sz w:val="19"/>
              </w:rPr>
              <w:t>Endemic coastal residents, agricultural workers</w:t>
            </w:r>
          </w:p>
        </w:tc>
        <w:tc>
          <w:tcPr>
            <w:tcW w:type="dxa" w:w="1512"/>
            <w:vAlign w:val="top"/>
          </w:tcPr>
          <w:p>
            <w:pPr>
              <w:spacing w:after="40" w:before="0" w:line="259" w:lineRule="auto"/>
            </w:pPr>
            <w:r>
              <w:rPr>
                <w:rFonts w:ascii="Calibri" w:hAnsi="Calibri"/>
                <w:b w:val="0"/>
                <w:i w:val="0"/>
                <w:color w:val="212121"/>
                <w:sz w:val="19"/>
              </w:rPr>
              <w:t>Minimize direct contact during and after heavy rain/flooding</w:t>
            </w:r>
          </w:p>
        </w:tc>
        <w:tc>
          <w:tcPr>
            <w:tcW w:type="dxa" w:w="1512"/>
            <w:vAlign w:val="top"/>
          </w:tcPr>
          <w:p>
            <w:pPr>
              <w:spacing w:after="40" w:before="0" w:line="259" w:lineRule="auto"/>
            </w:pPr>
            <w:r>
              <w:rPr>
                <w:rFonts w:ascii="Calibri" w:hAnsi="Calibri"/>
                <w:b w:val="0"/>
                <w:i w:val="0"/>
                <w:color w:val="212121"/>
                <w:sz w:val="19"/>
              </w:rPr>
              <w:t>Occupational mud/water contact in monsoon months</w:t>
            </w:r>
          </w:p>
        </w:tc>
        <w:tc>
          <w:tcPr>
            <w:tcW w:type="dxa" w:w="1468"/>
            <w:vAlign w:val="top"/>
          </w:tcPr>
          <w:p>
            <w:pPr>
              <w:spacing w:after="60" w:line="259" w:lineRule="auto"/>
            </w:pPr>
            <w:r>
              <w:rPr>
                <w:rFonts w:ascii="Calibri" w:hAnsi="Calibri"/>
                <w:b w:val="0"/>
                <w:i w:val="0"/>
                <w:color w:val="212121"/>
                <w:sz w:val="19"/>
              </w:rPr>
              <w:t>About two-thirds of Indian cases cluster in June-September</w:t>
            </w:r>
          </w:p>
          <w:p>
            <w:pPr>
              <w:spacing w:after="40" w:line="252" w:lineRule="auto"/>
            </w:pPr>
            <w:hyperlink r:id="rId9">
              <w:r>
                <w:rPr>
                  <w:rFonts w:ascii="Calibri" w:hAnsi="Calibri" w:cs="Calibri"/>
                  <w:sz w:val="18"/>
                  <w:color w:val="1155CC"/>
                  <w:u w:val="single"/>
                </w:rPr>
                <w:t xml:space="preserve">https://www.nature.com/articles/s41598-025-27178-4</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Use of boiled/filtered/chlorinated drinking water</w:t>
            </w:r>
          </w:p>
        </w:tc>
        <w:tc>
          <w:tcPr>
            <w:tcW w:type="dxa" w:w="1655"/>
            <w:vAlign w:val="top"/>
          </w:tcPr>
          <w:p>
            <w:pPr>
              <w:spacing w:after="40" w:before="0" w:line="259" w:lineRule="auto"/>
            </w:pPr>
            <w:r>
              <w:rPr>
                <w:rFonts w:ascii="Calibri" w:hAnsi="Calibri"/>
                <w:b w:val="0"/>
                <w:i w:val="0"/>
                <w:color w:val="212121"/>
                <w:sz w:val="19"/>
              </w:rPr>
              <w:t>Households using untreated well/pond/river water</w:t>
            </w:r>
          </w:p>
        </w:tc>
        <w:tc>
          <w:tcPr>
            <w:tcW w:type="dxa" w:w="1512"/>
            <w:vAlign w:val="top"/>
          </w:tcPr>
          <w:p>
            <w:pPr>
              <w:spacing w:after="40" w:before="0" w:line="259" w:lineRule="auto"/>
            </w:pPr>
            <w:r>
              <w:rPr>
                <w:rFonts w:ascii="Calibri" w:hAnsi="Calibri"/>
                <w:b w:val="0"/>
                <w:i w:val="0"/>
                <w:color w:val="212121"/>
                <w:sz w:val="19"/>
              </w:rPr>
              <w:t>Treated (boiled, filtered or chlorinated) water only</w:t>
            </w:r>
          </w:p>
        </w:tc>
        <w:tc>
          <w:tcPr>
            <w:tcW w:type="dxa" w:w="1512"/>
            <w:vAlign w:val="top"/>
          </w:tcPr>
          <w:p>
            <w:pPr>
              <w:spacing w:after="40" w:before="0" w:line="259" w:lineRule="auto"/>
            </w:pPr>
            <w:r>
              <w:rPr>
                <w:rFonts w:ascii="Calibri" w:hAnsi="Calibri"/>
                <w:b w:val="0"/>
                <w:i w:val="0"/>
                <w:color w:val="212121"/>
                <w:sz w:val="19"/>
              </w:rPr>
              <w:t>Regular ingestion of untreated surface/ground water</w:t>
            </w:r>
          </w:p>
        </w:tc>
        <w:tc>
          <w:tcPr>
            <w:tcW w:type="dxa" w:w="1468"/>
            <w:vAlign w:val="top"/>
          </w:tcPr>
          <w:p>
            <w:pPr>
              <w:spacing w:after="60" w:line="259" w:lineRule="auto"/>
            </w:pPr>
            <w:r>
              <w:rPr>
                <w:rFonts w:ascii="Calibri" w:hAnsi="Calibri"/>
                <w:b w:val="0"/>
                <w:i w:val="0"/>
                <w:color w:val="212121"/>
                <w:sz w:val="19"/>
              </w:rPr>
              <w:t>Ingestion is a recognized transmission route and outbreak source</w:t>
            </w:r>
          </w:p>
          <w:p>
            <w:pPr>
              <w:spacing w:after="40" w:line="252" w:lineRule="auto"/>
            </w:pPr>
            <w:hyperlink r:id="rId10">
              <w:r>
                <w:rPr>
                  <w:rFonts w:ascii="Calibri" w:hAnsi="Calibri" w:cs="Calibri"/>
                  <w:sz w:val="18"/>
                  <w:color w:val="1155CC"/>
                  <w:u w:val="single"/>
                </w:rPr>
                <w:t xml:space="preserve">https://en.wikipedia.org/wiki/Melioidosis</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Adult men in endemic areas</w:t>
            </w:r>
          </w:p>
        </w:tc>
        <w:tc>
          <w:tcPr>
            <w:tcW w:type="dxa" w:w="1512"/>
            <w:vAlign w:val="top"/>
          </w:tcPr>
          <w:p>
            <w:pPr>
              <w:spacing w:after="40" w:before="0" w:line="259" w:lineRule="auto"/>
            </w:pPr>
            <w:r>
              <w:rPr>
                <w:rFonts w:ascii="Calibri" w:hAnsi="Calibri"/>
                <w:b w:val="0"/>
                <w:i w:val="0"/>
                <w:color w:val="212121"/>
                <w:sz w:val="19"/>
              </w:rPr>
              <w:t>None to minimal</w:t>
            </w:r>
          </w:p>
        </w:tc>
        <w:tc>
          <w:tcPr>
            <w:tcW w:type="dxa" w:w="1512"/>
            <w:vAlign w:val="top"/>
          </w:tcPr>
          <w:p>
            <w:pPr>
              <w:spacing w:after="40" w:before="0" w:line="259" w:lineRule="auto"/>
            </w:pPr>
            <w:r>
              <w:rPr>
                <w:rFonts w:ascii="Calibri" w:hAnsi="Calibri"/>
                <w:b w:val="0"/>
                <w:i w:val="0"/>
                <w:color w:val="212121"/>
                <w:sz w:val="19"/>
              </w:rPr>
              <w:t>Hazardous/heavy use</w:t>
            </w:r>
          </w:p>
        </w:tc>
        <w:tc>
          <w:tcPr>
            <w:tcW w:type="dxa" w:w="1468"/>
            <w:vAlign w:val="top"/>
          </w:tcPr>
          <w:p>
            <w:pPr>
              <w:spacing w:after="60" w:line="259" w:lineRule="auto"/>
            </w:pPr>
            <w:r>
              <w:rPr>
                <w:rFonts w:ascii="Calibri" w:hAnsi="Calibri"/>
                <w:b w:val="0"/>
                <w:i w:val="0"/>
                <w:color w:val="212121"/>
                <w:sz w:val="19"/>
              </w:rPr>
              <w:t>Impairs phagocyte function; present in about 37% of South Indian cases</w:t>
            </w:r>
          </w:p>
          <w:p>
            <w:pPr>
              <w:spacing w:after="40" w:line="252" w:lineRule="auto"/>
            </w:pPr>
            <w:hyperlink r:id="rId12">
              <w:r>
                <w:rPr>
                  <w:rFonts w:ascii="Calibri" w:hAnsi="Calibri" w:cs="Calibri"/>
                  <w:sz w:val="18"/>
                  <w:color w:val="1155CC"/>
                  <w:u w:val="single"/>
                </w:rPr>
                <w:t xml:space="preserve">https://www.ijccm.org/abstractArticleContentBrowse/IJCCM/23198/JPJ/fullText</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Glycaemic control - HbA1c (%)</w:t>
            </w:r>
          </w:p>
        </w:tc>
        <w:tc>
          <w:tcPr>
            <w:tcW w:type="dxa" w:w="1655"/>
            <w:vAlign w:val="top"/>
          </w:tcPr>
          <w:p>
            <w:pPr>
              <w:spacing w:after="40" w:before="0" w:line="259" w:lineRule="auto"/>
            </w:pPr>
            <w:r>
              <w:rPr>
                <w:rFonts w:ascii="Calibri" w:hAnsi="Calibri"/>
                <w:b w:val="0"/>
                <w:i w:val="0"/>
                <w:color w:val="212121"/>
                <w:sz w:val="19"/>
              </w:rPr>
              <w:t>Diabetic adults in endemic areas</w:t>
            </w:r>
          </w:p>
        </w:tc>
        <w:tc>
          <w:tcPr>
            <w:tcW w:type="dxa" w:w="1512"/>
            <w:vAlign w:val="top"/>
          </w:tcPr>
          <w:p>
            <w:pPr>
              <w:spacing w:after="40" w:before="0" w:line="259" w:lineRule="auto"/>
            </w:pPr>
            <w:r>
              <w:rPr>
                <w:rFonts w:ascii="Calibri" w:hAnsi="Calibri"/>
                <w:b w:val="0"/>
                <w:i w:val="0"/>
                <w:color w:val="212121"/>
                <w:sz w:val="19"/>
              </w:rPr>
              <w:t>&lt; 7.0%</w:t>
            </w:r>
          </w:p>
        </w:tc>
        <w:tc>
          <w:tcPr>
            <w:tcW w:type="dxa" w:w="1512"/>
            <w:vAlign w:val="top"/>
          </w:tcPr>
          <w:p>
            <w:pPr>
              <w:spacing w:after="40" w:before="0" w:line="259" w:lineRule="auto"/>
            </w:pPr>
            <w:r>
              <w:rPr>
                <w:rFonts w:ascii="Calibri" w:hAnsi="Calibri"/>
                <w:b w:val="0"/>
                <w:i w:val="0"/>
                <w:color w:val="212121"/>
                <w:sz w:val="19"/>
              </w:rPr>
              <w:t>&gt; 8.0% (uncontrolled)</w:t>
            </w:r>
          </w:p>
        </w:tc>
        <w:tc>
          <w:tcPr>
            <w:tcW w:type="dxa" w:w="1468"/>
            <w:vAlign w:val="top"/>
          </w:tcPr>
          <w:p>
            <w:pPr>
              <w:spacing w:after="60" w:line="259" w:lineRule="auto"/>
            </w:pPr>
            <w:r>
              <w:rPr>
                <w:rFonts w:ascii="Calibri" w:hAnsi="Calibri"/>
                <w:b w:val="0"/>
                <w:i w:val="0"/>
                <w:color w:val="212121"/>
                <w:sz w:val="19"/>
              </w:rPr>
              <w:t>Poor glycaemic control is the strongest modifiable driver of invasive melioidosis</w:t>
            </w:r>
          </w:p>
          <w:p>
            <w:pPr>
              <w:spacing w:after="40" w:line="252" w:lineRule="auto"/>
            </w:pPr>
            <w:hyperlink r:id="rId13">
              <w:r>
                <w:rPr>
                  <w:rFonts w:ascii="Calibri" w:hAnsi="Calibri" w:cs="Calibri"/>
                  <w:sz w:val="18"/>
                  <w:color w:val="1155CC"/>
                  <w:u w:val="single"/>
                </w:rPr>
                <w:t xml:space="preserve">https://www.mdpi.com/2075-1729/16/2/361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blood glucose (mg/dL)</w:t>
            </w:r>
          </w:p>
        </w:tc>
        <w:tc>
          <w:tcPr>
            <w:tcW w:type="dxa" w:w="1655"/>
            <w:vAlign w:val="top"/>
          </w:tcPr>
          <w:p>
            <w:pPr>
              <w:spacing w:after="40" w:before="0" w:line="259" w:lineRule="auto"/>
            </w:pPr>
            <w:r>
              <w:rPr>
                <w:rFonts w:ascii="Calibri" w:hAnsi="Calibri"/>
                <w:b w:val="0"/>
                <w:i w:val="0"/>
                <w:color w:val="212121"/>
                <w:sz w:val="19"/>
              </w:rPr>
              <w:t>Adults screened at diagnosis</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&gt;= 126 mg/dL (diabetes)</w:t>
            </w:r>
          </w:p>
        </w:tc>
        <w:tc>
          <w:tcPr>
            <w:tcW w:type="dxa" w:w="1468"/>
            <w:vAlign w:val="top"/>
          </w:tcPr>
          <w:p>
            <w:pPr>
              <w:spacing w:after="60" w:line="259" w:lineRule="auto"/>
            </w:pPr>
            <w:r>
              <w:rPr>
                <w:rFonts w:ascii="Calibri" w:hAnsi="Calibri"/>
                <w:b w:val="0"/>
                <w:i w:val="0"/>
                <w:color w:val="212121"/>
                <w:sz w:val="19"/>
              </w:rPr>
              <w:t>All confirmed cases should be screened for underlying diabetes</w:t>
            </w:r>
          </w:p>
          <w:p>
            <w:pPr>
              <w:spacing w:after="40" w:line="252" w:lineRule="auto"/>
            </w:pPr>
            <w:hyperlink r:id="rId13">
              <w:r>
                <w:rPr>
                  <w:rFonts w:ascii="Calibri" w:hAnsi="Calibri" w:cs="Calibri"/>
                  <w:sz w:val="18"/>
                  <w:color w:val="1155CC"/>
                  <w:u w:val="single"/>
                </w:rPr>
                <w:t xml:space="preserve">https://www.mdpi.com/2075-1729/16/2/361</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Renal function - eGFR (mL/min/1.73m2)</w:t>
            </w:r>
          </w:p>
        </w:tc>
        <w:tc>
          <w:tcPr>
            <w:tcW w:type="dxa" w:w="1655"/>
            <w:vAlign w:val="top"/>
          </w:tcPr>
          <w:p>
            <w:pPr>
              <w:spacing w:after="40" w:before="0" w:line="259" w:lineRule="auto"/>
            </w:pPr>
            <w:r>
              <w:rPr>
                <w:rFonts w:ascii="Calibri" w:hAnsi="Calibri"/>
                <w:b w:val="0"/>
                <w:i w:val="0"/>
                <w:color w:val="212121"/>
                <w:sz w:val="19"/>
              </w:rPr>
              <w:t>Patients with CKD or at presentation</w:t>
            </w:r>
          </w:p>
        </w:tc>
        <w:tc>
          <w:tcPr>
            <w:tcW w:type="dxa" w:w="1512"/>
            <w:vAlign w:val="top"/>
          </w:tcPr>
          <w:p>
            <w:pPr>
              <w:spacing w:after="40" w:before="0" w:line="259" w:lineRule="auto"/>
            </w:pPr>
            <w:r>
              <w:rPr>
                <w:rFonts w:ascii="Calibri" w:hAnsi="Calibri"/>
                <w:b w:val="0"/>
                <w:i w:val="0"/>
                <w:color w:val="212121"/>
                <w:sz w:val="19"/>
              </w:rPr>
              <w:t>&gt;= 90</w:t>
            </w:r>
          </w:p>
        </w:tc>
        <w:tc>
          <w:tcPr>
            <w:tcW w:type="dxa" w:w="1512"/>
            <w:vAlign w:val="top"/>
          </w:tcPr>
          <w:p>
            <w:pPr>
              <w:spacing w:after="40" w:before="0" w:line="259" w:lineRule="auto"/>
            </w:pPr>
            <w:r>
              <w:rPr>
                <w:rFonts w:ascii="Calibri" w:hAnsi="Calibri"/>
                <w:b w:val="0"/>
                <w:i w:val="0"/>
                <w:color w:val="212121"/>
                <w:sz w:val="19"/>
              </w:rPr>
              <w:t>&lt; 60 (CKD) or acute fall (AKI)</w:t>
            </w:r>
          </w:p>
        </w:tc>
        <w:tc>
          <w:tcPr>
            <w:tcW w:type="dxa" w:w="1468"/>
            <w:vAlign w:val="top"/>
          </w:tcPr>
          <w:p>
            <w:pPr>
              <w:spacing w:after="60" w:line="259" w:lineRule="auto"/>
            </w:pPr>
            <w:r>
              <w:rPr>
                <w:rFonts w:ascii="Calibri" w:hAnsi="Calibri"/>
                <w:b w:val="0"/>
                <w:i w:val="0"/>
                <w:color w:val="212121"/>
                <w:sz w:val="19"/>
              </w:rPr>
              <w:t>CKD predisposes and AKI frequently complicates severe disease</w:t>
            </w:r>
          </w:p>
          <w:p>
            <w:pPr>
              <w:spacing w:after="40" w:line="252" w:lineRule="auto"/>
            </w:pPr>
            <w:hyperlink r:id="rId12">
              <w:r>
                <w:rPr>
                  <w:rFonts w:ascii="Calibri" w:hAnsi="Calibri" w:cs="Calibri"/>
                  <w:sz w:val="18"/>
                  <w:color w:val="1155CC"/>
                  <w:u w:val="single"/>
                </w:rPr>
                <w:t xml:space="preserve">https://www.ijccm.org/abstractArticleContentBrowse/IJCCM/23198/JPJ/fullText</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with or at risk of chronic lung disease</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40" w:before="0" w:line="259" w:lineRule="auto"/>
            </w:pPr>
            <w:r>
              <w:rPr>
                <w:rFonts w:ascii="Calibri" w:hAnsi="Calibri"/>
                <w:b w:val="0"/>
                <w:i w:val="0"/>
                <w:color w:val="212121"/>
                <w:sz w:val="19"/>
              </w:rPr>
              <w:t>Impaired pulmonary defence predisposes to the pneumonic form</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Blood culture for B. pseudomallei</w:t>
            </w:r>
          </w:p>
        </w:tc>
        <w:tc>
          <w:tcPr>
            <w:tcW w:type="dxa" w:w="892"/>
            <w:vAlign w:val="top"/>
          </w:tcPr>
          <w:p>
            <w:pPr>
              <w:spacing w:after="40" w:before="0" w:line="259" w:lineRule="auto"/>
            </w:pPr>
            <w:r>
              <w:rPr>
                <w:rFonts w:ascii="Calibri" w:hAnsi="Calibri"/>
                <w:b w:val="0"/>
                <w:i w:val="0"/>
                <w:color w:val="212121"/>
                <w:sz w:val="16"/>
              </w:rPr>
              <w:t>Culture (gold standard)</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Growth of B. pseudomallei</w:t>
            </w:r>
          </w:p>
        </w:tc>
        <w:tc>
          <w:tcPr>
            <w:tcW w:type="dxa" w:w="1036"/>
            <w:vAlign w:val="top"/>
          </w:tcPr>
          <w:p>
            <w:pPr>
              <w:spacing w:after="40" w:before="0" w:line="259" w:lineRule="auto"/>
            </w:pPr>
            <w:r>
              <w:rPr>
                <w:rFonts w:ascii="Calibri" w:hAnsi="Calibri"/>
                <w:b w:val="0"/>
                <w:i w:val="0"/>
                <w:color w:val="212121"/>
                <w:sz w:val="16"/>
              </w:rPr>
              <w:t>Confirms bacteraemic/septicaemic melioidosis; single positive culture is diagnostic</w:t>
            </w:r>
          </w:p>
        </w:tc>
        <w:tc>
          <w:tcPr>
            <w:tcW w:type="dxa" w:w="1036"/>
            <w:vAlign w:val="top"/>
          </w:tcPr>
          <w:p>
            <w:pPr>
              <w:spacing w:after="40" w:before="0" w:line="259" w:lineRule="auto"/>
            </w:pPr>
            <w:r>
              <w:rPr>
                <w:rFonts w:ascii="Calibri" w:hAnsi="Calibri"/>
                <w:b w:val="0"/>
                <w:i w:val="0"/>
                <w:color w:val="212121"/>
                <w:sz w:val="16"/>
              </w:rPr>
              <w:t>Febrile diabetics, sepsis, soil-exposed adults</w:t>
            </w:r>
          </w:p>
        </w:tc>
        <w:tc>
          <w:tcPr>
            <w:tcW w:type="dxa" w:w="720"/>
            <w:vAlign w:val="top"/>
          </w:tcPr>
          <w:p>
            <w:pPr>
              <w:spacing w:after="40" w:before="0" w:line="259" w:lineRule="auto"/>
            </w:pPr>
            <w:r>
              <w:rPr>
                <w:rFonts w:ascii="Calibri" w:hAnsi="Calibri"/>
                <w:b w:val="0"/>
                <w:i w:val="0"/>
                <w:color w:val="212121"/>
                <w:sz w:val="16"/>
              </w:rPr>
              <w:t>Provoking factors; Water</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Handle isolates in BSL-3; automated systems may misidentify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Sputum / pus / urine / swab culture</w:t>
            </w:r>
          </w:p>
        </w:tc>
        <w:tc>
          <w:tcPr>
            <w:tcW w:type="dxa" w:w="892"/>
            <w:vAlign w:val="top"/>
          </w:tcPr>
          <w:p>
            <w:pPr>
              <w:spacing w:after="40" w:before="0" w:line="259" w:lineRule="auto"/>
            </w:pPr>
            <w:r>
              <w:rPr>
                <w:rFonts w:ascii="Calibri" w:hAnsi="Calibri"/>
                <w:b w:val="0"/>
                <w:i w:val="0"/>
                <w:color w:val="212121"/>
                <w:sz w:val="16"/>
              </w:rPr>
              <w:t>Culture on Ashdown agar</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Growth of B. pseudomallei</w:t>
            </w:r>
          </w:p>
        </w:tc>
        <w:tc>
          <w:tcPr>
            <w:tcW w:type="dxa" w:w="1036"/>
            <w:vAlign w:val="top"/>
          </w:tcPr>
          <w:p>
            <w:pPr>
              <w:spacing w:after="40" w:before="0" w:line="259" w:lineRule="auto"/>
            </w:pPr>
            <w:r>
              <w:rPr>
                <w:rFonts w:ascii="Calibri" w:hAnsi="Calibri"/>
                <w:b w:val="0"/>
                <w:i w:val="0"/>
                <w:color w:val="212121"/>
                <w:sz w:val="16"/>
              </w:rPr>
              <w:t>Confirms localized or focal disease; culture from any site is diagnostic</w:t>
            </w:r>
          </w:p>
        </w:tc>
        <w:tc>
          <w:tcPr>
            <w:tcW w:type="dxa" w:w="1036"/>
            <w:vAlign w:val="top"/>
          </w:tcPr>
          <w:p>
            <w:pPr>
              <w:spacing w:after="40" w:before="0" w:line="259" w:lineRule="auto"/>
            </w:pPr>
            <w:r>
              <w:rPr>
                <w:rFonts w:ascii="Calibri" w:hAnsi="Calibri"/>
                <w:b w:val="0"/>
                <w:i w:val="0"/>
                <w:color w:val="212121"/>
                <w:sz w:val="16"/>
              </w:rPr>
              <w:t>Pneumonia, abscess, ulcer, prostatitis</w:t>
            </w:r>
          </w:p>
        </w:tc>
        <w:tc>
          <w:tcPr>
            <w:tcW w:type="dxa" w:w="720"/>
            <w:vAlign w:val="top"/>
          </w:tcPr>
          <w:p>
            <w:pPr>
              <w:spacing w:after="40" w:before="0" w:line="259" w:lineRule="auto"/>
            </w:pPr>
            <w:r>
              <w:rPr>
                <w:rFonts w:ascii="Calibri" w:hAnsi="Calibri"/>
                <w:b w:val="0"/>
                <w:i w:val="0"/>
                <w:color w:val="212121"/>
                <w:sz w:val="16"/>
              </w:rPr>
              <w:t>Hygiene; Water</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Selective media improve yield from non-sterile sites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 / Antigen</w:t>
            </w:r>
          </w:p>
        </w:tc>
        <w:tc>
          <w:tcPr>
            <w:tcW w:type="dxa" w:w="1036"/>
            <w:vAlign w:val="top"/>
          </w:tcPr>
          <w:p>
            <w:pPr>
              <w:spacing w:after="40" w:before="0" w:line="259" w:lineRule="auto"/>
            </w:pPr>
            <w:r>
              <w:rPr>
                <w:rFonts w:ascii="Calibri" w:hAnsi="Calibri"/>
                <w:b w:val="0"/>
                <w:i w:val="0"/>
                <w:color w:val="212121"/>
                <w:sz w:val="16"/>
              </w:rPr>
              <w:t>PCR / lateral-flow antigen</w:t>
            </w:r>
          </w:p>
        </w:tc>
        <w:tc>
          <w:tcPr>
            <w:tcW w:type="dxa" w:w="892"/>
            <w:vAlign w:val="top"/>
          </w:tcPr>
          <w:p>
            <w:pPr>
              <w:spacing w:after="40" w:before="0" w:line="259" w:lineRule="auto"/>
            </w:pPr>
            <w:r>
              <w:rPr>
                <w:rFonts w:ascii="Calibri" w:hAnsi="Calibri"/>
                <w:b w:val="0"/>
                <w:i w:val="0"/>
                <w:color w:val="212121"/>
                <w:sz w:val="16"/>
              </w:rPr>
              <w:t>Rapid detection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Supports rapid diagnosis pending culture; does not replace culture</w:t>
            </w:r>
          </w:p>
        </w:tc>
        <w:tc>
          <w:tcPr>
            <w:tcW w:type="dxa" w:w="1036"/>
            <w:vAlign w:val="top"/>
          </w:tcPr>
          <w:p>
            <w:pPr>
              <w:spacing w:after="40" w:before="0" w:line="259" w:lineRule="auto"/>
            </w:pPr>
            <w:r>
              <w:rPr>
                <w:rFonts w:ascii="Calibri" w:hAnsi="Calibri"/>
                <w:b w:val="0"/>
                <w:i w:val="0"/>
                <w:color w:val="212121"/>
                <w:sz w:val="16"/>
              </w:rPr>
              <w:t>Suspected cases needing early therapy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Sensitivity lower than culture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HbA1c / Fasting blood glucose</w:t>
            </w:r>
          </w:p>
        </w:tc>
        <w:tc>
          <w:tcPr>
            <w:tcW w:type="dxa" w:w="892"/>
            <w:vAlign w:val="top"/>
          </w:tcPr>
          <w:p>
            <w:pPr>
              <w:spacing w:after="40" w:before="0" w:line="259" w:lineRule="auto"/>
            </w:pPr>
            <w:r>
              <w:rPr>
                <w:rFonts w:ascii="Calibri" w:hAnsi="Calibri"/>
                <w:b w:val="0"/>
                <w:i w:val="0"/>
                <w:color w:val="212121"/>
                <w:sz w:val="16"/>
              </w:rPr>
              <w:t>Diabetes screen</w:t>
            </w:r>
          </w:p>
        </w:tc>
        <w:tc>
          <w:tcPr>
            <w:tcW w:type="dxa" w:w="950"/>
            <w:vAlign w:val="top"/>
          </w:tcPr>
          <w:p>
            <w:pPr>
              <w:spacing w:after="40" w:before="0" w:line="259" w:lineRule="auto"/>
            </w:pPr>
            <w:r>
              <w:rPr>
                <w:rFonts w:ascii="Calibri" w:hAnsi="Calibri"/>
                <w:b w:val="0"/>
                <w:i w:val="0"/>
                <w:color w:val="212121"/>
                <w:sz w:val="16"/>
              </w:rPr>
              <w:t>HbA1c &lt; 5.7%; FBS 70-99 mg/dL</w:t>
            </w:r>
          </w:p>
        </w:tc>
        <w:tc>
          <w:tcPr>
            <w:tcW w:type="dxa" w:w="950"/>
            <w:vAlign w:val="top"/>
          </w:tcPr>
          <w:p>
            <w:pPr>
              <w:spacing w:after="40" w:before="0" w:line="259" w:lineRule="auto"/>
            </w:pPr>
            <w:r>
              <w:rPr>
                <w:rFonts w:ascii="Calibri" w:hAnsi="Calibri"/>
                <w:b w:val="0"/>
                <w:i w:val="0"/>
                <w:color w:val="212121"/>
                <w:sz w:val="16"/>
              </w:rPr>
              <w:t>HbA1c &gt;= 6.5%; FBS &gt;= 126 mg/dL</w:t>
            </w:r>
          </w:p>
        </w:tc>
        <w:tc>
          <w:tcPr>
            <w:tcW w:type="dxa" w:w="1036"/>
            <w:vAlign w:val="top"/>
          </w:tcPr>
          <w:p>
            <w:pPr>
              <w:spacing w:after="40" w:before="0" w:line="259" w:lineRule="auto"/>
            </w:pPr>
            <w:r>
              <w:rPr>
                <w:rFonts w:ascii="Calibri" w:hAnsi="Calibri"/>
                <w:b w:val="0"/>
                <w:i w:val="0"/>
                <w:color w:val="212121"/>
                <w:sz w:val="16"/>
              </w:rPr>
              <w:t>Detects the dominant underlying risk factor</w:t>
            </w:r>
          </w:p>
        </w:tc>
        <w:tc>
          <w:tcPr>
            <w:tcW w:type="dxa" w:w="1036"/>
            <w:vAlign w:val="top"/>
          </w:tcPr>
          <w:p>
            <w:pPr>
              <w:spacing w:after="40" w:before="0" w:line="259" w:lineRule="auto"/>
            </w:pPr>
            <w:r>
              <w:rPr>
                <w:rFonts w:ascii="Calibri" w:hAnsi="Calibri"/>
                <w:b w:val="0"/>
                <w:i w:val="0"/>
                <w:color w:val="212121"/>
                <w:sz w:val="16"/>
              </w:rPr>
              <w:t>All confirmed cases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Diabetes present in the majority of Indian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Total leukocyte count / CRP / procalcitonin</w:t>
            </w:r>
          </w:p>
        </w:tc>
        <w:tc>
          <w:tcPr>
            <w:tcW w:type="dxa" w:w="892"/>
            <w:vAlign w:val="top"/>
          </w:tcPr>
          <w:p>
            <w:pPr>
              <w:spacing w:after="40" w:before="0" w:line="259" w:lineRule="auto"/>
            </w:pPr>
            <w:r>
              <w:rPr>
                <w:rFonts w:ascii="Calibri" w:hAnsi="Calibri"/>
                <w:b w:val="0"/>
                <w:i w:val="0"/>
                <w:color w:val="212121"/>
                <w:sz w:val="16"/>
              </w:rPr>
              <w:t>Sepsis markers</w:t>
            </w:r>
          </w:p>
        </w:tc>
        <w:tc>
          <w:tcPr>
            <w:tcW w:type="dxa" w:w="950"/>
            <w:vAlign w:val="top"/>
          </w:tcPr>
          <w:p>
            <w:pPr>
              <w:spacing w:after="40" w:before="0" w:line="259" w:lineRule="auto"/>
            </w:pPr>
            <w:r>
              <w:rPr>
                <w:rFonts w:ascii="Calibri" w:hAnsi="Calibri"/>
                <w:b w:val="0"/>
                <w:i w:val="0"/>
                <w:color w:val="212121"/>
                <w:sz w:val="16"/>
              </w:rPr>
              <w:t>WBC 4,000-11,000/mcL; CRP low</w:t>
            </w:r>
          </w:p>
        </w:tc>
        <w:tc>
          <w:tcPr>
            <w:tcW w:type="dxa" w:w="950"/>
            <w:vAlign w:val="top"/>
          </w:tcPr>
          <w:p>
            <w:pPr>
              <w:spacing w:after="40" w:before="0" w:line="259" w:lineRule="auto"/>
            </w:pPr>
            <w:r>
              <w:rPr>
                <w:rFonts w:ascii="Calibri" w:hAnsi="Calibri"/>
                <w:b w:val="0"/>
                <w:i w:val="0"/>
                <w:color w:val="212121"/>
                <w:sz w:val="16"/>
              </w:rPr>
              <w:t>Leukocytosis; high CRP/procalcitonin</w:t>
            </w:r>
          </w:p>
        </w:tc>
        <w:tc>
          <w:tcPr>
            <w:tcW w:type="dxa" w:w="1036"/>
            <w:vAlign w:val="top"/>
          </w:tcPr>
          <w:p>
            <w:pPr>
              <w:spacing w:after="40" w:before="0" w:line="259" w:lineRule="auto"/>
            </w:pPr>
            <w:r>
              <w:rPr>
                <w:rFonts w:ascii="Calibri" w:hAnsi="Calibri"/>
                <w:b w:val="0"/>
                <w:i w:val="0"/>
                <w:color w:val="212121"/>
                <w:sz w:val="16"/>
              </w:rPr>
              <w:t>Reflects systemic inflammation and sepsis severity</w:t>
            </w:r>
          </w:p>
        </w:tc>
        <w:tc>
          <w:tcPr>
            <w:tcW w:type="dxa" w:w="1036"/>
            <w:vAlign w:val="top"/>
          </w:tcPr>
          <w:p>
            <w:pPr>
              <w:spacing w:after="40" w:before="0" w:line="259" w:lineRule="auto"/>
            </w:pPr>
            <w:r>
              <w:rPr>
                <w:rFonts w:ascii="Calibri" w:hAnsi="Calibri"/>
                <w:b w:val="0"/>
                <w:i w:val="0"/>
                <w:color w:val="212121"/>
                <w:sz w:val="16"/>
              </w:rPr>
              <w:t>Septicaemic and disseminated disease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WBC may be normal to markedly raised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creatinine / eGFR, liver function tests</w:t>
            </w:r>
          </w:p>
        </w:tc>
        <w:tc>
          <w:tcPr>
            <w:tcW w:type="dxa" w:w="892"/>
            <w:vAlign w:val="top"/>
          </w:tcPr>
          <w:p>
            <w:pPr>
              <w:spacing w:after="40" w:before="0" w:line="259" w:lineRule="auto"/>
            </w:pPr>
            <w:r>
              <w:rPr>
                <w:rFonts w:ascii="Calibri" w:hAnsi="Calibri"/>
                <w:b w:val="0"/>
                <w:i w:val="0"/>
                <w:color w:val="212121"/>
                <w:sz w:val="16"/>
              </w:rPr>
              <w:t>Organ-function panel</w:t>
            </w:r>
          </w:p>
        </w:tc>
        <w:tc>
          <w:tcPr>
            <w:tcW w:type="dxa" w:w="950"/>
            <w:vAlign w:val="top"/>
          </w:tcPr>
          <w:p>
            <w:pPr>
              <w:spacing w:after="40" w:before="0" w:line="259" w:lineRule="auto"/>
            </w:pPr>
            <w:r>
              <w:rPr>
                <w:rFonts w:ascii="Calibri" w:hAnsi="Calibri"/>
                <w:b w:val="0"/>
                <w:i w:val="0"/>
                <w:color w:val="212121"/>
                <w:sz w:val="16"/>
              </w:rPr>
              <w:t>Normal creatinine &amp; LFTs</w:t>
            </w:r>
          </w:p>
        </w:tc>
        <w:tc>
          <w:tcPr>
            <w:tcW w:type="dxa" w:w="950"/>
            <w:vAlign w:val="top"/>
          </w:tcPr>
          <w:p>
            <w:pPr>
              <w:spacing w:after="40" w:before="0" w:line="259" w:lineRule="auto"/>
            </w:pPr>
            <w:r>
              <w:rPr>
                <w:rFonts w:ascii="Calibri" w:hAnsi="Calibri"/>
                <w:b w:val="0"/>
                <w:i w:val="0"/>
                <w:color w:val="212121"/>
                <w:sz w:val="16"/>
              </w:rPr>
              <w:t>Rising creatinine (AKI); deranged LFTs</w:t>
            </w:r>
          </w:p>
        </w:tc>
        <w:tc>
          <w:tcPr>
            <w:tcW w:type="dxa" w:w="1036"/>
            <w:vAlign w:val="top"/>
          </w:tcPr>
          <w:p>
            <w:pPr>
              <w:spacing w:after="40" w:before="0" w:line="259" w:lineRule="auto"/>
            </w:pPr>
            <w:r>
              <w:rPr>
                <w:rFonts w:ascii="Calibri" w:hAnsi="Calibri"/>
                <w:b w:val="0"/>
                <w:i w:val="0"/>
                <w:color w:val="212121"/>
                <w:sz w:val="16"/>
              </w:rPr>
              <w:t>Detects renal injury and hepatic abscess/dysfunction</w:t>
            </w:r>
          </w:p>
        </w:tc>
        <w:tc>
          <w:tcPr>
            <w:tcW w:type="dxa" w:w="1036"/>
            <w:vAlign w:val="top"/>
          </w:tcPr>
          <w:p>
            <w:pPr>
              <w:spacing w:after="40" w:before="0" w:line="259" w:lineRule="auto"/>
            </w:pPr>
            <w:r>
              <w:rPr>
                <w:rFonts w:ascii="Calibri" w:hAnsi="Calibri"/>
                <w:b w:val="0"/>
                <w:i w:val="0"/>
                <w:color w:val="212121"/>
                <w:sz w:val="16"/>
              </w:rPr>
              <w:t>Diabetics, CKD, hepatosplenic abscess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AKI common in severe diabetic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Chest X-ray / USG / CT thorax-abdomen</w:t>
            </w:r>
          </w:p>
        </w:tc>
        <w:tc>
          <w:tcPr>
            <w:tcW w:type="dxa" w:w="892"/>
            <w:vAlign w:val="top"/>
          </w:tcPr>
          <w:p>
            <w:pPr>
              <w:spacing w:after="40" w:before="0" w:line="259" w:lineRule="auto"/>
            </w:pPr>
            <w:r>
              <w:rPr>
                <w:rFonts w:ascii="Calibri" w:hAnsi="Calibri"/>
                <w:b w:val="0"/>
                <w:i w:val="0"/>
                <w:color w:val="212121"/>
                <w:sz w:val="16"/>
              </w:rPr>
              <w:t>Radiology</w:t>
            </w:r>
          </w:p>
        </w:tc>
        <w:tc>
          <w:tcPr>
            <w:tcW w:type="dxa" w:w="950"/>
            <w:vAlign w:val="top"/>
          </w:tcPr>
          <w:p>
            <w:pPr>
              <w:spacing w:after="40" w:before="0" w:line="259" w:lineRule="auto"/>
            </w:pPr>
            <w:r>
              <w:rPr>
                <w:rFonts w:ascii="Calibri" w:hAnsi="Calibri"/>
                <w:b w:val="0"/>
                <w:i w:val="0"/>
                <w:color w:val="212121"/>
                <w:sz w:val="16"/>
              </w:rPr>
              <w:t>No consolidation or abscess</w:t>
            </w:r>
          </w:p>
        </w:tc>
        <w:tc>
          <w:tcPr>
            <w:tcW w:type="dxa" w:w="950"/>
            <w:vAlign w:val="top"/>
          </w:tcPr>
          <w:p>
            <w:pPr>
              <w:spacing w:after="40" w:before="0" w:line="259" w:lineRule="auto"/>
            </w:pPr>
            <w:r>
              <w:rPr>
                <w:rFonts w:ascii="Calibri" w:hAnsi="Calibri"/>
                <w:b w:val="0"/>
                <w:i w:val="0"/>
                <w:color w:val="212121"/>
                <w:sz w:val="16"/>
              </w:rPr>
              <w:t>Consolidation/cavitation; liver, spleen, kidney or prostate abscess</w:t>
            </w:r>
          </w:p>
        </w:tc>
        <w:tc>
          <w:tcPr>
            <w:tcW w:type="dxa" w:w="1036"/>
            <w:vAlign w:val="top"/>
          </w:tcPr>
          <w:p>
            <w:pPr>
              <w:spacing w:after="40" w:before="0" w:line="259" w:lineRule="auto"/>
            </w:pPr>
            <w:r>
              <w:rPr>
                <w:rFonts w:ascii="Calibri" w:hAnsi="Calibri"/>
                <w:b w:val="0"/>
                <w:i w:val="0"/>
                <w:color w:val="212121"/>
                <w:sz w:val="16"/>
              </w:rPr>
              <w:t>Maps pulmonary and visceral abscesses; mimics tuberculosis</w:t>
            </w:r>
          </w:p>
        </w:tc>
        <w:tc>
          <w:tcPr>
            <w:tcW w:type="dxa" w:w="1036"/>
            <w:vAlign w:val="top"/>
          </w:tcPr>
          <w:p>
            <w:pPr>
              <w:spacing w:after="40" w:before="0" w:line="259" w:lineRule="auto"/>
            </w:pPr>
            <w:r>
              <w:rPr>
                <w:rFonts w:ascii="Calibri" w:hAnsi="Calibri"/>
                <w:b w:val="0"/>
                <w:i w:val="0"/>
                <w:color w:val="212121"/>
                <w:sz w:val="16"/>
              </w:rPr>
              <w:t>Pneumonia, occult abscess, prolonged fever</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Multi-organ abscesses are characteristic</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history</w:t>
            </w:r>
          </w:p>
        </w:tc>
        <w:tc>
          <w:tcPr>
            <w:tcW w:type="dxa" w:w="979"/>
            <w:vAlign w:val="top"/>
          </w:tcPr>
          <w:p>
            <w:pPr>
              <w:spacing w:after="40" w:before="0" w:line="259" w:lineRule="auto"/>
            </w:pPr>
            <w:r>
              <w:rPr>
                <w:rFonts w:ascii="Calibri" w:hAnsi="Calibri"/>
                <w:b w:val="0"/>
                <w:i w:val="0"/>
                <w:color w:val="212121"/>
                <w:sz w:val="16"/>
              </w:rPr>
              <w:t>Soil/water contact, paddy farming, monsoon, near-drowning</w:t>
            </w:r>
          </w:p>
        </w:tc>
        <w:tc>
          <w:tcPr>
            <w:tcW w:type="dxa" w:w="950"/>
            <w:vAlign w:val="top"/>
          </w:tcPr>
          <w:p>
            <w:pPr>
              <w:spacing w:after="40" w:before="0" w:line="259" w:lineRule="auto"/>
            </w:pPr>
            <w:r>
              <w:rPr>
                <w:rFonts w:ascii="Calibri" w:hAnsi="Calibri"/>
                <w:b w:val="0"/>
                <w:i w:val="0"/>
                <w:color w:val="212121"/>
                <w:sz w:val="16"/>
              </w:rPr>
              <w:t>No exposure</w:t>
            </w:r>
          </w:p>
        </w:tc>
        <w:tc>
          <w:tcPr>
            <w:tcW w:type="dxa" w:w="950"/>
            <w:vAlign w:val="top"/>
          </w:tcPr>
          <w:p>
            <w:pPr>
              <w:spacing w:after="40" w:before="0" w:line="259" w:lineRule="auto"/>
            </w:pPr>
            <w:r>
              <w:rPr>
                <w:rFonts w:ascii="Calibri" w:hAnsi="Calibri"/>
                <w:b w:val="0"/>
                <w:i w:val="0"/>
                <w:color w:val="212121"/>
                <w:sz w:val="16"/>
              </w:rPr>
              <w:t>Recent soil/water contact or wound in endemic area</w:t>
            </w:r>
          </w:p>
        </w:tc>
        <w:tc>
          <w:tcPr>
            <w:tcW w:type="dxa" w:w="1036"/>
            <w:vAlign w:val="top"/>
          </w:tcPr>
          <w:p>
            <w:pPr>
              <w:spacing w:after="40" w:before="0" w:line="259" w:lineRule="auto"/>
            </w:pPr>
            <w:r>
              <w:rPr>
                <w:rFonts w:ascii="Calibri" w:hAnsi="Calibri"/>
                <w:b w:val="0"/>
                <w:i w:val="0"/>
                <w:color w:val="212121"/>
                <w:sz w:val="16"/>
              </w:rPr>
              <w:t>Establishes plausible acquisition and seasonality</w:t>
            </w:r>
          </w:p>
        </w:tc>
        <w:tc>
          <w:tcPr>
            <w:tcW w:type="dxa" w:w="1036"/>
            <w:vAlign w:val="top"/>
          </w:tcPr>
          <w:p>
            <w:pPr>
              <w:spacing w:after="40" w:before="0" w:line="259" w:lineRule="auto"/>
            </w:pPr>
            <w:r>
              <w:rPr>
                <w:rFonts w:ascii="Calibri" w:hAnsi="Calibri"/>
                <w:b w:val="0"/>
                <w:i w:val="0"/>
                <w:color w:val="212121"/>
                <w:sz w:val="16"/>
              </w:rPr>
              <w:t>Farmers, coastal residents, monsoon presentations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specifically about barefoot work and minor wounds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Risk-factor review</w:t>
            </w:r>
          </w:p>
        </w:tc>
        <w:tc>
          <w:tcPr>
            <w:tcW w:type="dxa" w:w="979"/>
            <w:vAlign w:val="top"/>
          </w:tcPr>
          <w:p>
            <w:pPr>
              <w:spacing w:after="40" w:before="0" w:line="259" w:lineRule="auto"/>
            </w:pPr>
            <w:r>
              <w:rPr>
                <w:rFonts w:ascii="Calibri" w:hAnsi="Calibri"/>
                <w:b w:val="0"/>
                <w:i w:val="0"/>
                <w:color w:val="212121"/>
                <w:sz w:val="16"/>
              </w:rPr>
              <w:t>Diabetes, alcohol, CKD, chronic lung disease, thalassaemia, steroids</w:t>
            </w:r>
          </w:p>
        </w:tc>
        <w:tc>
          <w:tcPr>
            <w:tcW w:type="dxa" w:w="950"/>
            <w:vAlign w:val="top"/>
          </w:tcPr>
          <w:p>
            <w:pPr>
              <w:spacing w:after="40" w:before="0" w:line="259" w:lineRule="auto"/>
            </w:pPr>
            <w:r>
              <w:rPr>
                <w:rFonts w:ascii="Calibri" w:hAnsi="Calibri"/>
                <w:b w:val="0"/>
                <w:i w:val="0"/>
                <w:color w:val="212121"/>
                <w:sz w:val="16"/>
              </w:rPr>
              <w:t>No risk factors</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Defines host susceptibility and prognosis</w:t>
            </w:r>
          </w:p>
        </w:tc>
        <w:tc>
          <w:tcPr>
            <w:tcW w:type="dxa" w:w="1036"/>
            <w:vAlign w:val="top"/>
          </w:tcPr>
          <w:p>
            <w:pPr>
              <w:spacing w:after="40" w:before="0" w:line="259" w:lineRule="auto"/>
            </w:pPr>
            <w:r>
              <w:rPr>
                <w:rFonts w:ascii="Calibri" w:hAnsi="Calibri"/>
                <w:b w:val="0"/>
                <w:i w:val="0"/>
                <w:color w:val="212121"/>
                <w:sz w:val="16"/>
              </w:rPr>
              <w:t>Diabetics, alcohol users, CKD, immunosuppressed</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Diabetes is the dominant predisposition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Prolonged fever, cough, localized abscess/pain, weight loss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 often subacute</w:t>
            </w:r>
          </w:p>
        </w:tc>
        <w:tc>
          <w:tcPr>
            <w:tcW w:type="dxa" w:w="1036"/>
            <w:vAlign w:val="top"/>
          </w:tcPr>
          <w:p>
            <w:pPr>
              <w:spacing w:after="40" w:before="0" w:line="259" w:lineRule="auto"/>
            </w:pPr>
            <w:r>
              <w:rPr>
                <w:rFonts w:ascii="Calibri" w:hAnsi="Calibri"/>
                <w:b w:val="0"/>
                <w:i w:val="0"/>
                <w:color w:val="212121"/>
                <w:sz w:val="16"/>
              </w:rPr>
              <w:t>Points to pulmonary, localized or disseminated forms</w:t>
            </w:r>
          </w:p>
        </w:tc>
        <w:tc>
          <w:tcPr>
            <w:tcW w:type="dxa" w:w="1036"/>
            <w:vAlign w:val="top"/>
          </w:tcPr>
          <w:p>
            <w:pPr>
              <w:spacing w:after="40" w:before="0" w:line="259" w:lineRule="auto"/>
            </w:pPr>
            <w:r>
              <w:rPr>
                <w:rFonts w:ascii="Calibri" w:hAnsi="Calibri"/>
                <w:b w:val="0"/>
                <w:i w:val="0"/>
                <w:color w:val="212121"/>
                <w:sz w:val="16"/>
              </w:rPr>
              <w:t>Suspected pneumonia or occult sepsis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Chronic form closely mimics tuberculosis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Respiratory examination</w:t>
            </w:r>
          </w:p>
        </w:tc>
        <w:tc>
          <w:tcPr>
            <w:tcW w:type="dxa" w:w="979"/>
            <w:vAlign w:val="top"/>
          </w:tcPr>
          <w:p>
            <w:pPr>
              <w:spacing w:after="40" w:before="0" w:line="259" w:lineRule="auto"/>
            </w:pPr>
            <w:r>
              <w:rPr>
                <w:rFonts w:ascii="Calibri" w:hAnsi="Calibri"/>
                <w:b w:val="0"/>
                <w:i w:val="0"/>
                <w:color w:val="212121"/>
                <w:sz w:val="16"/>
              </w:rPr>
              <w:t>Tachypnoea, crackles, signs of consolidation/effusion</w:t>
            </w:r>
          </w:p>
        </w:tc>
        <w:tc>
          <w:tcPr>
            <w:tcW w:type="dxa" w:w="950"/>
            <w:vAlign w:val="top"/>
          </w:tcPr>
          <w:p>
            <w:pPr>
              <w:spacing w:after="40" w:before="0" w:line="259" w:lineRule="auto"/>
            </w:pPr>
            <w:r>
              <w:rPr>
                <w:rFonts w:ascii="Calibri" w:hAnsi="Calibri"/>
                <w:b w:val="0"/>
                <w:i w:val="0"/>
                <w:color w:val="212121"/>
                <w:sz w:val="16"/>
              </w:rPr>
              <w:t>Clear chest</w:t>
            </w:r>
          </w:p>
        </w:tc>
        <w:tc>
          <w:tcPr>
            <w:tcW w:type="dxa" w:w="950"/>
            <w:vAlign w:val="top"/>
          </w:tcPr>
          <w:p>
            <w:pPr>
              <w:spacing w:after="40" w:before="0" w:line="259" w:lineRule="auto"/>
            </w:pPr>
            <w:r>
              <w:rPr>
                <w:rFonts w:ascii="Calibri" w:hAnsi="Calibri"/>
                <w:b w:val="0"/>
                <w:i w:val="0"/>
                <w:color w:val="212121"/>
                <w:sz w:val="16"/>
              </w:rPr>
              <w:t>Consolidation, crackles, effusion</w:t>
            </w:r>
          </w:p>
        </w:tc>
        <w:tc>
          <w:tcPr>
            <w:tcW w:type="dxa" w:w="1036"/>
            <w:vAlign w:val="top"/>
          </w:tcPr>
          <w:p>
            <w:pPr>
              <w:spacing w:after="40" w:before="0" w:line="259" w:lineRule="auto"/>
            </w:pPr>
            <w:r>
              <w:rPr>
                <w:rFonts w:ascii="Calibri" w:hAnsi="Calibri"/>
                <w:b w:val="0"/>
                <w:i w:val="0"/>
                <w:color w:val="212121"/>
                <w:sz w:val="16"/>
              </w:rPr>
              <w:t>Identifies the common pneumonic form</w:t>
            </w:r>
          </w:p>
        </w:tc>
        <w:tc>
          <w:tcPr>
            <w:tcW w:type="dxa" w:w="1036"/>
            <w:vAlign w:val="top"/>
          </w:tcPr>
          <w:p>
            <w:pPr>
              <w:spacing w:after="40" w:before="0" w:line="259" w:lineRule="auto"/>
            </w:pPr>
            <w:r>
              <w:rPr>
                <w:rFonts w:ascii="Calibri" w:hAnsi="Calibri"/>
                <w:b w:val="0"/>
                <w:i w:val="0"/>
                <w:color w:val="212121"/>
                <w:sz w:val="16"/>
              </w:rPr>
              <w:t>Smokers, chronic lung disease, febrile adults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Upper-lobe/cavitary changes mimic TB</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Abscess / organ survey</w:t>
            </w:r>
          </w:p>
        </w:tc>
        <w:tc>
          <w:tcPr>
            <w:tcW w:type="dxa" w:w="979"/>
            <w:vAlign w:val="top"/>
          </w:tcPr>
          <w:p>
            <w:pPr>
              <w:spacing w:after="40" w:before="0" w:line="259" w:lineRule="auto"/>
            </w:pPr>
            <w:r>
              <w:rPr>
                <w:rFonts w:ascii="Calibri" w:hAnsi="Calibri"/>
                <w:b w:val="0"/>
                <w:i w:val="0"/>
                <w:color w:val="212121"/>
                <w:sz w:val="16"/>
              </w:rPr>
              <w:t>Hepatosplenomegaly, subcutaneous/skin abscess or ulcer, lymphadenopathy, parotid swelling (children)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Palpable abscess, organomegaly or ulcer</w:t>
            </w:r>
          </w:p>
        </w:tc>
        <w:tc>
          <w:tcPr>
            <w:tcW w:type="dxa" w:w="1036"/>
            <w:vAlign w:val="top"/>
          </w:tcPr>
          <w:p>
            <w:pPr>
              <w:spacing w:after="40" w:before="0" w:line="259" w:lineRule="auto"/>
            </w:pPr>
            <w:r>
              <w:rPr>
                <w:rFonts w:ascii="Calibri" w:hAnsi="Calibri"/>
                <w:b w:val="0"/>
                <w:i w:val="0"/>
                <w:color w:val="212121"/>
                <w:sz w:val="16"/>
              </w:rPr>
              <w:t>Detects metastatic/focal suppuration</w:t>
            </w:r>
          </w:p>
        </w:tc>
        <w:tc>
          <w:tcPr>
            <w:tcW w:type="dxa" w:w="1036"/>
            <w:vAlign w:val="top"/>
          </w:tcPr>
          <w:p>
            <w:pPr>
              <w:spacing w:after="40" w:before="0" w:line="259" w:lineRule="auto"/>
            </w:pPr>
            <w:r>
              <w:rPr>
                <w:rFonts w:ascii="Calibri" w:hAnsi="Calibri"/>
                <w:b w:val="0"/>
                <w:i w:val="0"/>
                <w:color w:val="212121"/>
                <w:sz w:val="16"/>
              </w:rPr>
              <w:t>Disseminated disease, children, chronic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Parotid abscess characteristic in endemic children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Sepsis assessment</w:t>
            </w:r>
          </w:p>
        </w:tc>
        <w:tc>
          <w:tcPr>
            <w:tcW w:type="dxa" w:w="979"/>
            <w:vAlign w:val="top"/>
          </w:tcPr>
          <w:p>
            <w:pPr>
              <w:spacing w:after="40" w:before="0" w:line="259" w:lineRule="auto"/>
            </w:pPr>
            <w:r>
              <w:rPr>
                <w:rFonts w:ascii="Calibri" w:hAnsi="Calibri"/>
                <w:b w:val="0"/>
                <w:i w:val="0"/>
                <w:color w:val="212121"/>
                <w:sz w:val="16"/>
              </w:rPr>
              <w:t>High fever, hypotension, tachycardia, altered sensorium</w:t>
            </w:r>
          </w:p>
        </w:tc>
        <w:tc>
          <w:tcPr>
            <w:tcW w:type="dxa" w:w="950"/>
            <w:vAlign w:val="top"/>
          </w:tcPr>
          <w:p>
            <w:pPr>
              <w:spacing w:after="40" w:before="0" w:line="259" w:lineRule="auto"/>
            </w:pPr>
            <w:r>
              <w:rPr>
                <w:rFonts w:ascii="Calibri" w:hAnsi="Calibri"/>
                <w:b w:val="0"/>
                <w:i w:val="0"/>
                <w:color w:val="212121"/>
                <w:sz w:val="16"/>
              </w:rPr>
              <w:t>Haemodynamically stable</w:t>
            </w:r>
          </w:p>
        </w:tc>
        <w:tc>
          <w:tcPr>
            <w:tcW w:type="dxa" w:w="950"/>
            <w:vAlign w:val="top"/>
          </w:tcPr>
          <w:p>
            <w:pPr>
              <w:spacing w:after="40" w:before="0" w:line="259" w:lineRule="auto"/>
            </w:pPr>
            <w:r>
              <w:rPr>
                <w:rFonts w:ascii="Calibri" w:hAnsi="Calibri"/>
                <w:b w:val="0"/>
                <w:i w:val="0"/>
                <w:color w:val="212121"/>
                <w:sz w:val="16"/>
              </w:rPr>
              <w:t>Septic shock / multi-organ dysfunction</w:t>
            </w:r>
          </w:p>
        </w:tc>
        <w:tc>
          <w:tcPr>
            <w:tcW w:type="dxa" w:w="1036"/>
            <w:vAlign w:val="top"/>
          </w:tcPr>
          <w:p>
            <w:pPr>
              <w:spacing w:after="40" w:before="0" w:line="259" w:lineRule="auto"/>
            </w:pPr>
            <w:r>
              <w:rPr>
                <w:rFonts w:ascii="Calibri" w:hAnsi="Calibri"/>
                <w:b w:val="0"/>
                <w:i w:val="0"/>
                <w:color w:val="212121"/>
                <w:sz w:val="16"/>
              </w:rPr>
              <w:t>Identifies fulminant, high-mortality disease</w:t>
            </w:r>
          </w:p>
        </w:tc>
        <w:tc>
          <w:tcPr>
            <w:tcW w:type="dxa" w:w="1036"/>
            <w:vAlign w:val="top"/>
          </w:tcPr>
          <w:p>
            <w:pPr>
              <w:spacing w:after="40" w:before="0" w:line="259" w:lineRule="auto"/>
            </w:pPr>
            <w:r>
              <w:rPr>
                <w:rFonts w:ascii="Calibri" w:hAnsi="Calibri"/>
                <w:b w:val="0"/>
                <w:i w:val="0"/>
                <w:color w:val="212121"/>
                <w:sz w:val="16"/>
              </w:rPr>
              <w:t>Uncontrolled diabetics, elderly, bacteraemic</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Bacteraemic cases carry high mortality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Musculoskeletal / neurological examination</w:t>
            </w:r>
          </w:p>
        </w:tc>
        <w:tc>
          <w:tcPr>
            <w:tcW w:type="dxa" w:w="979"/>
            <w:vAlign w:val="top"/>
          </w:tcPr>
          <w:p>
            <w:pPr>
              <w:spacing w:after="40" w:before="0" w:line="259" w:lineRule="auto"/>
            </w:pPr>
            <w:r>
              <w:rPr>
                <w:rFonts w:ascii="Calibri" w:hAnsi="Calibri"/>
                <w:b w:val="0"/>
                <w:i w:val="0"/>
                <w:color w:val="212121"/>
                <w:sz w:val="16"/>
              </w:rPr>
              <w:t>Joint swelling, bone tenderness, cranial-nerve palsy, limb weakness</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Septic arthritis, osteomyelitis or focal neurological deficit</w:t>
            </w:r>
          </w:p>
        </w:tc>
        <w:tc>
          <w:tcPr>
            <w:tcW w:type="dxa" w:w="1036"/>
            <w:vAlign w:val="top"/>
          </w:tcPr>
          <w:p>
            <w:pPr>
              <w:spacing w:after="40" w:before="0" w:line="259" w:lineRule="auto"/>
            </w:pPr>
            <w:r>
              <w:rPr>
                <w:rFonts w:ascii="Calibri" w:hAnsi="Calibri"/>
                <w:b w:val="0"/>
                <w:i w:val="0"/>
                <w:color w:val="212121"/>
                <w:sz w:val="16"/>
              </w:rPr>
              <w:t>Detects osteoarticular disease and neuromelioidosis</w:t>
            </w:r>
          </w:p>
        </w:tc>
        <w:tc>
          <w:tcPr>
            <w:tcW w:type="dxa" w:w="1036"/>
            <w:vAlign w:val="top"/>
          </w:tcPr>
          <w:p>
            <w:pPr>
              <w:spacing w:after="40" w:before="0" w:line="259" w:lineRule="auto"/>
            </w:pPr>
            <w:r>
              <w:rPr>
                <w:rFonts w:ascii="Calibri" w:hAnsi="Calibri"/>
                <w:b w:val="0"/>
                <w:i w:val="0"/>
                <w:color w:val="212121"/>
                <w:sz w:val="16"/>
              </w:rPr>
              <w:t>Focal and CNS forms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Neuromelioidosis occurs in about 1-5% of cases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Prolonged fever with chills/rigors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most frequent presentation; may be acute or persist for weeks, mimicking tuberculosis or occult sepsis.</w:t>
            </w:r>
          </w:p>
        </w:tc>
      </w:tr>
      <w:tr>
        <w:trPr>
          <w:cantSplit/>
        </w:trPr>
        <w:tc>
          <w:tcPr>
            <w:tcW w:type="dxa" w:w="2304"/>
            <w:vAlign w:val="top"/>
          </w:tcPr>
          <w:p>
            <w:pPr>
              <w:spacing w:after="40" w:before="0" w:line="259" w:lineRule="auto"/>
            </w:pPr>
            <w:r>
              <w:rPr>
                <w:rFonts w:ascii="Calibri" w:hAnsi="Calibri"/>
                <w:b/>
                <w:i w:val="0"/>
                <w:color w:val="212121"/>
                <w:sz w:val="19"/>
              </w:rPr>
              <w:t>Cough with or without sputum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the pneumonic form, which occurs in about half of symptomatic patients.</w:t>
            </w:r>
          </w:p>
        </w:tc>
      </w:tr>
      <w:tr>
        <w:trPr>
          <w:cantSplit/>
        </w:trPr>
        <w:tc>
          <w:tcPr>
            <w:tcW w:type="dxa" w:w="2304"/>
            <w:vAlign w:val="top"/>
          </w:tcPr>
          <w:p>
            <w:pPr>
              <w:spacing w:after="40" w:before="0" w:line="259" w:lineRule="auto"/>
            </w:pPr>
            <w:r>
              <w:rPr>
                <w:rFonts w:ascii="Calibri" w:hAnsi="Calibri"/>
                <w:b/>
                <w:i w:val="0"/>
                <w:color w:val="212121"/>
                <w:sz w:val="19"/>
              </w:rPr>
              <w:t>Pleuritic chest pain / breathlessness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pneumonia, cavitation or pleural effusion/empyema.</w:t>
            </w:r>
          </w:p>
        </w:tc>
      </w:tr>
      <w:tr>
        <w:trPr>
          <w:cantSplit/>
        </w:trPr>
        <w:tc>
          <w:tcPr>
            <w:tcW w:type="dxa" w:w="2304"/>
            <w:vAlign w:val="top"/>
          </w:tcPr>
          <w:p>
            <w:pPr>
              <w:spacing w:after="40" w:before="0" w:line="259" w:lineRule="auto"/>
            </w:pPr>
            <w:r>
              <w:rPr>
                <w:rFonts w:ascii="Calibri" w:hAnsi="Calibri"/>
                <w:b/>
                <w:i w:val="0"/>
                <w:color w:val="212121"/>
                <w:sz w:val="19"/>
              </w:rPr>
              <w:t>Localized swelling, pain or abscess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Skin, soft-tissue or deep organ abscess at or distant from the inoculation site.</w:t>
            </w:r>
          </w:p>
        </w:tc>
      </w:tr>
      <w:tr>
        <w:trPr>
          <w:cantSplit/>
        </w:trPr>
        <w:tc>
          <w:tcPr>
            <w:tcW w:type="dxa" w:w="2304"/>
            <w:vAlign w:val="top"/>
          </w:tcPr>
          <w:p>
            <w:pPr>
              <w:spacing w:after="40" w:before="0" w:line="259" w:lineRule="auto"/>
            </w:pPr>
            <w:r>
              <w:rPr>
                <w:rFonts w:ascii="Calibri" w:hAnsi="Calibri"/>
                <w:b/>
                <w:i w:val="0"/>
                <w:color w:val="212121"/>
                <w:sz w:val="19"/>
              </w:rPr>
              <w:t>Malaise, fatigue and anorexia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Non-specific constitutional symptoms of subacute infection.</w:t>
            </w:r>
          </w:p>
        </w:tc>
      </w:tr>
      <w:tr>
        <w:trPr>
          <w:cantSplit/>
        </w:trPr>
        <w:tc>
          <w:tcPr>
            <w:tcW w:type="dxa" w:w="2304"/>
            <w:vAlign w:val="top"/>
          </w:tcPr>
          <w:p>
            <w:pPr>
              <w:spacing w:after="40" w:before="0" w:line="259" w:lineRule="auto"/>
            </w:pPr>
            <w:r>
              <w:rPr>
                <w:rFonts w:ascii="Calibri" w:hAnsi="Calibri"/>
                <w:b/>
                <w:i w:val="0"/>
                <w:color w:val="212121"/>
                <w:sz w:val="19"/>
              </w:rPr>
              <w:t>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Prominent in the chronic form and a major reason for misdiagnosis as tuberculosis.</w:t>
            </w:r>
          </w:p>
        </w:tc>
      </w:tr>
      <w:tr>
        <w:trPr>
          <w:cantSplit/>
        </w:trPr>
        <w:tc>
          <w:tcPr>
            <w:tcW w:type="dxa" w:w="2304"/>
            <w:vAlign w:val="top"/>
          </w:tcPr>
          <w:p>
            <w:pPr>
              <w:spacing w:after="40" w:before="0" w:line="259" w:lineRule="auto"/>
            </w:pPr>
            <w:r>
              <w:rPr>
                <w:rFonts w:ascii="Calibri" w:hAnsi="Calibri"/>
                <w:b/>
                <w:i w:val="0"/>
                <w:color w:val="212121"/>
                <w:sz w:val="19"/>
              </w:rPr>
              <w:t>Myalgia and joint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May indicate septic arthritis, osteomyelitis or generalized sepsis.</w:t>
            </w:r>
          </w:p>
        </w:tc>
      </w:tr>
      <w:tr>
        <w:trPr>
          <w:cantSplit/>
        </w:trPr>
        <w:tc>
          <w:tcPr>
            <w:tcW w:type="dxa" w:w="2304"/>
            <w:vAlign w:val="top"/>
          </w:tcPr>
          <w:p>
            <w:pPr>
              <w:spacing w:after="40" w:before="0" w:line="259" w:lineRule="auto"/>
            </w:pPr>
            <w:r>
              <w:rPr>
                <w:rFonts w:ascii="Calibri" w:hAnsi="Calibri"/>
                <w:b/>
                <w:i w:val="0"/>
                <w:color w:val="212121"/>
                <w:sz w:val="19"/>
              </w:rPr>
              <w:t>Skin ulcer or pustule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Localized cutaneous melioidosis, sometimes the only manifestation in children.</w:t>
            </w:r>
          </w:p>
        </w:tc>
      </w:tr>
      <w:tr>
        <w:trPr>
          <w:cantSplit/>
        </w:trPr>
        <w:tc>
          <w:tcPr>
            <w:tcW w:type="dxa" w:w="2304"/>
            <w:vAlign w:val="top"/>
          </w:tcPr>
          <w:p>
            <w:pPr>
              <w:spacing w:after="40" w:before="0" w:line="259" w:lineRule="auto"/>
            </w:pPr>
            <w:r>
              <w:rPr>
                <w:rFonts w:ascii="Calibri" w:hAnsi="Calibri"/>
                <w:b/>
                <w:i w:val="0"/>
                <w:color w:val="212121"/>
                <w:sz w:val="19"/>
              </w:rPr>
              <w:t>Abdominal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hepatic, splenic or renal abscess.</w:t>
            </w:r>
          </w:p>
        </w:tc>
      </w:tr>
      <w:tr>
        <w:trPr>
          <w:cantSplit/>
        </w:trPr>
        <w:tc>
          <w:tcPr>
            <w:tcW w:type="dxa" w:w="2304"/>
            <w:vAlign w:val="top"/>
          </w:tcPr>
          <w:p>
            <w:pPr>
              <w:spacing w:after="40" w:before="0" w:line="259" w:lineRule="auto"/>
            </w:pPr>
            <w:r>
              <w:rPr>
                <w:rFonts w:ascii="Calibri" w:hAnsi="Calibri"/>
                <w:b/>
                <w:i w:val="0"/>
                <w:color w:val="212121"/>
                <w:sz w:val="19"/>
              </w:rPr>
              <w:t>Headache, confusion or drowsiness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signal neuromelioidosis (brainstem encephalitis, brain abscess) or severe sepsis.</w:t>
            </w:r>
          </w:p>
        </w:tc>
      </w:tr>
      <w:tr>
        <w:trPr>
          <w:cantSplit/>
        </w:trPr>
        <w:tc>
          <w:tcPr>
            <w:tcW w:type="dxa" w:w="2304"/>
            <w:vAlign w:val="top"/>
          </w:tcPr>
          <w:p>
            <w:pPr>
              <w:spacing w:after="40" w:before="0" w:line="259" w:lineRule="auto"/>
            </w:pPr>
            <w:r>
              <w:rPr>
                <w:rFonts w:ascii="Calibri" w:hAnsi="Calibri"/>
                <w:b/>
                <w:i w:val="0"/>
                <w:color w:val="212121"/>
                <w:sz w:val="19"/>
              </w:rPr>
              <w:t>Urinary symptoms / perineal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Prostatic abscess or genitourinary involvement, more often in men.</w:t>
            </w:r>
          </w:p>
        </w:tc>
      </w:tr>
      <w:tr>
        <w:trPr>
          <w:cantSplit/>
        </w:trPr>
        <w:tc>
          <w:tcPr>
            <w:tcW w:type="dxa" w:w="2304"/>
            <w:vAlign w:val="top"/>
          </w:tcPr>
          <w:p>
            <w:pPr>
              <w:spacing w:after="40" w:before="0" w:line="259" w:lineRule="auto"/>
            </w:pPr>
            <w:r>
              <w:rPr>
                <w:rFonts w:ascii="Calibri" w:hAnsi="Calibri"/>
                <w:b/>
                <w:i w:val="0"/>
                <w:color w:val="212121"/>
                <w:sz w:val="19"/>
              </w:rPr>
              <w:t>Seizures or focal weakness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Occurs with CNS involvement; neuromelioidosis affects roughly 1-5% of cases.</w:t>
            </w:r>
          </w:p>
        </w:tc>
      </w:tr>
      <w:tr>
        <w:trPr>
          <w:cantSplit/>
        </w:trPr>
        <w:tc>
          <w:tcPr>
            <w:tcW w:type="dxa" w:w="2304"/>
            <w:vAlign w:val="top"/>
          </w:tcPr>
          <w:p>
            <w:pPr>
              <w:spacing w:after="40" w:before="0" w:line="259" w:lineRule="auto"/>
            </w:pPr>
            <w:r>
              <w:rPr>
                <w:rFonts w:ascii="Calibri" w:hAnsi="Calibri"/>
                <w:b/>
                <w:i w:val="0"/>
                <w:color w:val="212121"/>
                <w:sz w:val="19"/>
              </w:rPr>
              <w:t>Parotid swelling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Characteristic parotid abscess, described mainly in children in endemic regions.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High-grade pyrexia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Fever often exceeding 39 degrees C, sometimes the sole objective finding.</w:t>
            </w:r>
          </w:p>
        </w:tc>
      </w:tr>
      <w:tr>
        <w:trPr>
          <w:cantSplit/>
        </w:trPr>
        <w:tc>
          <w:tcPr>
            <w:tcW w:type="dxa" w:w="3456"/>
            <w:vAlign w:val="top"/>
          </w:tcPr>
          <w:p>
            <w:pPr>
              <w:spacing w:after="40" w:before="0" w:line="259" w:lineRule="auto"/>
            </w:pPr>
            <w:r>
              <w:rPr>
                <w:rFonts w:ascii="Calibri" w:hAnsi="Calibri"/>
                <w:b/>
                <w:i w:val="0"/>
                <w:color w:val="212121"/>
                <w:sz w:val="19"/>
              </w:rPr>
              <w:t>Signs of pneumonia (crackles, bronchial breathing, dullness)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Consolidation, cavitation or effusion, frequently upper-lobe and TB-like.</w:t>
            </w:r>
          </w:p>
        </w:tc>
      </w:tr>
      <w:tr>
        <w:trPr>
          <w:cantSplit/>
        </w:trPr>
        <w:tc>
          <w:tcPr>
            <w:tcW w:type="dxa" w:w="3456"/>
            <w:vAlign w:val="top"/>
          </w:tcPr>
          <w:p>
            <w:pPr>
              <w:spacing w:after="40" w:before="0" w:line="259" w:lineRule="auto"/>
            </w:pPr>
            <w:r>
              <w:rPr>
                <w:rFonts w:ascii="Calibri" w:hAnsi="Calibri"/>
                <w:b/>
                <w:i w:val="0"/>
                <w:color w:val="212121"/>
                <w:sz w:val="19"/>
              </w:rPr>
              <w:t>Tachycardia and tachypnoea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Markers of systemic infection and impending sepsis.</w:t>
            </w:r>
          </w:p>
        </w:tc>
      </w:tr>
      <w:tr>
        <w:trPr>
          <w:cantSplit/>
        </w:trPr>
        <w:tc>
          <w:tcPr>
            <w:tcW w:type="dxa" w:w="3456"/>
            <w:vAlign w:val="top"/>
          </w:tcPr>
          <w:p>
            <w:pPr>
              <w:spacing w:after="40" w:before="0" w:line="259" w:lineRule="auto"/>
            </w:pPr>
            <w:r>
              <w:rPr>
                <w:rFonts w:ascii="Calibri" w:hAnsi="Calibri"/>
                <w:b/>
                <w:i w:val="0"/>
                <w:color w:val="212121"/>
                <w:sz w:val="19"/>
              </w:rPr>
              <w:t>Palpable abscess / fluctuant swelling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Cutaneous, subcutaneous, muscular or lymph-node suppuration.</w:t>
            </w:r>
          </w:p>
        </w:tc>
      </w:tr>
      <w:tr>
        <w:trPr>
          <w:cantSplit/>
        </w:trPr>
        <w:tc>
          <w:tcPr>
            <w:tcW w:type="dxa" w:w="3456"/>
            <w:vAlign w:val="top"/>
          </w:tcPr>
          <w:p>
            <w:pPr>
              <w:spacing w:after="40" w:before="0" w:line="259" w:lineRule="auto"/>
            </w:pPr>
            <w:r>
              <w:rPr>
                <w:rFonts w:ascii="Calibri" w:hAnsi="Calibri"/>
                <w:b/>
                <w:i w:val="0"/>
                <w:color w:val="212121"/>
                <w:sz w:val="19"/>
              </w:rPr>
              <w:t>Hepatosplenomegaly / abscess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visceral (liver, spleen) abscesses in disseminated disease.</w:t>
            </w:r>
          </w:p>
        </w:tc>
      </w:tr>
      <w:tr>
        <w:trPr>
          <w:cantSplit/>
        </w:trPr>
        <w:tc>
          <w:tcPr>
            <w:tcW w:type="dxa" w:w="3456"/>
            <w:vAlign w:val="top"/>
          </w:tcPr>
          <w:p>
            <w:pPr>
              <w:spacing w:after="40" w:before="0" w:line="259" w:lineRule="auto"/>
            </w:pPr>
            <w:r>
              <w:rPr>
                <w:rFonts w:ascii="Calibri" w:hAnsi="Calibri"/>
                <w:b/>
                <w:i w:val="0"/>
                <w:color w:val="212121"/>
                <w:sz w:val="19"/>
              </w:rPr>
              <w:t>Hypotension / septic shock</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Marks fulminant, high-mortality disseminated melioidosis.</w:t>
            </w:r>
          </w:p>
        </w:tc>
      </w:tr>
      <w:tr>
        <w:trPr>
          <w:cantSplit/>
        </w:trPr>
        <w:tc>
          <w:tcPr>
            <w:tcW w:type="dxa" w:w="3456"/>
            <w:vAlign w:val="top"/>
          </w:tcPr>
          <w:p>
            <w:pPr>
              <w:spacing w:after="40" w:before="0" w:line="259" w:lineRule="auto"/>
            </w:pPr>
            <w:r>
              <w:rPr>
                <w:rFonts w:ascii="Calibri" w:hAnsi="Calibri"/>
                <w:b/>
                <w:i w:val="0"/>
                <w:color w:val="212121"/>
                <w:sz w:val="19"/>
              </w:rPr>
              <w:t>Regional lymphadenopathy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Accompanies localized inoculation disease.</w:t>
            </w:r>
          </w:p>
        </w:tc>
      </w:tr>
      <w:tr>
        <w:trPr>
          <w:cantSplit/>
        </w:trPr>
        <w:tc>
          <w:tcPr>
            <w:tcW w:type="dxa" w:w="3456"/>
            <w:vAlign w:val="top"/>
          </w:tcPr>
          <w:p>
            <w:pPr>
              <w:spacing w:after="40" w:before="0" w:line="259" w:lineRule="auto"/>
            </w:pPr>
            <w:r>
              <w:rPr>
                <w:rFonts w:ascii="Calibri" w:hAnsi="Calibri"/>
                <w:b/>
                <w:i w:val="0"/>
                <w:color w:val="212121"/>
                <w:sz w:val="19"/>
              </w:rPr>
              <w:t>Skin pustules, ulcers or nodules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Cutaneous melioidosis, single or multiple.</w:t>
            </w:r>
          </w:p>
        </w:tc>
      </w:tr>
      <w:tr>
        <w:trPr>
          <w:cantSplit/>
        </w:trPr>
        <w:tc>
          <w:tcPr>
            <w:tcW w:type="dxa" w:w="3456"/>
            <w:vAlign w:val="top"/>
          </w:tcPr>
          <w:p>
            <w:pPr>
              <w:spacing w:after="40" w:before="0" w:line="259" w:lineRule="auto"/>
            </w:pPr>
            <w:r>
              <w:rPr>
                <w:rFonts w:ascii="Calibri" w:hAnsi="Calibri"/>
                <w:b/>
                <w:i w:val="0"/>
                <w:color w:val="212121"/>
                <w:sz w:val="19"/>
              </w:rPr>
              <w:t>Marked muscle tenderness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classic though non-specific finding in septicaemic disease.</w:t>
            </w:r>
          </w:p>
        </w:tc>
      </w:tr>
      <w:tr>
        <w:trPr>
          <w:cantSplit/>
        </w:trPr>
        <w:tc>
          <w:tcPr>
            <w:tcW w:type="dxa" w:w="3456"/>
            <w:vAlign w:val="top"/>
          </w:tcPr>
          <w:p>
            <w:pPr>
              <w:spacing w:after="40" w:before="0" w:line="259" w:lineRule="auto"/>
            </w:pPr>
            <w:r>
              <w:rPr>
                <w:rFonts w:ascii="Calibri" w:hAnsi="Calibri"/>
                <w:b/>
                <w:i w:val="0"/>
                <w:color w:val="212121"/>
                <w:sz w:val="19"/>
              </w:rPr>
              <w:t>Focal neurological deficit / cranial-nerve palsy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 of neuromelioidosis (brainstem encephalitis, brain or spinal abscess).</w:t>
            </w:r>
          </w:p>
        </w:tc>
      </w:tr>
      <w:tr>
        <w:trPr>
          <w:cantSplit/>
        </w:trPr>
        <w:tc>
          <w:tcPr>
            <w:tcW w:type="dxa" w:w="3456"/>
            <w:vAlign w:val="top"/>
          </w:tcPr>
          <w:p>
            <w:pPr>
              <w:spacing w:after="40" w:before="0" w:line="259" w:lineRule="auto"/>
            </w:pPr>
            <w:r>
              <w:rPr>
                <w:rFonts w:ascii="Calibri" w:hAnsi="Calibri"/>
                <w:b/>
                <w:i w:val="0"/>
                <w:color w:val="212121"/>
                <w:sz w:val="19"/>
              </w:rPr>
              <w:t>Joint effusion / restricted movement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Septic arthritis or contiguous osteomyelitis.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Bacteraemia / septicaemia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Septic shock and multi-organ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necrotizing pneumonia / ARDS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Metastatic abscesses of liver, spleen, kidney and prostate</w:t>
            </w:r>
          </w:p>
        </w:tc>
        <w:tc>
          <w:tcPr>
            <w:tcW w:type="dxa" w:w="2980"/>
            <w:vAlign w:val="top"/>
          </w:tcPr>
          <w:p>
            <w:pPr>
              <w:spacing w:after="40" w:before="0" w:line="259" w:lineRule="auto"/>
            </w:pPr>
            <w:r>
              <w:rPr>
                <w:rFonts w:ascii="Calibri" w:hAnsi="Calibri"/>
                <w:b w:val="0"/>
                <w:i w:val="0"/>
                <w:color w:val="212121"/>
                <w:sz w:val="19"/>
              </w:rPr>
              <w:t>Direct consequences of invasive B. pseudomallei infection, most dangerous in uncontrolled diabetics; bacteraemic disease carries high early mortality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Osteomyelitis and septic arthritis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Neuromelioidosis (brainstem encephalitis, brain or spinal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kidney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Empyema and pleural effusion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Parotid abscess (especially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Mycotic aneurysm</w:t>
            </w:r>
          </w:p>
        </w:tc>
        <w:tc>
          <w:tcPr>
            <w:tcW w:type="dxa" w:w="2980"/>
            <w:vAlign w:val="top"/>
          </w:tcPr>
          <w:p>
            <w:pPr>
              <w:spacing w:after="40" w:before="0" w:line="259" w:lineRule="auto"/>
            </w:pPr>
            <w:r>
              <w:rPr>
                <w:rFonts w:ascii="Calibri" w:hAnsi="Calibri"/>
                <w:b w:val="0"/>
                <w:i w:val="0"/>
                <w:color w:val="212121"/>
                <w:sz w:val="19"/>
              </w:rPr>
              <w:t>Result from haematogenous dissemination and focal suppuration, often requiring drainage in addition to antibiotics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Relapse or recrudescence of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suppurative disease mimicking tuberculosis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disability from bone, joint or neurological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Prolonged antibiotic burden and drug toxicity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w:t>
            </w:r>
          </w:p>
        </w:tc>
        <w:tc>
          <w:tcPr>
            <w:tcW w:type="dxa" w:w="2980"/>
            <w:vAlign w:val="top"/>
          </w:tcPr>
          <w:p>
            <w:pPr>
              <w:spacing w:after="40" w:before="0" w:line="259" w:lineRule="auto"/>
            </w:pPr>
            <w:r>
              <w:rPr>
                <w:rFonts w:ascii="Calibri" w:hAnsi="Calibri"/>
                <w:b w:val="0"/>
                <w:i w:val="0"/>
                <w:color w:val="212121"/>
                <w:sz w:val="19"/>
              </w:rPr>
              <w:t>Late outcomes of incomplete eradication or delayed diagnosis; relapse risk makes the 3-6 month eradication phase and adherence critical</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impairs neutrophil killing of B. pseudomallei; the single dominant predisposition and a driver of septicaemic disease.</w:t>
            </w:r>
          </w:p>
          <w:p>
            <w:pPr>
              <w:spacing w:after="40" w:before="0" w:line="259" w:lineRule="auto"/>
            </w:pPr>
            <w:r>
              <w:rPr>
                <w:rFonts w:ascii="Calibri" w:hAnsi="Calibri"/>
                <w:b/>
                <w:i w:val="0"/>
                <w:color w:val="212121"/>
                <w:sz w:val="19"/>
              </w:rPr>
              <w:t>~76.2% (India)</w:t>
            </w:r>
          </w:p>
        </w:tc>
      </w:tr>
      <w:tr>
        <w:trPr>
          <w:cantSplit/>
        </w:trPr>
        <w:tc>
          <w:tcPr>
            <w:tcW w:type="dxa" w:w="2232"/>
            <w:vAlign w:val="top"/>
          </w:tcPr>
          <w:p>
            <w:pPr>
              <w:spacing w:after="40" w:before="0" w:line="259" w:lineRule="auto"/>
            </w:pPr>
            <w:r>
              <w:rPr>
                <w:rFonts w:ascii="Calibri" w:hAnsi="Calibri"/>
                <w:b/>
                <w:i w:val="0"/>
                <w:color w:val="212121"/>
                <w:sz w:val="19"/>
              </w:rPr>
              <w:t>Hazardous alcohol use / alcoholic liver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Impairs phagocyte function and adds hepatic dysfunction, increasing invasive disease and abscess risk.</w:t>
            </w:r>
          </w:p>
          <w:p>
            <w:pPr>
              <w:spacing w:after="40" w:before="0" w:line="259" w:lineRule="auto"/>
            </w:pPr>
            <w:r>
              <w:rPr>
                <w:rFonts w:ascii="Calibri" w:hAnsi="Calibri"/>
                <w:b/>
                <w:i w:val="0"/>
                <w:color w:val="212121"/>
                <w:sz w:val="19"/>
              </w:rPr>
              <w:t>~37%</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Uraemic immune impairment predisposes to severe disease; melioidosis in turn frequently causes acute kidney injury.</w:t>
            </w:r>
          </w:p>
          <w:p>
            <w:pPr>
              <w:spacing w:after="40" w:before="0" w:line="259" w:lineRule="auto"/>
            </w:pPr>
            <w:r>
              <w:rPr>
                <w:rFonts w:ascii="Calibri" w:hAnsi="Calibri"/>
                <w:b/>
                <w:i w:val="0"/>
                <w:color w:val="212121"/>
                <w:sz w:val="19"/>
              </w:rPr>
              <w:t>~23%</w:t>
            </w:r>
          </w:p>
        </w:tc>
      </w:tr>
      <w:tr>
        <w:trPr>
          <w:cantSplit/>
        </w:trPr>
        <w:tc>
          <w:tcPr>
            <w:tcW w:type="dxa" w:w="2232"/>
            <w:vAlign w:val="top"/>
          </w:tcPr>
          <w:p>
            <w:pPr>
              <w:spacing w:after="40" w:before="0" w:line="259" w:lineRule="auto"/>
            </w:pPr>
            <w:r>
              <w:rPr>
                <w:rFonts w:ascii="Calibri" w:hAnsi="Calibri"/>
                <w:b/>
                <w:i w:val="0"/>
                <w:color w:val="212121"/>
                <w:sz w:val="19"/>
              </w:rPr>
              <w:t>Chronic lung disease (COPD)</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pulmonary defences predispose to the common pneumonic form after inhalational exposure.</w:t>
            </w:r>
          </w:p>
        </w:tc>
      </w:tr>
      <w:tr>
        <w:trPr>
          <w:cantSplit/>
        </w:trPr>
        <w:tc>
          <w:tcPr>
            <w:tcW w:type="dxa" w:w="2232"/>
            <w:vAlign w:val="top"/>
          </w:tcPr>
          <w:p>
            <w:pPr>
              <w:spacing w:after="40" w:before="0" w:line="259" w:lineRule="auto"/>
            </w:pPr>
            <w:r>
              <w:rPr>
                <w:rFonts w:ascii="Calibri" w:hAnsi="Calibri"/>
                <w:b/>
                <w:i w:val="0"/>
                <w:color w:val="212121"/>
                <w:sz w:val="19"/>
              </w:rPr>
              <w:t>Thalassaemia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Inherited haemoglobinopathy with iron overload is an independent risk factor for melioidosis.</w:t>
            </w:r>
          </w:p>
        </w:tc>
      </w:tr>
      <w:tr>
        <w:trPr>
          <w:cantSplit/>
        </w:trPr>
        <w:tc>
          <w:tcPr>
            <w:tcW w:type="dxa" w:w="2232"/>
            <w:vAlign w:val="top"/>
          </w:tcPr>
          <w:p>
            <w:pPr>
              <w:spacing w:after="40" w:before="0" w:line="259" w:lineRule="auto"/>
            </w:pPr>
            <w:r>
              <w:rPr>
                <w:rFonts w:ascii="Calibri" w:hAnsi="Calibri"/>
                <w:b/>
                <w:i w:val="0"/>
                <w:color w:val="212121"/>
                <w:sz w:val="19"/>
              </w:rPr>
              <w:t>Immunosuppression / corticosteroid therapy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Iatrogenic immune suppression can precipitate fulminant primary disease or reactivate latent infection.</w:t>
            </w:r>
          </w:p>
        </w:tc>
      </w:tr>
      <w:tr>
        <w:trPr>
          <w:cantSplit/>
        </w:trPr>
        <w:tc>
          <w:tcPr>
            <w:tcW w:type="dxa" w:w="2232"/>
            <w:vAlign w:val="top"/>
          </w:tcPr>
          <w:p>
            <w:pPr>
              <w:spacing w:after="40" w:before="0" w:line="259" w:lineRule="auto"/>
            </w:pPr>
            <w:r>
              <w:rPr>
                <w:rFonts w:ascii="Calibri" w:hAnsi="Calibri"/>
                <w:b/>
                <w:i w:val="0"/>
                <w:color w:val="212121"/>
                <w:sz w:val="19"/>
              </w:rPr>
              <w:t>Acute kidney injury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organ complication of severe diabetic melioidosis sepsis, worsening prognosis and dosing.</w:t>
            </w:r>
          </w:p>
        </w:tc>
      </w:tr>
      <w:tr>
        <w:trPr>
          <w:cantSplit/>
        </w:trPr>
        <w:tc>
          <w:tcPr>
            <w:tcW w:type="dxa" w:w="2232"/>
            <w:vAlign w:val="top"/>
          </w:tcPr>
          <w:p>
            <w:pPr>
              <w:spacing w:after="40" w:before="0" w:line="259" w:lineRule="auto"/>
            </w:pPr>
            <w:r>
              <w:rPr>
                <w:rFonts w:ascii="Calibri" w:hAnsi="Calibri"/>
                <w:b/>
                <w:i w:val="0"/>
                <w:color w:val="212121"/>
                <w:sz w:val="19"/>
              </w:rPr>
              <w:t>Septic shock</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Develops in about a fifth of cases and is the principal cause of early death.</w:t>
            </w:r>
          </w:p>
          <w:p>
            <w:pPr>
              <w:spacing w:after="40" w:before="0" w:line="259" w:lineRule="auto"/>
            </w:pPr>
            <w:r>
              <w:rPr>
                <w:rFonts w:ascii="Calibri" w:hAnsi="Calibri"/>
                <w:b/>
                <w:i w:val="0"/>
                <w:color w:val="212121"/>
                <w:sz w:val="19"/>
              </w:rPr>
              <w:t>~20%</w:t>
            </w:r>
          </w:p>
        </w:tc>
      </w:tr>
      <w:tr>
        <w:trPr>
          <w:cantSplit/>
        </w:trPr>
        <w:tc>
          <w:tcPr>
            <w:tcW w:type="dxa" w:w="2232"/>
            <w:vAlign w:val="top"/>
          </w:tcPr>
          <w:p>
            <w:pPr>
              <w:spacing w:after="40" w:before="0" w:line="259" w:lineRule="auto"/>
            </w:pPr>
            <w:r>
              <w:rPr>
                <w:rFonts w:ascii="Calibri" w:hAnsi="Calibri"/>
                <w:b/>
                <w:i w:val="0"/>
                <w:color w:val="212121"/>
                <w:sz w:val="19"/>
              </w:rPr>
              <w:t>Tuberculosis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Co-endemic in India and radiologically/clinically near-identical to chronic melioidosis, causing frequent misdiagnosis and diagnostic delay.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Raise awareness among clinicians and diabetics in endemic coastal and agricultural districts that culture-confirmed melioidosis must be considered in any diabetic with fever, pneumonia or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Educate farmers and labourers to wear boots and gloves and to promptly clean and cover cuts and abrasions before soil or water contact.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reducing direct soil/water exposure during and immediately after heavy monsoon rain, flooding and cyclones.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screening for and tight control of diabetes as the most effective way to lower individual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Strengthen laboratory capacity and reporting so cases are correctly identified rather than misdiagnosed as tuberculosis.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Farmers and agricultural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Coastal/rural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Clinicians in endemic areas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protective footwear and waterproof gloves for all paddy-field, gardening and construction work in endemic zones.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barefoot walking in muddy fields, puddles and standing water, especially with open wounds.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Shower and wash exposed skin thoroughly after occupational soil/water contact.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Cover any wound with a waterproof dressing before resuming field work.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Rice-paddy farmers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Gardeners and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Endemic-area residents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recovery, resume activity gradually and complete any bone/joint rehabilitation for osteoarticular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re-exposure to contaminated soil and water until treatment is complete to reduce relapse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osteomyelitis/septic arthritis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only boiled, filtered or chlorinated water; avoid untreated well, pond and river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glycaemic control with a balanced, high-fibre diet to reduce diabetes-related susceptibility.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raw produce with safe water, particularly in high-rainfall endemic districts.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on untreated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Endemic-area residents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Optimize blood glucose during and after treatment, as good control improves outcomes and lowers relapse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nutrition to support recovery from prolonged sepsis and antibiotic 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severe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regular sleep (7-9 hours) to support immune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conditions (e.g., poorly controlled diabetes) that disturb sleep and impair immunity.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avoid biomass/indoor smoke to preserve pulmonary defences and lower pneumonic-disease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Enrol high-risk workers in cessation support programmes.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chronic lung disease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or abstain from alcohol to preserve neutrophil and macrophage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heavy drinkers for liver disease and offer de-addiction support.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Heavy/hazardous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liver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and structured follow-up to sustain adherence through the demanding 3-6 month oral eradication course.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depression and social barriers that lead to treatment default and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Educate patients that stopping antibiotics early markedly increases the risk of relapse.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prolonged eradication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poor adherence or depression</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ture.com/articles/s41598-025-27178-4" TargetMode="External"/><Relationship Id="rId10" Type="http://schemas.openxmlformats.org/officeDocument/2006/relationships/hyperlink" Target="https://en.wikipedia.org/wiki/Melioidosis" TargetMode="External"/><Relationship Id="rId11" Type="http://schemas.openxmlformats.org/officeDocument/2006/relationships/hyperlink" Target="https://journals.plos.org/plosntds/article?id=10.1371%2Fjournal.pntd.0004610" TargetMode="External"/><Relationship Id="rId12" Type="http://schemas.openxmlformats.org/officeDocument/2006/relationships/hyperlink" Target="https://www.ijccm.org/abstractArticleContentBrowse/IJCCM/23198/JPJ/fullText" TargetMode="External"/><Relationship Id="rId13" Type="http://schemas.openxmlformats.org/officeDocument/2006/relationships/hyperlink" Target="https://www.mdpi.com/2075-1729/16/2/3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