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Chlamydia</w:t>
      </w:r>
    </w:p>
    <w:p>
      <w:pPr>
        <w:spacing w:before="0" w:after="160"/>
      </w:pPr>
      <w:r>
        <w:rPr>
          <w:rFonts w:ascii="Calibri" w:hAnsi="Calibri"/>
          <w:b/>
          <w:i w:val="0"/>
          <w:color w:val="212121"/>
          <w:sz w:val="22"/>
        </w:rPr>
        <w:t xml:space="preserve">AKA </w:t>
      </w:r>
      <w:r>
        <w:rPr>
          <w:rFonts w:ascii="Calibri" w:hAnsi="Calibri"/>
          <w:b w:val="0"/>
          <w:i w:val="0"/>
          <w:color w:val="212121"/>
          <w:sz w:val="22"/>
        </w:rPr>
        <w:t>i.e., Chlamydial infection, Genital chlamydia, Chlamydia trachomatis infection; related serovar diseases: Lymphogranuloma venereum (LGV), Trachoma</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Chlamydia is the most common curable bacterial sexually transmitted infection (STI), caused by Chlamydia trachomatis, an obligate intracellular bacterium transmitted through vaginal, anal or oral sex and from mother to infant during birth. Genital serovars D–K infect the columnar epithelium of the cervix, urethra, rectum and conjunctiva; most infections — over 80% in women — are asymptomatic, allowing silent ascent to the uterus and fallopian tubes. Untreated infection causes pelvic inflammatory disease (PID), tubal scarring, ectopic pregnancy and tubal-factor infertility, making chlamydia the classic 'silent cause of infertility'. Serovars L1–L3 cause lymphogranuloma venereum, and serovars A–C cause trachoma, historically a major cause of blindness in India.</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India has no routine chlamydia surveillance; NACO estimates that over 6% of Indian adults suffer at least one STI/RTI episode annually. Facility-based Indian studies detect C. trachomatis in roughly 10–30% of symptomatic women attending gynaecology/STD clinics (23% of gynaecology OPD attendees in New Delhi; 30.4% of symptomatic vs 4% of asymptomatic women), in 0.9–24.5% of asymptomatic community populations, and in up to 28% of infertile women. Globally, WHO estimated 128.5 million new infections in 2020 among people aged 15–49 years (prevalence 4.0% in women and 2.5% in men).</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Because clinical features are non-specific and most infections are silent, chlamydia is confirmed by laboratory detection of C. trachomatis. Diagnosis rests on one or more of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nucleic acid amplification testing (NAAT) — the test of choice with the highest sensitivity and specificity — on vulvovaginal or endocervical swabs or first-void urine in women, first-void urine or urethral swabs in men, and rectal/pharyngeal swabs after exposure at those sites (self-collected vaginal swabs are acceptable);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cell culture (McCoy/HeLa cell lines) — highly specific but less sensitive; reserved for medico-legal cases, treatment failure and research;</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antigen-detection methods (direct fluorescent antibody, ELISA) — lower sensitivity, but still used in resource-limited Indian laboratories;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serology (anti-chlamydial IgG/IgA) — not useful for acute genital infection, but valuable in the workup of tubal-factor infertility, bad obstetric history and lymphogranuloma venereum;</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presumptive syndromic diagnosis in Indian public facilities (vaginal/cervical discharge, urethral discharge or lower-abdominal-pain syndromes) treated with colour-coded NACO kits where aetiological testing is unavailable;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screening — annual NAAT for sexually active women under 25 years and older women with risk factors, testing of pregnant women, and at least annual site-specific screening for MSM and people living with HIV, since asymptomatic infection is common.</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Chlamydial disease is classified by infecting serovar and anatomical site of involvement:</w:t>
      </w:r>
    </w:p>
    <w:p>
      <w:pPr>
        <w:spacing w:before="0" w:after="80"/>
      </w:pPr>
      <w:r>
        <w:rPr>
          <w:rFonts w:ascii="Calibri" w:hAnsi="Calibri"/>
          <w:b w:val="0"/>
          <w:i w:val="0"/>
          <w:color w:val="212121"/>
          <w:sz w:val="21"/>
        </w:rPr>
        <w:t>(1) Urogenital infection (serovars D–K) — the common 'genital chlamydia': cervicitis and urethritis, which may ascend to endometritis, salpingitis and pelvic inflammatory disease in women, and cause epididymo-orchitis in men;</w:t>
      </w:r>
    </w:p>
    <w:p>
      <w:pPr>
        <w:spacing w:before="0" w:after="80"/>
      </w:pPr>
      <w:r>
        <w:rPr>
          <w:rFonts w:ascii="Calibri" w:hAnsi="Calibri"/>
          <w:b w:val="0"/>
          <w:i w:val="0"/>
          <w:color w:val="212121"/>
          <w:sz w:val="21"/>
        </w:rPr>
        <w:t>(2) Lymphogranuloma venereum (serovars L1–L3) — an invasive lymphotropic disease evolving in three stages: a transient painless papule or ulcer, painful inguinal/femoral buboes (the 'groove sign'), and late anogenitorectal fibrosis with strictures and elephantiasis; increasingly recognised among men who have sex with men presenting as severe proctitis;</w:t>
      </w:r>
    </w:p>
    <w:p>
      <w:pPr>
        <w:spacing w:before="0" w:after="80"/>
      </w:pPr>
      <w:r>
        <w:rPr>
          <w:rFonts w:ascii="Calibri" w:hAnsi="Calibri"/>
          <w:b w:val="0"/>
          <w:i w:val="0"/>
          <w:color w:val="212121"/>
          <w:sz w:val="21"/>
        </w:rPr>
        <w:t>(3) Trachoma (serovars A–C) — chronic follicular keratoconjunctivitis spread by direct contact, fomites and flies, progressing through repeated infection to trichiasis and corneal blindness; WHO certified India as having eliminated trachoma as a public health problem in October 2024;</w:t>
      </w:r>
    </w:p>
    <w:p>
      <w:pPr>
        <w:spacing w:before="0" w:after="80"/>
      </w:pPr>
      <w:r>
        <w:rPr>
          <w:rFonts w:ascii="Calibri" w:hAnsi="Calibri"/>
          <w:b w:val="0"/>
          <w:i w:val="0"/>
          <w:color w:val="212121"/>
          <w:sz w:val="21"/>
        </w:rPr>
        <w:t>(4) Perinatal/neonatal infection — ophthalmia neonatorum appearing 5–14 days after vaginal delivery and afebrile 'staccato-cough' pneumonia at 1–3 months of age, acquired from an infected birth canal;</w:t>
      </w:r>
    </w:p>
    <w:p>
      <w:pPr>
        <w:spacing w:before="0" w:after="80"/>
      </w:pPr>
      <w:r>
        <w:rPr>
          <w:rFonts w:ascii="Calibri" w:hAnsi="Calibri"/>
          <w:b w:val="0"/>
          <w:i w:val="0"/>
          <w:color w:val="212121"/>
          <w:sz w:val="21"/>
        </w:rPr>
        <w:t>(5) Extragenital adult infection — proctitis/proctocolitis, usually silent pharyngeal carriage, and adult inclusion conjunctivitis from autoinoculation of genital secretions;</w:t>
      </w:r>
    </w:p>
    <w:p>
      <w:pPr>
        <w:spacing w:before="0" w:after="80"/>
      </w:pPr>
      <w:r>
        <w:rPr>
          <w:rFonts w:ascii="Calibri" w:hAnsi="Calibri"/>
          <w:b w:val="0"/>
          <w:i w:val="0"/>
          <w:color w:val="212121"/>
          <w:sz w:val="21"/>
        </w:rPr>
        <w:t>(6) Immune-mediated sequelae — sexually acquired reactive arthritis (SARA; urethritis–conjunctivitis–arthritis triad, HLA-B27-associated) and Fitz-Hugh–Curtis perihepatitis.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Causative organism: Chlamydia trachomatis, an obligate intracellular gram-negative bacterium with a biphasic developmental cycle (infectious elementary bodies entering cells, replicating reticulate bodies inside inclusions), tropic for columnar epithelium of the cervix, urethra, rectum and conjunctiva.</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Unprotected sexual contact: vaginal, anal or oral intercourse with an infected partner is the dominant route; transmission is efficient, and reinfection from untreated partners is very common.</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Young age and cervical ectopy: the adolescent and young-adult cervix exposes columnar epithelium (physiological ectopy) that C. trachomatis preferentially infects — biological susceptibility compounded by behavioural risk (new partners, inconsistent condom use).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Sexual-network factors: multiple or concurrent partners, commercial sex and bridge populations (clients of sex workers, migrants, long-distance truckers) sustain chains of community transmission in India.</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Asymptomatic reservoir and absent screening: over 80% of infected women and many infected men have no symptoms; without organised screening — as in India — infections persist for months and silently ascend the genital tract.</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Vertical transmission: passage through an infected birth canal — up to 60% of exposed neonates acquire the organism, risking conjunctivitis and pneumonia.</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Cofactors that raise acquisition or ascent: injectable progestin contraception (DMPA), intravaginal douching, and co-existing STIs that inflame genital mucosa.</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Adolescents &amp; young adults (15–24 years)</w:t>
            </w:r>
          </w:p>
        </w:tc>
        <w:tc>
          <w:tcPr>
            <w:tcW w:type="dxa" w:w="4276"/>
            <w:vAlign w:val="top"/>
          </w:tcPr>
          <w:p>
            <w:pPr>
              <w:spacing w:after="60" w:line="259" w:lineRule="auto"/>
            </w:pPr>
            <w:r>
              <w:rPr>
                <w:rFonts w:ascii="Calibri" w:hAnsi="Calibri"/>
                <w:b w:val="0"/>
                <w:i w:val="0"/>
                <w:color w:val="212121"/>
                <w:sz w:val="19"/>
              </w:rPr>
              <w:t>The highest-incidence group worldwide. Physiological cervical ectopy exposes the columnar cells that C. trachomatis preferentially infects, while new partnerships, inconsistent condom use and negligible screening uptake maximise exposure and delay detection.</w:t>
            </w:r>
          </w:p>
          <w:p>
            <w:pPr>
              <w:spacing w:after="40" w:before="60" w:line="259" w:lineRule="auto"/>
            </w:pPr>
            <w:r>
              <w:rPr>
                <w:rFonts w:ascii="Calibri" w:hAnsi="Calibri"/>
                <w:b w:val="0"/>
                <w:i w:val="0"/>
                <w:color w:val="212121"/>
                <w:sz w:val="19"/>
              </w:rPr>
              <w:t>WHO estimated 128.5 million new chlamydia infections in 2020 among people aged 15–49, with prevalence of 4.0% in women and 2.5% in men and the burden concentrated in younger ages.</w:t>
            </w:r>
          </w:p>
          <w:p>
            <w:pPr>
              <w:spacing w:after="40" w:line="252" w:lineRule="auto"/>
            </w:pPr>
            <w:hyperlink r:id="rId9">
              <w:r>
                <w:rPr>
                  <w:rFonts w:ascii="Calibri" w:hAnsi="Calibri" w:cs="Calibri"/>
                  <w:sz w:val="18"/>
                  <w:color w:val="1155CC"/>
                  <w:u w:val="single"/>
                </w:rPr>
                <w:t xml:space="preserve">who.int — chlamydia fact sheet</w:t>
              </w:r>
            </w:hyperlink>
          </w:p>
          <w:p>
            <w:pPr>
              <w:spacing w:before="60" w:after="40"/>
            </w:pPr>
            <w:r>
              <w:rPr>
                <w:rFonts w:ascii="Calibri" w:hAnsi="Calibri"/>
                <w:b w:val="0"/>
                <w:i w:val="0"/>
                <w:color w:val="5A5A5A"/>
                <w:sz w:val="18"/>
              </w:rPr>
              <w:t>#youngadults  #cervicalectopy  #silentSTI  #unsafesex</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Reproductive-age adults (25–49 years)</w:t>
            </w:r>
          </w:p>
        </w:tc>
        <w:tc>
          <w:tcPr>
            <w:tcW w:type="dxa" w:w="4276"/>
            <w:vAlign w:val="top"/>
          </w:tcPr>
          <w:p>
            <w:pPr>
              <w:spacing w:after="60" w:line="259" w:lineRule="auto"/>
            </w:pPr>
            <w:r>
              <w:rPr>
                <w:rFonts w:ascii="Calibri" w:hAnsi="Calibri"/>
                <w:b w:val="0"/>
                <w:i w:val="0"/>
                <w:color w:val="212121"/>
                <w:sz w:val="19"/>
              </w:rPr>
              <w:t>The sexually most active decades. In India infection typically surfaces only as discharge syndromes, PID or infertility because routine chlamydia screening does not exist, so silent infection accumulates tubal damage over years.</w:t>
            </w:r>
          </w:p>
          <w:p>
            <w:pPr>
              <w:spacing w:after="40" w:before="60" w:line="259" w:lineRule="auto"/>
            </w:pPr>
            <w:r>
              <w:rPr>
                <w:rFonts w:ascii="Calibri" w:hAnsi="Calibri"/>
                <w:b w:val="0"/>
                <w:i w:val="0"/>
                <w:color w:val="212121"/>
                <w:sz w:val="19"/>
              </w:rPr>
              <w:t>C. trachomatis was detected in 23% of women attending a New Delhi gynaecology OPD — 30.4% of symptomatic versus 4% of asymptomatic women.</w:t>
            </w:r>
          </w:p>
          <w:p>
            <w:pPr>
              <w:spacing w:after="40" w:line="252" w:lineRule="auto"/>
            </w:pPr>
            <w:hyperlink r:id="rId10">
              <w:r>
                <w:rPr>
                  <w:rFonts w:ascii="Calibri" w:hAnsi="Calibri" w:cs="Calibri"/>
                  <w:sz w:val="18"/>
                  <w:color w:val="1155CC"/>
                  <w:u w:val="single"/>
                </w:rPr>
                <w:t xml:space="preserve">ijmr.org.in — genital Chlamydia trachomatis: an update</w:t>
              </w:r>
            </w:hyperlink>
          </w:p>
          <w:p>
            <w:pPr>
              <w:spacing w:before="60" w:after="40"/>
            </w:pPr>
            <w:r>
              <w:rPr>
                <w:rFonts w:ascii="Calibri" w:hAnsi="Calibri"/>
                <w:b w:val="0"/>
                <w:i w:val="0"/>
                <w:color w:val="5A5A5A"/>
                <w:sz w:val="18"/>
              </w:rPr>
              <w:t>#reproductiveage  #PID  #infertility  #missedscreening</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Women carry the sequelae burden: the cervix is an efficient silent reservoir from which infection ascends to the endometrium and tubes, and detected urogenital infection rates in women run roughly double those in men.</w:t>
            </w:r>
          </w:p>
          <w:p>
            <w:pPr>
              <w:spacing w:after="40" w:before="60" w:line="259" w:lineRule="auto"/>
            </w:pPr>
            <w:r>
              <w:rPr>
                <w:rFonts w:ascii="Calibri" w:hAnsi="Calibri"/>
                <w:b w:val="0"/>
                <w:i w:val="0"/>
                <w:color w:val="212121"/>
                <w:sz w:val="19"/>
              </w:rPr>
              <w:t>Over 80% of women with chlamydial cervicitis are asymptomatic or have only mild symptoms; US urogenital infection rates in women are about 2 times those of men.</w:t>
            </w:r>
          </w:p>
          <w:p>
            <w:pPr>
              <w:spacing w:after="40" w:line="252" w:lineRule="auto"/>
            </w:pPr>
            <w:hyperlink r:id="rId11">
              <w:r>
                <w:rPr>
                  <w:rFonts w:ascii="Calibri" w:hAnsi="Calibri" w:cs="Calibri"/>
                  <w:sz w:val="18"/>
                  <w:color w:val="1155CC"/>
                  <w:u w:val="single"/>
                </w:rPr>
                <w:t xml:space="preserve">ncbi.nlm.nih.gov — StatPearls: Chlamydia</w:t>
              </w:r>
            </w:hyperlink>
          </w:p>
          <w:p>
            <w:pPr>
              <w:spacing w:before="60" w:after="40"/>
            </w:pPr>
            <w:r>
              <w:rPr>
                <w:rFonts w:ascii="Calibri" w:hAnsi="Calibri"/>
                <w:b w:val="0"/>
                <w:i w:val="0"/>
                <w:color w:val="5A5A5A"/>
                <w:sz w:val="18"/>
              </w:rPr>
              <w:t>#women  #asymptomatic  #tubaldamage  #silentreservoir</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Men present mainly with non-gonococcal urethritis (NGU); because symptoms are often trivial or absent, untreated men act as the transmission reservoir for their partners and risk epididymo-orchitis and reactive arthritis.</w:t>
            </w:r>
          </w:p>
          <w:p>
            <w:pPr>
              <w:spacing w:after="40" w:before="60" w:line="259" w:lineRule="auto"/>
            </w:pPr>
            <w:r>
              <w:rPr>
                <w:rFonts w:ascii="Calibri" w:hAnsi="Calibri"/>
                <w:b w:val="0"/>
                <w:i w:val="0"/>
                <w:color w:val="212121"/>
                <w:sz w:val="19"/>
              </w:rPr>
              <w:t>C. trachomatis was identified in 17.5% of Indian men with urethritis in clinic-based studies.</w:t>
            </w:r>
          </w:p>
          <w:p>
            <w:pPr>
              <w:spacing w:after="40" w:line="252" w:lineRule="auto"/>
            </w:pPr>
            <w:hyperlink r:id="rId10">
              <w:r>
                <w:rPr>
                  <w:rFonts w:ascii="Calibri" w:hAnsi="Calibri" w:cs="Calibri"/>
                  <w:sz w:val="18"/>
                  <w:color w:val="1155CC"/>
                  <w:u w:val="single"/>
                </w:rPr>
                <w:t xml:space="preserve">ijmr.org.in — genital Chlamydia trachomatis: an update</w:t>
              </w:r>
            </w:hyperlink>
          </w:p>
          <w:p>
            <w:pPr>
              <w:spacing w:before="60" w:after="40"/>
            </w:pPr>
            <w:r>
              <w:rPr>
                <w:rFonts w:ascii="Calibri" w:hAnsi="Calibri"/>
                <w:b w:val="0"/>
                <w:i w:val="0"/>
                <w:color w:val="5A5A5A"/>
                <w:sz w:val="18"/>
              </w:rPr>
              <w:t>#NGU  #urethritis  #malereservoir  #epididymitis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Urban slum &amp; low-income communities</w:t>
            </w:r>
          </w:p>
        </w:tc>
        <w:tc>
          <w:tcPr>
            <w:tcW w:type="dxa" w:w="4276"/>
            <w:vAlign w:val="top"/>
          </w:tcPr>
          <w:p>
            <w:pPr>
              <w:spacing w:after="60" w:line="259" w:lineRule="auto"/>
            </w:pPr>
            <w:r>
              <w:rPr>
                <w:rFonts w:ascii="Calibri" w:hAnsi="Calibri"/>
                <w:b w:val="0"/>
                <w:i w:val="0"/>
                <w:color w:val="212121"/>
                <w:sz w:val="19"/>
              </w:rPr>
              <w:t>Overcrowding, low health literacy, reliance on unqualified providers and poor access to confidential STI services delay diagnosis and partner treatment, letting silent infection circulate.</w:t>
            </w:r>
          </w:p>
          <w:p>
            <w:pPr>
              <w:spacing w:after="40" w:before="60" w:line="259" w:lineRule="auto"/>
            </w:pPr>
            <w:r>
              <w:rPr>
                <w:rFonts w:ascii="Calibri" w:hAnsi="Calibri"/>
                <w:b w:val="0"/>
                <w:i w:val="0"/>
                <w:color w:val="212121"/>
                <w:sz w:val="19"/>
              </w:rPr>
              <w:t>Community-based PCR screening detected C. trachomatis in up to 24.5% of New Delhi slum residents, versus 0.9% in low-risk south Indian community groups.</w:t>
            </w:r>
          </w:p>
          <w:p>
            <w:pPr>
              <w:spacing w:after="40" w:line="252" w:lineRule="auto"/>
            </w:pPr>
            <w:hyperlink r:id="rId12">
              <w:r>
                <w:rPr>
                  <w:rFonts w:ascii="Calibri" w:hAnsi="Calibri" w:cs="Calibri"/>
                  <w:sz w:val="18"/>
                  <w:color w:val="1155CC"/>
                  <w:u w:val="single"/>
                </w:rPr>
                <w:t xml:space="preserve">academic.oup.com — burden of C. trachomatis in India (systematic review)</w:t>
              </w:r>
            </w:hyperlink>
          </w:p>
          <w:p>
            <w:pPr>
              <w:spacing w:before="60" w:after="40"/>
            </w:pPr>
            <w:r>
              <w:rPr>
                <w:rFonts w:ascii="Calibri" w:hAnsi="Calibri"/>
                <w:b w:val="0"/>
                <w:i w:val="0"/>
                <w:color w:val="5A5A5A"/>
                <w:sz w:val="18"/>
              </w:rPr>
              <w:t>#urbanslum  #healthaccess  #lowSES  #hiddenburden</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Urban metros &amp; STI-clinic attendees (Delhi, Mumbai)</w:t>
            </w:r>
          </w:p>
        </w:tc>
        <w:tc>
          <w:tcPr>
            <w:tcW w:type="dxa" w:w="4276"/>
            <w:vAlign w:val="top"/>
          </w:tcPr>
          <w:p>
            <w:pPr>
              <w:spacing w:after="60" w:line="259" w:lineRule="auto"/>
            </w:pPr>
            <w:r>
              <w:rPr>
                <w:rFonts w:ascii="Calibri" w:hAnsi="Calibri"/>
                <w:b w:val="0"/>
                <w:i w:val="0"/>
                <w:color w:val="212121"/>
                <w:sz w:val="19"/>
              </w:rPr>
              <w:t>Dense sexual networks, in-migration and commercial sex in metropolitan India concentrate transmission; STD-clinic series consistently show among the highest chlamydia positivity in the country.</w:t>
            </w:r>
          </w:p>
          <w:p>
            <w:pPr>
              <w:spacing w:after="40" w:before="60" w:line="259" w:lineRule="auto"/>
            </w:pPr>
            <w:r>
              <w:rPr>
                <w:rFonts w:ascii="Calibri" w:hAnsi="Calibri"/>
                <w:b w:val="0"/>
                <w:i w:val="0"/>
                <w:color w:val="212121"/>
                <w:sz w:val="19"/>
              </w:rPr>
              <w:t>19.9% positivity among STD-clinic attendees in New Delhi and 23.2% among Mumbai female sex workers and married female contacts.</w:t>
            </w:r>
          </w:p>
          <w:p>
            <w:pPr>
              <w:spacing w:after="40" w:line="252" w:lineRule="auto"/>
            </w:pPr>
            <w:hyperlink r:id="rId10">
              <w:r>
                <w:rPr>
                  <w:rFonts w:ascii="Calibri" w:hAnsi="Calibri" w:cs="Calibri"/>
                  <w:sz w:val="18"/>
                  <w:color w:val="1155CC"/>
                  <w:u w:val="single"/>
                </w:rPr>
                <w:t xml:space="preserve">ijmr.org.in — genital Chlamydia trachomatis: an update</w:t>
              </w:r>
            </w:hyperlink>
          </w:p>
          <w:p>
            <w:pPr>
              <w:spacing w:before="60" w:after="40"/>
            </w:pPr>
            <w:r>
              <w:rPr>
                <w:rFonts w:ascii="Calibri" w:hAnsi="Calibri"/>
                <w:b w:val="0"/>
                <w:i w:val="0"/>
                <w:color w:val="5A5A5A"/>
                <w:sz w:val="18"/>
              </w:rPr>
              <w:t>#metrocities  #STIclinic  #sexualnetworks  #Delhi  #Mumbai</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Mobility</w:t>
            </w:r>
          </w:p>
        </w:tc>
        <w:tc>
          <w:tcPr>
            <w:tcW w:type="dxa" w:w="2160"/>
            <w:vAlign w:val="top"/>
          </w:tcPr>
          <w:p>
            <w:pPr>
              <w:spacing w:after="40" w:before="0" w:line="259" w:lineRule="auto"/>
            </w:pPr>
            <w:r>
              <w:rPr>
                <w:rFonts w:ascii="Calibri" w:hAnsi="Calibri"/>
                <w:b w:val="0"/>
                <w:i w:val="0"/>
                <w:color w:val="212121"/>
                <w:sz w:val="19"/>
              </w:rPr>
              <w:t>Migrant workers, long-distance truckers &amp; bridge populations</w:t>
            </w:r>
          </w:p>
        </w:tc>
        <w:tc>
          <w:tcPr>
            <w:tcW w:type="dxa" w:w="4276"/>
            <w:vAlign w:val="top"/>
          </w:tcPr>
          <w:p>
            <w:pPr>
              <w:spacing w:after="60" w:line="259" w:lineRule="auto"/>
            </w:pPr>
            <w:r>
              <w:rPr>
                <w:rFonts w:ascii="Calibri" w:hAnsi="Calibri"/>
                <w:b w:val="0"/>
                <w:i w:val="0"/>
                <w:color w:val="212121"/>
                <w:sz w:val="19"/>
              </w:rPr>
              <w:t>Long separation from spouses, transactional sex along transit corridors and poor service access make mobile men a bridge carrying STIs into the general population — the rationale for NACO's targeted interventions and Suraksha clinics.</w:t>
            </w:r>
          </w:p>
          <w:p>
            <w:pPr>
              <w:spacing w:after="40" w:before="60" w:line="259" w:lineRule="auto"/>
            </w:pPr>
            <w:r>
              <w:rPr>
                <w:rFonts w:ascii="Calibri" w:hAnsi="Calibri"/>
                <w:b w:val="0"/>
                <w:i w:val="0"/>
                <w:color w:val="212121"/>
                <w:sz w:val="19"/>
              </w:rPr>
              <w:t>NACO estimates over 6% of India's adult population suffers one or more STI/RTI episodes annually; 1,160 designated STI/RTI (Suraksha) clinics provide free syndromic management.</w:t>
            </w:r>
          </w:p>
          <w:p>
            <w:pPr>
              <w:spacing w:after="40" w:line="252" w:lineRule="auto"/>
            </w:pPr>
            <w:hyperlink r:id="rId13">
              <w:r>
                <w:rPr>
                  <w:rFonts w:ascii="Calibri" w:hAnsi="Calibri" w:cs="Calibri"/>
                  <w:sz w:val="18"/>
                  <w:color w:val="1155CC"/>
                  <w:u w:val="single"/>
                </w:rPr>
                <w:t xml:space="preserve">naco.gov.in — STI/RTI services</w:t>
              </w:r>
            </w:hyperlink>
          </w:p>
          <w:p>
            <w:pPr>
              <w:spacing w:before="60" w:after="40"/>
            </w:pPr>
            <w:r>
              <w:rPr>
                <w:rFonts w:ascii="Calibri" w:hAnsi="Calibri"/>
                <w:b w:val="0"/>
                <w:i w:val="0"/>
                <w:color w:val="5A5A5A"/>
                <w:sz w:val="18"/>
              </w:rPr>
              <w:t>#migrants  #truckers  #bridgepopulation  #SurakshaClinic</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Unprotected sex</w:t>
            </w:r>
          </w:p>
        </w:tc>
        <w:tc>
          <w:tcPr>
            <w:tcW w:type="dxa" w:w="2160"/>
            <w:vAlign w:val="top"/>
          </w:tcPr>
          <w:p>
            <w:pPr>
              <w:spacing w:after="40" w:before="0" w:line="259" w:lineRule="auto"/>
            </w:pPr>
            <w:r>
              <w:rPr>
                <w:rFonts w:ascii="Calibri" w:hAnsi="Calibri"/>
                <w:b w:val="0"/>
                <w:i w:val="0"/>
                <w:color w:val="212121"/>
                <w:sz w:val="19"/>
              </w:rPr>
              <w:t>Inconsistent or incorrect condom users</w:t>
            </w:r>
          </w:p>
        </w:tc>
        <w:tc>
          <w:tcPr>
            <w:tcW w:type="dxa" w:w="4276"/>
            <w:vAlign w:val="top"/>
          </w:tcPr>
          <w:p>
            <w:pPr>
              <w:spacing w:after="60" w:line="259" w:lineRule="auto"/>
            </w:pPr>
            <w:r>
              <w:rPr>
                <w:rFonts w:ascii="Calibri" w:hAnsi="Calibri"/>
                <w:b w:val="0"/>
                <w:i w:val="0"/>
                <w:color w:val="212121"/>
                <w:sz w:val="19"/>
              </w:rPr>
              <w:t>Infected genital secretions inoculate the cervix, urethra, rectum or conjunctiva; only consistent AND correct condom use blocks transmission — errors such as late application, slippage or breakage erase much of the benefit.</w:t>
            </w:r>
          </w:p>
          <w:p>
            <w:pPr>
              <w:spacing w:after="40" w:before="60" w:line="259" w:lineRule="auto"/>
            </w:pPr>
            <w:r>
              <w:rPr>
                <w:rFonts w:ascii="Calibri" w:hAnsi="Calibri"/>
                <w:b w:val="0"/>
                <w:i w:val="0"/>
                <w:color w:val="212121"/>
                <w:sz w:val="19"/>
              </w:rPr>
              <w:t>Consistent and correct condom use cut bacterial STI incidence to 3.35% versus 8.75% with inconsistent/incorrect use (about 59–60% lower odds) in a five-city prospective cohort.</w:t>
            </w:r>
          </w:p>
          <w:p>
            <w:pPr>
              <w:spacing w:after="40" w:line="252" w:lineRule="auto"/>
            </w:pPr>
            <w:hyperlink r:id="rId14">
              <w:r>
                <w:rPr>
                  <w:rFonts w:ascii="Calibri" w:hAnsi="Calibri" w:cs="Calibri"/>
                  <w:sz w:val="18"/>
                  <w:color w:val="1155CC"/>
                  <w:u w:val="single"/>
                </w:rPr>
                <w:t xml:space="preserve">aidsmap.com — condoms reduce bacterial STI risk by ~60%</w:t>
              </w:r>
            </w:hyperlink>
          </w:p>
          <w:p>
            <w:pPr>
              <w:spacing w:before="60" w:after="40"/>
            </w:pPr>
            <w:r>
              <w:rPr>
                <w:rFonts w:ascii="Calibri" w:hAnsi="Calibri"/>
                <w:b w:val="0"/>
                <w:i w:val="0"/>
                <w:color w:val="5A5A5A"/>
                <w:sz w:val="18"/>
              </w:rPr>
              <w:t>#condomuse  #safersex  #usererror  #prevention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Multiple partners</w:t>
            </w:r>
          </w:p>
        </w:tc>
        <w:tc>
          <w:tcPr>
            <w:tcW w:type="dxa" w:w="2160"/>
            <w:vAlign w:val="top"/>
          </w:tcPr>
          <w:p>
            <w:pPr>
              <w:spacing w:after="40" w:before="0" w:line="259" w:lineRule="auto"/>
            </w:pPr>
            <w:r>
              <w:rPr>
                <w:rFonts w:ascii="Calibri" w:hAnsi="Calibri"/>
                <w:b w:val="0"/>
                <w:i w:val="0"/>
                <w:color w:val="212121"/>
                <w:sz w:val="19"/>
              </w:rPr>
              <w:t>People with new or concurrent sexual partners</w:t>
            </w:r>
          </w:p>
        </w:tc>
        <w:tc>
          <w:tcPr>
            <w:tcW w:type="dxa" w:w="4276"/>
            <w:vAlign w:val="top"/>
          </w:tcPr>
          <w:p>
            <w:pPr>
              <w:spacing w:after="60" w:line="259" w:lineRule="auto"/>
            </w:pPr>
            <w:r>
              <w:rPr>
                <w:rFonts w:ascii="Calibri" w:hAnsi="Calibri"/>
                <w:b w:val="0"/>
                <w:i w:val="0"/>
                <w:color w:val="212121"/>
                <w:sz w:val="19"/>
              </w:rPr>
              <w:t>Every new partner multiplies network exposure, and concurrency sustains chains of transmission and reinfection; repeated chlamydial infection steeply escalates the risk of pelvic inflammatory disease.</w:t>
            </w:r>
          </w:p>
          <w:p>
            <w:pPr>
              <w:spacing w:after="40" w:before="60" w:line="259" w:lineRule="auto"/>
            </w:pPr>
            <w:r>
              <w:rPr>
                <w:rFonts w:ascii="Calibri" w:hAnsi="Calibri"/>
                <w:b w:val="0"/>
                <w:i w:val="0"/>
                <w:color w:val="212121"/>
                <w:sz w:val="19"/>
              </w:rPr>
              <w:t>In a UK cohort of 857,324 women, chlamydia positivity carried an adjusted hazard ratio of 2.36 for PID, rising to 3.78 with three or more positive tests (dose–response with repeat infection).</w:t>
            </w:r>
          </w:p>
          <w:p>
            <w:pPr>
              <w:spacing w:after="40" w:line="252" w:lineRule="auto"/>
            </w:pPr>
            <w:hyperlink r:id="rId15">
              <w:r>
                <w:rPr>
                  <w:rFonts w:ascii="Calibri" w:hAnsi="Calibri" w:cs="Calibri"/>
                  <w:sz w:val="18"/>
                  <w:color w:val="1155CC"/>
                  <w:u w:val="single"/>
                </w:rPr>
                <w:t xml:space="preserve">pmc.ncbi.nlm.nih.gov — chlamydia and PID/ectopic/infertility cohort</w:t>
              </w:r>
            </w:hyperlink>
          </w:p>
          <w:p>
            <w:pPr>
              <w:spacing w:before="60" w:after="40"/>
            </w:pPr>
            <w:r>
              <w:rPr>
                <w:rFonts w:ascii="Calibri" w:hAnsi="Calibri"/>
                <w:b w:val="0"/>
                <w:i w:val="0"/>
                <w:color w:val="5A5A5A"/>
                <w:sz w:val="18"/>
              </w:rPr>
              <w:t>#multiplepartners  #reinfection  #PIDrisk  #concurrency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Commercial sex</w:t>
            </w:r>
          </w:p>
        </w:tc>
        <w:tc>
          <w:tcPr>
            <w:tcW w:type="dxa" w:w="2160"/>
            <w:vAlign w:val="top"/>
          </w:tcPr>
          <w:p>
            <w:pPr>
              <w:spacing w:after="40" w:before="0" w:line="259" w:lineRule="auto"/>
            </w:pPr>
            <w:r>
              <w:rPr>
                <w:rFonts w:ascii="Calibri" w:hAnsi="Calibri"/>
                <w:b w:val="0"/>
                <w:i w:val="0"/>
                <w:color w:val="212121"/>
                <w:sz w:val="19"/>
              </w:rPr>
              <w:t>Female sex workers &amp; their clients</w:t>
            </w:r>
          </w:p>
        </w:tc>
        <w:tc>
          <w:tcPr>
            <w:tcW w:type="dxa" w:w="4276"/>
            <w:vAlign w:val="top"/>
          </w:tcPr>
          <w:p>
            <w:pPr>
              <w:spacing w:after="60" w:line="259" w:lineRule="auto"/>
            </w:pPr>
            <w:r>
              <w:rPr>
                <w:rFonts w:ascii="Calibri" w:hAnsi="Calibri"/>
                <w:b w:val="0"/>
                <w:i w:val="0"/>
                <w:color w:val="212121"/>
                <w:sz w:val="19"/>
              </w:rPr>
              <w:t>High partner turnover, weak condom-negotiation power and frequent co-STIs concentrate infection in sex work settings, from which clients bridge infection to spouses in the general population.</w:t>
            </w:r>
          </w:p>
          <w:p>
            <w:pPr>
              <w:spacing w:after="40" w:before="60" w:line="259" w:lineRule="auto"/>
            </w:pPr>
            <w:r>
              <w:rPr>
                <w:rFonts w:ascii="Calibri" w:hAnsi="Calibri"/>
                <w:b w:val="0"/>
                <w:i w:val="0"/>
                <w:color w:val="212121"/>
                <w:sz w:val="19"/>
              </w:rPr>
              <w:t>NAAT-based studies in Mumbai and Hyderabad found 16.1% chlamydia and 14.2% gonorrhoea prevalence among female sex workers.</w:t>
            </w:r>
          </w:p>
          <w:p>
            <w:pPr>
              <w:spacing w:after="40" w:line="252" w:lineRule="auto"/>
            </w:pPr>
            <w:hyperlink r:id="rId16">
              <w:r>
                <w:rPr>
                  <w:rFonts w:ascii="Calibri" w:hAnsi="Calibri" w:cs="Calibri"/>
                  <w:sz w:val="18"/>
                  <w:color w:val="1155CC"/>
                  <w:u w:val="single"/>
                </w:rPr>
                <w:t xml:space="preserve">medrxiv.org — STIs among key populations in India (systematic review)</w:t>
              </w:r>
            </w:hyperlink>
          </w:p>
          <w:p>
            <w:pPr>
              <w:spacing w:before="60" w:after="40"/>
            </w:pPr>
            <w:r>
              <w:rPr>
                <w:rFonts w:ascii="Calibri" w:hAnsi="Calibri"/>
                <w:b w:val="0"/>
                <w:i w:val="0"/>
                <w:color w:val="5A5A5A"/>
                <w:sz w:val="18"/>
              </w:rPr>
              <w:t>#FSW  #keypopulations  #targetedintervention  #coSTI</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Sexual practice</w:t>
            </w:r>
          </w:p>
        </w:tc>
        <w:tc>
          <w:tcPr>
            <w:tcW w:type="dxa" w:w="2160"/>
            <w:vAlign w:val="top"/>
          </w:tcPr>
          <w:p>
            <w:pPr>
              <w:spacing w:after="40" w:before="0" w:line="259" w:lineRule="auto"/>
            </w:pPr>
            <w:r>
              <w:rPr>
                <w:rFonts w:ascii="Calibri" w:hAnsi="Calibri"/>
                <w:b w:val="0"/>
                <w:i w:val="0"/>
                <w:color w:val="212121"/>
                <w:sz w:val="19"/>
              </w:rPr>
              <w:t>Men who have sex with men (MSM)</w:t>
            </w:r>
          </w:p>
        </w:tc>
        <w:tc>
          <w:tcPr>
            <w:tcW w:type="dxa" w:w="4276"/>
            <w:vAlign w:val="top"/>
          </w:tcPr>
          <w:p>
            <w:pPr>
              <w:spacing w:after="60" w:line="259" w:lineRule="auto"/>
            </w:pPr>
            <w:r>
              <w:rPr>
                <w:rFonts w:ascii="Calibri" w:hAnsi="Calibri"/>
                <w:b w:val="0"/>
                <w:i w:val="0"/>
                <w:color w:val="212121"/>
                <w:sz w:val="19"/>
              </w:rPr>
              <w:t>Receptive anal intercourse transmits rectal chlamydia — usually asymptomatic — and the invasive LGV serovars causing severe proctitis; urethral-only testing misses most rectal infections.</w:t>
            </w:r>
          </w:p>
          <w:p>
            <w:pPr>
              <w:spacing w:after="40" w:before="60" w:line="259" w:lineRule="auto"/>
            </w:pPr>
            <w:r>
              <w:rPr>
                <w:rFonts w:ascii="Calibri" w:hAnsi="Calibri"/>
                <w:b w:val="0"/>
                <w:i w:val="0"/>
                <w:color w:val="212121"/>
                <w:sz w:val="19"/>
              </w:rPr>
              <w:t>US STI guidelines recommend at least annual NAAT screening of sexually active MSM at each anatomical site of exposure because asymptomatic infection is common.</w:t>
            </w:r>
          </w:p>
          <w:p>
            <w:pPr>
              <w:spacing w:after="40" w:line="252" w:lineRule="auto"/>
            </w:pPr>
            <w:hyperlink r:id="rId17">
              <w:r>
                <w:rPr>
                  <w:rFonts w:ascii="Calibri" w:hAnsi="Calibri" w:cs="Calibri"/>
                  <w:sz w:val="18"/>
                  <w:color w:val="1155CC"/>
                  <w:u w:val="single"/>
                </w:rPr>
                <w:t xml:space="preserve">cdc.gov — STI treatment guidelines: chlamydial infections</w:t>
              </w:r>
            </w:hyperlink>
          </w:p>
          <w:p>
            <w:pPr>
              <w:spacing w:before="60" w:after="40"/>
            </w:pPr>
            <w:r>
              <w:rPr>
                <w:rFonts w:ascii="Calibri" w:hAnsi="Calibri"/>
                <w:b w:val="0"/>
                <w:i w:val="0"/>
                <w:color w:val="5A5A5A"/>
                <w:sz w:val="18"/>
              </w:rPr>
              <w:t>#MSM  #rectalchlamydia  #LGV  #sitespecificscreening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Binge &amp; party drinkers</w:t>
            </w:r>
          </w:p>
        </w:tc>
        <w:tc>
          <w:tcPr>
            <w:tcW w:type="dxa" w:w="4276"/>
            <w:vAlign w:val="top"/>
          </w:tcPr>
          <w:p>
            <w:pPr>
              <w:spacing w:after="60" w:line="259" w:lineRule="auto"/>
            </w:pPr>
            <w:r>
              <w:rPr>
                <w:rFonts w:ascii="Calibri" w:hAnsi="Calibri"/>
                <w:b w:val="0"/>
                <w:i w:val="0"/>
                <w:color w:val="212121"/>
                <w:sz w:val="19"/>
              </w:rPr>
              <w:t>Event-level alcohol use impairs judgement and condom negotiation, increasing condomless sex, casual partnerships and partner numbers — the behavioural pathway to chlamydia acquisition.</w:t>
            </w:r>
          </w:p>
          <w:p>
            <w:pPr>
              <w:spacing w:after="40" w:before="60" w:line="259" w:lineRule="auto"/>
            </w:pPr>
            <w:r>
              <w:rPr>
                <w:rFonts w:ascii="Calibri" w:hAnsi="Calibri"/>
                <w:b w:val="0"/>
                <w:i w:val="0"/>
                <w:color w:val="212121"/>
                <w:sz w:val="19"/>
              </w:rPr>
              <w:t>A systematic review of 18 studies found alcohol use — particularly heavy drinking occasions — significantly associated with STI acquisition in half of the included studies.</w:t>
            </w:r>
          </w:p>
          <w:p>
            <w:pPr>
              <w:spacing w:after="40" w:line="252" w:lineRule="auto"/>
            </w:pPr>
            <w:hyperlink r:id="rId18">
              <w:r>
                <w:rPr>
                  <w:rFonts w:ascii="Calibri" w:hAnsi="Calibri" w:cs="Calibri"/>
                  <w:sz w:val="18"/>
                  <w:color w:val="1155CC"/>
                  <w:u w:val="single"/>
                </w:rPr>
                <w:t xml:space="preserve">ijadr.org — alcohol use as a risk factor for STIs (systematic review)</w:t>
              </w:r>
            </w:hyperlink>
          </w:p>
          <w:p>
            <w:pPr>
              <w:spacing w:before="60" w:after="40"/>
            </w:pPr>
            <w:r>
              <w:rPr>
                <w:rFonts w:ascii="Calibri" w:hAnsi="Calibri"/>
                <w:b w:val="0"/>
                <w:i w:val="0"/>
                <w:color w:val="5A5A5A"/>
                <w:sz w:val="18"/>
              </w:rPr>
              <w:t>#bingedrinking  #riskysex  #condomlapse  #partyculture</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Nutritional status</w:t>
            </w:r>
          </w:p>
        </w:tc>
        <w:tc>
          <w:tcPr>
            <w:tcW w:type="dxa" w:w="2160"/>
            <w:vAlign w:val="top"/>
          </w:tcPr>
          <w:p>
            <w:pPr>
              <w:spacing w:after="40" w:before="0" w:line="259" w:lineRule="auto"/>
            </w:pPr>
            <w:r>
              <w:rPr>
                <w:rFonts w:ascii="Calibri" w:hAnsi="Calibri"/>
                <w:b w:val="0"/>
                <w:i w:val="0"/>
                <w:color w:val="212121"/>
                <w:sz w:val="19"/>
              </w:rPr>
              <w:t>Undernourished individuals with impaired mucosal immunity</w:t>
            </w:r>
          </w:p>
        </w:tc>
        <w:tc>
          <w:tcPr>
            <w:tcW w:type="dxa" w:w="4276"/>
            <w:vAlign w:val="top"/>
          </w:tcPr>
          <w:p>
            <w:pPr>
              <w:spacing w:after="60" w:line="259" w:lineRule="auto"/>
            </w:pPr>
            <w:r>
              <w:rPr>
                <w:rFonts w:ascii="Calibri" w:hAnsi="Calibri"/>
                <w:b w:val="0"/>
                <w:i w:val="0"/>
                <w:color w:val="212121"/>
                <w:sz w:val="19"/>
              </w:rPr>
              <w:t>Chlamydia risk is driven by sexual exposure, not diet; however protein-energy and micronutrient undernutrition (vitamin A, vitamin C, zinc) weakens genital and conjunctival epithelial integrity and local immune responses, and general debility delays care-seeking for genital symptoms.</w:t>
            </w:r>
          </w:p>
          <w:p>
            <w:pPr>
              <w:spacing w:before="60" w:after="40"/>
            </w:pPr>
            <w:r>
              <w:rPr>
                <w:rFonts w:ascii="Calibri" w:hAnsi="Calibri"/>
                <w:b w:val="0"/>
                <w:i w:val="0"/>
                <w:color w:val="5A5A5A"/>
                <w:sz w:val="18"/>
              </w:rPr>
              <w:t>#undernutrition  #mucosalimmunity  #micronutrients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Alcohol-centred late-night socialising patterns</w:t>
            </w:r>
          </w:p>
        </w:tc>
        <w:tc>
          <w:tcPr>
            <w:tcW w:type="dxa" w:w="4276"/>
            <w:vAlign w:val="top"/>
          </w:tcPr>
          <w:p>
            <w:pPr>
              <w:spacing w:after="60" w:line="259" w:lineRule="auto"/>
            </w:pPr>
            <w:r>
              <w:rPr>
                <w:rFonts w:ascii="Calibri" w:hAnsi="Calibri"/>
                <w:b w:val="0"/>
                <w:i w:val="0"/>
                <w:color w:val="212121"/>
                <w:sz w:val="19"/>
              </w:rPr>
              <w:t>Eating-out and party patterns organised around late-night drinking are the food-adjacent behaviour most consistently linked to sexual risk exposure; food itself neither causes nor prevents chlamydia, and 'immunity-booster' diets are no substitute for antibiotics and condoms.</w:t>
            </w:r>
          </w:p>
          <w:p>
            <w:pPr>
              <w:spacing w:before="60" w:after="40"/>
            </w:pPr>
            <w:r>
              <w:rPr>
                <w:rFonts w:ascii="Calibri" w:hAnsi="Calibri"/>
                <w:b w:val="0"/>
                <w:i w:val="0"/>
                <w:color w:val="5A5A5A"/>
                <w:sz w:val="18"/>
              </w:rPr>
              <w:t>#partydiet  #latenights  #alcoholpattern</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Host immunogenetics</w:t>
            </w:r>
          </w:p>
        </w:tc>
        <w:tc>
          <w:tcPr>
            <w:tcW w:type="dxa" w:w="2160"/>
            <w:vAlign w:val="top"/>
          </w:tcPr>
          <w:p>
            <w:pPr>
              <w:spacing w:after="40" w:before="0" w:line="259" w:lineRule="auto"/>
            </w:pPr>
            <w:r>
              <w:rPr>
                <w:rFonts w:ascii="Calibri" w:hAnsi="Calibri"/>
                <w:b w:val="0"/>
                <w:i w:val="0"/>
                <w:color w:val="212121"/>
                <w:sz w:val="19"/>
              </w:rPr>
              <w:t>Women with susceptibility gene variants (TLR, cytokine, HLA class II)</w:t>
            </w:r>
          </w:p>
        </w:tc>
        <w:tc>
          <w:tcPr>
            <w:tcW w:type="dxa" w:w="4276"/>
            <w:vAlign w:val="top"/>
          </w:tcPr>
          <w:p>
            <w:pPr>
              <w:spacing w:after="60" w:line="259" w:lineRule="auto"/>
            </w:pPr>
            <w:r>
              <w:rPr>
                <w:rFonts w:ascii="Calibri" w:hAnsi="Calibri"/>
                <w:b w:val="0"/>
                <w:i w:val="0"/>
                <w:color w:val="212121"/>
                <w:sz w:val="19"/>
              </w:rPr>
              <w:t>Polymorphisms in pattern-recognition receptor genes (TLR2/TLR4), cytokine genes (IL-10, TNF-α) and certain HLA class II alleles have been associated with susceptibility to chlamydial infection and, after infection, with progression to tubal scarring — explaining why only a subset of infected women develop infertility.</w:t>
            </w:r>
          </w:p>
          <w:p>
            <w:pPr>
              <w:spacing w:before="60" w:after="40"/>
            </w:pPr>
            <w:r>
              <w:rPr>
                <w:rFonts w:ascii="Calibri" w:hAnsi="Calibri"/>
                <w:b w:val="0"/>
                <w:i w:val="0"/>
                <w:color w:val="5A5A5A"/>
                <w:sz w:val="18"/>
              </w:rPr>
              <w:t>#TLRpolymorphism  #hostgenetics  #tubalscarring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HLA-B27</w:t>
            </w:r>
          </w:p>
        </w:tc>
        <w:tc>
          <w:tcPr>
            <w:tcW w:type="dxa" w:w="2160"/>
            <w:vAlign w:val="top"/>
          </w:tcPr>
          <w:p>
            <w:pPr>
              <w:spacing w:after="40" w:before="0" w:line="259" w:lineRule="auto"/>
            </w:pPr>
            <w:r>
              <w:rPr>
                <w:rFonts w:ascii="Calibri" w:hAnsi="Calibri"/>
                <w:b w:val="0"/>
                <w:i w:val="0"/>
                <w:color w:val="212121"/>
                <w:sz w:val="19"/>
              </w:rPr>
              <w:t>HLA-B27-positive individuals</w:t>
            </w:r>
          </w:p>
        </w:tc>
        <w:tc>
          <w:tcPr>
            <w:tcW w:type="dxa" w:w="4276"/>
            <w:vAlign w:val="top"/>
          </w:tcPr>
          <w:p>
            <w:pPr>
              <w:spacing w:after="60" w:line="259" w:lineRule="auto"/>
            </w:pPr>
            <w:r>
              <w:rPr>
                <w:rFonts w:ascii="Calibri" w:hAnsi="Calibri"/>
                <w:b w:val="0"/>
                <w:i w:val="0"/>
                <w:color w:val="212121"/>
                <w:sz w:val="19"/>
              </w:rPr>
              <w:t>HLA-B27 carriage predisposes to sexually acquired reactive arthritis (SARA) after urogenital chlamydia — the classic triad of urethritis, conjunctivitis and asymmetric lower-limb oligoarthritis appearing 1–4 weeks after infection, with male predominance.</w:t>
            </w:r>
          </w:p>
          <w:p>
            <w:pPr>
              <w:spacing w:before="60" w:after="40"/>
            </w:pPr>
            <w:r>
              <w:rPr>
                <w:rFonts w:ascii="Calibri" w:hAnsi="Calibri"/>
                <w:b w:val="0"/>
                <w:i w:val="0"/>
                <w:color w:val="5A5A5A"/>
                <w:sz w:val="18"/>
              </w:rPr>
              <w:t>#HLAB27  #reactivearthritis  #SARA</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HIV</w:t>
            </w:r>
          </w:p>
        </w:tc>
        <w:tc>
          <w:tcPr>
            <w:tcW w:type="dxa" w:w="2160"/>
            <w:vAlign w:val="top"/>
          </w:tcPr>
          <w:p>
            <w:pPr>
              <w:spacing w:after="40" w:before="0" w:line="259" w:lineRule="auto"/>
            </w:pPr>
            <w:r>
              <w:rPr>
                <w:rFonts w:ascii="Calibri" w:hAnsi="Calibri"/>
                <w:b w:val="0"/>
                <w:i w:val="0"/>
                <w:color w:val="212121"/>
                <w:sz w:val="19"/>
              </w:rPr>
              <w:t>People living with HIV &amp; STD-clinic attendees</w:t>
            </w:r>
          </w:p>
        </w:tc>
        <w:tc>
          <w:tcPr>
            <w:tcW w:type="dxa" w:w="4276"/>
            <w:vAlign w:val="top"/>
          </w:tcPr>
          <w:p>
            <w:pPr>
              <w:spacing w:after="60" w:line="259" w:lineRule="auto"/>
            </w:pPr>
            <w:r>
              <w:rPr>
                <w:rFonts w:ascii="Calibri" w:hAnsi="Calibri"/>
                <w:b w:val="0"/>
                <w:i w:val="0"/>
                <w:color w:val="212121"/>
                <w:sz w:val="19"/>
              </w:rPr>
              <w:t>Chlamydial genital inflammation raises both HIV acquisition and onward transmission, while HIV-related immunosuppression favours STI persistence — so every chlamydia patient needs HIV testing and every PLHIV needs regular STI screening.</w:t>
            </w:r>
          </w:p>
          <w:p>
            <w:pPr>
              <w:spacing w:after="40" w:before="60" w:line="259" w:lineRule="auto"/>
            </w:pPr>
            <w:r>
              <w:rPr>
                <w:rFonts w:ascii="Calibri" w:hAnsi="Calibri"/>
                <w:b w:val="0"/>
                <w:i w:val="0"/>
                <w:color w:val="212121"/>
                <w:sz w:val="19"/>
              </w:rPr>
              <w:t>In one Indian STD-clinic series, 30.8% of patients had chlamydial infection and 30% of the chlamydia-infected patients also had HIV infection.</w:t>
            </w:r>
          </w:p>
          <w:p>
            <w:pPr>
              <w:spacing w:after="40" w:line="252" w:lineRule="auto"/>
            </w:pPr>
            <w:hyperlink r:id="rId10">
              <w:r>
                <w:rPr>
                  <w:rFonts w:ascii="Calibri" w:hAnsi="Calibri" w:cs="Calibri"/>
                  <w:sz w:val="18"/>
                  <w:color w:val="1155CC"/>
                  <w:u w:val="single"/>
                </w:rPr>
                <w:t xml:space="preserve">ijmr.org.in — genital Chlamydia trachomatis: an update</w:t>
              </w:r>
            </w:hyperlink>
          </w:p>
          <w:p>
            <w:pPr>
              <w:spacing w:before="60" w:after="40"/>
            </w:pPr>
            <w:r>
              <w:rPr>
                <w:rFonts w:ascii="Calibri" w:hAnsi="Calibri"/>
                <w:b w:val="0"/>
                <w:i w:val="0"/>
                <w:color w:val="5A5A5A"/>
                <w:sz w:val="18"/>
              </w:rPr>
              <w:t>#HIVcoinfection  #dualscreening  #PLHIV</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Prior STI</w:t>
            </w:r>
          </w:p>
        </w:tc>
        <w:tc>
          <w:tcPr>
            <w:tcW w:type="dxa" w:w="2160"/>
            <w:vAlign w:val="top"/>
          </w:tcPr>
          <w:p>
            <w:pPr>
              <w:spacing w:after="40" w:before="0" w:line="259" w:lineRule="auto"/>
            </w:pPr>
            <w:r>
              <w:rPr>
                <w:rFonts w:ascii="Calibri" w:hAnsi="Calibri"/>
                <w:b w:val="0"/>
                <w:i w:val="0"/>
                <w:color w:val="212121"/>
                <w:sz w:val="19"/>
              </w:rPr>
              <w:t>Patients with a history of chlamydia or another STI</w:t>
            </w:r>
          </w:p>
        </w:tc>
        <w:tc>
          <w:tcPr>
            <w:tcW w:type="dxa" w:w="4276"/>
            <w:vAlign w:val="top"/>
          </w:tcPr>
          <w:p>
            <w:pPr>
              <w:spacing w:after="60" w:line="259" w:lineRule="auto"/>
            </w:pPr>
            <w:r>
              <w:rPr>
                <w:rFonts w:ascii="Calibri" w:hAnsi="Calibri"/>
                <w:b w:val="0"/>
                <w:i w:val="0"/>
                <w:color w:val="212121"/>
                <w:sz w:val="19"/>
              </w:rPr>
              <w:t>A previous STI marks ongoing network exposure and untreated partnerships; reinfection within months of treatment is common and each repeat episode compounds tubal damage.</w:t>
            </w:r>
          </w:p>
          <w:p>
            <w:pPr>
              <w:spacing w:after="40" w:before="60" w:line="259" w:lineRule="auto"/>
            </w:pPr>
            <w:r>
              <w:rPr>
                <w:rFonts w:ascii="Calibri" w:hAnsi="Calibri"/>
                <w:b w:val="0"/>
                <w:i w:val="0"/>
                <w:color w:val="212121"/>
                <w:sz w:val="19"/>
              </w:rPr>
              <w:t>Guidelines advise retesting approximately 3 months after treatment, regardless of whether patients believe their partners were treated.</w:t>
            </w:r>
          </w:p>
          <w:p>
            <w:pPr>
              <w:spacing w:after="40" w:line="252" w:lineRule="auto"/>
            </w:pPr>
            <w:hyperlink r:id="rId17">
              <w:r>
                <w:rPr>
                  <w:rFonts w:ascii="Calibri" w:hAnsi="Calibri" w:cs="Calibri"/>
                  <w:sz w:val="18"/>
                  <w:color w:val="1155CC"/>
                  <w:u w:val="single"/>
                </w:rPr>
                <w:t xml:space="preserve">cdc.gov — STI treatment guidelines: chlamydial infections</w:t>
              </w:r>
            </w:hyperlink>
          </w:p>
          <w:p>
            <w:pPr>
              <w:spacing w:before="60" w:after="40"/>
            </w:pPr>
            <w:r>
              <w:rPr>
                <w:rFonts w:ascii="Calibri" w:hAnsi="Calibri"/>
                <w:b w:val="0"/>
                <w:i w:val="0"/>
                <w:color w:val="5A5A5A"/>
                <w:sz w:val="18"/>
              </w:rPr>
              <w:t>#reinfection  #retesting  #partnertreatment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Hormonal contraception</w:t>
            </w:r>
          </w:p>
        </w:tc>
        <w:tc>
          <w:tcPr>
            <w:tcW w:type="dxa" w:w="2160"/>
            <w:vAlign w:val="top"/>
          </w:tcPr>
          <w:p>
            <w:pPr>
              <w:spacing w:after="40" w:before="0" w:line="259" w:lineRule="auto"/>
            </w:pPr>
            <w:r>
              <w:rPr>
                <w:rFonts w:ascii="Calibri" w:hAnsi="Calibri"/>
                <w:b w:val="0"/>
                <w:i w:val="0"/>
                <w:color w:val="212121"/>
                <w:sz w:val="19"/>
              </w:rPr>
              <w:t>Women using injectable DMPA (Depo-Provera)</w:t>
            </w:r>
          </w:p>
        </w:tc>
        <w:tc>
          <w:tcPr>
            <w:tcW w:type="dxa" w:w="4276"/>
            <w:vAlign w:val="top"/>
          </w:tcPr>
          <w:p>
            <w:pPr>
              <w:spacing w:after="60" w:line="259" w:lineRule="auto"/>
            </w:pPr>
            <w:r>
              <w:rPr>
                <w:rFonts w:ascii="Calibri" w:hAnsi="Calibri"/>
                <w:b w:val="0"/>
                <w:i w:val="0"/>
                <w:color w:val="212121"/>
                <w:sz w:val="19"/>
              </w:rPr>
              <w:t>Progestin effects on cervical epithelium and local immunity — plus lower condom use among women relying on hormonal contraception — appear to raise chlamydial and gonococcal acquisition; DMPA users outside mutual monogamy need consistent condoms.</w:t>
            </w:r>
          </w:p>
          <w:p>
            <w:pPr>
              <w:spacing w:after="40" w:before="60" w:line="259" w:lineRule="auto"/>
            </w:pPr>
            <w:r>
              <w:rPr>
                <w:rFonts w:ascii="Calibri" w:hAnsi="Calibri"/>
                <w:b w:val="0"/>
                <w:i w:val="0"/>
                <w:color w:val="212121"/>
                <w:sz w:val="19"/>
              </w:rPr>
              <w:t>DMPA users had approximately 3.5 times the risk of chlamydial or gonococcal infection compared with women using no hormonal contraceptive in an NICHD/USAID-funded cohort.</w:t>
            </w:r>
          </w:p>
          <w:p>
            <w:pPr>
              <w:spacing w:after="40" w:line="252" w:lineRule="auto"/>
            </w:pPr>
            <w:hyperlink r:id="rId19">
              <w:r>
                <w:rPr>
                  <w:rFonts w:ascii="Calibri" w:hAnsi="Calibri" w:cs="Calibri"/>
                  <w:sz w:val="18"/>
                  <w:color w:val="1155CC"/>
                  <w:u w:val="single"/>
                </w:rPr>
                <w:t xml:space="preserve">nichd.nih.gov — Depo-Provera and chlamydia/gonorrhoea risk</w:t>
              </w:r>
            </w:hyperlink>
          </w:p>
          <w:p>
            <w:pPr>
              <w:spacing w:before="60" w:after="40"/>
            </w:pPr>
            <w:r>
              <w:rPr>
                <w:rFonts w:ascii="Calibri" w:hAnsi="Calibri"/>
                <w:b w:val="0"/>
                <w:i w:val="0"/>
                <w:color w:val="5A5A5A"/>
                <w:sz w:val="18"/>
              </w:rPr>
              <w:t>#DMPA  #contraception  #dualprotection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Infertility &amp; bad obstetric history</w:t>
            </w:r>
          </w:p>
        </w:tc>
        <w:tc>
          <w:tcPr>
            <w:tcW w:type="dxa" w:w="2160"/>
            <w:vAlign w:val="top"/>
          </w:tcPr>
          <w:p>
            <w:pPr>
              <w:spacing w:after="40" w:before="0" w:line="259" w:lineRule="auto"/>
            </w:pPr>
            <w:r>
              <w:rPr>
                <w:rFonts w:ascii="Calibri" w:hAnsi="Calibri"/>
                <w:b w:val="0"/>
                <w:i w:val="0"/>
                <w:color w:val="212121"/>
                <w:sz w:val="19"/>
              </w:rPr>
              <w:t>Infertile women and women with recurrent pregnancy loss (BOH)</w:t>
            </w:r>
          </w:p>
        </w:tc>
        <w:tc>
          <w:tcPr>
            <w:tcW w:type="dxa" w:w="4276"/>
            <w:vAlign w:val="top"/>
          </w:tcPr>
          <w:p>
            <w:pPr>
              <w:spacing w:after="60" w:line="259" w:lineRule="auto"/>
            </w:pPr>
            <w:r>
              <w:rPr>
                <w:rFonts w:ascii="Calibri" w:hAnsi="Calibri"/>
                <w:b w:val="0"/>
                <w:i w:val="0"/>
                <w:color w:val="212121"/>
                <w:sz w:val="19"/>
              </w:rPr>
              <w:t>Past or persistent chlamydial infection is over-represented in tubal-factor infertility and bad obstetric history; serological evidence of chlamydia in this profile should prompt tubal evaluation and partner testing.</w:t>
            </w:r>
          </w:p>
          <w:p>
            <w:pPr>
              <w:spacing w:after="40" w:before="60" w:line="259" w:lineRule="auto"/>
            </w:pPr>
            <w:r>
              <w:rPr>
                <w:rFonts w:ascii="Calibri" w:hAnsi="Calibri"/>
                <w:b w:val="0"/>
                <w:i w:val="0"/>
                <w:color w:val="212121"/>
                <w:sz w:val="19"/>
              </w:rPr>
              <w:t>Anti-chlamydial IgG was found in 68% of infertile women and 50% of women with bad obstetric history versus 10% of healthy pregnant women in a Punjab study; infertile women in Aligarh showed 28.1% positivity.</w:t>
            </w:r>
          </w:p>
          <w:p>
            <w:pPr>
              <w:spacing w:after="40" w:line="252" w:lineRule="auto"/>
            </w:pPr>
            <w:hyperlink r:id="rId10">
              <w:r>
                <w:rPr>
                  <w:rFonts w:ascii="Calibri" w:hAnsi="Calibri" w:cs="Calibri"/>
                  <w:sz w:val="18"/>
                  <w:color w:val="1155CC"/>
                  <w:u w:val="single"/>
                </w:rPr>
                <w:t xml:space="preserve">ijmr.org.in — genital Chlamydia trachomatis: an update</w:t>
              </w:r>
            </w:hyperlink>
          </w:p>
          <w:p>
            <w:pPr>
              <w:spacing w:before="60" w:after="40"/>
            </w:pPr>
            <w:r>
              <w:rPr>
                <w:rFonts w:ascii="Calibri" w:hAnsi="Calibri"/>
                <w:b w:val="0"/>
                <w:i w:val="0"/>
                <w:color w:val="5A5A5A"/>
                <w:sz w:val="18"/>
              </w:rPr>
              <w:t>#tubalfactor  #infertility  #BOH  #serology</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causal role. Activity influences chlamydia risk only indirectly through general health and psychosocial pathways; structured sport/recreation engagement in adolescents is associated with lower sexual risk-taking.</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Diet neither transmits nor prevents chlamydia. Undernutrition (protein, vitamin A, zinc) can impair mucosal immunity, and alcohol-centred late-night socialising patterns cluster with sexual risk exposure.</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Indirect only: chronic sleep restriction is linked to impulsivity and riskier decision-making in young adults, and habitual late-night party schedules pair sleep loss with alcohol and casual-sex exposure.</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clusters with other sexual risk behaviours and is associated in observational studies with higher chlamydia positivity and impaired local cervical immunity; it also worsens microvascular healing after PID.</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An 18-study systematic review found alcohol use — especially heavy drinking occasions — significantly associated with STI acquisition through condomless sex, casual partnerships and multiple partners; event-level drinking impairs condom negotiation.</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Depression, substance use and intimate-partner violence cluster with sexual risk exposure; the diagnosis itself provokes stigma, anxiety and relationship conflict, and infertility sequelae cause substantial psychological distress.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Chlamydia is not water-borne — it is not acquired from toilets, pools or shared water; hydration has no preventive role beyond general supportive care.</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association between caffeine intake and chlamydia acquisition, severity or outcomes.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Genital hygiene cannot substitute for condoms, but intravaginal douching disrupts protective vaginal flora and is associated with higher cervical chlamydia and PID risk; good menstrual hygiene and avoiding shared personal items matter for co-existing RTIs.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The decisive domain: unprotected vaginal, anal or oral sex with a new, casual, multiple or infected partner; commercial sex; untreated partners causing reinfection; and biological susceptibility from young cervical ectopy or DMPA use.</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Condom use consistency &amp; correctness</w:t>
            </w:r>
          </w:p>
        </w:tc>
        <w:tc>
          <w:tcPr>
            <w:tcW w:type="dxa" w:w="1655"/>
            <w:vAlign w:val="top"/>
          </w:tcPr>
          <w:p>
            <w:pPr>
              <w:spacing w:after="40" w:before="0" w:line="259" w:lineRule="auto"/>
            </w:pPr>
            <w:r>
              <w:rPr>
                <w:rFonts w:ascii="Calibri" w:hAnsi="Calibri"/>
                <w:b w:val="0"/>
                <w:i w:val="0"/>
                <w:color w:val="212121"/>
                <w:sz w:val="19"/>
              </w:rPr>
              <w:t>All sexually active adults outside mutual monogamy</w:t>
            </w:r>
          </w:p>
        </w:tc>
        <w:tc>
          <w:tcPr>
            <w:tcW w:type="dxa" w:w="1512"/>
            <w:vAlign w:val="top"/>
          </w:tcPr>
          <w:p>
            <w:pPr>
              <w:spacing w:after="40" w:before="0" w:line="259" w:lineRule="auto"/>
            </w:pPr>
            <w:r>
              <w:rPr>
                <w:rFonts w:ascii="Calibri" w:hAnsi="Calibri"/>
                <w:b w:val="0"/>
                <w:i w:val="0"/>
                <w:color w:val="212121"/>
                <w:sz w:val="19"/>
              </w:rPr>
              <w:t>100% consistent AND correct use with every vaginal/anal/oral act</w:t>
            </w:r>
          </w:p>
        </w:tc>
        <w:tc>
          <w:tcPr>
            <w:tcW w:type="dxa" w:w="1512"/>
            <w:vAlign w:val="top"/>
          </w:tcPr>
          <w:p>
            <w:pPr>
              <w:spacing w:after="40" w:before="0" w:line="259" w:lineRule="auto"/>
            </w:pPr>
            <w:r>
              <w:rPr>
                <w:rFonts w:ascii="Calibri" w:hAnsi="Calibri"/>
                <w:b w:val="0"/>
                <w:i w:val="0"/>
                <w:color w:val="212121"/>
                <w:sz w:val="19"/>
              </w:rPr>
              <w:t>Any condomless or incorrectly protected act with a new, casual or infected partner</w:t>
            </w:r>
          </w:p>
        </w:tc>
        <w:tc>
          <w:tcPr>
            <w:tcW w:type="dxa" w:w="1468"/>
            <w:vAlign w:val="top"/>
          </w:tcPr>
          <w:p>
            <w:pPr>
              <w:spacing w:after="60" w:line="259" w:lineRule="auto"/>
            </w:pPr>
            <w:r>
              <w:rPr>
                <w:rFonts w:ascii="Calibri" w:hAnsi="Calibri"/>
                <w:b w:val="0"/>
                <w:i w:val="0"/>
                <w:color w:val="212121"/>
                <w:sz w:val="19"/>
              </w:rPr>
              <w:t>Consistent + correct use lowered bacterial STI odds by ~59–60% (incidence 3.35% vs 8.75%)</w:t>
            </w:r>
          </w:p>
          <w:p>
            <w:pPr>
              <w:spacing w:after="40" w:line="252" w:lineRule="auto"/>
            </w:pPr>
            <w:hyperlink r:id="rId14">
              <w:r>
                <w:rPr>
                  <w:rFonts w:ascii="Calibri" w:hAnsi="Calibri" w:cs="Calibri"/>
                  <w:sz w:val="18"/>
                  <w:color w:val="1155CC"/>
                  <w:u w:val="single"/>
                </w:rPr>
                <w:t xml:space="preserve">https://www.aidsmap.com/news/sep-2012/consistent-and-correct-condom-use-reduces-risk-bacterial-stis-60</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Number of sexual partners (last 12 months)</w:t>
            </w:r>
          </w:p>
        </w:tc>
        <w:tc>
          <w:tcPr>
            <w:tcW w:type="dxa" w:w="1655"/>
            <w:vAlign w:val="top"/>
          </w:tcPr>
          <w:p>
            <w:pPr>
              <w:spacing w:after="40" w:before="0" w:line="259" w:lineRule="auto"/>
            </w:pPr>
            <w:r>
              <w:rPr>
                <w:rFonts w:ascii="Calibri" w:hAnsi="Calibri"/>
                <w:b w:val="0"/>
                <w:i w:val="0"/>
                <w:color w:val="212121"/>
                <w:sz w:val="19"/>
              </w:rPr>
              <w:t>Young adults, key populations</w:t>
            </w:r>
          </w:p>
        </w:tc>
        <w:tc>
          <w:tcPr>
            <w:tcW w:type="dxa" w:w="1512"/>
            <w:vAlign w:val="top"/>
          </w:tcPr>
          <w:p>
            <w:pPr>
              <w:spacing w:after="40" w:before="0" w:line="259" w:lineRule="auto"/>
            </w:pPr>
            <w:r>
              <w:rPr>
                <w:rFonts w:ascii="Calibri" w:hAnsi="Calibri"/>
                <w:b w:val="0"/>
                <w:i w:val="0"/>
                <w:color w:val="212121"/>
                <w:sz w:val="19"/>
              </w:rPr>
              <w:t>One mutually monogamous, tested partner</w:t>
            </w:r>
          </w:p>
        </w:tc>
        <w:tc>
          <w:tcPr>
            <w:tcW w:type="dxa" w:w="1512"/>
            <w:vAlign w:val="top"/>
          </w:tcPr>
          <w:p>
            <w:pPr>
              <w:spacing w:after="40" w:before="0" w:line="259" w:lineRule="auto"/>
            </w:pPr>
            <w:r>
              <w:rPr>
                <w:rFonts w:ascii="Calibri" w:hAnsi="Calibri"/>
                <w:b w:val="0"/>
                <w:i w:val="0"/>
                <w:color w:val="212121"/>
                <w:sz w:val="19"/>
              </w:rPr>
              <w:t>&gt; 1 partner, a new partner, or concurrent partnerships without prior STI testing</w:t>
            </w:r>
          </w:p>
        </w:tc>
        <w:tc>
          <w:tcPr>
            <w:tcW w:type="dxa" w:w="1468"/>
            <w:vAlign w:val="top"/>
          </w:tcPr>
          <w:p>
            <w:pPr>
              <w:spacing w:after="40" w:before="0" w:line="259" w:lineRule="auto"/>
            </w:pPr>
            <w:r>
              <w:rPr>
                <w:rFonts w:ascii="Calibri" w:hAnsi="Calibri"/>
                <w:b w:val="0"/>
                <w:i w:val="0"/>
                <w:color w:val="212121"/>
                <w:sz w:val="19"/>
              </w:rPr>
              <w:t>Partner number and concurrency drive network exposure and reinfection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Screening frequency (NAAT)</w:t>
            </w:r>
          </w:p>
        </w:tc>
        <w:tc>
          <w:tcPr>
            <w:tcW w:type="dxa" w:w="1655"/>
            <w:vAlign w:val="top"/>
          </w:tcPr>
          <w:p>
            <w:pPr>
              <w:spacing w:after="40" w:before="0" w:line="259" w:lineRule="auto"/>
            </w:pPr>
            <w:r>
              <w:rPr>
                <w:rFonts w:ascii="Calibri" w:hAnsi="Calibri"/>
                <w:b w:val="0"/>
                <w:i w:val="0"/>
                <w:color w:val="212121"/>
                <w:sz w:val="19"/>
              </w:rPr>
              <w:t>Sexually active women &lt; 25 y, pregnant women, FSW, MSM, PLHIV</w:t>
            </w:r>
          </w:p>
        </w:tc>
        <w:tc>
          <w:tcPr>
            <w:tcW w:type="dxa" w:w="1512"/>
            <w:vAlign w:val="top"/>
          </w:tcPr>
          <w:p>
            <w:pPr>
              <w:spacing w:after="40" w:before="0" w:line="259" w:lineRule="auto"/>
            </w:pPr>
            <w:r>
              <w:rPr>
                <w:rFonts w:ascii="Calibri" w:hAnsi="Calibri"/>
                <w:b w:val="0"/>
                <w:i w:val="0"/>
                <w:color w:val="212121"/>
                <w:sz w:val="19"/>
              </w:rPr>
              <w:t>At least annual NAAT (site-specific for MSM); testing in pregnancy</w:t>
            </w:r>
          </w:p>
        </w:tc>
        <w:tc>
          <w:tcPr>
            <w:tcW w:type="dxa" w:w="1512"/>
            <w:vAlign w:val="top"/>
          </w:tcPr>
          <w:p>
            <w:pPr>
              <w:spacing w:after="40" w:before="0" w:line="259" w:lineRule="auto"/>
            </w:pPr>
            <w:r>
              <w:rPr>
                <w:rFonts w:ascii="Calibri" w:hAnsi="Calibri"/>
                <w:b w:val="0"/>
                <w:i w:val="0"/>
                <w:color w:val="212121"/>
                <w:sz w:val="19"/>
              </w:rPr>
              <w:t>Never screened despite being sexually active with risk factors</w:t>
            </w:r>
          </w:p>
        </w:tc>
        <w:tc>
          <w:tcPr>
            <w:tcW w:type="dxa" w:w="1468"/>
            <w:vAlign w:val="top"/>
          </w:tcPr>
          <w:p>
            <w:pPr>
              <w:spacing w:after="60" w:line="259" w:lineRule="auto"/>
            </w:pPr>
            <w:r>
              <w:rPr>
                <w:rFonts w:ascii="Calibri" w:hAnsi="Calibri"/>
                <w:b w:val="0"/>
                <w:i w:val="0"/>
                <w:color w:val="212121"/>
                <w:sz w:val="19"/>
              </w:rPr>
              <w:t>Asymptomatic infection is common in both sexes, so screening is the only route to detection</w:t>
            </w:r>
          </w:p>
          <w:p>
            <w:pPr>
              <w:spacing w:after="40" w:line="252" w:lineRule="auto"/>
            </w:pPr>
            <w:hyperlink r:id="rId17">
              <w:r>
                <w:rPr>
                  <w:rFonts w:ascii="Calibri" w:hAnsi="Calibri" w:cs="Calibri"/>
                  <w:sz w:val="18"/>
                  <w:color w:val="1155CC"/>
                  <w:u w:val="single"/>
                </w:rPr>
                <w:t xml:space="preserve">https://www.cdc.gov/std/treatment-guidelines/chlamydia.htm</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Post-treatment retesting interval</w:t>
            </w:r>
          </w:p>
        </w:tc>
        <w:tc>
          <w:tcPr>
            <w:tcW w:type="dxa" w:w="1655"/>
            <w:vAlign w:val="top"/>
          </w:tcPr>
          <w:p>
            <w:pPr>
              <w:spacing w:after="40" w:before="0" w:line="259" w:lineRule="auto"/>
            </w:pPr>
            <w:r>
              <w:rPr>
                <w:rFonts w:ascii="Calibri" w:hAnsi="Calibri"/>
                <w:b w:val="0"/>
                <w:i w:val="0"/>
                <w:color w:val="212121"/>
                <w:sz w:val="19"/>
              </w:rPr>
              <w:t>Treated patients and their partners</w:t>
            </w:r>
          </w:p>
        </w:tc>
        <w:tc>
          <w:tcPr>
            <w:tcW w:type="dxa" w:w="1512"/>
            <w:vAlign w:val="top"/>
          </w:tcPr>
          <w:p>
            <w:pPr>
              <w:spacing w:after="40" w:before="0" w:line="259" w:lineRule="auto"/>
            </w:pPr>
            <w:r>
              <w:rPr>
                <w:rFonts w:ascii="Calibri" w:hAnsi="Calibri"/>
                <w:b w:val="0"/>
                <w:i w:val="0"/>
                <w:color w:val="212121"/>
                <w:sz w:val="19"/>
              </w:rPr>
              <w:t>Retest at ~3 months; abstain 7 days after single-dose therapy and until partners complete treatment</w:t>
            </w:r>
          </w:p>
        </w:tc>
        <w:tc>
          <w:tcPr>
            <w:tcW w:type="dxa" w:w="1512"/>
            <w:vAlign w:val="top"/>
          </w:tcPr>
          <w:p>
            <w:pPr>
              <w:spacing w:after="40" w:before="0" w:line="259" w:lineRule="auto"/>
            </w:pPr>
            <w:r>
              <w:rPr>
                <w:rFonts w:ascii="Calibri" w:hAnsi="Calibri"/>
                <w:b w:val="0"/>
                <w:i w:val="0"/>
                <w:color w:val="212121"/>
                <w:sz w:val="19"/>
              </w:rPr>
              <w:t>No retest; intercourse resumed &lt; 7 days after treatment or with an untreated partner</w:t>
            </w:r>
          </w:p>
        </w:tc>
        <w:tc>
          <w:tcPr>
            <w:tcW w:type="dxa" w:w="1468"/>
            <w:vAlign w:val="top"/>
          </w:tcPr>
          <w:p>
            <w:pPr>
              <w:spacing w:after="60" w:line="259" w:lineRule="auto"/>
            </w:pPr>
            <w:r>
              <w:rPr>
                <w:rFonts w:ascii="Calibri" w:hAnsi="Calibri"/>
                <w:b w:val="0"/>
                <w:i w:val="0"/>
                <w:color w:val="212121"/>
                <w:sz w:val="19"/>
              </w:rPr>
              <w:t>Reinfection from untreated partners is the commonest cause of repeat positivity</w:t>
            </w:r>
          </w:p>
          <w:p>
            <w:pPr>
              <w:spacing w:after="40" w:line="252" w:lineRule="auto"/>
            </w:pPr>
            <w:hyperlink r:id="rId17">
              <w:r>
                <w:rPr>
                  <w:rFonts w:ascii="Calibri" w:hAnsi="Calibri" w:cs="Calibri"/>
                  <w:sz w:val="18"/>
                  <w:color w:val="1155CC"/>
                  <w:u w:val="single"/>
                </w:rPr>
                <w:t xml:space="preserve">https://www.cdc.gov/std/treatment-guidelines/chlamydia.htm</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Drinks per occasion (binge pattern)</w:t>
            </w:r>
          </w:p>
        </w:tc>
        <w:tc>
          <w:tcPr>
            <w:tcW w:type="dxa" w:w="1655"/>
            <w:vAlign w:val="top"/>
          </w:tcPr>
          <w:p>
            <w:pPr>
              <w:spacing w:after="40" w:before="0" w:line="259" w:lineRule="auto"/>
            </w:pPr>
            <w:r>
              <w:rPr>
                <w:rFonts w:ascii="Calibri" w:hAnsi="Calibri"/>
                <w:b w:val="0"/>
                <w:i w:val="0"/>
                <w:color w:val="212121"/>
                <w:sz w:val="19"/>
              </w:rPr>
              <w:t>Young adults, students, party goers</w:t>
            </w:r>
          </w:p>
        </w:tc>
        <w:tc>
          <w:tcPr>
            <w:tcW w:type="dxa" w:w="1512"/>
            <w:vAlign w:val="top"/>
          </w:tcPr>
          <w:p>
            <w:pPr>
              <w:spacing w:after="40" w:before="0" w:line="259" w:lineRule="auto"/>
            </w:pPr>
            <w:r>
              <w:rPr>
                <w:rFonts w:ascii="Calibri" w:hAnsi="Calibri"/>
                <w:b w:val="0"/>
                <w:i w:val="0"/>
                <w:color w:val="212121"/>
                <w:sz w:val="19"/>
              </w:rPr>
              <w:t>Within low-risk limits or none; no binge drinking before sexual activity</w:t>
            </w:r>
          </w:p>
        </w:tc>
        <w:tc>
          <w:tcPr>
            <w:tcW w:type="dxa" w:w="1512"/>
            <w:vAlign w:val="top"/>
          </w:tcPr>
          <w:p>
            <w:pPr>
              <w:spacing w:after="40" w:before="0" w:line="259" w:lineRule="auto"/>
            </w:pPr>
            <w:r>
              <w:rPr>
                <w:rFonts w:ascii="Calibri" w:hAnsi="Calibri"/>
                <w:b w:val="0"/>
                <w:i w:val="0"/>
                <w:color w:val="212121"/>
                <w:sz w:val="19"/>
              </w:rPr>
              <w:t>≥ 5 drinks per occasion, especially in casual-sex settings</w:t>
            </w:r>
          </w:p>
        </w:tc>
        <w:tc>
          <w:tcPr>
            <w:tcW w:type="dxa" w:w="1468"/>
            <w:vAlign w:val="top"/>
          </w:tcPr>
          <w:p>
            <w:pPr>
              <w:spacing w:after="60" w:line="259" w:lineRule="auto"/>
            </w:pPr>
            <w:r>
              <w:rPr>
                <w:rFonts w:ascii="Calibri" w:hAnsi="Calibri"/>
                <w:b w:val="0"/>
                <w:i w:val="0"/>
                <w:color w:val="212121"/>
                <w:sz w:val="19"/>
              </w:rPr>
              <w:t>Heavy drinking occasions are the alcohol pattern most consistently linked to condomless sex and STI acquisition</w:t>
            </w:r>
          </w:p>
          <w:p>
            <w:pPr>
              <w:spacing w:after="40" w:line="252" w:lineRule="auto"/>
            </w:pPr>
            <w:hyperlink r:id="rId18">
              <w:r>
                <w:rPr>
                  <w:rFonts w:ascii="Calibri" w:hAnsi="Calibri" w:cs="Calibri"/>
                  <w:sz w:val="18"/>
                  <w:color w:val="1155CC"/>
                  <w:u w:val="single"/>
                </w:rPr>
                <w:t xml:space="preserve">https://ijadr.org/index.php/ijadr/article/view/381</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Adolescents, young adults, STI-clinic attendees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 — clusters with sexual risk behaviour and impairs cervical immunity</w:t>
            </w:r>
          </w:p>
        </w:tc>
        <w:tc>
          <w:tcPr>
            <w:tcW w:type="dxa" w:w="1468"/>
            <w:vAlign w:val="top"/>
          </w:tcPr>
          <w:p>
            <w:pPr>
              <w:spacing w:after="40" w:before="0" w:line="259" w:lineRule="auto"/>
            </w:pPr>
            <w:r>
              <w:rPr>
                <w:rFonts w:ascii="Calibri" w:hAnsi="Calibri"/>
                <w:b w:val="0"/>
                <w:i w:val="0"/>
                <w:color w:val="212121"/>
                <w:sz w:val="19"/>
              </w:rPr>
              <w:t>Use STI visits as teachable moments for cessation referral</w:t>
            </w:r>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Vaginal douching frequency</w:t>
            </w:r>
          </w:p>
        </w:tc>
        <w:tc>
          <w:tcPr>
            <w:tcW w:type="dxa" w:w="1655"/>
            <w:vAlign w:val="top"/>
          </w:tcPr>
          <w:p>
            <w:pPr>
              <w:spacing w:after="40" w:before="0" w:line="259" w:lineRule="auto"/>
            </w:pPr>
            <w:r>
              <w:rPr>
                <w:rFonts w:ascii="Calibri" w:hAnsi="Calibri"/>
                <w:b w:val="0"/>
                <w:i w:val="0"/>
                <w:color w:val="212121"/>
                <w:sz w:val="19"/>
              </w:rPr>
              <w:t>Women of reproductive age</w:t>
            </w:r>
          </w:p>
        </w:tc>
        <w:tc>
          <w:tcPr>
            <w:tcW w:type="dxa" w:w="1512"/>
            <w:vAlign w:val="top"/>
          </w:tcPr>
          <w:p>
            <w:pPr>
              <w:spacing w:after="40" w:before="0" w:line="259" w:lineRule="auto"/>
            </w:pPr>
            <w:r>
              <w:rPr>
                <w:rFonts w:ascii="Calibri" w:hAnsi="Calibri"/>
                <w:b w:val="0"/>
                <w:i w:val="0"/>
                <w:color w:val="212121"/>
                <w:sz w:val="19"/>
              </w:rPr>
              <w:t>Never douche (external washing with plain water only)</w:t>
            </w:r>
          </w:p>
        </w:tc>
        <w:tc>
          <w:tcPr>
            <w:tcW w:type="dxa" w:w="1512"/>
            <w:vAlign w:val="top"/>
          </w:tcPr>
          <w:p>
            <w:pPr>
              <w:spacing w:after="40" w:before="0" w:line="259" w:lineRule="auto"/>
            </w:pPr>
            <w:r>
              <w:rPr>
                <w:rFonts w:ascii="Calibri" w:hAnsi="Calibri"/>
                <w:b w:val="0"/>
                <w:i w:val="0"/>
                <w:color w:val="212121"/>
                <w:sz w:val="19"/>
              </w:rPr>
              <w:t>Regular intravaginal douching or use of 'cleansing' preparations</w:t>
            </w:r>
          </w:p>
        </w:tc>
        <w:tc>
          <w:tcPr>
            <w:tcW w:type="dxa" w:w="1468"/>
            <w:vAlign w:val="top"/>
          </w:tcPr>
          <w:p>
            <w:pPr>
              <w:spacing w:after="60" w:line="259" w:lineRule="auto"/>
            </w:pPr>
            <w:r>
              <w:rPr>
                <w:rFonts w:ascii="Calibri" w:hAnsi="Calibri"/>
                <w:b w:val="0"/>
                <w:i w:val="0"/>
                <w:color w:val="212121"/>
                <w:sz w:val="19"/>
              </w:rPr>
              <w:t>Douching is an established risk factor for cervical chlamydial infection and PID</w:t>
            </w:r>
          </w:p>
          <w:p>
            <w:pPr>
              <w:spacing w:after="40" w:line="252" w:lineRule="auto"/>
            </w:pPr>
            <w:hyperlink r:id="rId20">
              <w:r>
                <w:rPr>
                  <w:rFonts w:ascii="Calibri" w:hAnsi="Calibri" w:cs="Calibri"/>
                  <w:sz w:val="18"/>
                  <w:color w:val="1155CC"/>
                  <w:u w:val="single"/>
                </w:rPr>
                <w:t xml:space="preserve">https://pubmed.ncbi.nlm.nih.gov/9611011/</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Young adults, shift workers</w:t>
            </w:r>
          </w:p>
        </w:tc>
        <w:tc>
          <w:tcPr>
            <w:tcW w:type="dxa" w:w="1512"/>
            <w:vAlign w:val="top"/>
          </w:tcPr>
          <w:p>
            <w:pPr>
              <w:spacing w:after="40" w:before="0" w:line="259" w:lineRule="auto"/>
            </w:pPr>
            <w:r>
              <w:rPr>
                <w:rFonts w:ascii="Calibri" w:hAnsi="Calibri"/>
                <w:b w:val="0"/>
                <w:i w:val="0"/>
                <w:color w:val="212121"/>
                <w:sz w:val="19"/>
              </w:rPr>
              <w:t>7–9 hours/night on a regular schedule</w:t>
            </w:r>
          </w:p>
        </w:tc>
        <w:tc>
          <w:tcPr>
            <w:tcW w:type="dxa" w:w="1512"/>
            <w:vAlign w:val="top"/>
          </w:tcPr>
          <w:p>
            <w:pPr>
              <w:spacing w:after="40" w:before="0" w:line="259" w:lineRule="auto"/>
            </w:pPr>
            <w:r>
              <w:rPr>
                <w:rFonts w:ascii="Calibri" w:hAnsi="Calibri"/>
                <w:b w:val="0"/>
                <w:i w:val="0"/>
                <w:color w:val="212121"/>
                <w:sz w:val="19"/>
              </w:rPr>
              <w:t>&lt; 6 hours with habitual late-night party pattern</w:t>
            </w:r>
          </w:p>
        </w:tc>
        <w:tc>
          <w:tcPr>
            <w:tcW w:type="dxa" w:w="1468"/>
            <w:vAlign w:val="top"/>
          </w:tcPr>
          <w:p>
            <w:pPr>
              <w:spacing w:after="40" w:before="0" w:line="259" w:lineRule="auto"/>
            </w:pPr>
            <w:r>
              <w:rPr>
                <w:rFonts w:ascii="Calibri" w:hAnsi="Calibri"/>
                <w:b w:val="0"/>
                <w:i w:val="0"/>
                <w:color w:val="212121"/>
                <w:sz w:val="19"/>
              </w:rPr>
              <w:t>Sleep debt contributes to impulsive risk decisions; relevant only as an indirect behavioural marker</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Molecular</w:t>
            </w:r>
          </w:p>
        </w:tc>
        <w:tc>
          <w:tcPr>
            <w:tcW w:type="dxa" w:w="1036"/>
            <w:vAlign w:val="top"/>
          </w:tcPr>
          <w:p>
            <w:pPr>
              <w:spacing w:after="40" w:before="0" w:line="259" w:lineRule="auto"/>
            </w:pPr>
            <w:r>
              <w:rPr>
                <w:rFonts w:ascii="Calibri" w:hAnsi="Calibri"/>
                <w:b w:val="0"/>
                <w:i w:val="0"/>
                <w:color w:val="212121"/>
                <w:sz w:val="16"/>
              </w:rPr>
              <w:t>C. trachomatis DNA/RNA (NAAT)</w:t>
            </w:r>
          </w:p>
        </w:tc>
        <w:tc>
          <w:tcPr>
            <w:tcW w:type="dxa" w:w="892"/>
            <w:vAlign w:val="top"/>
          </w:tcPr>
          <w:p>
            <w:pPr>
              <w:spacing w:after="40" w:before="0" w:line="259" w:lineRule="auto"/>
            </w:pPr>
            <w:r>
              <w:rPr>
                <w:rFonts w:ascii="Calibri" w:hAnsi="Calibri"/>
                <w:b w:val="0"/>
                <w:i w:val="0"/>
                <w:color w:val="212121"/>
                <w:sz w:val="16"/>
              </w:rPr>
              <w:t>Nucleic Acid Amplification Test</w:t>
            </w:r>
          </w:p>
        </w:tc>
        <w:tc>
          <w:tcPr>
            <w:tcW w:type="dxa" w:w="950"/>
            <w:vAlign w:val="top"/>
          </w:tcPr>
          <w:p>
            <w:pPr>
              <w:spacing w:after="40" w:before="0" w:line="259" w:lineRule="auto"/>
            </w:pPr>
            <w:r>
              <w:rPr>
                <w:rFonts w:ascii="Calibri" w:hAnsi="Calibri"/>
                <w:b w:val="0"/>
                <w:i w:val="0"/>
                <w:color w:val="212121"/>
                <w:sz w:val="16"/>
              </w:rPr>
              <w:t>Not detected</w:t>
            </w:r>
          </w:p>
        </w:tc>
        <w:tc>
          <w:tcPr>
            <w:tcW w:type="dxa" w:w="950"/>
            <w:vAlign w:val="top"/>
          </w:tcPr>
          <w:p>
            <w:pPr>
              <w:spacing w:after="40" w:before="0" w:line="259" w:lineRule="auto"/>
            </w:pPr>
            <w:r>
              <w:rPr>
                <w:rFonts w:ascii="Calibri" w:hAnsi="Calibri"/>
                <w:b w:val="0"/>
                <w:i w:val="0"/>
                <w:color w:val="212121"/>
                <w:sz w:val="16"/>
              </w:rPr>
              <w:t>C. trachomatis detected</w:t>
            </w:r>
          </w:p>
        </w:tc>
        <w:tc>
          <w:tcPr>
            <w:tcW w:type="dxa" w:w="1036"/>
            <w:vAlign w:val="top"/>
          </w:tcPr>
          <w:p>
            <w:pPr>
              <w:spacing w:after="40" w:before="0" w:line="259" w:lineRule="auto"/>
            </w:pPr>
            <w:r>
              <w:rPr>
                <w:rFonts w:ascii="Calibri" w:hAnsi="Calibri"/>
                <w:b w:val="0"/>
                <w:i w:val="0"/>
                <w:color w:val="212121"/>
                <w:sz w:val="16"/>
              </w:rPr>
              <w:t>Diagnostic test of choice — highest sensitivity and specificity on vulvovaginal/endocervical swabs, first-void urine, or rectal/pharyngeal swabs by exposure site</w:t>
            </w:r>
          </w:p>
        </w:tc>
        <w:tc>
          <w:tcPr>
            <w:tcW w:type="dxa" w:w="1036"/>
            <w:vAlign w:val="top"/>
          </w:tcPr>
          <w:p>
            <w:pPr>
              <w:spacing w:after="40" w:before="0" w:line="259" w:lineRule="auto"/>
            </w:pPr>
            <w:r>
              <w:rPr>
                <w:rFonts w:ascii="Calibri" w:hAnsi="Calibri"/>
                <w:b w:val="0"/>
                <w:i w:val="0"/>
                <w:color w:val="212121"/>
                <w:sz w:val="16"/>
              </w:rPr>
              <w:t>Symptomatic men &amp; women, sexually active women &lt; 25, pregnant women, FSW, MSM, PLHIV</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Self-collected vaginal swabs acceptable; retest ~3 months after treatment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Serological</w:t>
            </w:r>
          </w:p>
        </w:tc>
        <w:tc>
          <w:tcPr>
            <w:tcW w:type="dxa" w:w="1036"/>
            <w:vAlign w:val="top"/>
          </w:tcPr>
          <w:p>
            <w:pPr>
              <w:spacing w:after="40" w:before="0" w:line="259" w:lineRule="auto"/>
            </w:pPr>
            <w:r>
              <w:rPr>
                <w:rFonts w:ascii="Calibri" w:hAnsi="Calibri"/>
                <w:b w:val="0"/>
                <w:i w:val="0"/>
                <w:color w:val="212121"/>
                <w:sz w:val="16"/>
              </w:rPr>
              <w:t>Anti-chlamydial IgG/IgA (ELISA/MIF)</w:t>
            </w:r>
          </w:p>
        </w:tc>
        <w:tc>
          <w:tcPr>
            <w:tcW w:type="dxa" w:w="892"/>
            <w:vAlign w:val="top"/>
          </w:tcPr>
          <w:p>
            <w:pPr>
              <w:spacing w:after="40" w:before="0" w:line="259" w:lineRule="auto"/>
            </w:pPr>
            <w:r>
              <w:rPr>
                <w:rFonts w:ascii="Calibri" w:hAnsi="Calibri"/>
                <w:b w:val="0"/>
                <w:i w:val="0"/>
                <w:color w:val="212121"/>
                <w:sz w:val="16"/>
              </w:rPr>
              <w:t>Chlamydia Serology</w:t>
            </w:r>
          </w:p>
        </w:tc>
        <w:tc>
          <w:tcPr>
            <w:tcW w:type="dxa" w:w="950"/>
            <w:vAlign w:val="top"/>
          </w:tcPr>
          <w:p>
            <w:pPr>
              <w:spacing w:after="40" w:before="0" w:line="259" w:lineRule="auto"/>
            </w:pPr>
            <w:r>
              <w:rPr>
                <w:rFonts w:ascii="Calibri" w:hAnsi="Calibri"/>
                <w:b w:val="0"/>
                <w:i w:val="0"/>
                <w:color w:val="212121"/>
                <w:sz w:val="16"/>
              </w:rPr>
              <w:t>Negative / low titre</w:t>
            </w:r>
          </w:p>
        </w:tc>
        <w:tc>
          <w:tcPr>
            <w:tcW w:type="dxa" w:w="950"/>
            <w:vAlign w:val="top"/>
          </w:tcPr>
          <w:p>
            <w:pPr>
              <w:spacing w:after="40" w:before="0" w:line="259" w:lineRule="auto"/>
            </w:pPr>
            <w:r>
              <w:rPr>
                <w:rFonts w:ascii="Calibri" w:hAnsi="Calibri"/>
                <w:b w:val="0"/>
                <w:i w:val="0"/>
                <w:color w:val="212121"/>
                <w:sz w:val="16"/>
              </w:rPr>
              <w:t>Raised IgG ± IgA titres</w:t>
            </w:r>
          </w:p>
        </w:tc>
        <w:tc>
          <w:tcPr>
            <w:tcW w:type="dxa" w:w="1036"/>
            <w:vAlign w:val="top"/>
          </w:tcPr>
          <w:p>
            <w:pPr>
              <w:spacing w:after="40" w:before="0" w:line="259" w:lineRule="auto"/>
            </w:pPr>
            <w:r>
              <w:rPr>
                <w:rFonts w:ascii="Calibri" w:hAnsi="Calibri"/>
                <w:b w:val="0"/>
                <w:i w:val="0"/>
                <w:color w:val="212121"/>
                <w:sz w:val="16"/>
              </w:rPr>
              <w:t>Marker of past or persistent infection; supports chlamydial aetiology in tubal-factor infertility, bad obstetric history and LGV — not for acute genital infection</w:t>
            </w:r>
          </w:p>
        </w:tc>
        <w:tc>
          <w:tcPr>
            <w:tcW w:type="dxa" w:w="1036"/>
            <w:vAlign w:val="top"/>
          </w:tcPr>
          <w:p>
            <w:pPr>
              <w:spacing w:after="40" w:before="0" w:line="259" w:lineRule="auto"/>
            </w:pPr>
            <w:r>
              <w:rPr>
                <w:rFonts w:ascii="Calibri" w:hAnsi="Calibri"/>
                <w:b w:val="0"/>
                <w:i w:val="0"/>
                <w:color w:val="212121"/>
                <w:sz w:val="16"/>
              </w:rPr>
              <w:t>Infertile women, women with BOH, suspected LGV</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68% IgG positivity reported in infertile Indian women vs 10% in healthy pregnant women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Microbiological</w:t>
            </w:r>
          </w:p>
        </w:tc>
        <w:tc>
          <w:tcPr>
            <w:tcW w:type="dxa" w:w="1036"/>
            <w:vAlign w:val="top"/>
          </w:tcPr>
          <w:p>
            <w:pPr>
              <w:spacing w:after="40" w:before="0" w:line="259" w:lineRule="auto"/>
            </w:pPr>
            <w:r>
              <w:rPr>
                <w:rFonts w:ascii="Calibri" w:hAnsi="Calibri"/>
                <w:b w:val="0"/>
                <w:i w:val="0"/>
                <w:color w:val="212121"/>
                <w:sz w:val="16"/>
              </w:rPr>
              <w:t>Cell culture (McCoy/HeLa lines)</w:t>
            </w:r>
          </w:p>
        </w:tc>
        <w:tc>
          <w:tcPr>
            <w:tcW w:type="dxa" w:w="892"/>
            <w:vAlign w:val="top"/>
          </w:tcPr>
          <w:p>
            <w:pPr>
              <w:spacing w:after="40" w:before="0" w:line="259" w:lineRule="auto"/>
            </w:pPr>
            <w:r>
              <w:rPr>
                <w:rFonts w:ascii="Calibri" w:hAnsi="Calibri"/>
                <w:b w:val="0"/>
                <w:i w:val="0"/>
                <w:color w:val="212121"/>
                <w:sz w:val="16"/>
              </w:rPr>
              <w:t>Chlamydia Culture</w:t>
            </w:r>
          </w:p>
        </w:tc>
        <w:tc>
          <w:tcPr>
            <w:tcW w:type="dxa" w:w="950"/>
            <w:vAlign w:val="top"/>
          </w:tcPr>
          <w:p>
            <w:pPr>
              <w:spacing w:after="40" w:before="0" w:line="259" w:lineRule="auto"/>
            </w:pPr>
            <w:r>
              <w:rPr>
                <w:rFonts w:ascii="Calibri" w:hAnsi="Calibri"/>
                <w:b w:val="0"/>
                <w:i w:val="0"/>
                <w:color w:val="212121"/>
                <w:sz w:val="16"/>
              </w:rPr>
              <w:t>No growth / no inclusions</w:t>
            </w:r>
          </w:p>
        </w:tc>
        <w:tc>
          <w:tcPr>
            <w:tcW w:type="dxa" w:w="950"/>
            <w:vAlign w:val="top"/>
          </w:tcPr>
          <w:p>
            <w:pPr>
              <w:spacing w:after="40" w:before="0" w:line="259" w:lineRule="auto"/>
            </w:pPr>
            <w:r>
              <w:rPr>
                <w:rFonts w:ascii="Calibri" w:hAnsi="Calibri"/>
                <w:b w:val="0"/>
                <w:i w:val="0"/>
                <w:color w:val="212121"/>
                <w:sz w:val="16"/>
              </w:rPr>
              <w:t>Intracytoplasmic inclusion bodies on staining</w:t>
            </w:r>
          </w:p>
        </w:tc>
        <w:tc>
          <w:tcPr>
            <w:tcW w:type="dxa" w:w="1036"/>
            <w:vAlign w:val="top"/>
          </w:tcPr>
          <w:p>
            <w:pPr>
              <w:spacing w:after="40" w:before="0" w:line="259" w:lineRule="auto"/>
            </w:pPr>
            <w:r>
              <w:rPr>
                <w:rFonts w:ascii="Calibri" w:hAnsi="Calibri"/>
                <w:b w:val="0"/>
                <w:i w:val="0"/>
                <w:color w:val="212121"/>
                <w:sz w:val="16"/>
              </w:rPr>
              <w:t>Highly specific but substantially less sensitive than NAAT and technically demanding</w:t>
            </w:r>
          </w:p>
        </w:tc>
        <w:tc>
          <w:tcPr>
            <w:tcW w:type="dxa" w:w="1036"/>
            <w:vAlign w:val="top"/>
          </w:tcPr>
          <w:p>
            <w:pPr>
              <w:spacing w:after="40" w:before="0" w:line="259" w:lineRule="auto"/>
            </w:pPr>
            <w:r>
              <w:rPr>
                <w:rFonts w:ascii="Calibri" w:hAnsi="Calibri"/>
                <w:b w:val="0"/>
                <w:i w:val="0"/>
                <w:color w:val="212121"/>
                <w:sz w:val="16"/>
              </w:rPr>
              <w:t>Medico-legal cases (sexual assault), suspected treatment failure, research</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Requires viable organisms — strict cold-chain transport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Microbiological</w:t>
            </w:r>
          </w:p>
        </w:tc>
        <w:tc>
          <w:tcPr>
            <w:tcW w:type="dxa" w:w="1036"/>
            <w:vAlign w:val="top"/>
          </w:tcPr>
          <w:p>
            <w:pPr>
              <w:spacing w:after="40" w:before="0" w:line="259" w:lineRule="auto"/>
            </w:pPr>
            <w:r>
              <w:rPr>
                <w:rFonts w:ascii="Calibri" w:hAnsi="Calibri"/>
                <w:b w:val="0"/>
                <w:i w:val="0"/>
                <w:color w:val="212121"/>
                <w:sz w:val="16"/>
              </w:rPr>
              <w:t>Antigen detection (DFA/ELISA) or Giemsa-stained smears</w:t>
            </w:r>
          </w:p>
        </w:tc>
        <w:tc>
          <w:tcPr>
            <w:tcW w:type="dxa" w:w="892"/>
            <w:vAlign w:val="top"/>
          </w:tcPr>
          <w:p>
            <w:pPr>
              <w:spacing w:after="40" w:before="0" w:line="259" w:lineRule="auto"/>
            </w:pPr>
            <w:r>
              <w:rPr>
                <w:rFonts w:ascii="Calibri" w:hAnsi="Calibri"/>
                <w:b w:val="0"/>
                <w:i w:val="0"/>
                <w:color w:val="212121"/>
                <w:sz w:val="16"/>
              </w:rPr>
              <w:t>Chlamydia Antigen Test</w:t>
            </w:r>
          </w:p>
        </w:tc>
        <w:tc>
          <w:tcPr>
            <w:tcW w:type="dxa" w:w="950"/>
            <w:vAlign w:val="top"/>
          </w:tcPr>
          <w:p>
            <w:pPr>
              <w:spacing w:after="40" w:before="0" w:line="259" w:lineRule="auto"/>
            </w:pPr>
            <w:r>
              <w:rPr>
                <w:rFonts w:ascii="Calibri" w:hAnsi="Calibri"/>
                <w:b w:val="0"/>
                <w:i w:val="0"/>
                <w:color w:val="212121"/>
                <w:sz w:val="16"/>
              </w:rPr>
              <w:t>Antigen not detected</w:t>
            </w:r>
          </w:p>
        </w:tc>
        <w:tc>
          <w:tcPr>
            <w:tcW w:type="dxa" w:w="950"/>
            <w:vAlign w:val="top"/>
          </w:tcPr>
          <w:p>
            <w:pPr>
              <w:spacing w:after="40" w:before="0" w:line="259" w:lineRule="auto"/>
            </w:pPr>
            <w:r>
              <w:rPr>
                <w:rFonts w:ascii="Calibri" w:hAnsi="Calibri"/>
                <w:b w:val="0"/>
                <w:i w:val="0"/>
                <w:color w:val="212121"/>
                <w:sz w:val="16"/>
              </w:rPr>
              <w:t>Chlamydial antigen / inclusions present</w:t>
            </w:r>
          </w:p>
        </w:tc>
        <w:tc>
          <w:tcPr>
            <w:tcW w:type="dxa" w:w="1036"/>
            <w:vAlign w:val="top"/>
          </w:tcPr>
          <w:p>
            <w:pPr>
              <w:spacing w:after="40" w:before="0" w:line="259" w:lineRule="auto"/>
            </w:pPr>
            <w:r>
              <w:rPr>
                <w:rFonts w:ascii="Calibri" w:hAnsi="Calibri"/>
                <w:b w:val="0"/>
                <w:i w:val="0"/>
                <w:color w:val="212121"/>
                <w:sz w:val="16"/>
              </w:rPr>
              <w:t>Rapid, cheaper alternatives with lower sensitivity; still used where NAAT is unavailable in Indian laboratories</w:t>
            </w:r>
          </w:p>
        </w:tc>
        <w:tc>
          <w:tcPr>
            <w:tcW w:type="dxa" w:w="1036"/>
            <w:vAlign w:val="top"/>
          </w:tcPr>
          <w:p>
            <w:pPr>
              <w:spacing w:after="40" w:before="0" w:line="259" w:lineRule="auto"/>
            </w:pPr>
            <w:r>
              <w:rPr>
                <w:rFonts w:ascii="Calibri" w:hAnsi="Calibri"/>
                <w:b w:val="0"/>
                <w:i w:val="0"/>
                <w:color w:val="212121"/>
                <w:sz w:val="16"/>
              </w:rPr>
              <w:t>Resource-limited facilities, ophthalmia neonatorum workup</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 negative result does not exclude infection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Serological/Biochemical</w:t>
            </w:r>
          </w:p>
        </w:tc>
        <w:tc>
          <w:tcPr>
            <w:tcW w:type="dxa" w:w="1036"/>
            <w:vAlign w:val="top"/>
          </w:tcPr>
          <w:p>
            <w:pPr>
              <w:spacing w:after="40" w:before="0" w:line="259" w:lineRule="auto"/>
            </w:pPr>
            <w:r>
              <w:rPr>
                <w:rFonts w:ascii="Calibri" w:hAnsi="Calibri"/>
                <w:b w:val="0"/>
                <w:i w:val="0"/>
                <w:color w:val="212121"/>
                <w:sz w:val="16"/>
              </w:rPr>
              <w:t>Co-STI panel: HIV antibody, RPR/VDRL, HBsAg ± gonococcal NAAT</w:t>
            </w:r>
          </w:p>
        </w:tc>
        <w:tc>
          <w:tcPr>
            <w:tcW w:type="dxa" w:w="892"/>
            <w:vAlign w:val="top"/>
          </w:tcPr>
          <w:p>
            <w:pPr>
              <w:spacing w:after="40" w:before="0" w:line="259" w:lineRule="auto"/>
            </w:pPr>
            <w:r>
              <w:rPr>
                <w:rFonts w:ascii="Calibri" w:hAnsi="Calibri"/>
                <w:b w:val="0"/>
                <w:i w:val="0"/>
                <w:color w:val="212121"/>
                <w:sz w:val="16"/>
              </w:rPr>
              <w:t>STI Co-infection Screen</w:t>
            </w:r>
          </w:p>
        </w:tc>
        <w:tc>
          <w:tcPr>
            <w:tcW w:type="dxa" w:w="950"/>
            <w:vAlign w:val="top"/>
          </w:tcPr>
          <w:p>
            <w:pPr>
              <w:spacing w:after="40" w:before="0" w:line="259" w:lineRule="auto"/>
            </w:pPr>
            <w:r>
              <w:rPr>
                <w:rFonts w:ascii="Calibri" w:hAnsi="Calibri"/>
                <w:b w:val="0"/>
                <w:i w:val="0"/>
                <w:color w:val="212121"/>
                <w:sz w:val="16"/>
              </w:rPr>
              <w:t>Non-reactive / not detected</w:t>
            </w:r>
          </w:p>
        </w:tc>
        <w:tc>
          <w:tcPr>
            <w:tcW w:type="dxa" w:w="950"/>
            <w:vAlign w:val="top"/>
          </w:tcPr>
          <w:p>
            <w:pPr>
              <w:spacing w:after="40" w:before="0" w:line="259" w:lineRule="auto"/>
            </w:pPr>
            <w:r>
              <w:rPr>
                <w:rFonts w:ascii="Calibri" w:hAnsi="Calibri"/>
                <w:b w:val="0"/>
                <w:i w:val="0"/>
                <w:color w:val="212121"/>
                <w:sz w:val="16"/>
              </w:rPr>
              <w:t>Any reactive or positive result</w:t>
            </w:r>
          </w:p>
        </w:tc>
        <w:tc>
          <w:tcPr>
            <w:tcW w:type="dxa" w:w="1036"/>
            <w:vAlign w:val="top"/>
          </w:tcPr>
          <w:p>
            <w:pPr>
              <w:spacing w:after="40" w:before="0" w:line="259" w:lineRule="auto"/>
            </w:pPr>
            <w:r>
              <w:rPr>
                <w:rFonts w:ascii="Calibri" w:hAnsi="Calibri"/>
                <w:b w:val="0"/>
                <w:i w:val="0"/>
                <w:color w:val="212121"/>
                <w:sz w:val="16"/>
              </w:rPr>
              <w:t>Shared transmission route mandates a full STI screen in every chlamydia patient; gonococcal co-infection alters treatment</w:t>
            </w:r>
          </w:p>
        </w:tc>
        <w:tc>
          <w:tcPr>
            <w:tcW w:type="dxa" w:w="1036"/>
            <w:vAlign w:val="top"/>
          </w:tcPr>
          <w:p>
            <w:pPr>
              <w:spacing w:after="40" w:before="0" w:line="259" w:lineRule="auto"/>
            </w:pPr>
            <w:r>
              <w:rPr>
                <w:rFonts w:ascii="Calibri" w:hAnsi="Calibri"/>
                <w:b w:val="0"/>
                <w:i w:val="0"/>
                <w:color w:val="212121"/>
                <w:sz w:val="16"/>
              </w:rPr>
              <w:t>All confirmed or syndromically treated chlamydia patients and partners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Essential adjunct</w:t>
            </w:r>
          </w:p>
        </w:tc>
        <w:tc>
          <w:tcPr>
            <w:tcW w:type="dxa" w:w="720"/>
            <w:vAlign w:val="top"/>
          </w:tcPr>
          <w:p>
            <w:pPr>
              <w:spacing w:after="40" w:before="0" w:line="259" w:lineRule="auto"/>
            </w:pPr>
            <w:r>
              <w:rPr>
                <w:rFonts w:ascii="Calibri" w:hAnsi="Calibri"/>
                <w:b w:val="0"/>
                <w:i w:val="0"/>
                <w:color w:val="212121"/>
                <w:sz w:val="16"/>
              </w:rPr>
              <w:t>In one Indian series 30% of chlamydia-infected STD-clinic patients had HIV</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Microscopy</w:t>
            </w:r>
          </w:p>
        </w:tc>
        <w:tc>
          <w:tcPr>
            <w:tcW w:type="dxa" w:w="1036"/>
            <w:vAlign w:val="top"/>
          </w:tcPr>
          <w:p>
            <w:pPr>
              <w:spacing w:after="40" w:before="0" w:line="259" w:lineRule="auto"/>
            </w:pPr>
            <w:r>
              <w:rPr>
                <w:rFonts w:ascii="Calibri" w:hAnsi="Calibri"/>
                <w:b w:val="0"/>
                <w:i w:val="0"/>
                <w:color w:val="212121"/>
                <w:sz w:val="16"/>
              </w:rPr>
              <w:t>Urethral smear ≥ 5 PMN/hpf without gram-negative diplococci; first-void urine leukocyte esterase</w:t>
            </w:r>
          </w:p>
        </w:tc>
        <w:tc>
          <w:tcPr>
            <w:tcW w:type="dxa" w:w="892"/>
            <w:vAlign w:val="top"/>
          </w:tcPr>
          <w:p>
            <w:pPr>
              <w:spacing w:after="40" w:before="0" w:line="259" w:lineRule="auto"/>
            </w:pPr>
            <w:r>
              <w:rPr>
                <w:rFonts w:ascii="Calibri" w:hAnsi="Calibri"/>
                <w:b w:val="0"/>
                <w:i w:val="0"/>
                <w:color w:val="212121"/>
                <w:sz w:val="16"/>
              </w:rPr>
              <w:t>Urethritis Workup</w:t>
            </w:r>
          </w:p>
        </w:tc>
        <w:tc>
          <w:tcPr>
            <w:tcW w:type="dxa" w:w="950"/>
            <w:vAlign w:val="top"/>
          </w:tcPr>
          <w:p>
            <w:pPr>
              <w:spacing w:after="40" w:before="0" w:line="259" w:lineRule="auto"/>
            </w:pPr>
            <w:r>
              <w:rPr>
                <w:rFonts w:ascii="Calibri" w:hAnsi="Calibri"/>
                <w:b w:val="0"/>
                <w:i w:val="0"/>
                <w:color w:val="212121"/>
                <w:sz w:val="16"/>
              </w:rPr>
              <w:t>&lt; 5 PMN/hpf; leukocyte esterase negative</w:t>
            </w:r>
          </w:p>
        </w:tc>
        <w:tc>
          <w:tcPr>
            <w:tcW w:type="dxa" w:w="950"/>
            <w:vAlign w:val="top"/>
          </w:tcPr>
          <w:p>
            <w:pPr>
              <w:spacing w:after="40" w:before="0" w:line="259" w:lineRule="auto"/>
            </w:pPr>
            <w:r>
              <w:rPr>
                <w:rFonts w:ascii="Calibri" w:hAnsi="Calibri"/>
                <w:b w:val="0"/>
                <w:i w:val="0"/>
                <w:color w:val="212121"/>
                <w:sz w:val="16"/>
              </w:rPr>
              <w:t>≥ 5 PMN/hpf with no gonococci; leukocyte esterase positive</w:t>
            </w:r>
          </w:p>
        </w:tc>
        <w:tc>
          <w:tcPr>
            <w:tcW w:type="dxa" w:w="1036"/>
            <w:vAlign w:val="top"/>
          </w:tcPr>
          <w:p>
            <w:pPr>
              <w:spacing w:after="40" w:before="0" w:line="259" w:lineRule="auto"/>
            </w:pPr>
            <w:r>
              <w:rPr>
                <w:rFonts w:ascii="Calibri" w:hAnsi="Calibri"/>
                <w:b w:val="0"/>
                <w:i w:val="0"/>
                <w:color w:val="212121"/>
                <w:sz w:val="16"/>
              </w:rPr>
              <w:t>Defines non-gonococcal urethritis, of which chlamydia is the leading cause</w:t>
            </w:r>
          </w:p>
        </w:tc>
        <w:tc>
          <w:tcPr>
            <w:tcW w:type="dxa" w:w="1036"/>
            <w:vAlign w:val="top"/>
          </w:tcPr>
          <w:p>
            <w:pPr>
              <w:spacing w:after="40" w:before="0" w:line="259" w:lineRule="auto"/>
            </w:pPr>
            <w:r>
              <w:rPr>
                <w:rFonts w:ascii="Calibri" w:hAnsi="Calibri"/>
                <w:b w:val="0"/>
                <w:i w:val="0"/>
                <w:color w:val="212121"/>
                <w:sz w:val="16"/>
              </w:rPr>
              <w:t>Men with dysuria or urethral discharge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Sterile pyuria in a sexually active adult should prompt chlamydia NAAT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Transvaginal/pelvic ultrasound</w:t>
            </w:r>
          </w:p>
        </w:tc>
        <w:tc>
          <w:tcPr>
            <w:tcW w:type="dxa" w:w="892"/>
            <w:vAlign w:val="top"/>
          </w:tcPr>
          <w:p>
            <w:pPr>
              <w:spacing w:after="40" w:before="0" w:line="259" w:lineRule="auto"/>
            </w:pPr>
            <w:r>
              <w:rPr>
                <w:rFonts w:ascii="Calibri" w:hAnsi="Calibri"/>
                <w:b w:val="0"/>
                <w:i w:val="0"/>
                <w:color w:val="212121"/>
                <w:sz w:val="16"/>
              </w:rPr>
              <w:t>Pelvic Imaging</w:t>
            </w:r>
          </w:p>
        </w:tc>
        <w:tc>
          <w:tcPr>
            <w:tcW w:type="dxa" w:w="950"/>
            <w:vAlign w:val="top"/>
          </w:tcPr>
          <w:p>
            <w:pPr>
              <w:spacing w:after="40" w:before="0" w:line="259" w:lineRule="auto"/>
            </w:pPr>
            <w:r>
              <w:rPr>
                <w:rFonts w:ascii="Calibri" w:hAnsi="Calibri"/>
                <w:b w:val="0"/>
                <w:i w:val="0"/>
                <w:color w:val="212121"/>
                <w:sz w:val="16"/>
              </w:rPr>
              <w:t>Normal uterus, tubes not visualised, no free fluid</w:t>
            </w:r>
          </w:p>
        </w:tc>
        <w:tc>
          <w:tcPr>
            <w:tcW w:type="dxa" w:w="950"/>
            <w:vAlign w:val="top"/>
          </w:tcPr>
          <w:p>
            <w:pPr>
              <w:spacing w:after="40" w:before="0" w:line="259" w:lineRule="auto"/>
            </w:pPr>
            <w:r>
              <w:rPr>
                <w:rFonts w:ascii="Calibri" w:hAnsi="Calibri"/>
                <w:b w:val="0"/>
                <w:i w:val="0"/>
                <w:color w:val="212121"/>
                <w:sz w:val="16"/>
              </w:rPr>
              <w:t>Hydrosalpinx, tubo-ovarian abscess, thickened fluid-filled tubes, pelvic free fluid</w:t>
            </w:r>
          </w:p>
        </w:tc>
        <w:tc>
          <w:tcPr>
            <w:tcW w:type="dxa" w:w="1036"/>
            <w:vAlign w:val="top"/>
          </w:tcPr>
          <w:p>
            <w:pPr>
              <w:spacing w:after="40" w:before="0" w:line="259" w:lineRule="auto"/>
            </w:pPr>
            <w:r>
              <w:rPr>
                <w:rFonts w:ascii="Calibri" w:hAnsi="Calibri"/>
                <w:b w:val="0"/>
                <w:i w:val="0"/>
                <w:color w:val="212121"/>
                <w:sz w:val="16"/>
              </w:rPr>
              <w:t>Assesses complicated disease — PID, abscess — and chronic tubal sequelae in infertility workup (with HSG/laparoscopy)</w:t>
            </w:r>
          </w:p>
        </w:tc>
        <w:tc>
          <w:tcPr>
            <w:tcW w:type="dxa" w:w="1036"/>
            <w:vAlign w:val="top"/>
          </w:tcPr>
          <w:p>
            <w:pPr>
              <w:spacing w:after="40" w:before="0" w:line="259" w:lineRule="auto"/>
            </w:pPr>
            <w:r>
              <w:rPr>
                <w:rFonts w:ascii="Calibri" w:hAnsi="Calibri"/>
                <w:b w:val="0"/>
                <w:i w:val="0"/>
                <w:color w:val="212121"/>
                <w:sz w:val="16"/>
              </w:rPr>
              <w:t>Women with pelvic pain, suspected PID, infertile women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Laparoscopy with fimbrial biopsy remains the reference for tubal damage</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Sexual history (5 Ps)</w:t>
            </w:r>
          </w:p>
        </w:tc>
        <w:tc>
          <w:tcPr>
            <w:tcW w:type="dxa" w:w="979"/>
            <w:vAlign w:val="top"/>
          </w:tcPr>
          <w:p>
            <w:pPr>
              <w:spacing w:after="40" w:before="0" w:line="259" w:lineRule="auto"/>
            </w:pPr>
            <w:r>
              <w:rPr>
                <w:rFonts w:ascii="Calibri" w:hAnsi="Calibri"/>
                <w:b w:val="0"/>
                <w:i w:val="0"/>
                <w:color w:val="212121"/>
                <w:sz w:val="16"/>
              </w:rPr>
              <w:t>Partners, Practices, Protection, Past STIs, Pregnancy intention</w:t>
            </w:r>
          </w:p>
        </w:tc>
        <w:tc>
          <w:tcPr>
            <w:tcW w:type="dxa" w:w="950"/>
            <w:vAlign w:val="top"/>
          </w:tcPr>
          <w:p>
            <w:pPr>
              <w:spacing w:after="40" w:before="0" w:line="259" w:lineRule="auto"/>
            </w:pPr>
            <w:r>
              <w:rPr>
                <w:rFonts w:ascii="Calibri" w:hAnsi="Calibri"/>
                <w:b w:val="0"/>
                <w:i w:val="0"/>
                <w:color w:val="212121"/>
                <w:sz w:val="16"/>
              </w:rPr>
              <w:t>Single mutually monogamous tested partner, consistent condom use, no prior STI</w:t>
            </w:r>
          </w:p>
        </w:tc>
        <w:tc>
          <w:tcPr>
            <w:tcW w:type="dxa" w:w="950"/>
            <w:vAlign w:val="top"/>
          </w:tcPr>
          <w:p>
            <w:pPr>
              <w:spacing w:after="40" w:before="0" w:line="259" w:lineRule="auto"/>
            </w:pPr>
            <w:r>
              <w:rPr>
                <w:rFonts w:ascii="Calibri" w:hAnsi="Calibri"/>
                <w:b w:val="0"/>
                <w:i w:val="0"/>
                <w:color w:val="212121"/>
                <w:sz w:val="16"/>
              </w:rPr>
              <w:t>New/multiple/concurrent partners, condomless sex, partner with urethritis/STI, transactional sex</w:t>
            </w:r>
          </w:p>
        </w:tc>
        <w:tc>
          <w:tcPr>
            <w:tcW w:type="dxa" w:w="1036"/>
            <w:vAlign w:val="top"/>
          </w:tcPr>
          <w:p>
            <w:pPr>
              <w:spacing w:after="40" w:before="0" w:line="259" w:lineRule="auto"/>
            </w:pPr>
            <w:r>
              <w:rPr>
                <w:rFonts w:ascii="Calibri" w:hAnsi="Calibri"/>
                <w:b w:val="0"/>
                <w:i w:val="0"/>
                <w:color w:val="212121"/>
                <w:sz w:val="16"/>
              </w:rPr>
              <w:t>Defines exposure risk and directs site-specific testing (genital, rectal, pharyngeal)</w:t>
            </w:r>
          </w:p>
        </w:tc>
        <w:tc>
          <w:tcPr>
            <w:tcW w:type="dxa" w:w="1036"/>
            <w:vAlign w:val="top"/>
          </w:tcPr>
          <w:p>
            <w:pPr>
              <w:spacing w:after="40" w:before="0" w:line="259" w:lineRule="auto"/>
            </w:pPr>
            <w:r>
              <w:rPr>
                <w:rFonts w:ascii="Calibri" w:hAnsi="Calibri"/>
                <w:b w:val="0"/>
                <w:i w:val="0"/>
                <w:color w:val="212121"/>
                <w:sz w:val="16"/>
              </w:rPr>
              <w:t>All sexually active patients, adolescents &amp; young adults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Take a confidential, non-judgemental history; assure privacy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Genitourinary &amp; menstrual symptom review</w:t>
            </w:r>
          </w:p>
        </w:tc>
        <w:tc>
          <w:tcPr>
            <w:tcW w:type="dxa" w:w="979"/>
            <w:vAlign w:val="top"/>
          </w:tcPr>
          <w:p>
            <w:pPr>
              <w:spacing w:after="40" w:before="0" w:line="259" w:lineRule="auto"/>
            </w:pPr>
            <w:r>
              <w:rPr>
                <w:rFonts w:ascii="Calibri" w:hAnsi="Calibri"/>
                <w:b w:val="0"/>
                <w:i w:val="0"/>
                <w:color w:val="212121"/>
                <w:sz w:val="16"/>
              </w:rPr>
              <w:t>Discharge, dysuria, intermenstrual/postcoital bleeding, pelvic pain, dyspareunia</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of these — especially bleeding after sex or between periods</w:t>
            </w:r>
          </w:p>
        </w:tc>
        <w:tc>
          <w:tcPr>
            <w:tcW w:type="dxa" w:w="1036"/>
            <w:vAlign w:val="top"/>
          </w:tcPr>
          <w:p>
            <w:pPr>
              <w:spacing w:after="40" w:before="0" w:line="259" w:lineRule="auto"/>
            </w:pPr>
            <w:r>
              <w:rPr>
                <w:rFonts w:ascii="Calibri" w:hAnsi="Calibri"/>
                <w:b w:val="0"/>
                <w:i w:val="0"/>
                <w:color w:val="212121"/>
                <w:sz w:val="16"/>
              </w:rPr>
              <w:t>Points to cervicitis or ascending infection, though absence never excludes chlamydia</w:t>
            </w:r>
          </w:p>
        </w:tc>
        <w:tc>
          <w:tcPr>
            <w:tcW w:type="dxa" w:w="1036"/>
            <w:vAlign w:val="top"/>
          </w:tcPr>
          <w:p>
            <w:pPr>
              <w:spacing w:after="40" w:before="0" w:line="259" w:lineRule="auto"/>
            </w:pPr>
            <w:r>
              <w:rPr>
                <w:rFonts w:ascii="Calibri" w:hAnsi="Calibri"/>
                <w:b w:val="0"/>
                <w:i w:val="0"/>
                <w:color w:val="212121"/>
                <w:sz w:val="16"/>
              </w:rPr>
              <w:t>Women of reproductive age, symptomatic men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pointer</w:t>
            </w:r>
          </w:p>
        </w:tc>
        <w:tc>
          <w:tcPr>
            <w:tcW w:type="dxa" w:w="720"/>
            <w:vAlign w:val="top"/>
          </w:tcPr>
          <w:p>
            <w:pPr>
              <w:spacing w:after="40" w:before="0" w:line="259" w:lineRule="auto"/>
            </w:pPr>
            <w:r>
              <w:rPr>
                <w:rFonts w:ascii="Calibri" w:hAnsi="Calibri"/>
                <w:b w:val="0"/>
                <w:i w:val="0"/>
                <w:color w:val="212121"/>
                <w:sz w:val="16"/>
              </w:rPr>
              <w:t>Over 80% of infected women report no symptoms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Obstetric &amp; fertility history</w:t>
            </w:r>
          </w:p>
        </w:tc>
        <w:tc>
          <w:tcPr>
            <w:tcW w:type="dxa" w:w="979"/>
            <w:vAlign w:val="top"/>
          </w:tcPr>
          <w:p>
            <w:pPr>
              <w:spacing w:after="40" w:before="0" w:line="259" w:lineRule="auto"/>
            </w:pPr>
            <w:r>
              <w:rPr>
                <w:rFonts w:ascii="Calibri" w:hAnsi="Calibri"/>
                <w:b w:val="0"/>
                <w:i w:val="0"/>
                <w:color w:val="212121"/>
                <w:sz w:val="16"/>
              </w:rPr>
              <w:t>Infertility, prior ectopic pregnancy, recurrent loss (BOH), preterm birth</w:t>
            </w:r>
          </w:p>
        </w:tc>
        <w:tc>
          <w:tcPr>
            <w:tcW w:type="dxa" w:w="950"/>
            <w:vAlign w:val="top"/>
          </w:tcPr>
          <w:p>
            <w:pPr>
              <w:spacing w:after="40" w:before="0" w:line="259" w:lineRule="auto"/>
            </w:pPr>
            <w:r>
              <w:rPr>
                <w:rFonts w:ascii="Calibri" w:hAnsi="Calibri"/>
                <w:b w:val="0"/>
                <w:i w:val="0"/>
                <w:color w:val="212121"/>
                <w:sz w:val="16"/>
              </w:rPr>
              <w:t>Unremarkable</w:t>
            </w:r>
          </w:p>
        </w:tc>
        <w:tc>
          <w:tcPr>
            <w:tcW w:type="dxa" w:w="950"/>
            <w:vAlign w:val="top"/>
          </w:tcPr>
          <w:p>
            <w:pPr>
              <w:spacing w:after="40" w:before="0" w:line="259" w:lineRule="auto"/>
            </w:pPr>
            <w:r>
              <w:rPr>
                <w:rFonts w:ascii="Calibri" w:hAnsi="Calibri"/>
                <w:b w:val="0"/>
                <w:i w:val="0"/>
                <w:color w:val="212121"/>
                <w:sz w:val="16"/>
              </w:rPr>
              <w:t>Tubal-factor infertility, ectopic, BOH</w:t>
            </w:r>
          </w:p>
        </w:tc>
        <w:tc>
          <w:tcPr>
            <w:tcW w:type="dxa" w:w="1036"/>
            <w:vAlign w:val="top"/>
          </w:tcPr>
          <w:p>
            <w:pPr>
              <w:spacing w:after="40" w:before="0" w:line="259" w:lineRule="auto"/>
            </w:pPr>
            <w:r>
              <w:rPr>
                <w:rFonts w:ascii="Calibri" w:hAnsi="Calibri"/>
                <w:b w:val="0"/>
                <w:i w:val="0"/>
                <w:color w:val="212121"/>
                <w:sz w:val="16"/>
              </w:rPr>
              <w:t>Flags chronic chlamydial sequelae; prompts serology, tubal evaluation and partner testing</w:t>
            </w:r>
          </w:p>
        </w:tc>
        <w:tc>
          <w:tcPr>
            <w:tcW w:type="dxa" w:w="1036"/>
            <w:vAlign w:val="top"/>
          </w:tcPr>
          <w:p>
            <w:pPr>
              <w:spacing w:after="40" w:before="0" w:line="259" w:lineRule="auto"/>
            </w:pPr>
            <w:r>
              <w:rPr>
                <w:rFonts w:ascii="Calibri" w:hAnsi="Calibri"/>
                <w:b w:val="0"/>
                <w:i w:val="0"/>
                <w:color w:val="212121"/>
                <w:sz w:val="16"/>
              </w:rPr>
              <w:t>Infertile couples, women with BOH</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Ask specifically about past STIs and partner symptoms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Speculum examination</w:t>
            </w:r>
          </w:p>
        </w:tc>
        <w:tc>
          <w:tcPr>
            <w:tcW w:type="dxa" w:w="979"/>
            <w:vAlign w:val="top"/>
          </w:tcPr>
          <w:p>
            <w:pPr>
              <w:spacing w:after="40" w:before="0" w:line="259" w:lineRule="auto"/>
            </w:pPr>
            <w:r>
              <w:rPr>
                <w:rFonts w:ascii="Calibri" w:hAnsi="Calibri"/>
                <w:b w:val="0"/>
                <w:i w:val="0"/>
                <w:color w:val="212121"/>
                <w:sz w:val="16"/>
              </w:rPr>
              <w:t>Cervical appearance &amp; discharge</w:t>
            </w:r>
          </w:p>
        </w:tc>
        <w:tc>
          <w:tcPr>
            <w:tcW w:type="dxa" w:w="950"/>
            <w:vAlign w:val="top"/>
          </w:tcPr>
          <w:p>
            <w:pPr>
              <w:spacing w:after="40" w:before="0" w:line="259" w:lineRule="auto"/>
            </w:pPr>
            <w:r>
              <w:rPr>
                <w:rFonts w:ascii="Calibri" w:hAnsi="Calibri"/>
                <w:b w:val="0"/>
                <w:i w:val="0"/>
                <w:color w:val="212121"/>
                <w:sz w:val="16"/>
              </w:rPr>
              <w:t>Healthy cervix, clear physiological discharge</w:t>
            </w:r>
          </w:p>
        </w:tc>
        <w:tc>
          <w:tcPr>
            <w:tcW w:type="dxa" w:w="950"/>
            <w:vAlign w:val="top"/>
          </w:tcPr>
          <w:p>
            <w:pPr>
              <w:spacing w:after="40" w:before="0" w:line="259" w:lineRule="auto"/>
            </w:pPr>
            <w:r>
              <w:rPr>
                <w:rFonts w:ascii="Calibri" w:hAnsi="Calibri"/>
                <w:b w:val="0"/>
                <w:i w:val="0"/>
                <w:color w:val="212121"/>
                <w:sz w:val="16"/>
              </w:rPr>
              <w:t>Mucopurulent endocervical discharge, oedematous ectopy, cervix bleeding on swab contact (friability)</w:t>
            </w:r>
          </w:p>
        </w:tc>
        <w:tc>
          <w:tcPr>
            <w:tcW w:type="dxa" w:w="1036"/>
            <w:vAlign w:val="top"/>
          </w:tcPr>
          <w:p>
            <w:pPr>
              <w:spacing w:after="40" w:before="0" w:line="259" w:lineRule="auto"/>
            </w:pPr>
            <w:r>
              <w:rPr>
                <w:rFonts w:ascii="Calibri" w:hAnsi="Calibri"/>
                <w:b w:val="0"/>
                <w:i w:val="0"/>
                <w:color w:val="212121"/>
                <w:sz w:val="16"/>
              </w:rPr>
              <w:t>Classic signs of chlamydial cervicitis</w:t>
            </w:r>
          </w:p>
        </w:tc>
        <w:tc>
          <w:tcPr>
            <w:tcW w:type="dxa" w:w="1036"/>
            <w:vAlign w:val="top"/>
          </w:tcPr>
          <w:p>
            <w:pPr>
              <w:spacing w:after="40" w:before="0" w:line="259" w:lineRule="auto"/>
            </w:pPr>
            <w:r>
              <w:rPr>
                <w:rFonts w:ascii="Calibri" w:hAnsi="Calibri"/>
                <w:b w:val="0"/>
                <w:i w:val="0"/>
                <w:color w:val="212121"/>
                <w:sz w:val="16"/>
              </w:rPr>
              <w:t>Symptomatic women, STI-clinic attendees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pointer</w:t>
            </w:r>
          </w:p>
        </w:tc>
        <w:tc>
          <w:tcPr>
            <w:tcW w:type="dxa" w:w="720"/>
            <w:vAlign w:val="top"/>
          </w:tcPr>
          <w:p>
            <w:pPr>
              <w:spacing w:after="40" w:before="0" w:line="259" w:lineRule="auto"/>
            </w:pPr>
            <w:r>
              <w:rPr>
                <w:rFonts w:ascii="Calibri" w:hAnsi="Calibri"/>
                <w:b w:val="0"/>
                <w:i w:val="0"/>
                <w:color w:val="212121"/>
                <w:sz w:val="16"/>
              </w:rPr>
              <w:t>Collect endocervical/vaginal NAAT swab during the same examination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Bimanual pelvic examination</w:t>
            </w:r>
          </w:p>
        </w:tc>
        <w:tc>
          <w:tcPr>
            <w:tcW w:type="dxa" w:w="979"/>
            <w:vAlign w:val="top"/>
          </w:tcPr>
          <w:p>
            <w:pPr>
              <w:spacing w:after="40" w:before="0" w:line="259" w:lineRule="auto"/>
            </w:pPr>
            <w:r>
              <w:rPr>
                <w:rFonts w:ascii="Calibri" w:hAnsi="Calibri"/>
                <w:b w:val="0"/>
                <w:i w:val="0"/>
                <w:color w:val="212121"/>
                <w:sz w:val="16"/>
              </w:rPr>
              <w:t>Cervical motion, uterine &amp; adnexal tenderness</w:t>
            </w:r>
          </w:p>
        </w:tc>
        <w:tc>
          <w:tcPr>
            <w:tcW w:type="dxa" w:w="950"/>
            <w:vAlign w:val="top"/>
          </w:tcPr>
          <w:p>
            <w:pPr>
              <w:spacing w:after="40" w:before="0" w:line="259" w:lineRule="auto"/>
            </w:pPr>
            <w:r>
              <w:rPr>
                <w:rFonts w:ascii="Calibri" w:hAnsi="Calibri"/>
                <w:b w:val="0"/>
                <w:i w:val="0"/>
                <w:color w:val="212121"/>
                <w:sz w:val="16"/>
              </w:rPr>
              <w:t>No tenderness or masses</w:t>
            </w:r>
          </w:p>
        </w:tc>
        <w:tc>
          <w:tcPr>
            <w:tcW w:type="dxa" w:w="950"/>
            <w:vAlign w:val="top"/>
          </w:tcPr>
          <w:p>
            <w:pPr>
              <w:spacing w:after="40" w:before="0" w:line="259" w:lineRule="auto"/>
            </w:pPr>
            <w:r>
              <w:rPr>
                <w:rFonts w:ascii="Calibri" w:hAnsi="Calibri"/>
                <w:b w:val="0"/>
                <w:i w:val="0"/>
                <w:color w:val="212121"/>
                <w:sz w:val="16"/>
              </w:rPr>
              <w:t>Cervical motion tenderness, adnexal tenderness ± mass</w:t>
            </w:r>
          </w:p>
        </w:tc>
        <w:tc>
          <w:tcPr>
            <w:tcW w:type="dxa" w:w="1036"/>
            <w:vAlign w:val="top"/>
          </w:tcPr>
          <w:p>
            <w:pPr>
              <w:spacing w:after="40" w:before="0" w:line="259" w:lineRule="auto"/>
            </w:pPr>
            <w:r>
              <w:rPr>
                <w:rFonts w:ascii="Calibri" w:hAnsi="Calibri"/>
                <w:b w:val="0"/>
                <w:i w:val="0"/>
                <w:color w:val="212121"/>
                <w:sz w:val="16"/>
              </w:rPr>
              <w:t>Minimum clinical criteria for PID in an at-risk woman — treat presumptively without waiting for tests</w:t>
            </w:r>
          </w:p>
        </w:tc>
        <w:tc>
          <w:tcPr>
            <w:tcW w:type="dxa" w:w="1036"/>
            <w:vAlign w:val="top"/>
          </w:tcPr>
          <w:p>
            <w:pPr>
              <w:spacing w:after="40" w:before="0" w:line="259" w:lineRule="auto"/>
            </w:pPr>
            <w:r>
              <w:rPr>
                <w:rFonts w:ascii="Calibri" w:hAnsi="Calibri"/>
                <w:b w:val="0"/>
                <w:i w:val="0"/>
                <w:color w:val="212121"/>
                <w:sz w:val="16"/>
              </w:rPr>
              <w:t>Women with lower abdominal/pelvic pain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 (clinical PID)</w:t>
            </w:r>
          </w:p>
        </w:tc>
        <w:tc>
          <w:tcPr>
            <w:tcW w:type="dxa" w:w="720"/>
            <w:vAlign w:val="top"/>
          </w:tcPr>
          <w:p>
            <w:pPr>
              <w:spacing w:after="40" w:before="0" w:line="259" w:lineRule="auto"/>
            </w:pPr>
            <w:r>
              <w:rPr>
                <w:rFonts w:ascii="Calibri" w:hAnsi="Calibri"/>
                <w:b w:val="0"/>
                <w:i w:val="0"/>
                <w:color w:val="212121"/>
                <w:sz w:val="16"/>
              </w:rPr>
              <w:t>Right-upper-quadrant tenderness suggests Fitz-Hugh–Curtis perihepatitis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Male genital &amp; anorectal examination</w:t>
            </w:r>
          </w:p>
        </w:tc>
        <w:tc>
          <w:tcPr>
            <w:tcW w:type="dxa" w:w="979"/>
            <w:vAlign w:val="top"/>
          </w:tcPr>
          <w:p>
            <w:pPr>
              <w:spacing w:after="40" w:before="0" w:line="259" w:lineRule="auto"/>
            </w:pPr>
            <w:r>
              <w:rPr>
                <w:rFonts w:ascii="Calibri" w:hAnsi="Calibri"/>
                <w:b w:val="0"/>
                <w:i w:val="0"/>
                <w:color w:val="212121"/>
                <w:sz w:val="16"/>
              </w:rPr>
              <w:t>Urethral discharge, scrotal and inguinal findings</w:t>
            </w:r>
          </w:p>
        </w:tc>
        <w:tc>
          <w:tcPr>
            <w:tcW w:type="dxa" w:w="950"/>
            <w:vAlign w:val="top"/>
          </w:tcPr>
          <w:p>
            <w:pPr>
              <w:spacing w:after="40" w:before="0" w:line="259" w:lineRule="auto"/>
            </w:pPr>
            <w:r>
              <w:rPr>
                <w:rFonts w:ascii="Calibri" w:hAnsi="Calibri"/>
                <w:b w:val="0"/>
                <w:i w:val="0"/>
                <w:color w:val="212121"/>
                <w:sz w:val="16"/>
              </w:rPr>
              <w:t>No discharge, non-tender epididymis, no lymphadenopathy</w:t>
            </w:r>
          </w:p>
        </w:tc>
        <w:tc>
          <w:tcPr>
            <w:tcW w:type="dxa" w:w="950"/>
            <w:vAlign w:val="top"/>
          </w:tcPr>
          <w:p>
            <w:pPr>
              <w:spacing w:after="40" w:before="0" w:line="259" w:lineRule="auto"/>
            </w:pPr>
            <w:r>
              <w:rPr>
                <w:rFonts w:ascii="Calibri" w:hAnsi="Calibri"/>
                <w:b w:val="0"/>
                <w:i w:val="0"/>
                <w:color w:val="212121"/>
                <w:sz w:val="16"/>
              </w:rPr>
              <w:t>Mucoid discharge on urethral milking, unilateral tender swollen epididymis, proctitis signs, tender inguinal buboes with groove sign (LGV)</w:t>
            </w:r>
          </w:p>
        </w:tc>
        <w:tc>
          <w:tcPr>
            <w:tcW w:type="dxa" w:w="1036"/>
            <w:vAlign w:val="top"/>
          </w:tcPr>
          <w:p>
            <w:pPr>
              <w:spacing w:after="40" w:before="0" w:line="259" w:lineRule="auto"/>
            </w:pPr>
            <w:r>
              <w:rPr>
                <w:rFonts w:ascii="Calibri" w:hAnsi="Calibri"/>
                <w:b w:val="0"/>
                <w:i w:val="0"/>
                <w:color w:val="212121"/>
                <w:sz w:val="16"/>
              </w:rPr>
              <w:t>Identifies NGU, epididymo-orchitis and LGV requiring extended therapy</w:t>
            </w:r>
          </w:p>
        </w:tc>
        <w:tc>
          <w:tcPr>
            <w:tcW w:type="dxa" w:w="1036"/>
            <w:vAlign w:val="top"/>
          </w:tcPr>
          <w:p>
            <w:pPr>
              <w:spacing w:after="40" w:before="0" w:line="259" w:lineRule="auto"/>
            </w:pPr>
            <w:r>
              <w:rPr>
                <w:rFonts w:ascii="Calibri" w:hAnsi="Calibri"/>
                <w:b w:val="0"/>
                <w:i w:val="0"/>
                <w:color w:val="212121"/>
                <w:sz w:val="16"/>
              </w:rPr>
              <w:t>Symptomatic men, MSM</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pointer</w:t>
            </w:r>
          </w:p>
        </w:tc>
        <w:tc>
          <w:tcPr>
            <w:tcW w:type="dxa" w:w="720"/>
            <w:vAlign w:val="top"/>
          </w:tcPr>
          <w:p>
            <w:pPr>
              <w:spacing w:after="40" w:before="0" w:line="259" w:lineRule="auto"/>
            </w:pPr>
            <w:r>
              <w:rPr>
                <w:rFonts w:ascii="Calibri" w:hAnsi="Calibri"/>
                <w:b w:val="0"/>
                <w:i w:val="0"/>
                <w:color w:val="212121"/>
                <w:sz w:val="16"/>
              </w:rPr>
              <w:t>Examine anorectum in MSM even without symptoms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Neonatal assessment (infants of infected mothers)</w:t>
            </w:r>
          </w:p>
        </w:tc>
        <w:tc>
          <w:tcPr>
            <w:tcW w:type="dxa" w:w="979"/>
            <w:vAlign w:val="top"/>
          </w:tcPr>
          <w:p>
            <w:pPr>
              <w:spacing w:after="40" w:before="0" w:line="259" w:lineRule="auto"/>
            </w:pPr>
            <w:r>
              <w:rPr>
                <w:rFonts w:ascii="Calibri" w:hAnsi="Calibri"/>
                <w:b w:val="0"/>
                <w:i w:val="0"/>
                <w:color w:val="212121"/>
                <w:sz w:val="16"/>
              </w:rPr>
              <w:t>Eyes and respiratory pattern</w:t>
            </w:r>
          </w:p>
        </w:tc>
        <w:tc>
          <w:tcPr>
            <w:tcW w:type="dxa" w:w="950"/>
            <w:vAlign w:val="top"/>
          </w:tcPr>
          <w:p>
            <w:pPr>
              <w:spacing w:after="40" w:before="0" w:line="259" w:lineRule="auto"/>
            </w:pPr>
            <w:r>
              <w:rPr>
                <w:rFonts w:ascii="Calibri" w:hAnsi="Calibri"/>
                <w:b w:val="0"/>
                <w:i w:val="0"/>
                <w:color w:val="212121"/>
                <w:sz w:val="16"/>
              </w:rPr>
              <w:t>Clear conjunctivae, normal breathing</w:t>
            </w:r>
          </w:p>
        </w:tc>
        <w:tc>
          <w:tcPr>
            <w:tcW w:type="dxa" w:w="950"/>
            <w:vAlign w:val="top"/>
          </w:tcPr>
          <w:p>
            <w:pPr>
              <w:spacing w:after="40" w:before="0" w:line="259" w:lineRule="auto"/>
            </w:pPr>
            <w:r>
              <w:rPr>
                <w:rFonts w:ascii="Calibri" w:hAnsi="Calibri"/>
                <w:b w:val="0"/>
                <w:i w:val="0"/>
                <w:color w:val="212121"/>
                <w:sz w:val="16"/>
              </w:rPr>
              <w:t>Mucopurulent conjunctivitis with lid swelling at 5–14 days; afebrile staccato-cough pneumonia with tachypnoea at 1–3 months</w:t>
            </w:r>
          </w:p>
        </w:tc>
        <w:tc>
          <w:tcPr>
            <w:tcW w:type="dxa" w:w="1036"/>
            <w:vAlign w:val="top"/>
          </w:tcPr>
          <w:p>
            <w:pPr>
              <w:spacing w:after="40" w:before="0" w:line="259" w:lineRule="auto"/>
            </w:pPr>
            <w:r>
              <w:rPr>
                <w:rFonts w:ascii="Calibri" w:hAnsi="Calibri"/>
                <w:b w:val="0"/>
                <w:i w:val="0"/>
                <w:color w:val="212121"/>
                <w:sz w:val="16"/>
              </w:rPr>
              <w:t>Perinatally acquired chlamydia — treat systemically and evaluate mother and partner</w:t>
            </w:r>
          </w:p>
        </w:tc>
        <w:tc>
          <w:tcPr>
            <w:tcW w:type="dxa" w:w="1036"/>
            <w:vAlign w:val="top"/>
          </w:tcPr>
          <w:p>
            <w:pPr>
              <w:spacing w:after="40" w:before="0" w:line="259" w:lineRule="auto"/>
            </w:pPr>
            <w:r>
              <w:rPr>
                <w:rFonts w:ascii="Calibri" w:hAnsi="Calibri"/>
                <w:b w:val="0"/>
                <w:i w:val="0"/>
                <w:color w:val="212121"/>
                <w:sz w:val="16"/>
              </w:rPr>
              <w:t>Neonates and infants of infected or unscreened mothers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Essential</w:t>
            </w:r>
          </w:p>
        </w:tc>
        <w:tc>
          <w:tcPr>
            <w:tcW w:type="dxa" w:w="720"/>
            <w:vAlign w:val="top"/>
          </w:tcPr>
          <w:p>
            <w:pPr>
              <w:spacing w:after="40" w:before="0" w:line="259" w:lineRule="auto"/>
            </w:pPr>
            <w:r>
              <w:rPr>
                <w:rFonts w:ascii="Calibri" w:hAnsi="Calibri"/>
                <w:b w:val="0"/>
                <w:i w:val="0"/>
                <w:color w:val="212121"/>
                <w:sz w:val="16"/>
              </w:rPr>
              <w:t>Topical eye therapy alone is inadequate; systemic erythromycin required</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Asymptomatic ('silent') infection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hallmark of chlamydia: over 80% of infected women and many infected men have no symptoms, so infection is discovered only by screening or when complications surface.</w:t>
            </w:r>
          </w:p>
        </w:tc>
      </w:tr>
      <w:tr>
        <w:trPr>
          <w:cantSplit/>
        </w:trPr>
        <w:tc>
          <w:tcPr>
            <w:tcW w:type="dxa" w:w="2304"/>
            <w:vAlign w:val="top"/>
          </w:tcPr>
          <w:p>
            <w:pPr>
              <w:spacing w:after="40" w:before="0" w:line="259" w:lineRule="auto"/>
            </w:pPr>
            <w:r>
              <w:rPr>
                <w:rFonts w:ascii="Calibri" w:hAnsi="Calibri"/>
                <w:b/>
                <w:i w:val="0"/>
                <w:color w:val="212121"/>
                <w:sz w:val="19"/>
              </w:rPr>
              <w:t>Abnormal vaginal discharge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Mucopurulent discharge from cervicitis; often mild and mistaken for physiological discharge.</w:t>
            </w:r>
          </w:p>
        </w:tc>
      </w:tr>
      <w:tr>
        <w:trPr>
          <w:cantSplit/>
        </w:trPr>
        <w:tc>
          <w:tcPr>
            <w:tcW w:type="dxa" w:w="2304"/>
            <w:vAlign w:val="top"/>
          </w:tcPr>
          <w:p>
            <w:pPr>
              <w:spacing w:after="40" w:before="0" w:line="259" w:lineRule="auto"/>
            </w:pPr>
            <w:r>
              <w:rPr>
                <w:rFonts w:ascii="Calibri" w:hAnsi="Calibri"/>
                <w:b/>
                <w:i w:val="0"/>
                <w:color w:val="212121"/>
                <w:sz w:val="19"/>
              </w:rPr>
              <w:t>Dysuria (burning on urination)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Urethritis in both sexes; classically 'sterile pyuria' — pus cells in urine with negative routine culture.</w:t>
            </w:r>
          </w:p>
        </w:tc>
      </w:tr>
      <w:tr>
        <w:trPr>
          <w:cantSplit/>
        </w:trPr>
        <w:tc>
          <w:tcPr>
            <w:tcW w:type="dxa" w:w="2304"/>
            <w:vAlign w:val="top"/>
          </w:tcPr>
          <w:p>
            <w:pPr>
              <w:spacing w:after="40" w:before="0" w:line="259" w:lineRule="auto"/>
            </w:pPr>
            <w:r>
              <w:rPr>
                <w:rFonts w:ascii="Calibri" w:hAnsi="Calibri"/>
                <w:b/>
                <w:i w:val="0"/>
                <w:color w:val="212121"/>
                <w:sz w:val="19"/>
              </w:rPr>
              <w:t>Urethral discharge in men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Scanty, watery-to-mucoid discharge of non-gonococcal urethritis, often noticed only as a morning drop.</w:t>
            </w:r>
          </w:p>
        </w:tc>
      </w:tr>
      <w:tr>
        <w:trPr>
          <w:cantSplit/>
        </w:trPr>
        <w:tc>
          <w:tcPr>
            <w:tcW w:type="dxa" w:w="2304"/>
            <w:vAlign w:val="top"/>
          </w:tcPr>
          <w:p>
            <w:pPr>
              <w:spacing w:after="40" w:before="0" w:line="259" w:lineRule="auto"/>
            </w:pPr>
            <w:r>
              <w:rPr>
                <w:rFonts w:ascii="Calibri" w:hAnsi="Calibri"/>
                <w:b/>
                <w:i w:val="0"/>
                <w:color w:val="212121"/>
                <w:sz w:val="19"/>
              </w:rPr>
              <w:t>Intermenstrual or postcoital bleeding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Bleeding between periods or after sex from an inflamed, friable cervix — a red-flag symptom for cervicitis.</w:t>
            </w:r>
          </w:p>
        </w:tc>
      </w:tr>
      <w:tr>
        <w:trPr>
          <w:cantSplit/>
        </w:trPr>
        <w:tc>
          <w:tcPr>
            <w:tcW w:type="dxa" w:w="2304"/>
            <w:vAlign w:val="top"/>
          </w:tcPr>
          <w:p>
            <w:pPr>
              <w:spacing w:after="40" w:before="0" w:line="259" w:lineRule="auto"/>
            </w:pPr>
            <w:r>
              <w:rPr>
                <w:rFonts w:ascii="Calibri" w:hAnsi="Calibri"/>
                <w:b/>
                <w:i w:val="0"/>
                <w:color w:val="212121"/>
                <w:sz w:val="19"/>
              </w:rPr>
              <w:t>Lower abdominal / pelvic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Suggests ascent to the endometrium and tubes (PID); may be subacute and easily dismissed.</w:t>
            </w:r>
          </w:p>
        </w:tc>
      </w:tr>
      <w:tr>
        <w:trPr>
          <w:cantSplit/>
        </w:trPr>
        <w:tc>
          <w:tcPr>
            <w:tcW w:type="dxa" w:w="2304"/>
            <w:vAlign w:val="top"/>
          </w:tcPr>
          <w:p>
            <w:pPr>
              <w:spacing w:after="40" w:before="0" w:line="259" w:lineRule="auto"/>
            </w:pPr>
            <w:r>
              <w:rPr>
                <w:rFonts w:ascii="Calibri" w:hAnsi="Calibri"/>
                <w:b/>
                <w:i w:val="0"/>
                <w:color w:val="212121"/>
                <w:sz w:val="19"/>
              </w:rPr>
              <w:t>Deep dyspareunia (painful intercourse)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Cervicitis and pelvic inflammation; chronic dyspareunia may persist after tubal scarring.</w:t>
            </w:r>
          </w:p>
        </w:tc>
      </w:tr>
      <w:tr>
        <w:trPr>
          <w:cantSplit/>
        </w:trPr>
        <w:tc>
          <w:tcPr>
            <w:tcW w:type="dxa" w:w="2304"/>
            <w:vAlign w:val="top"/>
          </w:tcPr>
          <w:p>
            <w:pPr>
              <w:spacing w:after="40" w:before="0" w:line="259" w:lineRule="auto"/>
            </w:pPr>
            <w:r>
              <w:rPr>
                <w:rFonts w:ascii="Calibri" w:hAnsi="Calibri"/>
                <w:b/>
                <w:i w:val="0"/>
                <w:color w:val="212121"/>
                <w:sz w:val="19"/>
              </w:rPr>
              <w:t>Testicular pain or swelling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Unilateral epididymo-orchitis, the main male complication in sexually active men under 35.</w:t>
            </w:r>
          </w:p>
        </w:tc>
      </w:tr>
      <w:tr>
        <w:trPr>
          <w:cantSplit/>
        </w:trPr>
        <w:tc>
          <w:tcPr>
            <w:tcW w:type="dxa" w:w="2304"/>
            <w:vAlign w:val="top"/>
          </w:tcPr>
          <w:p>
            <w:pPr>
              <w:spacing w:after="40" w:before="0" w:line="259" w:lineRule="auto"/>
            </w:pPr>
            <w:r>
              <w:rPr>
                <w:rFonts w:ascii="Calibri" w:hAnsi="Calibri"/>
                <w:b/>
                <w:i w:val="0"/>
                <w:color w:val="212121"/>
                <w:sz w:val="19"/>
              </w:rPr>
              <w:t>Anorectal pain, discharge, bleeding or tenesmus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Proctitis after receptive anal exposure; LGV serovars cause severe ulcerative proctocolitis mimicking inflammatory bowel disease.</w:t>
            </w:r>
          </w:p>
        </w:tc>
      </w:tr>
      <w:tr>
        <w:trPr>
          <w:cantSplit/>
        </w:trPr>
        <w:tc>
          <w:tcPr>
            <w:tcW w:type="dxa" w:w="2304"/>
            <w:vAlign w:val="top"/>
          </w:tcPr>
          <w:p>
            <w:pPr>
              <w:spacing w:after="40" w:before="0" w:line="259" w:lineRule="auto"/>
            </w:pPr>
            <w:r>
              <w:rPr>
                <w:rFonts w:ascii="Calibri" w:hAnsi="Calibri"/>
                <w:b/>
                <w:i w:val="0"/>
                <w:color w:val="212121"/>
                <w:sz w:val="19"/>
              </w:rPr>
              <w:t>Sore throat</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Pharyngeal infection after oral exposure is usually silent; occasionally mild pharyngitis.</w:t>
            </w:r>
          </w:p>
        </w:tc>
      </w:tr>
      <w:tr>
        <w:trPr>
          <w:cantSplit/>
        </w:trPr>
        <w:tc>
          <w:tcPr>
            <w:tcW w:type="dxa" w:w="2304"/>
            <w:vAlign w:val="top"/>
          </w:tcPr>
          <w:p>
            <w:pPr>
              <w:spacing w:after="40" w:before="0" w:line="259" w:lineRule="auto"/>
            </w:pPr>
            <w:r>
              <w:rPr>
                <w:rFonts w:ascii="Calibri" w:hAnsi="Calibri"/>
                <w:b/>
                <w:i w:val="0"/>
                <w:color w:val="212121"/>
                <w:sz w:val="19"/>
              </w:rPr>
              <w:t>Red, sticky eye in adults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Adult inclusion conjunctivitis from autoinoculation of infected genital secretions.</w:t>
            </w:r>
          </w:p>
        </w:tc>
      </w:tr>
      <w:tr>
        <w:trPr>
          <w:cantSplit/>
        </w:trPr>
        <w:tc>
          <w:tcPr>
            <w:tcW w:type="dxa" w:w="2304"/>
            <w:vAlign w:val="top"/>
          </w:tcPr>
          <w:p>
            <w:pPr>
              <w:spacing w:after="40" w:before="0" w:line="259" w:lineRule="auto"/>
            </w:pPr>
            <w:r>
              <w:rPr>
                <w:rFonts w:ascii="Calibri" w:hAnsi="Calibri"/>
                <w:b/>
                <w:i w:val="0"/>
                <w:color w:val="212121"/>
                <w:sz w:val="19"/>
              </w:rPr>
              <w:t>Joint pain with eye redness and urethritis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Sexually acquired reactive arthritis (SARA) triad appearing 1–4 weeks after genital infection, typically asymmetric lower-limb arthritis in young HLA-B27-positive men.</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Mucopurulent endocervical discharge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Yellow exudate visible in the cervical os on speculum examination — the classic sign of chlamydial cervicitis.</w:t>
            </w:r>
          </w:p>
        </w:tc>
      </w:tr>
      <w:tr>
        <w:trPr>
          <w:cantSplit/>
        </w:trPr>
        <w:tc>
          <w:tcPr>
            <w:tcW w:type="dxa" w:w="3456"/>
            <w:vAlign w:val="top"/>
          </w:tcPr>
          <w:p>
            <w:pPr>
              <w:spacing w:after="40" w:before="0" w:line="259" w:lineRule="auto"/>
            </w:pPr>
            <w:r>
              <w:rPr>
                <w:rFonts w:ascii="Calibri" w:hAnsi="Calibri"/>
                <w:b/>
                <w:i w:val="0"/>
                <w:color w:val="212121"/>
                <w:sz w:val="19"/>
              </w:rPr>
              <w:t>Friable cervix (contact bleeding on swabbing)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Inflamed hypertrophic ectopy that bleeds easily on touch; strongly suggests chlamydial or gonococcal cervicitis.</w:t>
            </w:r>
          </w:p>
        </w:tc>
      </w:tr>
      <w:tr>
        <w:trPr>
          <w:cantSplit/>
        </w:trPr>
        <w:tc>
          <w:tcPr>
            <w:tcW w:type="dxa" w:w="3456"/>
            <w:vAlign w:val="top"/>
          </w:tcPr>
          <w:p>
            <w:pPr>
              <w:spacing w:after="40" w:before="0" w:line="259" w:lineRule="auto"/>
            </w:pPr>
            <w:r>
              <w:rPr>
                <w:rFonts w:ascii="Calibri" w:hAnsi="Calibri"/>
                <w:b/>
                <w:i w:val="0"/>
                <w:color w:val="212121"/>
                <w:sz w:val="19"/>
              </w:rPr>
              <w:t>Cervical motion and adnexal tenderness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Bimanual findings constituting the minimum clinical criteria of PID; may include an adnexal mass (tubo-ovarian abscess).</w:t>
            </w:r>
          </w:p>
        </w:tc>
      </w:tr>
      <w:tr>
        <w:trPr>
          <w:cantSplit/>
        </w:trPr>
        <w:tc>
          <w:tcPr>
            <w:tcW w:type="dxa" w:w="3456"/>
            <w:vAlign w:val="top"/>
          </w:tcPr>
          <w:p>
            <w:pPr>
              <w:spacing w:after="40" w:before="0" w:line="259" w:lineRule="auto"/>
            </w:pPr>
            <w:r>
              <w:rPr>
                <w:rFonts w:ascii="Calibri" w:hAnsi="Calibri"/>
                <w:b/>
                <w:i w:val="0"/>
                <w:color w:val="212121"/>
                <w:sz w:val="19"/>
              </w:rPr>
              <w:t>Urethral discharge expressed on milking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Mucoid/watery discharge in symptomatic men with non-gonococcal urethritis.</w:t>
            </w:r>
          </w:p>
        </w:tc>
      </w:tr>
      <w:tr>
        <w:trPr>
          <w:cantSplit/>
        </w:trPr>
        <w:tc>
          <w:tcPr>
            <w:tcW w:type="dxa" w:w="3456"/>
            <w:vAlign w:val="top"/>
          </w:tcPr>
          <w:p>
            <w:pPr>
              <w:spacing w:after="40" w:before="0" w:line="259" w:lineRule="auto"/>
            </w:pPr>
            <w:r>
              <w:rPr>
                <w:rFonts w:ascii="Calibri" w:hAnsi="Calibri"/>
                <w:b/>
                <w:i w:val="0"/>
                <w:color w:val="212121"/>
                <w:sz w:val="19"/>
              </w:rPr>
              <w:t>Unilateral tender epididymal swelling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Epididymo-orchitis with scrotal erythema; relief on scrotal elevation (Prehn sign) distinguishes it clinically from torsion, which must still be excluded.</w:t>
            </w:r>
          </w:p>
        </w:tc>
      </w:tr>
      <w:tr>
        <w:trPr>
          <w:cantSplit/>
        </w:trPr>
        <w:tc>
          <w:tcPr>
            <w:tcW w:type="dxa" w:w="3456"/>
            <w:vAlign w:val="top"/>
          </w:tcPr>
          <w:p>
            <w:pPr>
              <w:spacing w:after="40" w:before="0" w:line="259" w:lineRule="auto"/>
            </w:pPr>
            <w:r>
              <w:rPr>
                <w:rFonts w:ascii="Calibri" w:hAnsi="Calibri"/>
                <w:b/>
                <w:i w:val="0"/>
                <w:color w:val="212121"/>
                <w:sz w:val="19"/>
              </w:rPr>
              <w:t>Right-upper-quadrant tenderness with PID signs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Fitz-Hugh–Curtis perihepatitis; laparoscopy shows 'violin-string' perihepatic adhesions.</w:t>
            </w:r>
          </w:p>
        </w:tc>
      </w:tr>
      <w:tr>
        <w:trPr>
          <w:cantSplit/>
        </w:trPr>
        <w:tc>
          <w:tcPr>
            <w:tcW w:type="dxa" w:w="3456"/>
            <w:vAlign w:val="top"/>
          </w:tcPr>
          <w:p>
            <w:pPr>
              <w:spacing w:after="40" w:before="0" w:line="259" w:lineRule="auto"/>
            </w:pPr>
            <w:r>
              <w:rPr>
                <w:rFonts w:ascii="Calibri" w:hAnsi="Calibri"/>
                <w:b/>
                <w:i w:val="0"/>
                <w:color w:val="212121"/>
                <w:sz w:val="19"/>
              </w:rPr>
              <w:t>Tender inguinal/femoral buboes with the groove sign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Matted nodes separated by the inguinal ligament — pathognomonic of lymphogranuloma venereum.</w:t>
            </w:r>
          </w:p>
        </w:tc>
      </w:tr>
      <w:tr>
        <w:trPr>
          <w:cantSplit/>
        </w:trPr>
        <w:tc>
          <w:tcPr>
            <w:tcW w:type="dxa" w:w="3456"/>
            <w:vAlign w:val="top"/>
          </w:tcPr>
          <w:p>
            <w:pPr>
              <w:spacing w:after="40" w:before="0" w:line="259" w:lineRule="auto"/>
            </w:pPr>
            <w:r>
              <w:rPr>
                <w:rFonts w:ascii="Calibri" w:hAnsi="Calibri"/>
                <w:b/>
                <w:i w:val="0"/>
                <w:color w:val="212121"/>
                <w:sz w:val="19"/>
              </w:rPr>
              <w:t>Neonatal mucopurulent conjunctivitis with eyelid swelling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Chlamydial ophthalmia neonatorum appearing 5–14 days after vaginal birth to an infected mother; later, afebrile staccato-cough pneumonia with crepitations at 1–3 months.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Pelvic inflammatory disease — endometritis, salpingitis, tubo-ovarian abscess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Epididymo-orchitis in 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Proctitis / proctocolitis (including severe LGV proctitis)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Perihepatitis (Fitz-Hugh–Curtis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 inclusion conjunctivitis and bartholinitis</w:t>
            </w:r>
          </w:p>
        </w:tc>
        <w:tc>
          <w:tcPr>
            <w:tcW w:type="dxa" w:w="2980"/>
            <w:vAlign w:val="top"/>
          </w:tcPr>
          <w:p>
            <w:pPr>
              <w:spacing w:after="40" w:before="0" w:line="259" w:lineRule="auto"/>
            </w:pPr>
            <w:r>
              <w:rPr>
                <w:rFonts w:ascii="Calibri" w:hAnsi="Calibri"/>
                <w:b w:val="0"/>
                <w:i w:val="0"/>
                <w:color w:val="212121"/>
                <w:sz w:val="19"/>
              </w:rPr>
              <w:t>Direct ascending or contiguous spread of infection from the cervix, urethra or rectum; Indian series find chlamydia in 30–60% of salpingitis/PID cases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Tubal-factor infertility from post-inflammatory tubal scarring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Ectopic (tubal)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pelvic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Sexually acquired reactive arthritis (SARA)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Enhanced HIV acquisition and transmission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Adverse pregnancy outcomes — preterm delivery, premature rupture of membranes, low birth weight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Neonatal conjunctivitis (5–14 days) and neonatal pneumonia (1–3 months)</w:t>
            </w:r>
          </w:p>
        </w:tc>
        <w:tc>
          <w:tcPr>
            <w:tcW w:type="dxa" w:w="2980"/>
            <w:vAlign w:val="top"/>
          </w:tcPr>
          <w:p>
            <w:pPr>
              <w:spacing w:after="40" w:before="0" w:line="259" w:lineRule="auto"/>
            </w:pPr>
            <w:r>
              <w:rPr>
                <w:rFonts w:ascii="Calibri" w:hAnsi="Calibri"/>
                <w:b w:val="0"/>
                <w:i w:val="0"/>
                <w:color w:val="212121"/>
                <w:sz w:val="19"/>
              </w:rPr>
              <w:t>Immune-mediated scarring and inflammation following untreated or repeated infection; chlamydia-positive women show roughly 2-fold PID, 87% higher ectopic and 85% higher infertility risk than test-negative women</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Irreversible bilateral tubal blockage requiring IVF/assisted reproduction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ectopic pregnancy and tubal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pelvic pain syndrome with adhesions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Late LGV sequelae — anorectal strictures, fistulae, genital elephantiasis (esthiomene)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Trachomatous trichiasis and corneal blindness (ocular serovars; eliminated as a public health problem in India in 2024 but legacy cases persist)</w:t>
            </w:r>
          </w:p>
        </w:tc>
        <w:tc>
          <w:tcPr>
            <w:tcW w:type="dxa" w:w="2980"/>
            <w:vAlign w:val="top"/>
          </w:tcPr>
          <w:p>
            <w:pPr>
              <w:spacing w:after="40" w:before="0" w:line="259" w:lineRule="auto"/>
            </w:pPr>
            <w:r>
              <w:rPr>
                <w:rFonts w:ascii="Calibri" w:hAnsi="Calibri"/>
                <w:b w:val="0"/>
                <w:i w:val="0"/>
                <w:color w:val="212121"/>
                <w:sz w:val="19"/>
              </w:rPr>
              <w:t>Irreversible structural end-stage outcomes of longstanding untreated infection — the reason chlamydia is called the silent cause of infertility</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Pelvic inflammatory disease (PID)</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Ascending infection of the upper genital tract; the pivotal intermediate step between silent cervicitis and infertility.</w:t>
            </w:r>
          </w:p>
          <w:p>
            <w:pPr>
              <w:spacing w:after="40" w:before="0" w:line="259" w:lineRule="auto"/>
            </w:pPr>
            <w:r>
              <w:rPr>
                <w:rFonts w:ascii="Calibri" w:hAnsi="Calibri"/>
                <w:b/>
                <w:i w:val="0"/>
                <w:color w:val="212121"/>
                <w:sz w:val="19"/>
              </w:rPr>
              <w:t>30–60%</w:t>
            </w:r>
          </w:p>
        </w:tc>
      </w:tr>
      <w:tr>
        <w:trPr>
          <w:cantSplit/>
        </w:trPr>
        <w:tc>
          <w:tcPr>
            <w:tcW w:type="dxa" w:w="2232"/>
            <w:vAlign w:val="top"/>
          </w:tcPr>
          <w:p>
            <w:pPr>
              <w:spacing w:after="40" w:before="0" w:line="259" w:lineRule="auto"/>
            </w:pPr>
            <w:r>
              <w:rPr>
                <w:rFonts w:ascii="Calibri" w:hAnsi="Calibri"/>
                <w:b/>
                <w:i w:val="0"/>
                <w:color w:val="212121"/>
                <w:sz w:val="19"/>
              </w:rPr>
              <w:t>Tubal-factor infertility</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Post-inflammatory fimbrial damage and tubal occlusion; anti-chlamydial IgG found in up to 68% of infertile Indian women versus 10% of healthy pregnant women.</w:t>
            </w:r>
          </w:p>
          <w:p>
            <w:pPr>
              <w:spacing w:after="40" w:before="0" w:line="259" w:lineRule="auto"/>
            </w:pPr>
            <w:r>
              <w:rPr>
                <w:rFonts w:ascii="Calibri" w:hAnsi="Calibri"/>
                <w:b/>
                <w:i w:val="0"/>
                <w:color w:val="212121"/>
                <w:sz w:val="19"/>
              </w:rPr>
              <w:t>Up to 68%</w:t>
            </w:r>
          </w:p>
        </w:tc>
      </w:tr>
      <w:tr>
        <w:trPr>
          <w:cantSplit/>
        </w:trPr>
        <w:tc>
          <w:tcPr>
            <w:tcW w:type="dxa" w:w="2232"/>
            <w:vAlign w:val="top"/>
          </w:tcPr>
          <w:p>
            <w:pPr>
              <w:spacing w:after="40" w:before="0" w:line="259" w:lineRule="auto"/>
            </w:pPr>
            <w:r>
              <w:rPr>
                <w:rFonts w:ascii="Calibri" w:hAnsi="Calibri"/>
                <w:b/>
                <w:i w:val="0"/>
                <w:color w:val="212121"/>
                <w:sz w:val="19"/>
              </w:rPr>
              <w:t>Ectopic pregnancy</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Scarred, partially blocked tubes trap the fertilised ovum; chlamydia-positive women showed an 87% higher ectopic risk (aHR 1.87) in a UK primary-care cohort.</w:t>
            </w:r>
          </w:p>
          <w:p>
            <w:pPr>
              <w:spacing w:after="40" w:before="0" w:line="259" w:lineRule="auto"/>
            </w:pPr>
            <w:r>
              <w:rPr>
                <w:rFonts w:ascii="Calibri" w:hAnsi="Calibri"/>
                <w:b/>
                <w:i w:val="0"/>
                <w:color w:val="212121"/>
                <w:sz w:val="19"/>
              </w:rPr>
              <w:t>~87% higher risk</w:t>
            </w:r>
          </w:p>
        </w:tc>
      </w:tr>
      <w:tr>
        <w:trPr>
          <w:cantSplit/>
        </w:trPr>
        <w:tc>
          <w:tcPr>
            <w:tcW w:type="dxa" w:w="2232"/>
            <w:vAlign w:val="top"/>
          </w:tcPr>
          <w:p>
            <w:pPr>
              <w:spacing w:after="40" w:before="0" w:line="259" w:lineRule="auto"/>
            </w:pPr>
            <w:r>
              <w:rPr>
                <w:rFonts w:ascii="Calibri" w:hAnsi="Calibri"/>
                <w:b/>
                <w:i w:val="0"/>
                <w:color w:val="212121"/>
                <w:sz w:val="19"/>
              </w:rPr>
              <w:t>Gonorrhoea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Frequent co-infection sharing the same transmission route; syndromic management in India (NACO kits) and empiric regimens co-treat both organisms.</w:t>
            </w:r>
          </w:p>
        </w:tc>
      </w:tr>
      <w:tr>
        <w:trPr>
          <w:cantSplit/>
        </w:trPr>
        <w:tc>
          <w:tcPr>
            <w:tcW w:type="dxa" w:w="2232"/>
            <w:vAlign w:val="top"/>
          </w:tcPr>
          <w:p>
            <w:pPr>
              <w:spacing w:after="40" w:before="0" w:line="259" w:lineRule="auto"/>
            </w:pPr>
            <w:r>
              <w:rPr>
                <w:rFonts w:ascii="Calibri" w:hAnsi="Calibri"/>
                <w:b/>
                <w:i w:val="0"/>
                <w:color w:val="212121"/>
                <w:sz w:val="19"/>
              </w:rPr>
              <w:t>HIV infection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Chlamydial genital inflammation facilitates HIV acquisition and transmission, while HIV immunosuppression prolongs STI persistence; 30% of chlamydia-infected STD-clinic patients had HIV in one Indian series.</w:t>
            </w:r>
          </w:p>
          <w:p>
            <w:pPr>
              <w:spacing w:after="40" w:before="0" w:line="259" w:lineRule="auto"/>
            </w:pPr>
            <w:r>
              <w:rPr>
                <w:rFonts w:ascii="Calibri" w:hAnsi="Calibri"/>
                <w:b/>
                <w:i w:val="0"/>
                <w:color w:val="212121"/>
                <w:sz w:val="19"/>
              </w:rPr>
              <w:t>~30%</w:t>
            </w:r>
          </w:p>
        </w:tc>
      </w:tr>
      <w:tr>
        <w:trPr>
          <w:cantSplit/>
        </w:trPr>
        <w:tc>
          <w:tcPr>
            <w:tcW w:type="dxa" w:w="2232"/>
            <w:vAlign w:val="top"/>
          </w:tcPr>
          <w:p>
            <w:pPr>
              <w:spacing w:after="40" w:before="0" w:line="259" w:lineRule="auto"/>
            </w:pPr>
            <w:r>
              <w:rPr>
                <w:rFonts w:ascii="Calibri" w:hAnsi="Calibri"/>
                <w:b/>
                <w:i w:val="0"/>
                <w:color w:val="212121"/>
                <w:sz w:val="19"/>
              </w:rPr>
              <w:t>Sexually acquired reactive arthritis (SARA)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Immune-mediated urethritis–conjunctivitis–arthritis syndrome 1–4 weeks post infection, predominantly in young HLA-B27-positive men.</w:t>
            </w:r>
          </w:p>
        </w:tc>
      </w:tr>
      <w:tr>
        <w:trPr>
          <w:cantSplit/>
        </w:trPr>
        <w:tc>
          <w:tcPr>
            <w:tcW w:type="dxa" w:w="2232"/>
            <w:vAlign w:val="top"/>
          </w:tcPr>
          <w:p>
            <w:pPr>
              <w:spacing w:after="40" w:before="0" w:line="259" w:lineRule="auto"/>
            </w:pPr>
            <w:r>
              <w:rPr>
                <w:rFonts w:ascii="Calibri" w:hAnsi="Calibri"/>
                <w:b/>
                <w:i w:val="0"/>
                <w:color w:val="212121"/>
                <w:sz w:val="19"/>
              </w:rPr>
              <w:t>Bacterial vaginosis &amp; other reproductive tract co-infections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Disturbed vaginal flora accompanies and may facilitate chlamydial cervicitis; BV co-infection 12.7% and candidiasis 10.9% in a New Delhi STD-clinic series.</w:t>
            </w:r>
          </w:p>
          <w:p>
            <w:pPr>
              <w:spacing w:after="40" w:before="0" w:line="259" w:lineRule="auto"/>
            </w:pPr>
            <w:r>
              <w:rPr>
                <w:rFonts w:ascii="Calibri" w:hAnsi="Calibri"/>
                <w:b/>
                <w:i w:val="0"/>
                <w:color w:val="212121"/>
                <w:sz w:val="19"/>
              </w:rPr>
              <w:t>12.7%</w:t>
            </w:r>
          </w:p>
        </w:tc>
      </w:tr>
      <w:tr>
        <w:trPr>
          <w:cantSplit/>
        </w:trPr>
        <w:tc>
          <w:tcPr>
            <w:tcW w:type="dxa" w:w="2232"/>
            <w:vAlign w:val="top"/>
          </w:tcPr>
          <w:p>
            <w:pPr>
              <w:spacing w:after="40" w:before="0" w:line="259" w:lineRule="auto"/>
            </w:pPr>
            <w:r>
              <w:rPr>
                <w:rFonts w:ascii="Calibri" w:hAnsi="Calibri"/>
                <w:b/>
                <w:i w:val="0"/>
                <w:color w:val="212121"/>
                <w:sz w:val="19"/>
              </w:rPr>
              <w:t>Syphilis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Co-transmitted STI mandating serological screening (RPR/VDRL) in every chlamydia patient; co-infection 3.6% in a New Delhi series.</w:t>
            </w:r>
          </w:p>
          <w:p>
            <w:pPr>
              <w:spacing w:after="40" w:before="0" w:line="259" w:lineRule="auto"/>
            </w:pPr>
            <w:r>
              <w:rPr>
                <w:rFonts w:ascii="Calibri" w:hAnsi="Calibri"/>
                <w:b/>
                <w:i w:val="0"/>
                <w:color w:val="212121"/>
                <w:sz w:val="19"/>
              </w:rPr>
              <w:t>3.6%</w:t>
            </w:r>
          </w:p>
        </w:tc>
      </w:tr>
      <w:tr>
        <w:trPr>
          <w:cantSplit/>
        </w:trPr>
        <w:tc>
          <w:tcPr>
            <w:tcW w:type="dxa" w:w="2232"/>
            <w:vAlign w:val="top"/>
          </w:tcPr>
          <w:p>
            <w:pPr>
              <w:spacing w:after="40" w:before="0" w:line="259" w:lineRule="auto"/>
            </w:pPr>
            <w:r>
              <w:rPr>
                <w:rFonts w:ascii="Calibri" w:hAnsi="Calibri"/>
                <w:b/>
                <w:i w:val="0"/>
                <w:color w:val="212121"/>
                <w:sz w:val="19"/>
              </w:rPr>
              <w:t>Neonatal conjunctivitis &amp; pneumonia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Vertical transmission during vaginal delivery — up to 60% of exposed neonates acquire infection, about 30% of infected infants develop conjunctivitis and 5–30% develop pneumonia; maternal screening/treatment prevents it.</w:t>
            </w:r>
          </w:p>
          <w:p>
            <w:pPr>
              <w:spacing w:after="40" w:before="0" w:line="259" w:lineRule="auto"/>
            </w:pPr>
            <w:r>
              <w:rPr>
                <w:rFonts w:ascii="Calibri" w:hAnsi="Calibri"/>
                <w:b/>
                <w:i w:val="0"/>
                <w:color w:val="212121"/>
                <w:sz w:val="19"/>
              </w:rPr>
              <w:t>Up to 60% of exposed neonates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chlamydia is usually silent — absence of symptoms never excludes infection, and screening is the only way most cases are found.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condoms consistently AND correctly for every act of vaginal, anal or oral sex outside a mutually monogamous, tested relationship.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the number of sexual partners, avoid concurrent partnerships, and support delayed sexual debut in 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Sexually active women under 25, pregnant women and key populations (FSW, MSM, transgender people, PLHIV) should be screened with NAAT at least annually.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care early for genital discharge, burning urination, pelvic pain or bleeding between periods/after sex — free, confidential services are available at NACO Suraksha (STI/RTI) clinics.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all sexual partners of the last 60 days are notified, tested and treated to break the reinfection cycle.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self-medication with incomplete antibiotic courses from pharmacies — it masks symptoms while tubal damage continues.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&amp; young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Sexually active women &lt; 25</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Key populations (FSW, MSM, PLHIV)</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STI-clinic attendees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the full course: doxycycline 100 mg twice daily for 7 days (first line) or single-dose azithromycin 1 g when adherence is doubtful; azithromycin is the regimen of choice in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Abstain from all sexual contact for 7 days after single-dose therapy, or until a 7-day regimen is completed and symptoms resolve — and until partners have been treated.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Retest at approximately 3 months after treatment; reinfection is common even when partners were reportedly treated.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pregnancy, obtain a test of cure about 4 weeks after treatment; doxycycline is contraindicated in the second and third trimesters.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every chlamydia patient for HIV, syphilis and gonorrhoea, and treat presumptively for gonorrhoea in syndromic settings.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neonatal chlamydial conjunctivitis or pneumonia with systemic erythromycin and evaluate the mother and her partner.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Confirmed or syndromically treated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 with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Partners within the last 60 days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Neonates of infected mothers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Physical activity does not prevent chlamydia; maintain ≥150 min/week of moderate activity for the general immune, metabolic and mental-health benefits that support healthier decision-making.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Channel adolescents into structured sport and recreation programmes — organised engagement is associated with lower sexual risk-taking.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the risk setting is the late-night party/club circuit, not exertion — plan protection before such occasions.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sexually acquired reactive arthritis (SARA), use graded low-impact exercise and physiotherapy to preserve joint mobility during recovery.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&amp; 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urban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SARA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 food causes or cures chlamydia — antibiotics are the only cure; do not let 'immunity booster' or home-remedy claims delay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balanced diet adequate in protein, vitamin A, vitamin C and zinc to support mucosal immunity and tissue repair after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Never introduce foods, herbal pastes or 'cleansing' preparations intravaginally; they disrupt protective flora.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Swallow doxycycline with a full glass of water and food, remaining upright, to prevent oesophageal irritation — and complete the course.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alcohol-centred late-night eating-out and party patterns that cluster with risky sexual encounters.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Undernourished individuals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7–9 hours of sleep — chronic sleep debt is linked to impulsivity and poorer risk decisions, including sexual ones.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habitual late-night party schedules that combine sleep loss, alcohol and casual-sex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rest during treatment of PID, epididymo-orchitis or reactive arthritis to support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post-diagnosis insomnia — anxiety and stigma after an STI diagnosis commonly disturb sleep and respond to counselling.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recovering from PID/SARA</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smoke — smoking clusters with other sexual risk behaviours and impairs local cervical immunity.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adolescent tobacco use as a gateway marker for early sexual debut and condomless sex; counsel on both together.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cessation support at every STI visit — national tobacco quitline (1800-112-356) and mCessation services are free in India.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Advise women with PID that smoking impairs tubal microvascular healing and adds to infertility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&amp; young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STI-clinic attendees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PID</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binge drinking (≥5 drinks per occasion) — heavy drinking events are consistently associated with condomless sex, casual partners and STI acquisition.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Decide on and carry condoms before drinking occasions; never leave protection decisions until after alcohol.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STI patients for hazardous alcohol use (e.g., AUDIT-C) and provide brief intervention or de-addiction referral.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overall intake within low-risk limits or abstain; alcohol dependence is over-represented among repeat STI attendees.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adults &amp; 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Party/club goers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Repeat STI attendees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Key populations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Normalise STI screening through confidential, non-judgemental counselling — fear of stigma is the biggest barrier to testing in India.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comprehensive, age-appropriate sexuality education to adolescents; it improves condom self-efficacy and delays risky debut.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depression, substance use and intimate-partner violence, which cluster with sexual risk exposure — especially in young women and key populations.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Coach patients in disclosure and partner-notification skills; supported notification raises partner testing and treatment rates.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Key populations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STI-clinic attendees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Counsel at diagnosis that chlamydia is completely curable; address guilt, shame and blame reactions explicitly and assure confidentiality.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couple-based counselling for partner treatment rather than blame-focused disclosure, to protect relationships and adherence.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infertility-related distress in couples with tubal damage — refer for fertility counselling and assisted-reproduction services where needed.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Monitor for anxiety and depression after PID, ectopic pregnancy loss or reactive arthritis, and treat or refer appropriately.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Couples with infertility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after ectopic pregnancy or PID</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ho.int/news-room/fact-sheets/detail/chlamydia" TargetMode="External"/><Relationship Id="rId10" Type="http://schemas.openxmlformats.org/officeDocument/2006/relationships/hyperlink" Target="https://ijmr.org.in/genital-chlamydia-trachomatis-an-update/" TargetMode="External"/><Relationship Id="rId11" Type="http://schemas.openxmlformats.org/officeDocument/2006/relationships/hyperlink" Target="https://www.ncbi.nlm.nih.gov/books/NBK537286/" TargetMode="External"/><Relationship Id="rId12" Type="http://schemas.openxmlformats.org/officeDocument/2006/relationships/hyperlink" Target="https://academic.oup.com/femspd/article/75/5/ftx055/3861257" TargetMode="External"/><Relationship Id="rId13" Type="http://schemas.openxmlformats.org/officeDocument/2006/relationships/hyperlink" Target="https://naco.gov.in/sti-rti-services" TargetMode="External"/><Relationship Id="rId14" Type="http://schemas.openxmlformats.org/officeDocument/2006/relationships/hyperlink" Target="https://www.aidsmap.com/news/sep-2012/consistent-and-correct-condom-use-reduces-risk-bacterial-stis-60" TargetMode="External"/><Relationship Id="rId15" Type="http://schemas.openxmlformats.org/officeDocument/2006/relationships/hyperlink" Target="https://pmc.ncbi.nlm.nih.gov/articles/PMC6792126/" TargetMode="External"/><Relationship Id="rId16" Type="http://schemas.openxmlformats.org/officeDocument/2006/relationships/hyperlink" Target="https://www.medrxiv.org/content/10.1101/2024.05.06.24306926v1.full" TargetMode="External"/><Relationship Id="rId17" Type="http://schemas.openxmlformats.org/officeDocument/2006/relationships/hyperlink" Target="https://www.cdc.gov/std/treatment-guidelines/chlamydia.htm" TargetMode="External"/><Relationship Id="rId18" Type="http://schemas.openxmlformats.org/officeDocument/2006/relationships/hyperlink" Target="https://ijadr.org/index.php/ijadr/article/view/381" TargetMode="External"/><Relationship Id="rId19" Type="http://schemas.openxmlformats.org/officeDocument/2006/relationships/hyperlink" Target="https://www.nichd.nih.gov/newsroom/releases/depo-provera-risk" TargetMode="External"/><Relationship Id="rId20" Type="http://schemas.openxmlformats.org/officeDocument/2006/relationships/hyperlink" Target="https://pubmed.ncbi.nlm.nih.gov/96110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