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Endometriosis</w:t>
      </w:r>
    </w:p>
    <w:p>
      <w:pPr>
        <w:spacing w:before="0" w:after="160"/>
      </w:pPr>
      <w:r>
        <w:rPr>
          <w:rFonts w:ascii="Calibri" w:hAnsi="Calibri"/>
          <w:b/>
          <w:i w:val="0"/>
          <w:color w:val="212121"/>
          <w:sz w:val="22"/>
        </w:rPr>
        <w:t xml:space="preserve">AKA </w:t>
      </w:r>
      <w:r>
        <w:rPr>
          <w:rFonts w:ascii="Calibri" w:hAnsi="Calibri"/>
          <w:b w:val="0"/>
          <w:i w:val="0"/>
          <w:color w:val="212121"/>
          <w:sz w:val="22"/>
        </w:rPr>
        <w:t>i.e., Endometriotic disease; “Chocolate cyst” disease (ovarian endometrioma); pelvic endometriosis — often confused with adenomyosis (“endometriosis interna”)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Endometriosis is a chronic, estrogen-dependent inflammatory disease in which tissue resembling the endometrial lining (endometrial glands and stroma) grows outside the uterine cavity — most commonly on the ovaries, uterosacral ligaments, pouch of Douglas, pelvic peritoneum, bladder and bowel. This ectopic tissue responds to cyclical ovarian hormones, bleeding and inflaming with each cycle, which drives chronic pelvic pain, adhesions, scarring and sub-fertility. It affects roughly 1 in 10 reproductive-age women and girls and is a leading cause of chronic pelvic pain and infertility.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Endometriosis affects an estimated 10% (about 190 million) of reproductive-age women worldwide, including roughly 42 million women in India. A systematic review published in the Indian Journal of Medical Research estimated an overall prevalence of about 18% (rising to ~31% among infertile women and ~42% among women with chronic pelvic pain), and Indian tertiary-care series report endometriosis in around 22% of infertile women. Despite this burden, Indian women are typically diagnosed late — often only after a decade of symptoms — because severe period pain is normalised and awareness is low.</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Endometriosis is diagnosed by combining a suggestive clinical picture with pelvic examination and imaging; laparoscopy with histology remains the definitive confirmation but is no longer mandatory (ESHRE 2022) when clinical and imaging findings are conclusive: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suggestive symptom cluster — cyclical, progressively worsening dysmenorrhoea, deep dyspareunia, dyschezia, dysuria, chronic pelvic pain and/or sub-fertility, often beginning in adolescence;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pelvic (bimanual and speculum) examination — uterosacral or rectovaginal nodularity/tenderness, a fixed retroverted (“frozen”) uterus, adnexal mass, or bluish posterior-fornix nodules;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transvaginal ultrasound (TVUS) as first-line imaging — detects ovarian endometrioma (“ground-glass”/low-level internal echoes) and deep infiltrating disease; trans-abdominal scan if TVUS is not culturally acceptable;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pelvic MRI — for mapping deep infiltrating endometriosis and bowel/ureteric involvement before surgery;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CA-125 — may be raised in advanced disease/endometrioma but is non-specific and NOT a diagnostic or screening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diagnostic laparoscopy with biopsy — direct visualisation of implants (powder-burn lesions, endometrioma, adhesions) with histological confirmation of endometrial glands and stroma remains the reference standard, reserved for uncertain cases or when surgery is planned.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Endometriosis is described both by anatomical phenotype and by the revised American Society for Reproductive Medicine (rASRM) surgical staging; deep disease is further mapped by the ENZIAN system:</w:t>
      </w:r>
    </w:p>
    <w:p>
      <w:pPr>
        <w:spacing w:before="0" w:after="80"/>
      </w:pPr>
      <w:r>
        <w:rPr>
          <w:rFonts w:ascii="Calibri" w:hAnsi="Calibri"/>
          <w:b w:val="0"/>
          <w:i w:val="0"/>
          <w:color w:val="212121"/>
          <w:sz w:val="21"/>
        </w:rPr>
        <w:t>(1) Superficial peritoneal endometriosis — flat implants on the pelvic peritoneum; the mildest and most common form.</w:t>
      </w:r>
    </w:p>
    <w:p>
      <w:pPr>
        <w:spacing w:before="0" w:after="80"/>
      </w:pPr>
      <w:r>
        <w:rPr>
          <w:rFonts w:ascii="Calibri" w:hAnsi="Calibri"/>
          <w:b w:val="0"/>
          <w:i w:val="0"/>
          <w:color w:val="212121"/>
          <w:sz w:val="21"/>
        </w:rPr>
        <w:t>(2) Ovarian endometrioma (“chocolate cyst”) — a cystic ovarian lesion filled with altered “chocolate”-coloured old blood; readily seen on ultrasound.</w:t>
      </w:r>
    </w:p>
    <w:p>
      <w:pPr>
        <w:spacing w:before="0" w:after="80"/>
      </w:pPr>
      <w:r>
        <w:rPr>
          <w:rFonts w:ascii="Calibri" w:hAnsi="Calibri"/>
          <w:b w:val="0"/>
          <w:i w:val="0"/>
          <w:color w:val="212121"/>
          <w:sz w:val="21"/>
        </w:rPr>
        <w:t>(3) Deep infiltrating endometriosis (DIE) — nodules penetrating &gt;5 mm beneath the peritoneum, typically involving the uterosacral ligaments, rectovaginal septum, bowel, bladder or ureter; causes the most severe pain and surgical complexity.</w:t>
      </w:r>
    </w:p>
    <w:p>
      <w:pPr>
        <w:spacing w:before="0" w:after="80"/>
      </w:pPr>
      <w:r>
        <w:rPr>
          <w:rFonts w:ascii="Calibri" w:hAnsi="Calibri"/>
          <w:b w:val="0"/>
          <w:i w:val="0"/>
          <w:color w:val="212121"/>
          <w:sz w:val="21"/>
        </w:rPr>
        <w:t>(4) Extrapelvic endometriosis — rare disease at distant sites (abdominal-wall/caesarean scar, diaphragm, thorax, umbilicus).</w:t>
      </w:r>
    </w:p>
    <w:p>
      <w:pPr>
        <w:spacing w:before="0" w:after="80"/>
      </w:pPr>
      <w:r>
        <w:rPr>
          <w:rFonts w:ascii="Calibri" w:hAnsi="Calibri"/>
          <w:b w:val="0"/>
          <w:i w:val="0"/>
          <w:color w:val="212121"/>
          <w:sz w:val="21"/>
        </w:rPr>
        <w:t>(5) rASRM surgical stages I–IV — Stage I (minimal), II (mild), III (moderate) and IV (severe), scored by number, depth and site of implants plus severity of adhesions and endometriomas; staging correlates poorly with pain severity and fertility outcome.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Retrograde menstruation (Sampson's theory): reflux of viable endometrial cells through the fallopian tubes into the peritoneal cavity, where they implant, proliferate and bleed cyclically — the most widely accepted mechanism.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Coelomic metaplasia / Müllerianosis: peritoneal or ovarian surface cells transform into endometrial-like tissue, explaining disease at sites remote from the tubes and in rare pre-menarchal cases.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Estrogen dependence with progesterone resistance: local aromatase over-expression generates estrogen within lesions, driving growth, while blunted progesterone signalling removes the normal brake.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Immune dysregulation: impaired peritoneal clearance of refluxed cells plus a pro-inflammatory milieu (raised IL-6, TNF-α, prostaglandins) allows implants to survive and provoke chronic inflammation.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strong heritability — a first-degree relative with endometriosis raises risk roughly 3- to 9-fold, with polygenic susceptibility loci identified.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Lymphovascular / stem-cell dissemination: spread of endometrial or bone-marrow-derived stem cells via blood and lymphatics, accounting for extrapelvic (thoracic, scar)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Reproductive-age women (about 25–40 years)</w:t>
            </w:r>
          </w:p>
        </w:tc>
        <w:tc>
          <w:tcPr>
            <w:tcW w:type="dxa" w:w="4276"/>
            <w:vAlign w:val="top"/>
          </w:tcPr>
          <w:p>
            <w:pPr>
              <w:spacing w:after="60" w:line="259" w:lineRule="auto"/>
            </w:pPr>
            <w:r>
              <w:rPr>
                <w:rFonts w:ascii="Calibri" w:hAnsi="Calibri"/>
                <w:b w:val="0"/>
                <w:i w:val="0"/>
                <w:color w:val="212121"/>
                <w:sz w:val="19"/>
              </w:rPr>
              <w:t>Endometriosis is estrogen-driven, so it is overwhelmingly a disease of the ovulating years; cumulative cyclical menstruation feeds lesion growth and most diagnoses cluster in the late 20s to 30s.</w:t>
            </w:r>
          </w:p>
          <w:p>
            <w:pPr>
              <w:spacing w:after="40" w:before="60" w:line="259" w:lineRule="auto"/>
            </w:pPr>
            <w:r>
              <w:rPr>
                <w:rFonts w:ascii="Calibri" w:hAnsi="Calibri"/>
                <w:b w:val="0"/>
                <w:i w:val="0"/>
                <w:color w:val="212121"/>
                <w:sz w:val="19"/>
              </w:rPr>
              <w:t>In an Indian tertiary-care series the mean age of women with endometriosis was ~29 years, and 82.6% were under 35.</w:t>
            </w:r>
          </w:p>
          <w:p>
            <w:pPr>
              <w:spacing w:after="40" w:line="252" w:lineRule="auto"/>
            </w:pPr>
            <w:hyperlink r:id="rId9">
              <w:r>
                <w:rPr>
                  <w:rFonts w:ascii="Calibri" w:hAnsi="Calibri" w:cs="Calibri"/>
                  <w:sz w:val="18"/>
                  <w:color w:val="1155CC"/>
                  <w:u w:val="single"/>
                </w:rPr>
                <w:t xml:space="preserve">pmc.ncbi.nlm.nih.gov/PMC11570443 — South India tertiary care</w:t>
              </w:r>
            </w:hyperlink>
          </w:p>
          <w:p>
            <w:pPr>
              <w:spacing w:before="60" w:after="40"/>
            </w:pPr>
            <w:r>
              <w:rPr>
                <w:rFonts w:ascii="Calibri" w:hAnsi="Calibri"/>
                <w:b w:val="0"/>
                <w:i w:val="0"/>
                <w:color w:val="5A5A5A"/>
                <w:sz w:val="18"/>
              </w:rPr>
              <w:t>#endometriosis  #reproductiveage  #estrogendriven  #pelvicpain  #infertility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girls</w:t>
            </w:r>
          </w:p>
        </w:tc>
        <w:tc>
          <w:tcPr>
            <w:tcW w:type="dxa" w:w="4276"/>
            <w:vAlign w:val="top"/>
          </w:tcPr>
          <w:p>
            <w:pPr>
              <w:spacing w:after="60" w:line="259" w:lineRule="auto"/>
            </w:pPr>
            <w:r>
              <w:rPr>
                <w:rFonts w:ascii="Calibri" w:hAnsi="Calibri"/>
                <w:b w:val="0"/>
                <w:i w:val="0"/>
                <w:color w:val="212121"/>
                <w:sz w:val="19"/>
              </w:rPr>
              <w:t>Symptoms often begin at or soon after menarche; severe, disabling period pain and absenteeism in a teenager — frequently dismissed as ‘normal’ — is an early red flag that drives years of diagnostic delay.</w:t>
            </w:r>
          </w:p>
          <w:p>
            <w:pPr>
              <w:spacing w:after="40" w:before="60" w:line="259" w:lineRule="auto"/>
            </w:pPr>
            <w:r>
              <w:rPr>
                <w:rFonts w:ascii="Calibri" w:hAnsi="Calibri"/>
                <w:b w:val="0"/>
                <w:i w:val="0"/>
                <w:color w:val="212121"/>
                <w:sz w:val="19"/>
              </w:rPr>
              <w:t>Symptoms commonly start in adolescence, yet in India diagnosis is typically delayed until after a decade of symptoms.</w:t>
            </w:r>
          </w:p>
          <w:p>
            <w:pPr>
              <w:spacing w:after="40" w:line="252" w:lineRule="auto"/>
            </w:pPr>
            <w:hyperlink r:id="rId10">
              <w:r>
                <w:rPr>
                  <w:rFonts w:ascii="Calibri" w:hAnsi="Calibri" w:cs="Calibri"/>
                  <w:sz w:val="18"/>
                  <w:color w:val="1155CC"/>
                  <w:u w:val="single"/>
                </w:rPr>
                <w:t xml:space="preserve">business-standard.com — endometriosis in India</w:t>
              </w:r>
            </w:hyperlink>
          </w:p>
          <w:p>
            <w:pPr>
              <w:spacing w:before="60" w:after="40"/>
            </w:pPr>
            <w:r>
              <w:rPr>
                <w:rFonts w:ascii="Calibri" w:hAnsi="Calibri"/>
                <w:b w:val="0"/>
                <w:i w:val="0"/>
                <w:color w:val="5A5A5A"/>
                <w:sz w:val="18"/>
              </w:rPr>
              <w:t>#adolescent  #dysmenorrhoea  #diagnosticdelay  #periodpain  #schoolabsence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 people assigned female at birth</w:t>
            </w:r>
          </w:p>
        </w:tc>
        <w:tc>
          <w:tcPr>
            <w:tcW w:type="dxa" w:w="4276"/>
            <w:vAlign w:val="top"/>
          </w:tcPr>
          <w:p>
            <w:pPr>
              <w:spacing w:after="60" w:line="259" w:lineRule="auto"/>
            </w:pPr>
            <w:r>
              <w:rPr>
                <w:rFonts w:ascii="Calibri" w:hAnsi="Calibri"/>
                <w:b w:val="0"/>
                <w:i w:val="0"/>
                <w:color w:val="212121"/>
                <w:sz w:val="19"/>
              </w:rPr>
              <w:t>Endometriosis requires endometrial tissue and cyclical ovarian estrogen, so it affects women and girls almost exclusively; extremely rare male reports occur only with high-dose estrogen therapy.</w:t>
            </w:r>
          </w:p>
          <w:p>
            <w:pPr>
              <w:spacing w:after="40" w:before="60" w:line="259" w:lineRule="auto"/>
            </w:pPr>
            <w:r>
              <w:rPr>
                <w:rFonts w:ascii="Calibri" w:hAnsi="Calibri"/>
                <w:b w:val="0"/>
                <w:i w:val="0"/>
                <w:color w:val="212121"/>
                <w:sz w:val="19"/>
              </w:rPr>
              <w:t>About 10% (190 million) of reproductive-age women worldwide are affected.</w:t>
            </w:r>
          </w:p>
          <w:p>
            <w:pPr>
              <w:spacing w:after="40" w:line="252" w:lineRule="auto"/>
            </w:pPr>
            <w:hyperlink r:id="rId11">
              <w:r>
                <w:rPr>
                  <w:rFonts w:ascii="Calibri" w:hAnsi="Calibri" w:cs="Calibri"/>
                  <w:sz w:val="18"/>
                  <w:color w:val="1155CC"/>
                  <w:u w:val="single"/>
                </w:rPr>
                <w:t xml:space="preserve">who.int — endometriosis fact sheet</w:t>
              </w:r>
            </w:hyperlink>
          </w:p>
          <w:p>
            <w:pPr>
              <w:spacing w:before="60" w:after="40"/>
            </w:pPr>
            <w:r>
              <w:rPr>
                <w:rFonts w:ascii="Calibri" w:hAnsi="Calibri"/>
                <w:b w:val="0"/>
                <w:i w:val="0"/>
                <w:color w:val="5A5A5A"/>
                <w:sz w:val="18"/>
              </w:rPr>
              <w:t>#womenshealth  #female  #estrogen  #menstruation  #190million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 reproductive status</w:t>
            </w:r>
          </w:p>
        </w:tc>
        <w:tc>
          <w:tcPr>
            <w:tcW w:type="dxa" w:w="2160"/>
            <w:vAlign w:val="top"/>
          </w:tcPr>
          <w:p>
            <w:pPr>
              <w:spacing w:after="40" w:before="0" w:line="259" w:lineRule="auto"/>
            </w:pPr>
            <w:r>
              <w:rPr>
                <w:rFonts w:ascii="Calibri" w:hAnsi="Calibri"/>
                <w:b w:val="0"/>
                <w:i w:val="0"/>
                <w:color w:val="212121"/>
                <w:sz w:val="19"/>
              </w:rPr>
              <w:t>Urban professional women delaying childbearing</w:t>
            </w:r>
          </w:p>
        </w:tc>
        <w:tc>
          <w:tcPr>
            <w:tcW w:type="dxa" w:w="4276"/>
            <w:vAlign w:val="top"/>
          </w:tcPr>
          <w:p>
            <w:pPr>
              <w:spacing w:after="60" w:line="259" w:lineRule="auto"/>
            </w:pPr>
            <w:r>
              <w:rPr>
                <w:rFonts w:ascii="Calibri" w:hAnsi="Calibri"/>
                <w:b w:val="0"/>
                <w:i w:val="0"/>
                <w:color w:val="212121"/>
                <w:sz w:val="19"/>
              </w:rPr>
              <w:t>Later marriage, delayed first pregnancy and fewer/nulliparous cycles mean more lifetime menstruations and less pregnancy/lactation-related amenorrhoea — all of which increase cumulative estrogen exposure; higher health-seeking also raises detection.</w:t>
            </w:r>
          </w:p>
          <w:p>
            <w:pPr>
              <w:spacing w:after="40" w:before="60" w:line="259" w:lineRule="auto"/>
            </w:pPr>
            <w:r>
              <w:rPr>
                <w:rFonts w:ascii="Calibri" w:hAnsi="Calibri"/>
                <w:b w:val="0"/>
                <w:i w:val="0"/>
                <w:color w:val="212121"/>
                <w:sz w:val="19"/>
              </w:rPr>
              <w:t>Nulliparity and infertility are consistently reported risk associations; pregnancy and breastfeeding are protective.</w:t>
            </w:r>
          </w:p>
          <w:p>
            <w:pPr>
              <w:spacing w:after="40" w:line="252" w:lineRule="auto"/>
            </w:pPr>
            <w:hyperlink r:id="rId12">
              <w:r>
                <w:rPr>
                  <w:rFonts w:ascii="Calibri" w:hAnsi="Calibri" w:cs="Calibri"/>
                  <w:sz w:val="18"/>
                  <w:color w:val="1155CC"/>
                  <w:u w:val="single"/>
                </w:rPr>
                <w:t xml:space="preserve">nichd.nih.gov — endometriosis risk factors</w:t>
              </w:r>
            </w:hyperlink>
          </w:p>
          <w:p>
            <w:pPr>
              <w:spacing w:before="60" w:after="40"/>
            </w:pPr>
            <w:r>
              <w:rPr>
                <w:rFonts w:ascii="Calibri" w:hAnsi="Calibri"/>
                <w:b w:val="0"/>
                <w:i w:val="0"/>
                <w:color w:val="5A5A5A"/>
                <w:sz w:val="18"/>
              </w:rPr>
              <w:t>#nulliparity  #delayedchildbearing  #urban  #careerwomen  #detectionbias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Asian &amp; Indian women</w:t>
            </w:r>
          </w:p>
        </w:tc>
        <w:tc>
          <w:tcPr>
            <w:tcW w:type="dxa" w:w="4276"/>
            <w:vAlign w:val="top"/>
          </w:tcPr>
          <w:p>
            <w:pPr>
              <w:spacing w:after="60" w:line="259" w:lineRule="auto"/>
            </w:pPr>
            <w:r>
              <w:rPr>
                <w:rFonts w:ascii="Calibri" w:hAnsi="Calibri"/>
                <w:b w:val="0"/>
                <w:i w:val="0"/>
                <w:color w:val="212121"/>
                <w:sz w:val="19"/>
              </w:rPr>
              <w:t>Several studies report higher endometriosis prevalence and endometrioma rates in Asian women than in White women; a systematic review in the Indian Journal of Medical Research noted prevalence in developing countries was high.</w:t>
            </w:r>
          </w:p>
          <w:p>
            <w:pPr>
              <w:spacing w:after="40" w:before="60" w:line="259" w:lineRule="auto"/>
            </w:pPr>
            <w:r>
              <w:rPr>
                <w:rFonts w:ascii="Calibri" w:hAnsi="Calibri"/>
                <w:b w:val="0"/>
                <w:i w:val="0"/>
                <w:color w:val="212121"/>
                <w:sz w:val="19"/>
              </w:rPr>
              <w:t>Pooled overall prevalence ~18% (95% CI 16–20) across 17 studies (127,476 women), with high rates in developing countries.</w:t>
            </w:r>
          </w:p>
          <w:p>
            <w:pPr>
              <w:spacing w:after="40" w:line="252" w:lineRule="auto"/>
            </w:pPr>
            <w:hyperlink r:id="rId13">
              <w:r>
                <w:rPr>
                  <w:rFonts w:ascii="Calibri" w:hAnsi="Calibri" w:cs="Calibri"/>
                  <w:sz w:val="18"/>
                  <w:color w:val="1155CC"/>
                  <w:u w:val="single"/>
                </w:rPr>
                <w:t xml:space="preserve">ijmr.org.in — systematic review on prevalence</w:t>
              </w:r>
            </w:hyperlink>
          </w:p>
          <w:p>
            <w:pPr>
              <w:spacing w:before="60" w:after="40"/>
            </w:pPr>
            <w:r>
              <w:rPr>
                <w:rFonts w:ascii="Calibri" w:hAnsi="Calibri"/>
                <w:b w:val="0"/>
                <w:i w:val="0"/>
                <w:color w:val="5A5A5A"/>
                <w:sz w:val="18"/>
              </w:rPr>
              <w:t>#Asianwomen  #India  #ethnicity  #prevalence  #IJMR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Women attending Indian infertility &amp; pelvic-pain clinics</w:t>
            </w:r>
          </w:p>
        </w:tc>
        <w:tc>
          <w:tcPr>
            <w:tcW w:type="dxa" w:w="4276"/>
            <w:vAlign w:val="top"/>
          </w:tcPr>
          <w:p>
            <w:pPr>
              <w:spacing w:after="60" w:line="259" w:lineRule="auto"/>
            </w:pPr>
            <w:r>
              <w:rPr>
                <w:rFonts w:ascii="Calibri" w:hAnsi="Calibri"/>
                <w:b w:val="0"/>
                <w:i w:val="0"/>
                <w:color w:val="212121"/>
                <w:sz w:val="19"/>
              </w:rPr>
              <w:t>Because most Indian data come from women presenting with infertility or chronic pelvic pain, these clinic populations show markedly higher detected prevalence than the community.</w:t>
            </w:r>
          </w:p>
          <w:p>
            <w:pPr>
              <w:spacing w:after="40" w:before="60" w:line="259" w:lineRule="auto"/>
            </w:pPr>
            <w:r>
              <w:rPr>
                <w:rFonts w:ascii="Calibri" w:hAnsi="Calibri"/>
                <w:b w:val="0"/>
                <w:i w:val="0"/>
                <w:color w:val="212121"/>
                <w:sz w:val="19"/>
              </w:rPr>
              <w:t>Endometriosis was found in ~22% of infertile women in a South Indian tertiary centre; ~31% among infertile and ~42% among chronic-pelvic-pain populations in pooled data.</w:t>
            </w:r>
          </w:p>
          <w:p>
            <w:pPr>
              <w:spacing w:after="40" w:line="252" w:lineRule="auto"/>
            </w:pPr>
            <w:hyperlink r:id="rId13">
              <w:r>
                <w:rPr>
                  <w:rFonts w:ascii="Calibri" w:hAnsi="Calibri" w:cs="Calibri"/>
                  <w:sz w:val="18"/>
                  <w:color w:val="1155CC"/>
                  <w:u w:val="single"/>
                </w:rPr>
                <w:t xml:space="preserve">ijmr.org.in — prevalence by presentation</w:t>
              </w:r>
            </w:hyperlink>
          </w:p>
          <w:p>
            <w:pPr>
              <w:spacing w:before="60" w:after="40"/>
            </w:pPr>
            <w:r>
              <w:rPr>
                <w:rFonts w:ascii="Calibri" w:hAnsi="Calibri"/>
                <w:b w:val="0"/>
                <w:i w:val="0"/>
                <w:color w:val="5A5A5A"/>
                <w:sz w:val="18"/>
              </w:rPr>
              <w:t>#infertilityclinic  #pelvicpain  #tertiarycare  #casefinding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Physical inactivity</w:t>
            </w:r>
          </w:p>
        </w:tc>
        <w:tc>
          <w:tcPr>
            <w:tcW w:type="dxa" w:w="2160"/>
            <w:vAlign w:val="top"/>
          </w:tcPr>
          <w:p>
            <w:pPr>
              <w:spacing w:after="40" w:before="0" w:line="259" w:lineRule="auto"/>
            </w:pPr>
            <w:r>
              <w:rPr>
                <w:rFonts w:ascii="Calibri" w:hAnsi="Calibri"/>
                <w:b w:val="0"/>
                <w:i w:val="0"/>
                <w:color w:val="212121"/>
                <w:sz w:val="19"/>
              </w:rPr>
              <w:t>Sedentary women, desk-bound professionals</w:t>
            </w:r>
          </w:p>
        </w:tc>
        <w:tc>
          <w:tcPr>
            <w:tcW w:type="dxa" w:w="4276"/>
            <w:vAlign w:val="top"/>
          </w:tcPr>
          <w:p>
            <w:pPr>
              <w:spacing w:after="60" w:line="259" w:lineRule="auto"/>
            </w:pPr>
            <w:r>
              <w:rPr>
                <w:rFonts w:ascii="Calibri" w:hAnsi="Calibri"/>
                <w:b w:val="0"/>
                <w:i w:val="0"/>
                <w:color w:val="212121"/>
                <w:sz w:val="19"/>
              </w:rPr>
              <w:t>Regular exercise lowers circulating estrogen and systemic inflammation and may modestly reduce risk and pain, whereas a sedentary pattern removes this protective effect; evidence is suggestive rather than definitive.</w:t>
            </w:r>
          </w:p>
          <w:p>
            <w:pPr>
              <w:spacing w:after="40" w:before="60" w:line="259" w:lineRule="auto"/>
            </w:pPr>
            <w:r>
              <w:rPr>
                <w:rFonts w:ascii="Calibri" w:hAnsi="Calibri"/>
                <w:b w:val="0"/>
                <w:i w:val="0"/>
                <w:color w:val="212121"/>
                <w:sz w:val="19"/>
              </w:rPr>
              <w:t>Higher adult physical activity has been associated with a modestly lower risk of endometriosis, though findings are mixed.</w:t>
            </w:r>
          </w:p>
          <w:p>
            <w:pPr>
              <w:spacing w:after="40" w:line="252" w:lineRule="auto"/>
            </w:pPr>
            <w:hyperlink r:id="rId14">
              <w:r>
                <w:rPr>
                  <w:rFonts w:ascii="Calibri" w:hAnsi="Calibri" w:cs="Calibri"/>
                  <w:sz w:val="18"/>
                  <w:color w:val="1155CC"/>
                  <w:u w:val="single"/>
                </w:rPr>
                <w:t xml:space="preserve">pubmed.ncbi.nlm.nih.gov/19901838 — physical activity &amp; endometriosis</w:t>
              </w:r>
            </w:hyperlink>
          </w:p>
          <w:p>
            <w:pPr>
              <w:spacing w:before="60" w:after="40"/>
            </w:pPr>
            <w:r>
              <w:rPr>
                <w:rFonts w:ascii="Calibri" w:hAnsi="Calibri"/>
                <w:b w:val="0"/>
                <w:i w:val="0"/>
                <w:color w:val="5A5A5A"/>
                <w:sz w:val="18"/>
              </w:rPr>
              <w:t>#sedentary  #exercise  #estrogen  #inflammation  #deskjob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drinkers</w:t>
            </w:r>
          </w:p>
        </w:tc>
        <w:tc>
          <w:tcPr>
            <w:tcW w:type="dxa" w:w="4276"/>
            <w:vAlign w:val="top"/>
          </w:tcPr>
          <w:p>
            <w:pPr>
              <w:spacing w:after="60" w:line="259" w:lineRule="auto"/>
            </w:pPr>
            <w:r>
              <w:rPr>
                <w:rFonts w:ascii="Calibri" w:hAnsi="Calibri"/>
                <w:b w:val="0"/>
                <w:i w:val="0"/>
                <w:color w:val="212121"/>
                <w:sz w:val="19"/>
              </w:rPr>
              <w:t>Alcohol raises circulating estrogen and may promote lesion growth; meta-analyses show a modest positive association between alcohol intake and endometriosis.</w:t>
            </w:r>
          </w:p>
          <w:p>
            <w:pPr>
              <w:spacing w:after="40" w:before="60" w:line="259" w:lineRule="auto"/>
            </w:pPr>
            <w:r>
              <w:rPr>
                <w:rFonts w:ascii="Calibri" w:hAnsi="Calibri"/>
                <w:b w:val="0"/>
                <w:i w:val="0"/>
                <w:color w:val="212121"/>
                <w:sz w:val="19"/>
              </w:rPr>
              <w:t>Alcohol consumption is associated with a modestly increased risk of endometriosis in pooled analyses.</w:t>
            </w:r>
          </w:p>
          <w:p>
            <w:pPr>
              <w:spacing w:after="40" w:line="252" w:lineRule="auto"/>
            </w:pPr>
            <w:hyperlink r:id="rId15">
              <w:r>
                <w:rPr>
                  <w:rFonts w:ascii="Calibri" w:hAnsi="Calibri" w:cs="Calibri"/>
                  <w:sz w:val="18"/>
                  <w:color w:val="1155CC"/>
                  <w:u w:val="single"/>
                </w:rPr>
                <w:t xml:space="preserve">pubmed.ncbi.nlm.nih.gov/30307628 — modifiable lifestyle factors</w:t>
              </w:r>
            </w:hyperlink>
          </w:p>
          <w:p>
            <w:pPr>
              <w:spacing w:before="60" w:after="40"/>
            </w:pPr>
            <w:r>
              <w:rPr>
                <w:rFonts w:ascii="Calibri" w:hAnsi="Calibri"/>
                <w:b w:val="0"/>
                <w:i w:val="0"/>
                <w:color w:val="5A5A5A"/>
                <w:sz w:val="18"/>
              </w:rPr>
              <w:t>#alcohol  #estrogen  #modifiablerisk  #lifestyle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Nulliparity / menstrual exposure</w:t>
            </w:r>
          </w:p>
        </w:tc>
        <w:tc>
          <w:tcPr>
            <w:tcW w:type="dxa" w:w="2160"/>
            <w:vAlign w:val="top"/>
          </w:tcPr>
          <w:p>
            <w:pPr>
              <w:spacing w:after="40" w:before="0" w:line="259" w:lineRule="auto"/>
            </w:pPr>
            <w:r>
              <w:rPr>
                <w:rFonts w:ascii="Calibri" w:hAnsi="Calibri"/>
                <w:b w:val="0"/>
                <w:i w:val="0"/>
                <w:color w:val="212121"/>
                <w:sz w:val="19"/>
              </w:rPr>
              <w:t>Never-pregnant women with many lifetime cycles</w:t>
            </w:r>
          </w:p>
        </w:tc>
        <w:tc>
          <w:tcPr>
            <w:tcW w:type="dxa" w:w="4276"/>
            <w:vAlign w:val="top"/>
          </w:tcPr>
          <w:p>
            <w:pPr>
              <w:spacing w:after="60" w:line="259" w:lineRule="auto"/>
            </w:pPr>
            <w:r>
              <w:rPr>
                <w:rFonts w:ascii="Calibri" w:hAnsi="Calibri"/>
                <w:b w:val="0"/>
                <w:i w:val="0"/>
                <w:color w:val="212121"/>
                <w:sz w:val="19"/>
              </w:rPr>
              <w:t>More lifetime ovulatory-menstrual cycles (early menarche, short cycles, no pregnancy/lactation breaks) increase cumulative retrograde menstruation and estrogen exposure that feed ectopic implants.</w:t>
            </w:r>
          </w:p>
          <w:p>
            <w:pPr>
              <w:spacing w:after="40" w:before="60" w:line="259" w:lineRule="auto"/>
            </w:pPr>
            <w:r>
              <w:rPr>
                <w:rFonts w:ascii="Calibri" w:hAnsi="Calibri"/>
                <w:b w:val="0"/>
                <w:i w:val="0"/>
                <w:color w:val="212121"/>
                <w:sz w:val="19"/>
              </w:rPr>
              <w:t>Early menarche and short (&lt;27 day) cycles are established risk factors; pregnancy and breastfeeding are protective.</w:t>
            </w:r>
          </w:p>
          <w:p>
            <w:pPr>
              <w:spacing w:after="40" w:line="252" w:lineRule="auto"/>
            </w:pPr>
            <w:hyperlink r:id="rId12">
              <w:r>
                <w:rPr>
                  <w:rFonts w:ascii="Calibri" w:hAnsi="Calibri" w:cs="Calibri"/>
                  <w:sz w:val="18"/>
                  <w:color w:val="1155CC"/>
                  <w:u w:val="single"/>
                </w:rPr>
                <w:t xml:space="preserve">nichd.nih.gov — at-risk factors</w:t>
              </w:r>
            </w:hyperlink>
          </w:p>
          <w:p>
            <w:pPr>
              <w:spacing w:before="60" w:after="40"/>
            </w:pPr>
            <w:r>
              <w:rPr>
                <w:rFonts w:ascii="Calibri" w:hAnsi="Calibri"/>
                <w:b w:val="0"/>
                <w:i w:val="0"/>
                <w:color w:val="5A5A5A"/>
                <w:sz w:val="18"/>
              </w:rPr>
              <w:t>#nulliparity  #retrogrademenstruation  #lifetimecycles  #ovulation  #estrogen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red / processed meat, low fruit &amp; vegetable intake</w:t>
            </w:r>
          </w:p>
        </w:tc>
        <w:tc>
          <w:tcPr>
            <w:tcW w:type="dxa" w:w="2160"/>
            <w:vAlign w:val="top"/>
          </w:tcPr>
          <w:p>
            <w:pPr>
              <w:spacing w:after="40" w:before="0" w:line="259" w:lineRule="auto"/>
            </w:pPr>
            <w:r>
              <w:rPr>
                <w:rFonts w:ascii="Calibri" w:hAnsi="Calibri"/>
                <w:b w:val="0"/>
                <w:i w:val="0"/>
                <w:color w:val="212121"/>
                <w:sz w:val="19"/>
              </w:rPr>
              <w:t>Women eating meat-heavy, low-fibre diets</w:t>
            </w:r>
          </w:p>
        </w:tc>
        <w:tc>
          <w:tcPr>
            <w:tcW w:type="dxa" w:w="4276"/>
            <w:vAlign w:val="top"/>
          </w:tcPr>
          <w:p>
            <w:pPr>
              <w:spacing w:after="60" w:line="259" w:lineRule="auto"/>
            </w:pPr>
            <w:r>
              <w:rPr>
                <w:rFonts w:ascii="Calibri" w:hAnsi="Calibri"/>
                <w:b w:val="0"/>
                <w:i w:val="0"/>
                <w:color w:val="212121"/>
                <w:sz w:val="19"/>
              </w:rPr>
              <w:t>Diets high in red and processed meat and trans fats are linked to higher endometriosis risk, while high intake of fruit (especially citrus), green vegetables, fibre and omega-3 fats is associated with lower risk — plausibly via effects on estrogen metabolism and inflammation.</w:t>
            </w:r>
          </w:p>
          <w:p>
            <w:pPr>
              <w:spacing w:after="40" w:before="60" w:line="259" w:lineRule="auto"/>
            </w:pPr>
            <w:r>
              <w:rPr>
                <w:rFonts w:ascii="Calibri" w:hAnsi="Calibri"/>
                <w:b w:val="0"/>
                <w:i w:val="0"/>
                <w:color w:val="212121"/>
                <w:sz w:val="19"/>
              </w:rPr>
              <w:t>Higher red-meat intake is associated with increased risk; greater fruit/vegetable and omega-3 intake with reduced risk in dietary reviews.</w:t>
            </w:r>
          </w:p>
          <w:p>
            <w:pPr>
              <w:spacing w:after="40" w:line="252" w:lineRule="auto"/>
            </w:pPr>
            <w:hyperlink r:id="rId16">
              <w:r>
                <w:rPr>
                  <w:rFonts w:ascii="Calibri" w:hAnsi="Calibri" w:cs="Calibri"/>
                  <w:sz w:val="18"/>
                  <w:color w:val="1155CC"/>
                  <w:u w:val="single"/>
                </w:rPr>
                <w:t xml:space="preserve">pubmed.ncbi.nlm.nih.gov/23419794 — diet &amp; endometriosis review</w:t>
              </w:r>
            </w:hyperlink>
          </w:p>
          <w:p>
            <w:pPr>
              <w:spacing w:before="60" w:after="40"/>
            </w:pPr>
            <w:r>
              <w:rPr>
                <w:rFonts w:ascii="Calibri" w:hAnsi="Calibri"/>
                <w:b w:val="0"/>
                <w:i w:val="0"/>
                <w:color w:val="5A5A5A"/>
                <w:sz w:val="18"/>
              </w:rPr>
              <w:t>#redmeat  #transfat  #fibre  #citrus  #omega3</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vitamin D / antioxidant intake</w:t>
            </w:r>
          </w:p>
        </w:tc>
        <w:tc>
          <w:tcPr>
            <w:tcW w:type="dxa" w:w="2160"/>
            <w:vAlign w:val="top"/>
          </w:tcPr>
          <w:p>
            <w:pPr>
              <w:spacing w:after="40" w:before="0" w:line="259" w:lineRule="auto"/>
            </w:pPr>
            <w:r>
              <w:rPr>
                <w:rFonts w:ascii="Calibri" w:hAnsi="Calibri"/>
                <w:b w:val="0"/>
                <w:i w:val="0"/>
                <w:color w:val="212121"/>
                <w:sz w:val="19"/>
              </w:rPr>
              <w:t>Women with low fruit, vegetable and dairy intake</w:t>
            </w:r>
          </w:p>
        </w:tc>
        <w:tc>
          <w:tcPr>
            <w:tcW w:type="dxa" w:w="4276"/>
            <w:vAlign w:val="top"/>
          </w:tcPr>
          <w:p>
            <w:pPr>
              <w:spacing w:after="60" w:line="259" w:lineRule="auto"/>
            </w:pPr>
            <w:r>
              <w:rPr>
                <w:rFonts w:ascii="Calibri" w:hAnsi="Calibri"/>
                <w:b w:val="0"/>
                <w:i w:val="0"/>
                <w:color w:val="212121"/>
                <w:sz w:val="19"/>
              </w:rPr>
              <w:t>Low dietary antioxidants and possibly low vitamin D/dairy may weaken immune clearance of ectopic cells and heighten oxidative stress and inflammation in the peritoneal cavity; evidence is observational.</w:t>
            </w:r>
          </w:p>
          <w:p>
            <w:pPr>
              <w:spacing w:after="40" w:before="60" w:line="259" w:lineRule="auto"/>
            </w:pPr>
            <w:r>
              <w:rPr>
                <w:rFonts w:ascii="Calibri" w:hAnsi="Calibri"/>
                <w:b w:val="0"/>
                <w:i w:val="0"/>
                <w:color w:val="212121"/>
                <w:sz w:val="19"/>
              </w:rPr>
              <w:t>Fruit intake, particularly citrus fruit, is listed among factors that may lower endometriosis risk.</w:t>
            </w:r>
          </w:p>
          <w:p>
            <w:pPr>
              <w:spacing w:after="40" w:line="252" w:lineRule="auto"/>
            </w:pPr>
            <w:hyperlink r:id="rId12">
              <w:r>
                <w:rPr>
                  <w:rFonts w:ascii="Calibri" w:hAnsi="Calibri" w:cs="Calibri"/>
                  <w:sz w:val="18"/>
                  <w:color w:val="1155CC"/>
                  <w:u w:val="single"/>
                </w:rPr>
                <w:t xml:space="preserve">nichd.nih.gov — protective dietary factors</w:t>
              </w:r>
            </w:hyperlink>
          </w:p>
          <w:p>
            <w:pPr>
              <w:spacing w:before="60" w:after="40"/>
            </w:pPr>
            <w:r>
              <w:rPr>
                <w:rFonts w:ascii="Calibri" w:hAnsi="Calibri"/>
                <w:b w:val="0"/>
                <w:i w:val="0"/>
                <w:color w:val="5A5A5A"/>
                <w:sz w:val="18"/>
              </w:rPr>
              <w:t>#antioxidants  #vitaminD  #oxidativestress  #diet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women with endometriosis</w:t>
            </w:r>
          </w:p>
        </w:tc>
        <w:tc>
          <w:tcPr>
            <w:tcW w:type="dxa" w:w="4276"/>
            <w:vAlign w:val="top"/>
          </w:tcPr>
          <w:p>
            <w:pPr>
              <w:spacing w:after="60" w:line="259" w:lineRule="auto"/>
            </w:pPr>
            <w:r>
              <w:rPr>
                <w:rFonts w:ascii="Calibri" w:hAnsi="Calibri"/>
                <w:b w:val="0"/>
                <w:i w:val="0"/>
                <w:color w:val="212121"/>
                <w:sz w:val="19"/>
              </w:rPr>
              <w:t>Endometriosis clusters strongly in families through polygenic inheritance; a mother or sister with the disease markedly increases an individual's risk.</w:t>
            </w:r>
          </w:p>
          <w:p>
            <w:pPr>
              <w:spacing w:after="40" w:before="60" w:line="259" w:lineRule="auto"/>
            </w:pPr>
            <w:r>
              <w:rPr>
                <w:rFonts w:ascii="Calibri" w:hAnsi="Calibri"/>
                <w:b w:val="0"/>
                <w:i w:val="0"/>
                <w:color w:val="212121"/>
                <w:sz w:val="19"/>
              </w:rPr>
              <w:t>A first-degree relative with endometriosis raises risk roughly 3- to 9-fold; in an Indian series 30.4% of cases had a positive family history versus few controls (p&lt;0.001).</w:t>
            </w:r>
          </w:p>
          <w:p>
            <w:pPr>
              <w:spacing w:after="40" w:line="252" w:lineRule="auto"/>
            </w:pPr>
            <w:hyperlink r:id="rId17">
              <w:r>
                <w:rPr>
                  <w:rFonts w:ascii="Calibri" w:hAnsi="Calibri" w:cs="Calibri"/>
                  <w:sz w:val="18"/>
                  <w:color w:val="1155CC"/>
                  <w:u w:val="single"/>
                </w:rPr>
                <w:t xml:space="preserve">ncbi.nlm.nih.gov/books/NBK567777 — StatPearls Endometriosis</w:t>
              </w:r>
            </w:hyperlink>
          </w:p>
          <w:p>
            <w:pPr>
              <w:spacing w:before="60" w:after="40"/>
            </w:pPr>
            <w:r>
              <w:rPr>
                <w:rFonts w:ascii="Calibri" w:hAnsi="Calibri"/>
                <w:b w:val="0"/>
                <w:i w:val="0"/>
                <w:color w:val="5A5A5A"/>
                <w:sz w:val="18"/>
              </w:rPr>
              <w:t>#familyhistory  #heritable  #polygenic  #firstdegree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Early menarche</w:t>
            </w:r>
          </w:p>
        </w:tc>
        <w:tc>
          <w:tcPr>
            <w:tcW w:type="dxa" w:w="2160"/>
            <w:vAlign w:val="top"/>
          </w:tcPr>
          <w:p>
            <w:pPr>
              <w:spacing w:after="40" w:before="0" w:line="259" w:lineRule="auto"/>
            </w:pPr>
            <w:r>
              <w:rPr>
                <w:rFonts w:ascii="Calibri" w:hAnsi="Calibri"/>
                <w:b w:val="0"/>
                <w:i w:val="0"/>
                <w:color w:val="212121"/>
                <w:sz w:val="19"/>
              </w:rPr>
              <w:t>Women with menarche before ~11–12 years</w:t>
            </w:r>
          </w:p>
        </w:tc>
        <w:tc>
          <w:tcPr>
            <w:tcW w:type="dxa" w:w="4276"/>
            <w:vAlign w:val="top"/>
          </w:tcPr>
          <w:p>
            <w:pPr>
              <w:spacing w:after="60" w:line="259" w:lineRule="auto"/>
            </w:pPr>
            <w:r>
              <w:rPr>
                <w:rFonts w:ascii="Calibri" w:hAnsi="Calibri"/>
                <w:b w:val="0"/>
                <w:i w:val="0"/>
                <w:color w:val="212121"/>
                <w:sz w:val="19"/>
              </w:rPr>
              <w:t>Earlier onset of menstruation lengthens lifetime estrogen and retrograde-menstruation exposure, increasing the chance of ectopic implantation and lesion establishment.</w:t>
            </w:r>
          </w:p>
          <w:p>
            <w:pPr>
              <w:spacing w:after="40" w:before="60" w:line="259" w:lineRule="auto"/>
            </w:pPr>
            <w:r>
              <w:rPr>
                <w:rFonts w:ascii="Calibri" w:hAnsi="Calibri"/>
                <w:b w:val="0"/>
                <w:i w:val="0"/>
                <w:color w:val="212121"/>
                <w:sz w:val="19"/>
              </w:rPr>
              <w:t>Early menarche (≤12 y) was present in 56.5% of Indian endometriosis cases versus 31.2% of controls (p=0.027).</w:t>
            </w:r>
          </w:p>
          <w:p>
            <w:pPr>
              <w:spacing w:after="40" w:line="252" w:lineRule="auto"/>
            </w:pPr>
            <w:hyperlink r:id="rId9">
              <w:r>
                <w:rPr>
                  <w:rFonts w:ascii="Calibri" w:hAnsi="Calibri" w:cs="Calibri"/>
                  <w:sz w:val="18"/>
                  <w:color w:val="1155CC"/>
                  <w:u w:val="single"/>
                </w:rPr>
                <w:t xml:space="preserve">pmc.ncbi.nlm.nih.gov/PMC11570443 — menstrual risk factors</w:t>
              </w:r>
            </w:hyperlink>
          </w:p>
          <w:p>
            <w:pPr>
              <w:spacing w:before="60" w:after="40"/>
            </w:pPr>
            <w:r>
              <w:rPr>
                <w:rFonts w:ascii="Calibri" w:hAnsi="Calibri"/>
                <w:b w:val="0"/>
                <w:i w:val="0"/>
                <w:color w:val="5A5A5A"/>
                <w:sz w:val="18"/>
              </w:rPr>
              <w:t>#earlymenarche  #estrogenexposure  #menstruation  #riskfactor  #adolescence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Short menstrual cycle / heavy prolonged bleeding</w:t>
            </w:r>
          </w:p>
        </w:tc>
        <w:tc>
          <w:tcPr>
            <w:tcW w:type="dxa" w:w="2160"/>
            <w:vAlign w:val="top"/>
          </w:tcPr>
          <w:p>
            <w:pPr>
              <w:spacing w:after="40" w:before="0" w:line="259" w:lineRule="auto"/>
            </w:pPr>
            <w:r>
              <w:rPr>
                <w:rFonts w:ascii="Calibri" w:hAnsi="Calibri"/>
                <w:b w:val="0"/>
                <w:i w:val="0"/>
                <w:color w:val="212121"/>
                <w:sz w:val="19"/>
              </w:rPr>
              <w:t>Women with cycles &lt;27 days or menses &gt;7 days</w:t>
            </w:r>
          </w:p>
        </w:tc>
        <w:tc>
          <w:tcPr>
            <w:tcW w:type="dxa" w:w="4276"/>
            <w:vAlign w:val="top"/>
          </w:tcPr>
          <w:p>
            <w:pPr>
              <w:spacing w:after="60" w:line="259" w:lineRule="auto"/>
            </w:pPr>
            <w:r>
              <w:rPr>
                <w:rFonts w:ascii="Calibri" w:hAnsi="Calibri"/>
                <w:b w:val="0"/>
                <w:i w:val="0"/>
                <w:color w:val="212121"/>
                <w:sz w:val="19"/>
              </w:rPr>
              <w:t>Frequent, heavy or prolonged menstruation increases the volume and frequency of retrograde flow into the pelvis, promoting implantation and growth of endometriotic tissue.</w:t>
            </w:r>
          </w:p>
          <w:p>
            <w:pPr>
              <w:spacing w:after="40" w:before="60" w:line="259" w:lineRule="auto"/>
            </w:pPr>
            <w:r>
              <w:rPr>
                <w:rFonts w:ascii="Calibri" w:hAnsi="Calibri"/>
                <w:b w:val="0"/>
                <w:i w:val="0"/>
                <w:color w:val="212121"/>
                <w:sz w:val="19"/>
              </w:rPr>
              <w:t>Cycle length &lt;21 days was found in 65.2% of Indian endometriosis cases (p=0.015); short cycles and heavy/prolonged periods are established risk factors.</w:t>
            </w:r>
          </w:p>
          <w:p>
            <w:pPr>
              <w:spacing w:after="40" w:line="252" w:lineRule="auto"/>
            </w:pPr>
            <w:hyperlink r:id="rId9">
              <w:r>
                <w:rPr>
                  <w:rFonts w:ascii="Calibri" w:hAnsi="Calibri" w:cs="Calibri"/>
                  <w:sz w:val="18"/>
                  <w:color w:val="1155CC"/>
                  <w:u w:val="single"/>
                </w:rPr>
                <w:t xml:space="preserve">pmc.ncbi.nlm.nih.gov/PMC11570443 — cycle characteristics</w:t>
              </w:r>
            </w:hyperlink>
          </w:p>
          <w:p>
            <w:pPr>
              <w:spacing w:before="60" w:after="40"/>
            </w:pPr>
            <w:r>
              <w:rPr>
                <w:rFonts w:ascii="Calibri" w:hAnsi="Calibri"/>
                <w:b w:val="0"/>
                <w:i w:val="0"/>
                <w:color w:val="5A5A5A"/>
                <w:sz w:val="18"/>
              </w:rPr>
              <w:t>#shortcycle  #menorrhagia  #retrogradeflow  #heavyperiods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body mass / lean build</w:t>
            </w:r>
          </w:p>
        </w:tc>
        <w:tc>
          <w:tcPr>
            <w:tcW w:type="dxa" w:w="2160"/>
            <w:vAlign w:val="top"/>
          </w:tcPr>
          <w:p>
            <w:pPr>
              <w:spacing w:after="40" w:before="0" w:line="259" w:lineRule="auto"/>
            </w:pPr>
            <w:r>
              <w:rPr>
                <w:rFonts w:ascii="Calibri" w:hAnsi="Calibri"/>
                <w:b w:val="0"/>
                <w:i w:val="0"/>
                <w:color w:val="212121"/>
                <w:sz w:val="19"/>
              </w:rPr>
              <w:t>Lean women with low body-fat percentage</w:t>
            </w:r>
          </w:p>
        </w:tc>
        <w:tc>
          <w:tcPr>
            <w:tcW w:type="dxa" w:w="4276"/>
            <w:vAlign w:val="top"/>
          </w:tcPr>
          <w:p>
            <w:pPr>
              <w:spacing w:after="60" w:line="259" w:lineRule="auto"/>
            </w:pPr>
            <w:r>
              <w:rPr>
                <w:rFonts w:ascii="Calibri" w:hAnsi="Calibri"/>
                <w:b w:val="0"/>
                <w:i w:val="0"/>
                <w:color w:val="212121"/>
                <w:sz w:val="19"/>
              </w:rPr>
              <w:t>A lean body habitus and low BMI are paradoxically associated with higher endometriosis risk, possibly reflecting differences in estrogen metabolism and menstrual patterns in low-adiposity women.</w:t>
            </w:r>
          </w:p>
          <w:p>
            <w:pPr>
              <w:spacing w:after="40" w:before="60" w:line="259" w:lineRule="auto"/>
            </w:pPr>
            <w:r>
              <w:rPr>
                <w:rFonts w:ascii="Calibri" w:hAnsi="Calibri"/>
                <w:b w:val="0"/>
                <w:i w:val="0"/>
                <w:color w:val="212121"/>
                <w:sz w:val="19"/>
              </w:rPr>
              <w:t>Low body mass / lean body fat is a recognised risk association; most Indian cases had normal BMI (65.2%), with a subset underweight.</w:t>
            </w:r>
          </w:p>
          <w:p>
            <w:pPr>
              <w:spacing w:after="40" w:line="252" w:lineRule="auto"/>
            </w:pPr>
            <w:hyperlink r:id="rId12">
              <w:r>
                <w:rPr>
                  <w:rFonts w:ascii="Calibri" w:hAnsi="Calibri" w:cs="Calibri"/>
                  <w:sz w:val="18"/>
                  <w:color w:val="1155CC"/>
                  <w:u w:val="single"/>
                </w:rPr>
                <w:t xml:space="preserve">nichd.nih.gov — low body-fat risk</w:t>
              </w:r>
            </w:hyperlink>
          </w:p>
          <w:p>
            <w:pPr>
              <w:spacing w:before="60" w:after="40"/>
            </w:pPr>
            <w:r>
              <w:rPr>
                <w:rFonts w:ascii="Calibri" w:hAnsi="Calibri"/>
                <w:b w:val="0"/>
                <w:i w:val="0"/>
                <w:color w:val="5A5A5A"/>
                <w:sz w:val="18"/>
              </w:rPr>
              <w:t>#lowBMI  #leanbuild  #bodyfat  #estrogenmetabolism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Infertility / sub-fertility</w:t>
            </w:r>
          </w:p>
        </w:tc>
        <w:tc>
          <w:tcPr>
            <w:tcW w:type="dxa" w:w="2160"/>
            <w:vAlign w:val="top"/>
          </w:tcPr>
          <w:p>
            <w:pPr>
              <w:spacing w:after="40" w:before="0" w:line="259" w:lineRule="auto"/>
            </w:pPr>
            <w:r>
              <w:rPr>
                <w:rFonts w:ascii="Calibri" w:hAnsi="Calibri"/>
                <w:b w:val="0"/>
                <w:i w:val="0"/>
                <w:color w:val="212121"/>
                <w:sz w:val="19"/>
              </w:rPr>
              <w:t>Women presenting with difficulty conceiving</w:t>
            </w:r>
          </w:p>
        </w:tc>
        <w:tc>
          <w:tcPr>
            <w:tcW w:type="dxa" w:w="4276"/>
            <w:vAlign w:val="top"/>
          </w:tcPr>
          <w:p>
            <w:pPr>
              <w:spacing w:after="60" w:line="259" w:lineRule="auto"/>
            </w:pPr>
            <w:r>
              <w:rPr>
                <w:rFonts w:ascii="Calibri" w:hAnsi="Calibri"/>
                <w:b w:val="0"/>
                <w:i w:val="0"/>
                <w:color w:val="212121"/>
                <w:sz w:val="19"/>
              </w:rPr>
              <w:t>Endometriosis distorts pelvic anatomy, forms adhesions and creates a hostile inflammatory peritoneal environment that impairs conception; it is both a cause and a common presenting context.</w:t>
            </w:r>
          </w:p>
          <w:p>
            <w:pPr>
              <w:spacing w:after="40" w:before="60" w:line="259" w:lineRule="auto"/>
            </w:pPr>
            <w:r>
              <w:rPr>
                <w:rFonts w:ascii="Calibri" w:hAnsi="Calibri"/>
                <w:b w:val="0"/>
                <w:i w:val="0"/>
                <w:color w:val="212121"/>
                <w:sz w:val="19"/>
              </w:rPr>
              <w:t>As many as 25–50% of women with infertility have endometriosis, and 30–50% of women with endometriosis experience infertility.</w:t>
            </w:r>
          </w:p>
          <w:p>
            <w:pPr>
              <w:spacing w:after="40" w:line="252" w:lineRule="auto"/>
            </w:pPr>
            <w:hyperlink r:id="rId11">
              <w:r>
                <w:rPr>
                  <w:rFonts w:ascii="Calibri" w:hAnsi="Calibri" w:cs="Calibri"/>
                  <w:sz w:val="18"/>
                  <w:color w:val="1155CC"/>
                  <w:u w:val="single"/>
                </w:rPr>
                <w:t xml:space="preserve">who.int — endometriosis &amp; fertility</w:t>
              </w:r>
            </w:hyperlink>
          </w:p>
          <w:p>
            <w:pPr>
              <w:spacing w:before="60" w:after="40"/>
            </w:pPr>
            <w:r>
              <w:rPr>
                <w:rFonts w:ascii="Calibri" w:hAnsi="Calibri"/>
                <w:b w:val="0"/>
                <w:i w:val="0"/>
                <w:color w:val="5A5A5A"/>
                <w:sz w:val="18"/>
              </w:rPr>
              <w:t>#infertility  #subfertility  #adhesions  #IVF  #pelvicanatomy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pelvic pain</w:t>
            </w:r>
          </w:p>
        </w:tc>
        <w:tc>
          <w:tcPr>
            <w:tcW w:type="dxa" w:w="2160"/>
            <w:vAlign w:val="top"/>
          </w:tcPr>
          <w:p>
            <w:pPr>
              <w:spacing w:after="40" w:before="0" w:line="259" w:lineRule="auto"/>
            </w:pPr>
            <w:r>
              <w:rPr>
                <w:rFonts w:ascii="Calibri" w:hAnsi="Calibri"/>
                <w:b w:val="0"/>
                <w:i w:val="0"/>
                <w:color w:val="212121"/>
                <w:sz w:val="19"/>
              </w:rPr>
              <w:t>Women with long-standing non-cyclical pelvic pain</w:t>
            </w:r>
          </w:p>
        </w:tc>
        <w:tc>
          <w:tcPr>
            <w:tcW w:type="dxa" w:w="4276"/>
            <w:vAlign w:val="top"/>
          </w:tcPr>
          <w:p>
            <w:pPr>
              <w:spacing w:after="60" w:line="259" w:lineRule="auto"/>
            </w:pPr>
            <w:r>
              <w:rPr>
                <w:rFonts w:ascii="Calibri" w:hAnsi="Calibri"/>
                <w:b w:val="0"/>
                <w:i w:val="0"/>
                <w:color w:val="212121"/>
                <w:sz w:val="19"/>
              </w:rPr>
              <w:t>Chronic pelvic pain frequently signals underlying endometriosis; central sensitisation from years of inflammatory pain amplifies symptoms and complicates management.</w:t>
            </w:r>
          </w:p>
          <w:p>
            <w:pPr>
              <w:spacing w:after="40" w:before="60" w:line="259" w:lineRule="auto"/>
            </w:pPr>
            <w:r>
              <w:rPr>
                <w:rFonts w:ascii="Calibri" w:hAnsi="Calibri"/>
                <w:b w:val="0"/>
                <w:i w:val="0"/>
                <w:color w:val="212121"/>
                <w:sz w:val="19"/>
              </w:rPr>
              <w:t>Endometriosis is found in up to ~42% of women investigated for chronic pelvic pain.</w:t>
            </w:r>
          </w:p>
          <w:p>
            <w:pPr>
              <w:spacing w:after="40" w:line="252" w:lineRule="auto"/>
            </w:pPr>
            <w:hyperlink r:id="rId13">
              <w:r>
                <w:rPr>
                  <w:rFonts w:ascii="Calibri" w:hAnsi="Calibri" w:cs="Calibri"/>
                  <w:sz w:val="18"/>
                  <w:color w:val="1155CC"/>
                  <w:u w:val="single"/>
                </w:rPr>
                <w:t xml:space="preserve">ijmr.org.in — prevalence in pelvic pain</w:t>
              </w:r>
            </w:hyperlink>
          </w:p>
          <w:p>
            <w:pPr>
              <w:spacing w:before="60" w:after="40"/>
            </w:pPr>
            <w:r>
              <w:rPr>
                <w:rFonts w:ascii="Calibri" w:hAnsi="Calibri"/>
                <w:b w:val="0"/>
                <w:i w:val="0"/>
                <w:color w:val="5A5A5A"/>
                <w:sz w:val="18"/>
              </w:rPr>
              <w:t>#chronicpelvicpain  #centralsensitisation  #dysmenorrhoea  #pelvicpain  #prevalence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Ovarian endometrioma</w:t>
            </w:r>
          </w:p>
        </w:tc>
        <w:tc>
          <w:tcPr>
            <w:tcW w:type="dxa" w:w="2160"/>
            <w:vAlign w:val="top"/>
          </w:tcPr>
          <w:p>
            <w:pPr>
              <w:spacing w:after="40" w:before="0" w:line="259" w:lineRule="auto"/>
            </w:pPr>
            <w:r>
              <w:rPr>
                <w:rFonts w:ascii="Calibri" w:hAnsi="Calibri"/>
                <w:b w:val="0"/>
                <w:i w:val="0"/>
                <w:color w:val="212121"/>
                <w:sz w:val="19"/>
              </w:rPr>
              <w:t>Women with a ‘chocolate cyst’ on scan</w:t>
            </w:r>
          </w:p>
        </w:tc>
        <w:tc>
          <w:tcPr>
            <w:tcW w:type="dxa" w:w="4276"/>
            <w:vAlign w:val="top"/>
          </w:tcPr>
          <w:p>
            <w:pPr>
              <w:spacing w:after="60" w:line="259" w:lineRule="auto"/>
            </w:pPr>
            <w:r>
              <w:rPr>
                <w:rFonts w:ascii="Calibri" w:hAnsi="Calibri"/>
                <w:b w:val="0"/>
                <w:i w:val="0"/>
                <w:color w:val="212121"/>
                <w:sz w:val="19"/>
              </w:rPr>
              <w:t>An ovarian endometrioma marks established, often moderate-to-severe disease, threatens ovarian reserve and predisposes (rarely) to clear-cell/endometrioid ovarian malignancy.</w:t>
            </w:r>
          </w:p>
          <w:p>
            <w:pPr>
              <w:spacing w:after="40" w:before="60" w:line="259" w:lineRule="auto"/>
            </w:pPr>
            <w:r>
              <w:rPr>
                <w:rFonts w:ascii="Calibri" w:hAnsi="Calibri"/>
                <w:b w:val="0"/>
                <w:i w:val="0"/>
                <w:color w:val="212121"/>
                <w:sz w:val="19"/>
              </w:rPr>
              <w:t>In Indian series ~43% of endometriosis cases were moderate and ~43% severe (rASRM stage III–IV) at diagnosis, reflecting late presentation.</w:t>
            </w:r>
          </w:p>
          <w:p>
            <w:pPr>
              <w:spacing w:after="40" w:line="252" w:lineRule="auto"/>
            </w:pPr>
            <w:hyperlink r:id="rId9">
              <w:r>
                <w:rPr>
                  <w:rFonts w:ascii="Calibri" w:hAnsi="Calibri" w:cs="Calibri"/>
                  <w:sz w:val="18"/>
                  <w:color w:val="1155CC"/>
                  <w:u w:val="single"/>
                </w:rPr>
                <w:t xml:space="preserve">pmc.ncbi.nlm.nih.gov/PMC11570443 — stage distribution</w:t>
              </w:r>
            </w:hyperlink>
          </w:p>
          <w:p>
            <w:pPr>
              <w:spacing w:before="60" w:after="40"/>
            </w:pPr>
            <w:r>
              <w:rPr>
                <w:rFonts w:ascii="Calibri" w:hAnsi="Calibri"/>
                <w:b w:val="0"/>
                <w:i w:val="0"/>
                <w:color w:val="5A5A5A"/>
                <w:sz w:val="18"/>
              </w:rPr>
              <w:t>#endometrioma  #chocolatecyst  #ovarianreserve  #stageIII  #latepresentation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exercise lowers circulating estrogen and systemic inflammation and may modestly reduce endometriosis risk and pain; observational data are suggestive but mixed, and a sedentary lifestyle removes this protective effect.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high in red/processed meat and trans fats are associated with higher risk, while fruit (especially citrus), green vegetables, fibre and omega-3 fats are linked to lower risk, plausibly via estrogen metabolism and inflammation.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pelvic pain frequently disrupts sleep, and poor sleep amplifies pain perception and HPA-axis stress; a causal role in disease onset is not established.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 nicotine's anti-estrogenic effect once suggested a protective trend, but associations are weak and unreliable, and smoking is never recommended.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raises circulating estrogen; meta-analyses show a modest positive association between alcohol intake and endometriosis, supporting moderation.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strong bidirectional link exists — women with endometriosis have ~1.5× the risk of depression and ~1.4× the risk of anxiety, and chronic pain worsens mood while low mood amplifies pain.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pelvic and bowel comfort but has no established role in causing or preventing endometriosis.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Associations between caffeine/coffee and endometriosis are inconsistent; most studies show little or no independent effect at moderate intake.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Menstrual hygiene practices are important for reproductive health generally but are not causally linked to endometriosis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Symptoms characteristically flare with menstruation and ovulation as ectopic tissue bleeds cyclically; deep dyspareunia is provoked by intercourse and dyschezia by defecation.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(min/week)</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≥150 min/week</w:t>
            </w:r>
          </w:p>
        </w:tc>
        <w:tc>
          <w:tcPr>
            <w:tcW w:type="dxa" w:w="1512"/>
            <w:vAlign w:val="top"/>
          </w:tcPr>
          <w:p>
            <w:pPr>
              <w:spacing w:after="40" w:before="0" w:line="259" w:lineRule="auto"/>
            </w:pPr>
            <w:r>
              <w:rPr>
                <w:rFonts w:ascii="Calibri" w:hAnsi="Calibri"/>
                <w:b w:val="0"/>
                <w:i w:val="0"/>
                <w:color w:val="212121"/>
                <w:sz w:val="19"/>
              </w:rPr>
              <w:t>&lt;150 min/week / largely sedentary</w:t>
            </w:r>
          </w:p>
        </w:tc>
        <w:tc>
          <w:tcPr>
            <w:tcW w:type="dxa" w:w="1468"/>
            <w:vAlign w:val="top"/>
          </w:tcPr>
          <w:p>
            <w:pPr>
              <w:spacing w:after="60" w:line="259" w:lineRule="auto"/>
            </w:pPr>
            <w:r>
              <w:rPr>
                <w:rFonts w:ascii="Calibri" w:hAnsi="Calibri"/>
                <w:b w:val="0"/>
                <w:i w:val="0"/>
                <w:color w:val="212121"/>
                <w:sz w:val="19"/>
              </w:rPr>
              <w:t>Activity lowers estrogen &amp; inflammation and may ease pain</w:t>
            </w:r>
          </w:p>
          <w:p>
            <w:pPr>
              <w:spacing w:after="40" w:line="252" w:lineRule="auto"/>
            </w:pPr>
            <w:hyperlink r:id="rId14">
              <w:r>
                <w:rPr>
                  <w:rFonts w:ascii="Calibri" w:hAnsi="Calibri" w:cs="Calibri"/>
                  <w:sz w:val="18"/>
                  <w:color w:val="1155CC"/>
                  <w:u w:val="single"/>
                </w:rPr>
                <w:t xml:space="preserve">https://pubmed.ncbi.nlm.nih.gov/19901838/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Lean/low body-fat build (recognised risk)</w:t>
            </w:r>
          </w:p>
        </w:tc>
        <w:tc>
          <w:tcPr>
            <w:tcW w:type="dxa" w:w="1468"/>
            <w:vAlign w:val="top"/>
          </w:tcPr>
          <w:p>
            <w:pPr>
              <w:spacing w:after="60" w:line="259" w:lineRule="auto"/>
            </w:pPr>
            <w:r>
              <w:rPr>
                <w:rFonts w:ascii="Calibri" w:hAnsi="Calibri"/>
                <w:b w:val="0"/>
                <w:i w:val="0"/>
                <w:color w:val="212121"/>
                <w:sz w:val="19"/>
              </w:rPr>
              <w:t>Low BMI paradoxically associated with higher risk</w:t>
            </w:r>
          </w:p>
          <w:p>
            <w:pPr>
              <w:spacing w:after="40" w:line="252" w:lineRule="auto"/>
            </w:pPr>
            <w:hyperlink r:id="rId12">
              <w:r>
                <w:rPr>
                  <w:rFonts w:ascii="Calibri" w:hAnsi="Calibri" w:cs="Calibri"/>
                  <w:sz w:val="18"/>
                  <w:color w:val="1155CC"/>
                  <w:u w:val="single"/>
                </w:rPr>
                <w:t xml:space="preserve">https://www.nichd.nih.gov/health/topics/endometri/conditioninfo/pages/at-risk.aspx</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Red/processed meat servings</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Low / occasional</w:t>
            </w:r>
          </w:p>
        </w:tc>
        <w:tc>
          <w:tcPr>
            <w:tcW w:type="dxa" w:w="1512"/>
            <w:vAlign w:val="top"/>
          </w:tcPr>
          <w:p>
            <w:pPr>
              <w:spacing w:after="40" w:before="0" w:line="259" w:lineRule="auto"/>
            </w:pPr>
            <w:r>
              <w:rPr>
                <w:rFonts w:ascii="Calibri" w:hAnsi="Calibri"/>
                <w:b w:val="0"/>
                <w:i w:val="0"/>
                <w:color w:val="212121"/>
                <w:sz w:val="19"/>
              </w:rPr>
              <w:t>Frequent daily red or processed meat</w:t>
            </w:r>
          </w:p>
        </w:tc>
        <w:tc>
          <w:tcPr>
            <w:tcW w:type="dxa" w:w="1468"/>
            <w:vAlign w:val="top"/>
          </w:tcPr>
          <w:p>
            <w:pPr>
              <w:spacing w:after="60" w:line="259" w:lineRule="auto"/>
            </w:pPr>
            <w:r>
              <w:rPr>
                <w:rFonts w:ascii="Calibri" w:hAnsi="Calibri"/>
                <w:b w:val="0"/>
                <w:i w:val="0"/>
                <w:color w:val="212121"/>
                <w:sz w:val="19"/>
              </w:rPr>
              <w:t>Higher intake linked to increased risk</w:t>
            </w:r>
          </w:p>
          <w:p>
            <w:pPr>
              <w:spacing w:after="40" w:line="252" w:lineRule="auto"/>
            </w:pPr>
            <w:hyperlink r:id="rId16">
              <w:r>
                <w:rPr>
                  <w:rFonts w:ascii="Calibri" w:hAnsi="Calibri" w:cs="Calibri"/>
                  <w:sz w:val="18"/>
                  <w:color w:val="1155CC"/>
                  <w:u w:val="single"/>
                </w:rPr>
                <w:t xml:space="preserve">https://pubmed.ncbi.nlm.nih.gov/23419794/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&amp; vegetable intake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≥5 servings/day incl. citrus</w:t>
            </w:r>
          </w:p>
        </w:tc>
        <w:tc>
          <w:tcPr>
            <w:tcW w:type="dxa" w:w="1512"/>
            <w:vAlign w:val="top"/>
          </w:tcPr>
          <w:p>
            <w:pPr>
              <w:spacing w:after="40" w:before="0" w:line="259" w:lineRule="auto"/>
            </w:pPr>
            <w:r>
              <w:rPr>
                <w:rFonts w:ascii="Calibri" w:hAnsi="Calibri"/>
                <w:b w:val="0"/>
                <w:i w:val="0"/>
                <w:color w:val="212121"/>
                <w:sz w:val="19"/>
              </w:rPr>
              <w:t>Low fruit/vegetable, low-fibre diet</w:t>
            </w:r>
          </w:p>
        </w:tc>
        <w:tc>
          <w:tcPr>
            <w:tcW w:type="dxa" w:w="1468"/>
            <w:vAlign w:val="top"/>
          </w:tcPr>
          <w:p>
            <w:pPr>
              <w:spacing w:after="60" w:line="259" w:lineRule="auto"/>
            </w:pPr>
            <w:r>
              <w:rPr>
                <w:rFonts w:ascii="Calibri" w:hAnsi="Calibri"/>
                <w:b w:val="0"/>
                <w:i w:val="0"/>
                <w:color w:val="212121"/>
                <w:sz w:val="19"/>
              </w:rPr>
              <w:t>Citrus fruit intake may lower risk</w:t>
            </w:r>
          </w:p>
          <w:p>
            <w:pPr>
              <w:spacing w:after="40" w:line="252" w:lineRule="auto"/>
            </w:pPr>
            <w:hyperlink r:id="rId12">
              <w:r>
                <w:rPr>
                  <w:rFonts w:ascii="Calibri" w:hAnsi="Calibri" w:cs="Calibri"/>
                  <w:sz w:val="18"/>
                  <w:color w:val="1155CC"/>
                  <w:u w:val="single"/>
                </w:rPr>
                <w:t xml:space="preserve">https://www.nichd.nih.gov/health/topics/endometri/conditioninfo/pages/at-risk.aspx</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None / minimal</w:t>
            </w:r>
          </w:p>
        </w:tc>
        <w:tc>
          <w:tcPr>
            <w:tcW w:type="dxa" w:w="1512"/>
            <w:vAlign w:val="top"/>
          </w:tcPr>
          <w:p>
            <w:pPr>
              <w:spacing w:after="40" w:before="0" w:line="259" w:lineRule="auto"/>
            </w:pPr>
            <w:r>
              <w:rPr>
                <w:rFonts w:ascii="Calibri" w:hAnsi="Calibri"/>
                <w:b w:val="0"/>
                <w:i w:val="0"/>
                <w:color w:val="212121"/>
                <w:sz w:val="19"/>
              </w:rPr>
              <w:t>Regular or heavy drinking</w:t>
            </w:r>
          </w:p>
        </w:tc>
        <w:tc>
          <w:tcPr>
            <w:tcW w:type="dxa" w:w="1468"/>
            <w:vAlign w:val="top"/>
          </w:tcPr>
          <w:p>
            <w:pPr>
              <w:spacing w:after="60" w:line="259" w:lineRule="auto"/>
            </w:pPr>
            <w:r>
              <w:rPr>
                <w:rFonts w:ascii="Calibri" w:hAnsi="Calibri"/>
                <w:b w:val="0"/>
                <w:i w:val="0"/>
                <w:color w:val="212121"/>
                <w:sz w:val="19"/>
              </w:rPr>
              <w:t>Alcohol raises estrogen; modest risk increase</w:t>
            </w:r>
          </w:p>
          <w:p>
            <w:pPr>
              <w:spacing w:after="40" w:line="252" w:lineRule="auto"/>
            </w:pPr>
            <w:hyperlink r:id="rId15">
              <w:r>
                <w:rPr>
                  <w:rFonts w:ascii="Calibri" w:hAnsi="Calibri" w:cs="Calibri"/>
                  <w:sz w:val="18"/>
                  <w:color w:val="1155CC"/>
                  <w:u w:val="single"/>
                </w:rPr>
                <w:t xml:space="preserve">https://pubmed.ncbi.nlm.nih.gov/30307628/</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7–9 hours</w:t>
            </w:r>
          </w:p>
        </w:tc>
        <w:tc>
          <w:tcPr>
            <w:tcW w:type="dxa" w:w="1512"/>
            <w:vAlign w:val="top"/>
          </w:tcPr>
          <w:p>
            <w:pPr>
              <w:spacing w:after="40" w:before="0" w:line="259" w:lineRule="auto"/>
            </w:pPr>
            <w:r>
              <w:rPr>
                <w:rFonts w:ascii="Calibri" w:hAnsi="Calibri"/>
                <w:b w:val="0"/>
                <w:i w:val="0"/>
                <w:color w:val="212121"/>
                <w:sz w:val="19"/>
              </w:rPr>
              <w:t>&lt;6 h or pain-disrupted sleep</w:t>
            </w:r>
          </w:p>
        </w:tc>
        <w:tc>
          <w:tcPr>
            <w:tcW w:type="dxa" w:w="1468"/>
            <w:vAlign w:val="top"/>
          </w:tcPr>
          <w:p>
            <w:pPr>
              <w:spacing w:after="60" w:line="259" w:lineRule="auto"/>
            </w:pPr>
            <w:r>
              <w:rPr>
                <w:rFonts w:ascii="Calibri" w:hAnsi="Calibri"/>
                <w:b w:val="0"/>
                <w:i w:val="0"/>
                <w:color w:val="212121"/>
                <w:sz w:val="19"/>
              </w:rPr>
              <w:t>Poor sleep worsens pain perception</w:t>
            </w:r>
          </w:p>
          <w:p>
            <w:pPr>
              <w:spacing w:after="40" w:line="252" w:lineRule="auto"/>
            </w:pPr>
            <w:hyperlink r:id="rId18">
              <w:r>
                <w:rPr>
                  <w:rFonts w:ascii="Calibri" w:hAnsi="Calibri" w:cs="Calibri"/>
                  <w:sz w:val="18"/>
                  <w:color w:val="1155CC"/>
                  <w:u w:val="single"/>
                </w:rPr>
                <w:t xml:space="preserve">https://www.frontiersin.org/journals/public-health/articles/10.3389/fpubh.2023.1230303/full</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Depression/anxiety screen (e.g. PHQ-9 / GAD-7)</w:t>
            </w:r>
          </w:p>
        </w:tc>
        <w:tc>
          <w:tcPr>
            <w:tcW w:type="dxa" w:w="1655"/>
            <w:vAlign w:val="top"/>
          </w:tcPr>
          <w:p>
            <w:pPr>
              <w:spacing w:after="40" w:before="0" w:line="259" w:lineRule="auto"/>
            </w:pPr>
            <w:r>
              <w:rPr>
                <w:rFonts w:ascii="Calibri" w:hAnsi="Calibri"/>
                <w:b w:val="0"/>
                <w:i w:val="0"/>
                <w:color w:val="212121"/>
                <w:sz w:val="19"/>
              </w:rPr>
              <w:t>Women with chronic pelvic pain</w:t>
            </w:r>
          </w:p>
        </w:tc>
        <w:tc>
          <w:tcPr>
            <w:tcW w:type="dxa" w:w="1512"/>
            <w:vAlign w:val="top"/>
          </w:tcPr>
          <w:p>
            <w:pPr>
              <w:spacing w:after="40" w:before="0" w:line="259" w:lineRule="auto"/>
            </w:pPr>
            <w:r>
              <w:rPr>
                <w:rFonts w:ascii="Calibri" w:hAnsi="Calibri"/>
                <w:b w:val="0"/>
                <w:i w:val="0"/>
                <w:color w:val="212121"/>
                <w:sz w:val="19"/>
              </w:rPr>
              <w:t>Negative screen</w:t>
            </w:r>
          </w:p>
        </w:tc>
        <w:tc>
          <w:tcPr>
            <w:tcW w:type="dxa" w:w="1512"/>
            <w:vAlign w:val="top"/>
          </w:tcPr>
          <w:p>
            <w:pPr>
              <w:spacing w:after="40" w:before="0" w:line="259" w:lineRule="auto"/>
            </w:pPr>
            <w:r>
              <w:rPr>
                <w:rFonts w:ascii="Calibri" w:hAnsi="Calibri"/>
                <w:b w:val="0"/>
                <w:i w:val="0"/>
                <w:color w:val="212121"/>
                <w:sz w:val="19"/>
              </w:rPr>
              <w:t>Positive screen for depression or anxiety</w:t>
            </w:r>
          </w:p>
        </w:tc>
        <w:tc>
          <w:tcPr>
            <w:tcW w:type="dxa" w:w="1468"/>
            <w:vAlign w:val="top"/>
          </w:tcPr>
          <w:p>
            <w:pPr>
              <w:spacing w:after="60" w:line="259" w:lineRule="auto"/>
            </w:pPr>
            <w:r>
              <w:rPr>
                <w:rFonts w:ascii="Calibri" w:hAnsi="Calibri"/>
                <w:b w:val="0"/>
                <w:i w:val="0"/>
                <w:color w:val="212121"/>
                <w:sz w:val="19"/>
              </w:rPr>
              <w:t>Endometriosis carries ~1.5× depression and ~1.4× anxiety risk</w:t>
            </w:r>
          </w:p>
          <w:p>
            <w:pPr>
              <w:spacing w:after="40" w:line="252" w:lineRule="auto"/>
            </w:pPr>
            <w:hyperlink r:id="rId19">
              <w:r>
                <w:rPr>
                  <w:rFonts w:ascii="Calibri" w:hAnsi="Calibri" w:cs="Calibri"/>
                  <w:sz w:val="18"/>
                  <w:color w:val="1155CC"/>
                  <w:u w:val="single"/>
                </w:rPr>
                <w:t xml:space="preserve">https://academic.oup.com/aje/article/190/5/843/5979508</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Menstrual pain score (0–10 VAS)</w:t>
            </w:r>
          </w:p>
        </w:tc>
        <w:tc>
          <w:tcPr>
            <w:tcW w:type="dxa" w:w="1655"/>
            <w:vAlign w:val="top"/>
          </w:tcPr>
          <w:p>
            <w:pPr>
              <w:spacing w:after="40" w:before="0" w:line="259" w:lineRule="auto"/>
            </w:pPr>
            <w:r>
              <w:rPr>
                <w:rFonts w:ascii="Calibri" w:hAnsi="Calibri"/>
                <w:b w:val="0"/>
                <w:i w:val="0"/>
                <w:color w:val="212121"/>
                <w:sz w:val="19"/>
              </w:rPr>
              <w:t>Menstruating women</w:t>
            </w:r>
          </w:p>
        </w:tc>
        <w:tc>
          <w:tcPr>
            <w:tcW w:type="dxa" w:w="1512"/>
            <w:vAlign w:val="top"/>
          </w:tcPr>
          <w:p>
            <w:pPr>
              <w:spacing w:after="40" w:before="0" w:line="259" w:lineRule="auto"/>
            </w:pPr>
            <w:r>
              <w:rPr>
                <w:rFonts w:ascii="Calibri" w:hAnsi="Calibri"/>
                <w:b w:val="0"/>
                <w:i w:val="0"/>
                <w:color w:val="212121"/>
                <w:sz w:val="19"/>
              </w:rPr>
              <w:t>0–3 (mild)</w:t>
            </w:r>
          </w:p>
        </w:tc>
        <w:tc>
          <w:tcPr>
            <w:tcW w:type="dxa" w:w="1512"/>
            <w:vAlign w:val="top"/>
          </w:tcPr>
          <w:p>
            <w:pPr>
              <w:spacing w:after="40" w:before="0" w:line="259" w:lineRule="auto"/>
            </w:pPr>
            <w:r>
              <w:rPr>
                <w:rFonts w:ascii="Calibri" w:hAnsi="Calibri"/>
                <w:b w:val="0"/>
                <w:i w:val="0"/>
                <w:color w:val="212121"/>
                <w:sz w:val="19"/>
              </w:rPr>
              <w:t>≥7 / disabling, progressive dysmenorrhoea</w:t>
            </w:r>
          </w:p>
        </w:tc>
        <w:tc>
          <w:tcPr>
            <w:tcW w:type="dxa" w:w="1468"/>
            <w:vAlign w:val="top"/>
          </w:tcPr>
          <w:p>
            <w:pPr>
              <w:spacing w:after="60" w:line="259" w:lineRule="auto"/>
            </w:pPr>
            <w:r>
              <w:rPr>
                <w:rFonts w:ascii="Calibri" w:hAnsi="Calibri"/>
                <w:b w:val="0"/>
                <w:i w:val="0"/>
                <w:color w:val="212121"/>
                <w:sz w:val="19"/>
              </w:rPr>
              <w:t>Severe cyclical pain is a cardinal red flag</w:t>
            </w:r>
          </w:p>
          <w:p>
            <w:pPr>
              <w:spacing w:after="40" w:line="252" w:lineRule="auto"/>
            </w:pPr>
            <w:hyperlink r:id="rId11">
              <w:r>
                <w:rPr>
                  <w:rFonts w:ascii="Calibri" w:hAnsi="Calibri" w:cs="Calibri"/>
                  <w:sz w:val="18"/>
                  <w:color w:val="1155CC"/>
                  <w:u w:val="single"/>
                </w:rPr>
                <w:t xml:space="preserve">https://www.who.int/news-room/fact-sheets/detail/endometriosis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at menarche</w:t>
            </w:r>
          </w:p>
        </w:tc>
        <w:tc>
          <w:tcPr>
            <w:tcW w:type="dxa" w:w="1655"/>
            <w:vAlign w:val="top"/>
          </w:tcPr>
          <w:p>
            <w:pPr>
              <w:spacing w:after="40" w:before="0" w:line="259" w:lineRule="auto"/>
            </w:pPr>
            <w:r>
              <w:rPr>
                <w:rFonts w:ascii="Calibri" w:hAnsi="Calibri"/>
                <w:b w:val="0"/>
                <w:i w:val="0"/>
                <w:color w:val="212121"/>
                <w:sz w:val="19"/>
              </w:rPr>
              <w:t>Girls/women</w:t>
            </w:r>
          </w:p>
        </w:tc>
        <w:tc>
          <w:tcPr>
            <w:tcW w:type="dxa" w:w="1512"/>
            <w:vAlign w:val="top"/>
          </w:tcPr>
          <w:p>
            <w:pPr>
              <w:spacing w:after="40" w:before="0" w:line="259" w:lineRule="auto"/>
            </w:pPr>
            <w:r>
              <w:rPr>
                <w:rFonts w:ascii="Calibri" w:hAnsi="Calibri"/>
                <w:b w:val="0"/>
                <w:i w:val="0"/>
                <w:color w:val="212121"/>
                <w:sz w:val="19"/>
              </w:rPr>
              <w:t>≥13 years</w:t>
            </w:r>
          </w:p>
        </w:tc>
        <w:tc>
          <w:tcPr>
            <w:tcW w:type="dxa" w:w="1512"/>
            <w:vAlign w:val="top"/>
          </w:tcPr>
          <w:p>
            <w:pPr>
              <w:spacing w:after="40" w:before="0" w:line="259" w:lineRule="auto"/>
            </w:pPr>
            <w:r>
              <w:rPr>
                <w:rFonts w:ascii="Calibri" w:hAnsi="Calibri"/>
                <w:b w:val="0"/>
                <w:i w:val="0"/>
                <w:color w:val="212121"/>
                <w:sz w:val="19"/>
              </w:rPr>
              <w:t>Menarche ≤11–12 years</w:t>
            </w:r>
          </w:p>
        </w:tc>
        <w:tc>
          <w:tcPr>
            <w:tcW w:type="dxa" w:w="1468"/>
            <w:vAlign w:val="top"/>
          </w:tcPr>
          <w:p>
            <w:pPr>
              <w:spacing w:after="60" w:line="259" w:lineRule="auto"/>
            </w:pPr>
            <w:r>
              <w:rPr>
                <w:rFonts w:ascii="Calibri" w:hAnsi="Calibri"/>
                <w:b w:val="0"/>
                <w:i w:val="0"/>
                <w:color w:val="212121"/>
                <w:sz w:val="19"/>
              </w:rPr>
              <w:t>Early menarche lengthens estrogen exposure</w:t>
            </w:r>
          </w:p>
          <w:p>
            <w:pPr>
              <w:spacing w:after="40" w:line="252" w:lineRule="auto"/>
            </w:pPr>
            <w:hyperlink r:id="rId9">
              <w:r>
                <w:rPr>
                  <w:rFonts w:ascii="Calibri" w:hAnsi="Calibri" w:cs="Calibri"/>
                  <w:sz w:val="18"/>
                  <w:color w:val="1155CC"/>
                  <w:u w:val="single"/>
                </w:rPr>
                <w:t xml:space="preserve">https://pmc.ncbi.nlm.nih.gov/articles/PMC11570443/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Menstrual cycle length</w:t>
            </w:r>
          </w:p>
        </w:tc>
        <w:tc>
          <w:tcPr>
            <w:tcW w:type="dxa" w:w="1655"/>
            <w:vAlign w:val="top"/>
          </w:tcPr>
          <w:p>
            <w:pPr>
              <w:spacing w:after="40" w:before="0" w:line="259" w:lineRule="auto"/>
            </w:pPr>
            <w:r>
              <w:rPr>
                <w:rFonts w:ascii="Calibri" w:hAnsi="Calibri"/>
                <w:b w:val="0"/>
                <w:i w:val="0"/>
                <w:color w:val="212121"/>
                <w:sz w:val="19"/>
              </w:rPr>
              <w:t>Menstruating women</w:t>
            </w:r>
          </w:p>
        </w:tc>
        <w:tc>
          <w:tcPr>
            <w:tcW w:type="dxa" w:w="1512"/>
            <w:vAlign w:val="top"/>
          </w:tcPr>
          <w:p>
            <w:pPr>
              <w:spacing w:after="40" w:before="0" w:line="259" w:lineRule="auto"/>
            </w:pPr>
            <w:r>
              <w:rPr>
                <w:rFonts w:ascii="Calibri" w:hAnsi="Calibri"/>
                <w:b w:val="0"/>
                <w:i w:val="0"/>
                <w:color w:val="212121"/>
                <w:sz w:val="19"/>
              </w:rPr>
              <w:t>≈28 days</w:t>
            </w:r>
          </w:p>
        </w:tc>
        <w:tc>
          <w:tcPr>
            <w:tcW w:type="dxa" w:w="1512"/>
            <w:vAlign w:val="top"/>
          </w:tcPr>
          <w:p>
            <w:pPr>
              <w:spacing w:after="40" w:before="0" w:line="259" w:lineRule="auto"/>
            </w:pPr>
            <w:r>
              <w:rPr>
                <w:rFonts w:ascii="Calibri" w:hAnsi="Calibri"/>
                <w:b w:val="0"/>
                <w:i w:val="0"/>
                <w:color w:val="212121"/>
                <w:sz w:val="19"/>
              </w:rPr>
              <w:t>&lt;27 days (short cycles)</w:t>
            </w:r>
          </w:p>
        </w:tc>
        <w:tc>
          <w:tcPr>
            <w:tcW w:type="dxa" w:w="1468"/>
            <w:vAlign w:val="top"/>
          </w:tcPr>
          <w:p>
            <w:pPr>
              <w:spacing w:after="60" w:line="259" w:lineRule="auto"/>
            </w:pPr>
            <w:r>
              <w:rPr>
                <w:rFonts w:ascii="Calibri" w:hAnsi="Calibri"/>
                <w:b w:val="0"/>
                <w:i w:val="0"/>
                <w:color w:val="212121"/>
                <w:sz w:val="19"/>
              </w:rPr>
              <w:t>Short cycles increase retrograde-menstruation exposure</w:t>
            </w:r>
          </w:p>
          <w:p>
            <w:pPr>
              <w:spacing w:after="40" w:line="252" w:lineRule="auto"/>
            </w:pPr>
            <w:hyperlink r:id="rId12">
              <w:r>
                <w:rPr>
                  <w:rFonts w:ascii="Calibri" w:hAnsi="Calibri" w:cs="Calibri"/>
                  <w:sz w:val="18"/>
                  <w:color w:val="1155CC"/>
                  <w:u w:val="single"/>
                </w:rPr>
                <w:t xml:space="preserve">https://www.nichd.nih.gov/health/topics/endometri/conditioninfo/pages/at-risk.aspx</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CA-125 (adjunct marker)</w:t>
            </w:r>
          </w:p>
        </w:tc>
        <w:tc>
          <w:tcPr>
            <w:tcW w:type="dxa" w:w="1655"/>
            <w:vAlign w:val="top"/>
          </w:tcPr>
          <w:p>
            <w:pPr>
              <w:spacing w:after="40" w:before="0" w:line="259" w:lineRule="auto"/>
            </w:pPr>
            <w:r>
              <w:rPr>
                <w:rFonts w:ascii="Calibri" w:hAnsi="Calibri"/>
                <w:b w:val="0"/>
                <w:i w:val="0"/>
                <w:color w:val="212121"/>
                <w:sz w:val="19"/>
              </w:rPr>
              <w:t>Women with suspected advanced disease</w:t>
            </w:r>
          </w:p>
        </w:tc>
        <w:tc>
          <w:tcPr>
            <w:tcW w:type="dxa" w:w="1512"/>
            <w:vAlign w:val="top"/>
          </w:tcPr>
          <w:p>
            <w:pPr>
              <w:spacing w:after="40" w:before="0" w:line="259" w:lineRule="auto"/>
            </w:pPr>
            <w:r>
              <w:rPr>
                <w:rFonts w:ascii="Calibri" w:hAnsi="Calibri"/>
                <w:b w:val="0"/>
                <w:i w:val="0"/>
                <w:color w:val="212121"/>
                <w:sz w:val="19"/>
              </w:rPr>
              <w:t>&lt;35 U/mL</w:t>
            </w:r>
          </w:p>
        </w:tc>
        <w:tc>
          <w:tcPr>
            <w:tcW w:type="dxa" w:w="1512"/>
            <w:vAlign w:val="top"/>
          </w:tcPr>
          <w:p>
            <w:pPr>
              <w:spacing w:after="40" w:before="0" w:line="259" w:lineRule="auto"/>
            </w:pPr>
            <w:r>
              <w:rPr>
                <w:rFonts w:ascii="Calibri" w:hAnsi="Calibri"/>
                <w:b w:val="0"/>
                <w:i w:val="0"/>
                <w:color w:val="212121"/>
                <w:sz w:val="19"/>
              </w:rPr>
              <w:t>&gt;35 U/mL (non-specific)</w:t>
            </w:r>
          </w:p>
        </w:tc>
        <w:tc>
          <w:tcPr>
            <w:tcW w:type="dxa" w:w="1468"/>
            <w:vAlign w:val="top"/>
          </w:tcPr>
          <w:p>
            <w:pPr>
              <w:spacing w:after="60" w:line="259" w:lineRule="auto"/>
            </w:pPr>
            <w:r>
              <w:rPr>
                <w:rFonts w:ascii="Calibri" w:hAnsi="Calibri"/>
                <w:b w:val="0"/>
                <w:i w:val="0"/>
                <w:color w:val="212121"/>
                <w:sz w:val="19"/>
              </w:rPr>
              <w:t>May rise in endometrioma/advanced disease; not diagnostic</w:t>
            </w:r>
          </w:p>
          <w:p>
            <w:pPr>
              <w:spacing w:after="40" w:line="252" w:lineRule="auto"/>
            </w:pPr>
            <w:hyperlink r:id="rId17">
              <w:r>
                <w:rPr>
                  <w:rFonts w:ascii="Calibri" w:hAnsi="Calibri" w:cs="Calibri"/>
                  <w:sz w:val="18"/>
                  <w:color w:val="1155CC"/>
                  <w:u w:val="single"/>
                </w:rPr>
                <w:t xml:space="preserve">https://www.ncbi.nlm.nih.gov/books/NBK567777/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Ovarian endometrioma / DIE</w:t>
            </w:r>
          </w:p>
        </w:tc>
        <w:tc>
          <w:tcPr>
            <w:tcW w:type="dxa" w:w="892"/>
            <w:vAlign w:val="top"/>
          </w:tcPr>
          <w:p>
            <w:pPr>
              <w:spacing w:after="40" w:before="0" w:line="259" w:lineRule="auto"/>
            </w:pPr>
            <w:r>
              <w:rPr>
                <w:rFonts w:ascii="Calibri" w:hAnsi="Calibri"/>
                <w:b w:val="0"/>
                <w:i w:val="0"/>
                <w:color w:val="212121"/>
                <w:sz w:val="16"/>
              </w:rPr>
              <w:t>Transvaginal ultrasound (TVUS)</w:t>
            </w:r>
          </w:p>
        </w:tc>
        <w:tc>
          <w:tcPr>
            <w:tcW w:type="dxa" w:w="950"/>
            <w:vAlign w:val="top"/>
          </w:tcPr>
          <w:p>
            <w:pPr>
              <w:spacing w:after="40" w:before="0" w:line="259" w:lineRule="auto"/>
            </w:pPr>
            <w:r>
              <w:rPr>
                <w:rFonts w:ascii="Calibri" w:hAnsi="Calibri"/>
                <w:b w:val="0"/>
                <w:i w:val="0"/>
                <w:color w:val="212121"/>
                <w:sz w:val="16"/>
              </w:rPr>
              <w:t>No cyst; normal ovaries &amp; pelvis</w:t>
            </w:r>
          </w:p>
        </w:tc>
        <w:tc>
          <w:tcPr>
            <w:tcW w:type="dxa" w:w="950"/>
            <w:vAlign w:val="top"/>
          </w:tcPr>
          <w:p>
            <w:pPr>
              <w:spacing w:after="40" w:before="0" w:line="259" w:lineRule="auto"/>
            </w:pPr>
            <w:r>
              <w:rPr>
                <w:rFonts w:ascii="Calibri" w:hAnsi="Calibri"/>
                <w:b w:val="0"/>
                <w:i w:val="0"/>
                <w:color w:val="212121"/>
                <w:sz w:val="16"/>
              </w:rPr>
              <w:t>‘Ground-glass’ cystic ovarian lesion; DIE nodules</w:t>
            </w:r>
          </w:p>
        </w:tc>
        <w:tc>
          <w:tcPr>
            <w:tcW w:type="dxa" w:w="1036"/>
            <w:vAlign w:val="top"/>
          </w:tcPr>
          <w:p>
            <w:pPr>
              <w:spacing w:after="40" w:before="0" w:line="259" w:lineRule="auto"/>
            </w:pPr>
            <w:r>
              <w:rPr>
                <w:rFonts w:ascii="Calibri" w:hAnsi="Calibri"/>
                <w:b w:val="0"/>
                <w:i w:val="0"/>
                <w:color w:val="212121"/>
                <w:sz w:val="16"/>
              </w:rPr>
              <w:t>First-line imaging; detects endometrioma and deep disease</w:t>
            </w:r>
          </w:p>
        </w:tc>
        <w:tc>
          <w:tcPr>
            <w:tcW w:type="dxa" w:w="1036"/>
            <w:vAlign w:val="top"/>
          </w:tcPr>
          <w:p>
            <w:pPr>
              <w:spacing w:after="40" w:before="0" w:line="259" w:lineRule="auto"/>
            </w:pPr>
            <w:r>
              <w:rPr>
                <w:rFonts w:ascii="Calibri" w:hAnsi="Calibri"/>
                <w:b w:val="0"/>
                <w:i w:val="0"/>
                <w:color w:val="212121"/>
                <w:sz w:val="16"/>
              </w:rPr>
              <w:t>Women with pelvic pain, dysmenorrhoea, infertility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Trans-abdominal if TVUS not acceptable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Deep infiltrating endometriosis mapping</w:t>
            </w:r>
          </w:p>
        </w:tc>
        <w:tc>
          <w:tcPr>
            <w:tcW w:type="dxa" w:w="892"/>
            <w:vAlign w:val="top"/>
          </w:tcPr>
          <w:p>
            <w:pPr>
              <w:spacing w:after="40" w:before="0" w:line="259" w:lineRule="auto"/>
            </w:pPr>
            <w:r>
              <w:rPr>
                <w:rFonts w:ascii="Calibri" w:hAnsi="Calibri"/>
                <w:b w:val="0"/>
                <w:i w:val="0"/>
                <w:color w:val="212121"/>
                <w:sz w:val="16"/>
              </w:rPr>
              <w:t>Pelvic MRI</w:t>
            </w:r>
          </w:p>
        </w:tc>
        <w:tc>
          <w:tcPr>
            <w:tcW w:type="dxa" w:w="950"/>
            <w:vAlign w:val="top"/>
          </w:tcPr>
          <w:p>
            <w:pPr>
              <w:spacing w:after="40" w:before="0" w:line="259" w:lineRule="auto"/>
            </w:pPr>
            <w:r>
              <w:rPr>
                <w:rFonts w:ascii="Calibri" w:hAnsi="Calibri"/>
                <w:b w:val="0"/>
                <w:i w:val="0"/>
                <w:color w:val="212121"/>
                <w:sz w:val="16"/>
              </w:rPr>
              <w:t>No deep lesions/adhesions</w:t>
            </w:r>
          </w:p>
        </w:tc>
        <w:tc>
          <w:tcPr>
            <w:tcW w:type="dxa" w:w="950"/>
            <w:vAlign w:val="top"/>
          </w:tcPr>
          <w:p>
            <w:pPr>
              <w:spacing w:after="40" w:before="0" w:line="259" w:lineRule="auto"/>
            </w:pPr>
            <w:r>
              <w:rPr>
                <w:rFonts w:ascii="Calibri" w:hAnsi="Calibri"/>
                <w:b w:val="0"/>
                <w:i w:val="0"/>
                <w:color w:val="212121"/>
                <w:sz w:val="16"/>
              </w:rPr>
              <w:t>Rectovaginal/uterosacral/bowel/ureteric nodules</w:t>
            </w:r>
          </w:p>
        </w:tc>
        <w:tc>
          <w:tcPr>
            <w:tcW w:type="dxa" w:w="1036"/>
            <w:vAlign w:val="top"/>
          </w:tcPr>
          <w:p>
            <w:pPr>
              <w:spacing w:after="40" w:before="0" w:line="259" w:lineRule="auto"/>
            </w:pPr>
            <w:r>
              <w:rPr>
                <w:rFonts w:ascii="Calibri" w:hAnsi="Calibri"/>
                <w:b w:val="0"/>
                <w:i w:val="0"/>
                <w:color w:val="212121"/>
                <w:sz w:val="16"/>
              </w:rPr>
              <w:t>Maps deep disease and organ involvement before surgery</w:t>
            </w:r>
          </w:p>
        </w:tc>
        <w:tc>
          <w:tcPr>
            <w:tcW w:type="dxa" w:w="1036"/>
            <w:vAlign w:val="top"/>
          </w:tcPr>
          <w:p>
            <w:pPr>
              <w:spacing w:after="40" w:before="0" w:line="259" w:lineRule="auto"/>
            </w:pPr>
            <w:r>
              <w:rPr>
                <w:rFonts w:ascii="Calibri" w:hAnsi="Calibri"/>
                <w:b w:val="0"/>
                <w:i w:val="0"/>
                <w:color w:val="212121"/>
                <w:sz w:val="16"/>
              </w:rPr>
              <w:t>Women with suspected deep or bowel/bladder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Superior for deep disease and surgical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CA-125</w:t>
            </w:r>
          </w:p>
        </w:tc>
        <w:tc>
          <w:tcPr>
            <w:tcW w:type="dxa" w:w="892"/>
            <w:vAlign w:val="top"/>
          </w:tcPr>
          <w:p>
            <w:pPr>
              <w:spacing w:after="40" w:before="0" w:line="259" w:lineRule="auto"/>
            </w:pPr>
            <w:r>
              <w:rPr>
                <w:rFonts w:ascii="Calibri" w:hAnsi="Calibri"/>
                <w:b w:val="0"/>
                <w:i w:val="0"/>
                <w:color w:val="212121"/>
                <w:sz w:val="16"/>
              </w:rPr>
              <w:t>Tumour-marker assay</w:t>
            </w:r>
          </w:p>
        </w:tc>
        <w:tc>
          <w:tcPr>
            <w:tcW w:type="dxa" w:w="950"/>
            <w:vAlign w:val="top"/>
          </w:tcPr>
          <w:p>
            <w:pPr>
              <w:spacing w:after="40" w:before="0" w:line="259" w:lineRule="auto"/>
            </w:pPr>
            <w:r>
              <w:rPr>
                <w:rFonts w:ascii="Calibri" w:hAnsi="Calibri"/>
                <w:b w:val="0"/>
                <w:i w:val="0"/>
                <w:color w:val="212121"/>
                <w:sz w:val="16"/>
              </w:rPr>
              <w:t>&lt;35 U/mL</w:t>
            </w:r>
          </w:p>
        </w:tc>
        <w:tc>
          <w:tcPr>
            <w:tcW w:type="dxa" w:w="950"/>
            <w:vAlign w:val="top"/>
          </w:tcPr>
          <w:p>
            <w:pPr>
              <w:spacing w:after="40" w:before="0" w:line="259" w:lineRule="auto"/>
            </w:pPr>
            <w:r>
              <w:rPr>
                <w:rFonts w:ascii="Calibri" w:hAnsi="Calibri"/>
                <w:b w:val="0"/>
                <w:i w:val="0"/>
                <w:color w:val="212121"/>
                <w:sz w:val="16"/>
              </w:rPr>
              <w:t>≥35 U/mL</w:t>
            </w:r>
          </w:p>
        </w:tc>
        <w:tc>
          <w:tcPr>
            <w:tcW w:type="dxa" w:w="1036"/>
            <w:vAlign w:val="top"/>
          </w:tcPr>
          <w:p>
            <w:pPr>
              <w:spacing w:after="40" w:before="0" w:line="259" w:lineRule="auto"/>
            </w:pPr>
            <w:r>
              <w:rPr>
                <w:rFonts w:ascii="Calibri" w:hAnsi="Calibri"/>
                <w:b w:val="0"/>
                <w:i w:val="0"/>
                <w:color w:val="212121"/>
                <w:sz w:val="16"/>
              </w:rPr>
              <w:t>May be raised in advanced disease/endometrioma; non-specific and not diagnostic</w:t>
            </w:r>
          </w:p>
        </w:tc>
        <w:tc>
          <w:tcPr>
            <w:tcW w:type="dxa" w:w="1036"/>
            <w:vAlign w:val="top"/>
          </w:tcPr>
          <w:p>
            <w:pPr>
              <w:spacing w:after="40" w:before="0" w:line="259" w:lineRule="auto"/>
            </w:pPr>
            <w:r>
              <w:rPr>
                <w:rFonts w:ascii="Calibri" w:hAnsi="Calibri"/>
                <w:b w:val="0"/>
                <w:i w:val="0"/>
                <w:color w:val="212121"/>
                <w:sz w:val="16"/>
              </w:rPr>
              <w:t>Women with adnexal mass / advanced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Do not use to screen or exclude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Surgical / Histopathology</w:t>
            </w:r>
          </w:p>
        </w:tc>
        <w:tc>
          <w:tcPr>
            <w:tcW w:type="dxa" w:w="1036"/>
            <w:vAlign w:val="top"/>
          </w:tcPr>
          <w:p>
            <w:pPr>
              <w:spacing w:after="40" w:before="0" w:line="259" w:lineRule="auto"/>
            </w:pPr>
            <w:r>
              <w:rPr>
                <w:rFonts w:ascii="Calibri" w:hAnsi="Calibri"/>
                <w:b w:val="0"/>
                <w:i w:val="0"/>
                <w:color w:val="212121"/>
                <w:sz w:val="16"/>
              </w:rPr>
              <w:t>Endometrial glands &amp; stroma at ectopic site</w:t>
            </w:r>
          </w:p>
        </w:tc>
        <w:tc>
          <w:tcPr>
            <w:tcW w:type="dxa" w:w="892"/>
            <w:vAlign w:val="top"/>
          </w:tcPr>
          <w:p>
            <w:pPr>
              <w:spacing w:after="40" w:before="0" w:line="259" w:lineRule="auto"/>
            </w:pPr>
            <w:r>
              <w:rPr>
                <w:rFonts w:ascii="Calibri" w:hAnsi="Calibri"/>
                <w:b w:val="0"/>
                <w:i w:val="0"/>
                <w:color w:val="212121"/>
                <w:sz w:val="16"/>
              </w:rPr>
              <w:t>Diagnostic laparoscopy + biopsy</w:t>
            </w:r>
          </w:p>
        </w:tc>
        <w:tc>
          <w:tcPr>
            <w:tcW w:type="dxa" w:w="950"/>
            <w:vAlign w:val="top"/>
          </w:tcPr>
          <w:p>
            <w:pPr>
              <w:spacing w:after="40" w:before="0" w:line="259" w:lineRule="auto"/>
            </w:pPr>
            <w:r>
              <w:rPr>
                <w:rFonts w:ascii="Calibri" w:hAnsi="Calibri"/>
                <w:b w:val="0"/>
                <w:i w:val="0"/>
                <w:color w:val="212121"/>
                <w:sz w:val="16"/>
              </w:rPr>
              <w:t>No implants; normal peritoneum</w:t>
            </w:r>
          </w:p>
        </w:tc>
        <w:tc>
          <w:tcPr>
            <w:tcW w:type="dxa" w:w="950"/>
            <w:vAlign w:val="top"/>
          </w:tcPr>
          <w:p>
            <w:pPr>
              <w:spacing w:after="40" w:before="0" w:line="259" w:lineRule="auto"/>
            </w:pPr>
            <w:r>
              <w:rPr>
                <w:rFonts w:ascii="Calibri" w:hAnsi="Calibri"/>
                <w:b w:val="0"/>
                <w:i w:val="0"/>
                <w:color w:val="212121"/>
                <w:sz w:val="16"/>
              </w:rPr>
              <w:t>Powder-burn implants, endometrioma, adhesions; glands+stroma on histology</w:t>
            </w:r>
          </w:p>
        </w:tc>
        <w:tc>
          <w:tcPr>
            <w:tcW w:type="dxa" w:w="1036"/>
            <w:vAlign w:val="top"/>
          </w:tcPr>
          <w:p>
            <w:pPr>
              <w:spacing w:after="40" w:before="0" w:line="259" w:lineRule="auto"/>
            </w:pPr>
            <w:r>
              <w:rPr>
                <w:rFonts w:ascii="Calibri" w:hAnsi="Calibri"/>
                <w:b w:val="0"/>
                <w:i w:val="0"/>
                <w:color w:val="212121"/>
                <w:sz w:val="16"/>
              </w:rPr>
              <w:t>Reference standard confirmation with staging (rASRM)</w:t>
            </w:r>
          </w:p>
        </w:tc>
        <w:tc>
          <w:tcPr>
            <w:tcW w:type="dxa" w:w="1036"/>
            <w:vAlign w:val="top"/>
          </w:tcPr>
          <w:p>
            <w:pPr>
              <w:spacing w:after="40" w:before="0" w:line="259" w:lineRule="auto"/>
            </w:pPr>
            <w:r>
              <w:rPr>
                <w:rFonts w:ascii="Calibri" w:hAnsi="Calibri"/>
                <w:b w:val="0"/>
                <w:i w:val="0"/>
                <w:color w:val="212121"/>
                <w:sz w:val="16"/>
              </w:rPr>
              <w:t>Uncertain cases; when surgery/excision planned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No longer mandatory if imaging conclusive (ESHRE 2022)</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CBC</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≥12 g/dL (women)</w:t>
            </w:r>
          </w:p>
        </w:tc>
        <w:tc>
          <w:tcPr>
            <w:tcW w:type="dxa" w:w="950"/>
            <w:vAlign w:val="top"/>
          </w:tcPr>
          <w:p>
            <w:pPr>
              <w:spacing w:after="40" w:before="0" w:line="259" w:lineRule="auto"/>
            </w:pPr>
            <w:r>
              <w:rPr>
                <w:rFonts w:ascii="Calibri" w:hAnsi="Calibri"/>
                <w:b w:val="0"/>
                <w:i w:val="0"/>
                <w:color w:val="212121"/>
                <w:sz w:val="16"/>
              </w:rPr>
              <w:t>Hb &lt;12 g/dL (anaemia)</w:t>
            </w:r>
          </w:p>
        </w:tc>
        <w:tc>
          <w:tcPr>
            <w:tcW w:type="dxa" w:w="1036"/>
            <w:vAlign w:val="top"/>
          </w:tcPr>
          <w:p>
            <w:pPr>
              <w:spacing w:after="40" w:before="0" w:line="259" w:lineRule="auto"/>
            </w:pPr>
            <w:r>
              <w:rPr>
                <w:rFonts w:ascii="Calibri" w:hAnsi="Calibri"/>
                <w:b w:val="0"/>
                <w:i w:val="0"/>
                <w:color w:val="212121"/>
                <w:sz w:val="16"/>
              </w:rPr>
              <w:t>Detects iron-deficiency anaemia from heavy menstrual bleeding</w:t>
            </w:r>
          </w:p>
        </w:tc>
        <w:tc>
          <w:tcPr>
            <w:tcW w:type="dxa" w:w="1036"/>
            <w:vAlign w:val="top"/>
          </w:tcPr>
          <w:p>
            <w:pPr>
              <w:spacing w:after="40" w:before="0" w:line="259" w:lineRule="auto"/>
            </w:pPr>
            <w:r>
              <w:rPr>
                <w:rFonts w:ascii="Calibri" w:hAnsi="Calibri"/>
                <w:b w:val="0"/>
                <w:i w:val="0"/>
                <w:color w:val="212121"/>
                <w:sz w:val="16"/>
              </w:rPr>
              <w:t>Women with menorrhagia/heavy periods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Common in India; check ferritin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Ovarian reserve</w:t>
            </w:r>
          </w:p>
        </w:tc>
        <w:tc>
          <w:tcPr>
            <w:tcW w:type="dxa" w:w="1036"/>
            <w:vAlign w:val="top"/>
          </w:tcPr>
          <w:p>
            <w:pPr>
              <w:spacing w:after="40" w:before="0" w:line="259" w:lineRule="auto"/>
            </w:pPr>
            <w:r>
              <w:rPr>
                <w:rFonts w:ascii="Calibri" w:hAnsi="Calibri"/>
                <w:b w:val="0"/>
                <w:i w:val="0"/>
                <w:color w:val="212121"/>
                <w:sz w:val="16"/>
              </w:rPr>
              <w:t>Anti-Müllerian hormone (AMH)</w:t>
            </w:r>
          </w:p>
        </w:tc>
        <w:tc>
          <w:tcPr>
            <w:tcW w:type="dxa" w:w="892"/>
            <w:vAlign w:val="top"/>
          </w:tcPr>
          <w:p>
            <w:pPr>
              <w:spacing w:after="40" w:before="0" w:line="259" w:lineRule="auto"/>
            </w:pPr>
            <w:r>
              <w:rPr>
                <w:rFonts w:ascii="Calibri" w:hAnsi="Calibri"/>
                <w:b w:val="0"/>
                <w:i w:val="0"/>
                <w:color w:val="212121"/>
                <w:sz w:val="16"/>
              </w:rPr>
              <w:t>AMH assay</w:t>
            </w:r>
          </w:p>
        </w:tc>
        <w:tc>
          <w:tcPr>
            <w:tcW w:type="dxa" w:w="950"/>
            <w:vAlign w:val="top"/>
          </w:tcPr>
          <w:p>
            <w:pPr>
              <w:spacing w:after="40" w:before="0" w:line="259" w:lineRule="auto"/>
            </w:pPr>
            <w:r>
              <w:rPr>
                <w:rFonts w:ascii="Calibri" w:hAnsi="Calibri"/>
                <w:b w:val="0"/>
                <w:i w:val="0"/>
                <w:color w:val="212121"/>
                <w:sz w:val="16"/>
              </w:rPr>
              <w:t>Age-appropriate AMH</w:t>
            </w:r>
          </w:p>
        </w:tc>
        <w:tc>
          <w:tcPr>
            <w:tcW w:type="dxa" w:w="950"/>
            <w:vAlign w:val="top"/>
          </w:tcPr>
          <w:p>
            <w:pPr>
              <w:spacing w:after="40" w:before="0" w:line="259" w:lineRule="auto"/>
            </w:pPr>
            <w:r>
              <w:rPr>
                <w:rFonts w:ascii="Calibri" w:hAnsi="Calibri"/>
                <w:b w:val="0"/>
                <w:i w:val="0"/>
                <w:color w:val="212121"/>
                <w:sz w:val="16"/>
              </w:rPr>
              <w:t>Low AMH</w:t>
            </w:r>
          </w:p>
        </w:tc>
        <w:tc>
          <w:tcPr>
            <w:tcW w:type="dxa" w:w="1036"/>
            <w:vAlign w:val="top"/>
          </w:tcPr>
          <w:p>
            <w:pPr>
              <w:spacing w:after="40" w:before="0" w:line="259" w:lineRule="auto"/>
            </w:pPr>
            <w:r>
              <w:rPr>
                <w:rFonts w:ascii="Calibri" w:hAnsi="Calibri"/>
                <w:b w:val="0"/>
                <w:i w:val="0"/>
                <w:color w:val="212121"/>
                <w:sz w:val="16"/>
              </w:rPr>
              <w:t>Assesses ovarian reserve, reduced by endometrioma and its surgery</w:t>
            </w:r>
          </w:p>
        </w:tc>
        <w:tc>
          <w:tcPr>
            <w:tcW w:type="dxa" w:w="1036"/>
            <w:vAlign w:val="top"/>
          </w:tcPr>
          <w:p>
            <w:pPr>
              <w:spacing w:after="40" w:before="0" w:line="259" w:lineRule="auto"/>
            </w:pPr>
            <w:r>
              <w:rPr>
                <w:rFonts w:ascii="Calibri" w:hAnsi="Calibri"/>
                <w:b w:val="0"/>
                <w:i w:val="0"/>
                <w:color w:val="212121"/>
                <w:sz w:val="16"/>
              </w:rPr>
              <w:t>Women with endometrioma / seeking fertility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fertility counselling and surgical caution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Fertility work-up</w:t>
            </w:r>
          </w:p>
        </w:tc>
        <w:tc>
          <w:tcPr>
            <w:tcW w:type="dxa" w:w="1036"/>
            <w:vAlign w:val="top"/>
          </w:tcPr>
          <w:p>
            <w:pPr>
              <w:spacing w:after="40" w:before="0" w:line="259" w:lineRule="auto"/>
            </w:pPr>
            <w:r>
              <w:rPr>
                <w:rFonts w:ascii="Calibri" w:hAnsi="Calibri"/>
                <w:b w:val="0"/>
                <w:i w:val="0"/>
                <w:color w:val="212121"/>
                <w:sz w:val="16"/>
              </w:rPr>
              <w:t>Tubo-ovarian patency</w:t>
            </w:r>
          </w:p>
        </w:tc>
        <w:tc>
          <w:tcPr>
            <w:tcW w:type="dxa" w:w="892"/>
            <w:vAlign w:val="top"/>
          </w:tcPr>
          <w:p>
            <w:pPr>
              <w:spacing w:after="40" w:before="0" w:line="259" w:lineRule="auto"/>
            </w:pPr>
            <w:r>
              <w:rPr>
                <w:rFonts w:ascii="Calibri" w:hAnsi="Calibri"/>
                <w:b w:val="0"/>
                <w:i w:val="0"/>
                <w:color w:val="212121"/>
                <w:sz w:val="16"/>
              </w:rPr>
              <w:t>Hysterosalpingography / laparoscopic dye test</w:t>
            </w:r>
          </w:p>
        </w:tc>
        <w:tc>
          <w:tcPr>
            <w:tcW w:type="dxa" w:w="950"/>
            <w:vAlign w:val="top"/>
          </w:tcPr>
          <w:p>
            <w:pPr>
              <w:spacing w:after="40" w:before="0" w:line="259" w:lineRule="auto"/>
            </w:pPr>
            <w:r>
              <w:rPr>
                <w:rFonts w:ascii="Calibri" w:hAnsi="Calibri"/>
                <w:b w:val="0"/>
                <w:i w:val="0"/>
                <w:color w:val="212121"/>
                <w:sz w:val="16"/>
              </w:rPr>
              <w:t>Patent tubes, normal anatomy</w:t>
            </w:r>
          </w:p>
        </w:tc>
        <w:tc>
          <w:tcPr>
            <w:tcW w:type="dxa" w:w="950"/>
            <w:vAlign w:val="top"/>
          </w:tcPr>
          <w:p>
            <w:pPr>
              <w:spacing w:after="40" w:before="0" w:line="259" w:lineRule="auto"/>
            </w:pPr>
            <w:r>
              <w:rPr>
                <w:rFonts w:ascii="Calibri" w:hAnsi="Calibri"/>
                <w:b w:val="0"/>
                <w:i w:val="0"/>
                <w:color w:val="212121"/>
                <w:sz w:val="16"/>
              </w:rPr>
              <w:t>Tubal block/distortion, adhesions</w:t>
            </w:r>
          </w:p>
        </w:tc>
        <w:tc>
          <w:tcPr>
            <w:tcW w:type="dxa" w:w="1036"/>
            <w:vAlign w:val="top"/>
          </w:tcPr>
          <w:p>
            <w:pPr>
              <w:spacing w:after="40" w:before="0" w:line="259" w:lineRule="auto"/>
            </w:pPr>
            <w:r>
              <w:rPr>
                <w:rFonts w:ascii="Calibri" w:hAnsi="Calibri"/>
                <w:b w:val="0"/>
                <w:i w:val="0"/>
                <w:color w:val="212121"/>
                <w:sz w:val="16"/>
              </w:rPr>
              <w:t>Evaluates anatomical infertility from adhesions</w:t>
            </w:r>
          </w:p>
        </w:tc>
        <w:tc>
          <w:tcPr>
            <w:tcW w:type="dxa" w:w="1036"/>
            <w:vAlign w:val="top"/>
          </w:tcPr>
          <w:p>
            <w:pPr>
              <w:spacing w:after="40" w:before="0" w:line="259" w:lineRule="auto"/>
            </w:pPr>
            <w:r>
              <w:rPr>
                <w:rFonts w:ascii="Calibri" w:hAnsi="Calibri"/>
                <w:b w:val="0"/>
                <w:i w:val="0"/>
                <w:color w:val="212121"/>
                <w:sz w:val="16"/>
              </w:rPr>
              <w:t>Infertile women with suspected endometriosis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Part of infertility evaluation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Dysmenorrhoea, dyspareunia, dyschezia, dysuria, chronic pelvic pain</w:t>
            </w:r>
          </w:p>
        </w:tc>
        <w:tc>
          <w:tcPr>
            <w:tcW w:type="dxa" w:w="950"/>
            <w:vAlign w:val="top"/>
          </w:tcPr>
          <w:p>
            <w:pPr>
              <w:spacing w:after="40" w:before="0" w:line="259" w:lineRule="auto"/>
            </w:pPr>
            <w:r>
              <w:rPr>
                <w:rFonts w:ascii="Calibri" w:hAnsi="Calibri"/>
                <w:b w:val="0"/>
                <w:i w:val="0"/>
                <w:color w:val="212121"/>
                <w:sz w:val="16"/>
              </w:rPr>
              <w:t>None / mild cyclical discomfort</w:t>
            </w:r>
          </w:p>
        </w:tc>
        <w:tc>
          <w:tcPr>
            <w:tcW w:type="dxa" w:w="950"/>
            <w:vAlign w:val="top"/>
          </w:tcPr>
          <w:p>
            <w:pPr>
              <w:spacing w:after="40" w:before="0" w:line="259" w:lineRule="auto"/>
            </w:pPr>
            <w:r>
              <w:rPr>
                <w:rFonts w:ascii="Calibri" w:hAnsi="Calibri"/>
                <w:b w:val="0"/>
                <w:i w:val="0"/>
                <w:color w:val="212121"/>
                <w:sz w:val="16"/>
              </w:rPr>
              <w:t>Progressive, disabling cyclical pain</w:t>
            </w:r>
          </w:p>
        </w:tc>
        <w:tc>
          <w:tcPr>
            <w:tcW w:type="dxa" w:w="1036"/>
            <w:vAlign w:val="top"/>
          </w:tcPr>
          <w:p>
            <w:pPr>
              <w:spacing w:after="40" w:before="0" w:line="259" w:lineRule="auto"/>
            </w:pPr>
            <w:r>
              <w:rPr>
                <w:rFonts w:ascii="Calibri" w:hAnsi="Calibri"/>
                <w:b w:val="0"/>
                <w:i w:val="0"/>
                <w:color w:val="212121"/>
                <w:sz w:val="16"/>
              </w:rPr>
              <w:t>Cardinal symptom cluster of endometriosis</w:t>
            </w:r>
          </w:p>
        </w:tc>
        <w:tc>
          <w:tcPr>
            <w:tcW w:type="dxa" w:w="1036"/>
            <w:vAlign w:val="top"/>
          </w:tcPr>
          <w:p>
            <w:pPr>
              <w:spacing w:after="40" w:before="0" w:line="259" w:lineRule="auto"/>
            </w:pPr>
            <w:r>
              <w:rPr>
                <w:rFonts w:ascii="Calibri" w:hAnsi="Calibri"/>
                <w:b w:val="0"/>
                <w:i w:val="0"/>
                <w:color w:val="212121"/>
                <w:sz w:val="16"/>
              </w:rPr>
              <w:t>Reproductive-age women, adolescents with severe periods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Severity does not correlate with disease extent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reproductive history</w:t>
            </w:r>
          </w:p>
        </w:tc>
        <w:tc>
          <w:tcPr>
            <w:tcW w:type="dxa" w:w="979"/>
            <w:vAlign w:val="top"/>
          </w:tcPr>
          <w:p>
            <w:pPr>
              <w:spacing w:after="40" w:before="0" w:line="259" w:lineRule="auto"/>
            </w:pPr>
            <w:r>
              <w:rPr>
                <w:rFonts w:ascii="Calibri" w:hAnsi="Calibri"/>
                <w:b w:val="0"/>
                <w:i w:val="0"/>
                <w:color w:val="212121"/>
                <w:sz w:val="16"/>
              </w:rPr>
              <w:t>Age at menarche, cycle length, flow, parity, fertility</w:t>
            </w:r>
          </w:p>
        </w:tc>
        <w:tc>
          <w:tcPr>
            <w:tcW w:type="dxa" w:w="950"/>
            <w:vAlign w:val="top"/>
          </w:tcPr>
          <w:p>
            <w:pPr>
              <w:spacing w:after="40" w:before="0" w:line="259" w:lineRule="auto"/>
            </w:pPr>
            <w:r>
              <w:rPr>
                <w:rFonts w:ascii="Calibri" w:hAnsi="Calibri"/>
                <w:b w:val="0"/>
                <w:i w:val="0"/>
                <w:color w:val="212121"/>
                <w:sz w:val="16"/>
              </w:rPr>
              <w:t>Menarche ≥13 y, cycles ≈28 d, parous</w:t>
            </w:r>
          </w:p>
        </w:tc>
        <w:tc>
          <w:tcPr>
            <w:tcW w:type="dxa" w:w="950"/>
            <w:vAlign w:val="top"/>
          </w:tcPr>
          <w:p>
            <w:pPr>
              <w:spacing w:after="40" w:before="0" w:line="259" w:lineRule="auto"/>
            </w:pPr>
            <w:r>
              <w:rPr>
                <w:rFonts w:ascii="Calibri" w:hAnsi="Calibri"/>
                <w:b w:val="0"/>
                <w:i w:val="0"/>
                <w:color w:val="212121"/>
                <w:sz w:val="16"/>
              </w:rPr>
              <w:t>Early menarche, short/heavy cycles, nulliparity, sub-fertility</w:t>
            </w:r>
          </w:p>
        </w:tc>
        <w:tc>
          <w:tcPr>
            <w:tcW w:type="dxa" w:w="1036"/>
            <w:vAlign w:val="top"/>
          </w:tcPr>
          <w:p>
            <w:pPr>
              <w:spacing w:after="40" w:before="0" w:line="259" w:lineRule="auto"/>
            </w:pPr>
            <w:r>
              <w:rPr>
                <w:rFonts w:ascii="Calibri" w:hAnsi="Calibri"/>
                <w:b w:val="0"/>
                <w:i w:val="0"/>
                <w:color w:val="212121"/>
                <w:sz w:val="16"/>
              </w:rPr>
              <w:t>Defines cumulative estrogen/retrograde-menstruation exposure</w:t>
            </w:r>
          </w:p>
        </w:tc>
        <w:tc>
          <w:tcPr>
            <w:tcW w:type="dxa" w:w="1036"/>
            <w:vAlign w:val="top"/>
          </w:tcPr>
          <w:p>
            <w:pPr>
              <w:spacing w:after="40" w:before="0" w:line="259" w:lineRule="auto"/>
            </w:pPr>
            <w:r>
              <w:rPr>
                <w:rFonts w:ascii="Calibri" w:hAnsi="Calibri"/>
                <w:b w:val="0"/>
                <w:i w:val="0"/>
                <w:color w:val="212121"/>
                <w:sz w:val="16"/>
              </w:rPr>
              <w:t>Women being risk-stratified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infertility duration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 with endometriosis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≥1 affected mother/sister</w:t>
            </w:r>
          </w:p>
        </w:tc>
        <w:tc>
          <w:tcPr>
            <w:tcW w:type="dxa" w:w="1036"/>
            <w:vAlign w:val="top"/>
          </w:tcPr>
          <w:p>
            <w:pPr>
              <w:spacing w:after="40" w:before="0" w:line="259" w:lineRule="auto"/>
            </w:pPr>
            <w:r>
              <w:rPr>
                <w:rFonts w:ascii="Calibri" w:hAnsi="Calibri"/>
                <w:b w:val="0"/>
                <w:i w:val="0"/>
                <w:color w:val="212121"/>
                <w:sz w:val="16"/>
              </w:rPr>
              <w:t>Marks 3–9× heritable risk</w:t>
            </w:r>
          </w:p>
        </w:tc>
        <w:tc>
          <w:tcPr>
            <w:tcW w:type="dxa" w:w="1036"/>
            <w:vAlign w:val="top"/>
          </w:tcPr>
          <w:p>
            <w:pPr>
              <w:spacing w:after="40" w:before="0" w:line="259" w:lineRule="auto"/>
            </w:pPr>
            <w:r>
              <w:rPr>
                <w:rFonts w:ascii="Calibri" w:hAnsi="Calibri"/>
                <w:b w:val="0"/>
                <w:i w:val="0"/>
                <w:color w:val="212121"/>
                <w:sz w:val="16"/>
              </w:rPr>
              <w:t>Women with affected relatives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Strengthens clinical suspicion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Bimanual pelvic examination</w:t>
            </w:r>
          </w:p>
        </w:tc>
        <w:tc>
          <w:tcPr>
            <w:tcW w:type="dxa" w:w="979"/>
            <w:vAlign w:val="top"/>
          </w:tcPr>
          <w:p>
            <w:pPr>
              <w:spacing w:after="40" w:before="0" w:line="259" w:lineRule="auto"/>
            </w:pPr>
            <w:r>
              <w:rPr>
                <w:rFonts w:ascii="Calibri" w:hAnsi="Calibri"/>
                <w:b w:val="0"/>
                <w:i w:val="0"/>
                <w:color w:val="212121"/>
                <w:sz w:val="16"/>
              </w:rPr>
              <w:t>Uterosacral nodularity, fixed uterus, adnexal mass, tenderness</w:t>
            </w:r>
          </w:p>
        </w:tc>
        <w:tc>
          <w:tcPr>
            <w:tcW w:type="dxa" w:w="950"/>
            <w:vAlign w:val="top"/>
          </w:tcPr>
          <w:p>
            <w:pPr>
              <w:spacing w:after="40" w:before="0" w:line="259" w:lineRule="auto"/>
            </w:pPr>
            <w:r>
              <w:rPr>
                <w:rFonts w:ascii="Calibri" w:hAnsi="Calibri"/>
                <w:b w:val="0"/>
                <w:i w:val="0"/>
                <w:color w:val="212121"/>
                <w:sz w:val="16"/>
              </w:rPr>
              <w:t>Mobile non-tender uterus, no masses</w:t>
            </w:r>
          </w:p>
        </w:tc>
        <w:tc>
          <w:tcPr>
            <w:tcW w:type="dxa" w:w="950"/>
            <w:vAlign w:val="top"/>
          </w:tcPr>
          <w:p>
            <w:pPr>
              <w:spacing w:after="40" w:before="0" w:line="259" w:lineRule="auto"/>
            </w:pPr>
            <w:r>
              <w:rPr>
                <w:rFonts w:ascii="Calibri" w:hAnsi="Calibri"/>
                <w:b w:val="0"/>
                <w:i w:val="0"/>
                <w:color w:val="212121"/>
                <w:sz w:val="16"/>
              </w:rPr>
              <w:t>Tender uterosacral nodules, fixed retroverted uterus, adnexal mass</w:t>
            </w:r>
          </w:p>
        </w:tc>
        <w:tc>
          <w:tcPr>
            <w:tcW w:type="dxa" w:w="1036"/>
            <w:vAlign w:val="top"/>
          </w:tcPr>
          <w:p>
            <w:pPr>
              <w:spacing w:after="40" w:before="0" w:line="259" w:lineRule="auto"/>
            </w:pPr>
            <w:r>
              <w:rPr>
                <w:rFonts w:ascii="Calibri" w:hAnsi="Calibri"/>
                <w:b w:val="0"/>
                <w:i w:val="0"/>
                <w:color w:val="212121"/>
                <w:sz w:val="16"/>
              </w:rPr>
              <w:t>Signs of deep disease, adhesions or endometrioma</w:t>
            </w:r>
          </w:p>
        </w:tc>
        <w:tc>
          <w:tcPr>
            <w:tcW w:type="dxa" w:w="1036"/>
            <w:vAlign w:val="top"/>
          </w:tcPr>
          <w:p>
            <w:pPr>
              <w:spacing w:after="40" w:before="0" w:line="259" w:lineRule="auto"/>
            </w:pPr>
            <w:r>
              <w:rPr>
                <w:rFonts w:ascii="Calibri" w:hAnsi="Calibri"/>
                <w:b w:val="0"/>
                <w:i w:val="0"/>
                <w:color w:val="212121"/>
                <w:sz w:val="16"/>
              </w:rPr>
              <w:t>Women with pelvic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Best examined during menstruation for nodularity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Speculum examination</w:t>
            </w:r>
          </w:p>
        </w:tc>
        <w:tc>
          <w:tcPr>
            <w:tcW w:type="dxa" w:w="979"/>
            <w:vAlign w:val="top"/>
          </w:tcPr>
          <w:p>
            <w:pPr>
              <w:spacing w:after="40" w:before="0" w:line="259" w:lineRule="auto"/>
            </w:pPr>
            <w:r>
              <w:rPr>
                <w:rFonts w:ascii="Calibri" w:hAnsi="Calibri"/>
                <w:b w:val="0"/>
                <w:i w:val="0"/>
                <w:color w:val="212121"/>
                <w:sz w:val="16"/>
              </w:rPr>
              <w:t>Posterior fornix / vaginal lesions</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Bluish nodules or lesions in posterior fornix</w:t>
            </w:r>
          </w:p>
        </w:tc>
        <w:tc>
          <w:tcPr>
            <w:tcW w:type="dxa" w:w="1036"/>
            <w:vAlign w:val="top"/>
          </w:tcPr>
          <w:p>
            <w:pPr>
              <w:spacing w:after="40" w:before="0" w:line="259" w:lineRule="auto"/>
            </w:pPr>
            <w:r>
              <w:rPr>
                <w:rFonts w:ascii="Calibri" w:hAnsi="Calibri"/>
                <w:b w:val="0"/>
                <w:i w:val="0"/>
                <w:color w:val="212121"/>
                <w:sz w:val="16"/>
              </w:rPr>
              <w:t>Visible deep/vaginal endometriosis</w:t>
            </w:r>
          </w:p>
        </w:tc>
        <w:tc>
          <w:tcPr>
            <w:tcW w:type="dxa" w:w="1036"/>
            <w:vAlign w:val="top"/>
          </w:tcPr>
          <w:p>
            <w:pPr>
              <w:spacing w:after="40" w:before="0" w:line="259" w:lineRule="auto"/>
            </w:pPr>
            <w:r>
              <w:rPr>
                <w:rFonts w:ascii="Calibri" w:hAnsi="Calibri"/>
                <w:b w:val="0"/>
                <w:i w:val="0"/>
                <w:color w:val="212121"/>
                <w:sz w:val="16"/>
              </w:rPr>
              <w:t>Women with deep dyspareunia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Uncommon but specific finding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Symptom mapping</w:t>
            </w:r>
          </w:p>
        </w:tc>
        <w:tc>
          <w:tcPr>
            <w:tcW w:type="dxa" w:w="950"/>
            <w:vAlign w:val="top"/>
          </w:tcPr>
          <w:p>
            <w:pPr>
              <w:spacing w:after="40" w:before="0" w:line="259" w:lineRule="auto"/>
            </w:pPr>
            <w:r>
              <w:rPr>
                <w:rFonts w:ascii="Calibri" w:hAnsi="Calibri"/>
                <w:b w:val="0"/>
                <w:i w:val="0"/>
                <w:color w:val="212121"/>
                <w:sz w:val="16"/>
              </w:rPr>
              <w:t>Pain &amp; quality-of-life assessment</w:t>
            </w:r>
          </w:p>
        </w:tc>
        <w:tc>
          <w:tcPr>
            <w:tcW w:type="dxa" w:w="979"/>
            <w:vAlign w:val="top"/>
          </w:tcPr>
          <w:p>
            <w:pPr>
              <w:spacing w:after="40" w:before="0" w:line="259" w:lineRule="auto"/>
            </w:pPr>
            <w:r>
              <w:rPr>
                <w:rFonts w:ascii="Calibri" w:hAnsi="Calibri"/>
                <w:b w:val="0"/>
                <w:i w:val="0"/>
                <w:color w:val="212121"/>
                <w:sz w:val="16"/>
              </w:rPr>
              <w:t>VAS pain score, cyclical bowel/bladder symptoms, QoL</w:t>
            </w:r>
          </w:p>
        </w:tc>
        <w:tc>
          <w:tcPr>
            <w:tcW w:type="dxa" w:w="950"/>
            <w:vAlign w:val="top"/>
          </w:tcPr>
          <w:p>
            <w:pPr>
              <w:spacing w:after="40" w:before="0" w:line="259" w:lineRule="auto"/>
            </w:pPr>
            <w:r>
              <w:rPr>
                <w:rFonts w:ascii="Calibri" w:hAnsi="Calibri"/>
                <w:b w:val="0"/>
                <w:i w:val="0"/>
                <w:color w:val="212121"/>
                <w:sz w:val="16"/>
              </w:rPr>
              <w:t>Mild, non-disabling</w:t>
            </w:r>
          </w:p>
        </w:tc>
        <w:tc>
          <w:tcPr>
            <w:tcW w:type="dxa" w:w="950"/>
            <w:vAlign w:val="top"/>
          </w:tcPr>
          <w:p>
            <w:pPr>
              <w:spacing w:after="40" w:before="0" w:line="259" w:lineRule="auto"/>
            </w:pPr>
            <w:r>
              <w:rPr>
                <w:rFonts w:ascii="Calibri" w:hAnsi="Calibri"/>
                <w:b w:val="0"/>
                <w:i w:val="0"/>
                <w:color w:val="212121"/>
                <w:sz w:val="16"/>
              </w:rPr>
              <w:t>High pain scores, cyclical dyschezia/haematuria, impaired QoL</w:t>
            </w:r>
          </w:p>
        </w:tc>
        <w:tc>
          <w:tcPr>
            <w:tcW w:type="dxa" w:w="1036"/>
            <w:vAlign w:val="top"/>
          </w:tcPr>
          <w:p>
            <w:pPr>
              <w:spacing w:after="40" w:before="0" w:line="259" w:lineRule="auto"/>
            </w:pPr>
            <w:r>
              <w:rPr>
                <w:rFonts w:ascii="Calibri" w:hAnsi="Calibri"/>
                <w:b w:val="0"/>
                <w:i w:val="0"/>
                <w:color w:val="212121"/>
                <w:sz w:val="16"/>
              </w:rPr>
              <w:t>Gauges symptom burden and treatment response</w:t>
            </w:r>
          </w:p>
        </w:tc>
        <w:tc>
          <w:tcPr>
            <w:tcW w:type="dxa" w:w="1036"/>
            <w:vAlign w:val="top"/>
          </w:tcPr>
          <w:p>
            <w:pPr>
              <w:spacing w:after="40" w:before="0" w:line="259" w:lineRule="auto"/>
            </w:pPr>
            <w:r>
              <w:rPr>
                <w:rFonts w:ascii="Calibri" w:hAnsi="Calibri"/>
                <w:b w:val="0"/>
                <w:i w:val="0"/>
                <w:color w:val="212121"/>
                <w:sz w:val="16"/>
              </w:rPr>
              <w:t>Women on medical/surgical therapy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Track response over cycles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Mental-health screen</w:t>
            </w:r>
          </w:p>
        </w:tc>
        <w:tc>
          <w:tcPr>
            <w:tcW w:type="dxa" w:w="979"/>
            <w:vAlign w:val="top"/>
          </w:tcPr>
          <w:p>
            <w:pPr>
              <w:spacing w:after="40" w:before="0" w:line="259" w:lineRule="auto"/>
            </w:pPr>
            <w:r>
              <w:rPr>
                <w:rFonts w:ascii="Calibri" w:hAnsi="Calibri"/>
                <w:b w:val="0"/>
                <w:i w:val="0"/>
                <w:color w:val="212121"/>
                <w:sz w:val="16"/>
              </w:rPr>
              <w:t>Depression/anxiety (PHQ-9, GAD-7)</w:t>
            </w:r>
          </w:p>
        </w:tc>
        <w:tc>
          <w:tcPr>
            <w:tcW w:type="dxa" w:w="950"/>
            <w:vAlign w:val="top"/>
          </w:tcPr>
          <w:p>
            <w:pPr>
              <w:spacing w:after="40" w:before="0" w:line="259" w:lineRule="auto"/>
            </w:pPr>
            <w:r>
              <w:rPr>
                <w:rFonts w:ascii="Calibri" w:hAnsi="Calibri"/>
                <w:b w:val="0"/>
                <w:i w:val="0"/>
                <w:color w:val="212121"/>
                <w:sz w:val="16"/>
              </w:rPr>
              <w:t>Negative screen</w:t>
            </w:r>
          </w:p>
        </w:tc>
        <w:tc>
          <w:tcPr>
            <w:tcW w:type="dxa" w:w="950"/>
            <w:vAlign w:val="top"/>
          </w:tcPr>
          <w:p>
            <w:pPr>
              <w:spacing w:after="40" w:before="0" w:line="259" w:lineRule="auto"/>
            </w:pPr>
            <w:r>
              <w:rPr>
                <w:rFonts w:ascii="Calibri" w:hAnsi="Calibri"/>
                <w:b w:val="0"/>
                <w:i w:val="0"/>
                <w:color w:val="212121"/>
                <w:sz w:val="16"/>
              </w:rPr>
              <w:t>Positive for depression/anxiety</w:t>
            </w:r>
          </w:p>
        </w:tc>
        <w:tc>
          <w:tcPr>
            <w:tcW w:type="dxa" w:w="1036"/>
            <w:vAlign w:val="top"/>
          </w:tcPr>
          <w:p>
            <w:pPr>
              <w:spacing w:after="40" w:before="0" w:line="259" w:lineRule="auto"/>
            </w:pPr>
            <w:r>
              <w:rPr>
                <w:rFonts w:ascii="Calibri" w:hAnsi="Calibri"/>
                <w:b w:val="0"/>
                <w:i w:val="0"/>
                <w:color w:val="212121"/>
                <w:sz w:val="16"/>
              </w:rPr>
              <w:t>Detects the frequent psychological comorbidity of chronic pelvic pain</w:t>
            </w:r>
          </w:p>
        </w:tc>
        <w:tc>
          <w:tcPr>
            <w:tcW w:type="dxa" w:w="1036"/>
            <w:vAlign w:val="top"/>
          </w:tcPr>
          <w:p>
            <w:pPr>
              <w:spacing w:after="40" w:before="0" w:line="259" w:lineRule="auto"/>
            </w:pPr>
            <w:r>
              <w:rPr>
                <w:rFonts w:ascii="Calibri" w:hAnsi="Calibri"/>
                <w:b w:val="0"/>
                <w:i w:val="0"/>
                <w:color w:val="212121"/>
                <w:sz w:val="16"/>
              </w:rPr>
              <w:t>Women with long-standing pain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Endometriosis ~1.5× depression risk</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Dysmenorrhoea (painful periods)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Secondary, progressively worsening cyclical menstrual pain that is often disabling and poorly relieved by simple analgesics — the hallmark symptom.</w:t>
            </w:r>
          </w:p>
        </w:tc>
      </w:tr>
      <w:tr>
        <w:trPr>
          <w:cantSplit/>
        </w:trPr>
        <w:tc>
          <w:tcPr>
            <w:tcW w:type="dxa" w:w="2304"/>
            <w:vAlign w:val="top"/>
          </w:tcPr>
          <w:p>
            <w:pPr>
              <w:spacing w:after="40" w:before="0" w:line="259" w:lineRule="auto"/>
            </w:pPr>
            <w:r>
              <w:rPr>
                <w:rFonts w:ascii="Calibri" w:hAnsi="Calibri"/>
                <w:b/>
                <w:i w:val="0"/>
                <w:color w:val="212121"/>
                <w:sz w:val="19"/>
              </w:rPr>
              <w:t>Chronic pelvic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Non-cyclical lower-abdominal/pelvic pain lasting ≥6 months, reflecting inflammation, adhesions and central sensitisation.</w:t>
            </w:r>
          </w:p>
        </w:tc>
      </w:tr>
      <w:tr>
        <w:trPr>
          <w:cantSplit/>
        </w:trPr>
        <w:tc>
          <w:tcPr>
            <w:tcW w:type="dxa" w:w="2304"/>
            <w:vAlign w:val="top"/>
          </w:tcPr>
          <w:p>
            <w:pPr>
              <w:spacing w:after="40" w:before="0" w:line="259" w:lineRule="auto"/>
            </w:pPr>
            <w:r>
              <w:rPr>
                <w:rFonts w:ascii="Calibri" w:hAnsi="Calibri"/>
                <w:b/>
                <w:i w:val="0"/>
                <w:color w:val="212121"/>
                <w:sz w:val="19"/>
              </w:rPr>
              <w:t>Deep dyspareunia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Deep pain during or after intercourse, especially with uterosacral or rectovaginal deep disease.</w:t>
            </w:r>
          </w:p>
        </w:tc>
      </w:tr>
      <w:tr>
        <w:trPr>
          <w:cantSplit/>
        </w:trPr>
        <w:tc>
          <w:tcPr>
            <w:tcW w:type="dxa" w:w="2304"/>
            <w:vAlign w:val="top"/>
          </w:tcPr>
          <w:p>
            <w:pPr>
              <w:spacing w:after="40" w:before="0" w:line="259" w:lineRule="auto"/>
            </w:pPr>
            <w:r>
              <w:rPr>
                <w:rFonts w:ascii="Calibri" w:hAnsi="Calibri"/>
                <w:b/>
                <w:i w:val="0"/>
                <w:color w:val="212121"/>
                <w:sz w:val="19"/>
              </w:rPr>
              <w:t>Infertility / sub-fertility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conceiving from distorted anatomy, adhesions and a hostile inflammatory pelvic environment; a frequent presenting complaint.</w:t>
            </w:r>
          </w:p>
        </w:tc>
      </w:tr>
      <w:tr>
        <w:trPr>
          <w:cantSplit/>
        </w:trPr>
        <w:tc>
          <w:tcPr>
            <w:tcW w:type="dxa" w:w="2304"/>
            <w:vAlign w:val="top"/>
          </w:tcPr>
          <w:p>
            <w:pPr>
              <w:spacing w:after="40" w:before="0" w:line="259" w:lineRule="auto"/>
            </w:pPr>
            <w:r>
              <w:rPr>
                <w:rFonts w:ascii="Calibri" w:hAnsi="Calibri"/>
                <w:b/>
                <w:i w:val="0"/>
                <w:color w:val="212121"/>
                <w:sz w:val="19"/>
              </w:rPr>
              <w:t>Dyschezia (painful defecation)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Cyclical painful bowel movements, often with rectovaginal or bowel deep infiltrating endometriosis.</w:t>
            </w:r>
          </w:p>
        </w:tc>
      </w:tr>
      <w:tr>
        <w:trPr>
          <w:cantSplit/>
        </w:trPr>
        <w:tc>
          <w:tcPr>
            <w:tcW w:type="dxa" w:w="2304"/>
            <w:vAlign w:val="top"/>
          </w:tcPr>
          <w:p>
            <w:pPr>
              <w:spacing w:after="40" w:before="0" w:line="259" w:lineRule="auto"/>
            </w:pPr>
            <w:r>
              <w:rPr>
                <w:rFonts w:ascii="Calibri" w:hAnsi="Calibri"/>
                <w:b/>
                <w:i w:val="0"/>
                <w:color w:val="212121"/>
                <w:sz w:val="19"/>
              </w:rPr>
              <w:t>Dysuria / cyclical urinary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or frequent urination, occasionally cyclical haematuria, with bladder involvement.</w:t>
            </w:r>
          </w:p>
        </w:tc>
      </w:tr>
      <w:tr>
        <w:trPr>
          <w:cantSplit/>
        </w:trPr>
        <w:tc>
          <w:tcPr>
            <w:tcW w:type="dxa" w:w="2304"/>
            <w:vAlign w:val="top"/>
          </w:tcPr>
          <w:p>
            <w:pPr>
              <w:spacing w:after="40" w:before="0" w:line="259" w:lineRule="auto"/>
            </w:pPr>
            <w:r>
              <w:rPr>
                <w:rFonts w:ascii="Calibri" w:hAnsi="Calibri"/>
                <w:b/>
                <w:i w:val="0"/>
                <w:color w:val="212121"/>
                <w:sz w:val="19"/>
              </w:rPr>
              <w:t>Heavy or irregular menstrual bleeding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Menorrhagia and premenstrual spotting; may cause iron-deficiency anaemia.</w:t>
            </w:r>
          </w:p>
        </w:tc>
      </w:tr>
      <w:tr>
        <w:trPr>
          <w:cantSplit/>
        </w:trPr>
        <w:tc>
          <w:tcPr>
            <w:tcW w:type="dxa" w:w="2304"/>
            <w:vAlign w:val="top"/>
          </w:tcPr>
          <w:p>
            <w:pPr>
              <w:spacing w:after="40" w:before="0" w:line="259" w:lineRule="auto"/>
            </w:pPr>
            <w:r>
              <w:rPr>
                <w:rFonts w:ascii="Calibri" w:hAnsi="Calibri"/>
                <w:b/>
                <w:i w:val="0"/>
                <w:color w:val="212121"/>
                <w:sz w:val="19"/>
              </w:rPr>
              <w:t>Abdominal bloating (‘endo belly’) &amp; 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Cyclical bloating, distension and gastrointestinal upset that can mimic irritable bowel syndrome.</w:t>
            </w:r>
          </w:p>
        </w:tc>
      </w:tr>
      <w:tr>
        <w:trPr>
          <w:cantSplit/>
        </w:trPr>
        <w:tc>
          <w:tcPr>
            <w:tcW w:type="dxa" w:w="2304"/>
            <w:vAlign w:val="top"/>
          </w:tcPr>
          <w:p>
            <w:pPr>
              <w:spacing w:after="40" w:before="0" w:line="259" w:lineRule="auto"/>
            </w:pPr>
            <w:r>
              <w:rPr>
                <w:rFonts w:ascii="Calibri" w:hAnsi="Calibri"/>
                <w:b/>
                <w:i w:val="0"/>
                <w:color w:val="212121"/>
                <w:sz w:val="19"/>
              </w:rPr>
              <w:t>Chronic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tiredness from chronic inflammation, pain, poor sleep and anaemia.</w:t>
            </w:r>
          </w:p>
        </w:tc>
      </w:tr>
      <w:tr>
        <w:trPr>
          <w:cantSplit/>
        </w:trPr>
        <w:tc>
          <w:tcPr>
            <w:tcW w:type="dxa" w:w="2304"/>
            <w:vAlign w:val="top"/>
          </w:tcPr>
          <w:p>
            <w:pPr>
              <w:spacing w:after="40" w:before="0" w:line="259" w:lineRule="auto"/>
            </w:pPr>
            <w:r>
              <w:rPr>
                <w:rFonts w:ascii="Calibri" w:hAnsi="Calibri"/>
                <w:b/>
                <w:i w:val="0"/>
                <w:color w:val="212121"/>
                <w:sz w:val="19"/>
              </w:rPr>
              <w:t>Lower back / pelvic-radiating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Aching lower-back or thigh pain, often cyclical, from posterior pelvic disease.</w:t>
            </w:r>
          </w:p>
        </w:tc>
      </w:tr>
      <w:tr>
        <w:trPr>
          <w:cantSplit/>
        </w:trPr>
        <w:tc>
          <w:tcPr>
            <w:tcW w:type="dxa" w:w="2304"/>
            <w:vAlign w:val="top"/>
          </w:tcPr>
          <w:p>
            <w:pPr>
              <w:spacing w:after="40" w:before="0" w:line="259" w:lineRule="auto"/>
            </w:pPr>
            <w:r>
              <w:rPr>
                <w:rFonts w:ascii="Calibri" w:hAnsi="Calibri"/>
                <w:b/>
                <w:i w:val="0"/>
                <w:color w:val="212121"/>
                <w:sz w:val="19"/>
              </w:rPr>
              <w:t>Premenstrual spotting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Light bleeding before the period; noted significantly more often in women with endometriosis.</w:t>
            </w:r>
          </w:p>
        </w:tc>
      </w:tr>
      <w:tr>
        <w:trPr>
          <w:cantSplit/>
        </w:trPr>
        <w:tc>
          <w:tcPr>
            <w:tcW w:type="dxa" w:w="2304"/>
            <w:vAlign w:val="top"/>
          </w:tcPr>
          <w:p>
            <w:pPr>
              <w:spacing w:after="40" w:before="0" w:line="259" w:lineRule="auto"/>
            </w:pPr>
            <w:r>
              <w:rPr>
                <w:rFonts w:ascii="Calibri" w:hAnsi="Calibri"/>
                <w:b/>
                <w:i w:val="0"/>
                <w:color w:val="212121"/>
                <w:sz w:val="19"/>
              </w:rPr>
              <w:t>Cyclical shoulder-tip or chest pain / haemoptysis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thoracic or diaphragmatic endometriosis; pain/haemoptysis coinciding with menstruation (catamenial).</w:t>
            </w:r>
          </w:p>
        </w:tc>
      </w:tr>
      <w:tr>
        <w:trPr>
          <w:cantSplit/>
        </w:trPr>
        <w:tc>
          <w:tcPr>
            <w:tcW w:type="dxa" w:w="2304"/>
            <w:vAlign w:val="top"/>
          </w:tcPr>
          <w:p>
            <w:pPr>
              <w:spacing w:after="40" w:before="0" w:line="259" w:lineRule="auto"/>
            </w:pPr>
            <w:r>
              <w:rPr>
                <w:rFonts w:ascii="Calibri" w:hAnsi="Calibri"/>
                <w:b/>
                <w:i w:val="0"/>
                <w:color w:val="212121"/>
                <w:sz w:val="19"/>
              </w:rPr>
              <w:t>Cyclical swelling/pain at an abdominal scar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Scar (e.g. caesarean) endometrioma — a tender nodule that enlarges and hurts with menstruation.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Uterosacral ligament nodularity /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tender nodules along the uterosacral ligaments on bimanual exam — a classic sign of deep disease.</w:t>
            </w:r>
          </w:p>
        </w:tc>
      </w:tr>
      <w:tr>
        <w:trPr>
          <w:cantSplit/>
        </w:trPr>
        <w:tc>
          <w:tcPr>
            <w:tcW w:type="dxa" w:w="3456"/>
            <w:vAlign w:val="top"/>
          </w:tcPr>
          <w:p>
            <w:pPr>
              <w:spacing w:after="40" w:before="0" w:line="259" w:lineRule="auto"/>
            </w:pPr>
            <w:r>
              <w:rPr>
                <w:rFonts w:ascii="Calibri" w:hAnsi="Calibri"/>
                <w:b/>
                <w:i w:val="0"/>
                <w:color w:val="212121"/>
                <w:sz w:val="19"/>
              </w:rPr>
              <w:t>Fixed, retroverted (‘frozen’) uterus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uterine mobility from adhesions tethering the uterus posteriorly.</w:t>
            </w:r>
          </w:p>
        </w:tc>
      </w:tr>
      <w:tr>
        <w:trPr>
          <w:cantSplit/>
        </w:trPr>
        <w:tc>
          <w:tcPr>
            <w:tcW w:type="dxa" w:w="3456"/>
            <w:vAlign w:val="top"/>
          </w:tcPr>
          <w:p>
            <w:pPr>
              <w:spacing w:after="40" w:before="0" w:line="259" w:lineRule="auto"/>
            </w:pPr>
            <w:r>
              <w:rPr>
                <w:rFonts w:ascii="Calibri" w:hAnsi="Calibri"/>
                <w:b/>
                <w:i w:val="0"/>
                <w:color w:val="212121"/>
                <w:sz w:val="19"/>
              </w:rPr>
              <w:t>Adnexal mass (ovarian endometrioma)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often tender adnexal mass corresponding to a ‘chocolate cyst’ on imaging.</w:t>
            </w:r>
          </w:p>
        </w:tc>
      </w:tr>
      <w:tr>
        <w:trPr>
          <w:cantSplit/>
        </w:trPr>
        <w:tc>
          <w:tcPr>
            <w:tcW w:type="dxa" w:w="3456"/>
            <w:vAlign w:val="top"/>
          </w:tcPr>
          <w:p>
            <w:pPr>
              <w:spacing w:after="40" w:before="0" w:line="259" w:lineRule="auto"/>
            </w:pPr>
            <w:r>
              <w:rPr>
                <w:rFonts w:ascii="Calibri" w:hAnsi="Calibri"/>
                <w:b/>
                <w:i w:val="0"/>
                <w:color w:val="212121"/>
                <w:sz w:val="19"/>
              </w:rPr>
              <w:t>Generalised pelvic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tenderness on bimanual and rectovaginal examination, worst during menstruation.</w:t>
            </w:r>
          </w:p>
        </w:tc>
      </w:tr>
      <w:tr>
        <w:trPr>
          <w:cantSplit/>
        </w:trPr>
        <w:tc>
          <w:tcPr>
            <w:tcW w:type="dxa" w:w="3456"/>
            <w:vAlign w:val="top"/>
          </w:tcPr>
          <w:p>
            <w:pPr>
              <w:spacing w:after="40" w:before="0" w:line="259" w:lineRule="auto"/>
            </w:pPr>
            <w:r>
              <w:rPr>
                <w:rFonts w:ascii="Calibri" w:hAnsi="Calibri"/>
                <w:b/>
                <w:i w:val="0"/>
                <w:color w:val="212121"/>
                <w:sz w:val="19"/>
              </w:rPr>
              <w:t>Lateral cervical displacement / cervical-motion discomfort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Distortion and tethering from adhesions and deep disease may displace the cervix and cause pain on movement.</w:t>
            </w:r>
          </w:p>
        </w:tc>
      </w:tr>
      <w:tr>
        <w:trPr>
          <w:cantSplit/>
        </w:trPr>
        <w:tc>
          <w:tcPr>
            <w:tcW w:type="dxa" w:w="3456"/>
            <w:vAlign w:val="top"/>
          </w:tcPr>
          <w:p>
            <w:pPr>
              <w:spacing w:after="40" w:before="0" w:line="259" w:lineRule="auto"/>
            </w:pPr>
            <w:r>
              <w:rPr>
                <w:rFonts w:ascii="Calibri" w:hAnsi="Calibri"/>
                <w:b/>
                <w:i w:val="0"/>
                <w:color w:val="212121"/>
                <w:sz w:val="19"/>
              </w:rPr>
              <w:t>Rectovaginal septum nodule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nodule palpable on rectovaginal exam in deep infiltrating disease.</w:t>
            </w:r>
          </w:p>
        </w:tc>
      </w:tr>
      <w:tr>
        <w:trPr>
          <w:cantSplit/>
        </w:trPr>
        <w:tc>
          <w:tcPr>
            <w:tcW w:type="dxa" w:w="3456"/>
            <w:vAlign w:val="top"/>
          </w:tcPr>
          <w:p>
            <w:pPr>
              <w:spacing w:after="40" w:before="0" w:line="259" w:lineRule="auto"/>
            </w:pPr>
            <w:r>
              <w:rPr>
                <w:rFonts w:ascii="Calibri" w:hAnsi="Calibri"/>
                <w:b/>
                <w:i w:val="0"/>
                <w:color w:val="212121"/>
                <w:sz w:val="19"/>
              </w:rPr>
              <w:t>Bluish posterior-fornix nodules on speculum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Visible vaginal/deep endometriotic lesions in the posterior fornix — uncommon but specific.</w:t>
            </w:r>
          </w:p>
        </w:tc>
      </w:tr>
      <w:tr>
        <w:trPr>
          <w:cantSplit/>
        </w:trPr>
        <w:tc>
          <w:tcPr>
            <w:tcW w:type="dxa" w:w="3456"/>
            <w:vAlign w:val="top"/>
          </w:tcPr>
          <w:p>
            <w:pPr>
              <w:spacing w:after="40" w:before="0" w:line="259" w:lineRule="auto"/>
            </w:pPr>
            <w:r>
              <w:rPr>
                <w:rFonts w:ascii="Calibri" w:hAnsi="Calibri"/>
                <w:b/>
                <w:i w:val="0"/>
                <w:color w:val="212121"/>
                <w:sz w:val="19"/>
              </w:rPr>
              <w:t>Palpable tender abdominal-scar nodule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Scar endometrioma that becomes tender and enlarges cyclically with menstruation.</w:t>
            </w:r>
          </w:p>
        </w:tc>
      </w:tr>
      <w:tr>
        <w:trPr>
          <w:cantSplit/>
        </w:trPr>
        <w:tc>
          <w:tcPr>
            <w:tcW w:type="dxa" w:w="3456"/>
            <w:vAlign w:val="top"/>
          </w:tcPr>
          <w:p>
            <w:pPr>
              <w:spacing w:after="40" w:before="0" w:line="259" w:lineRule="auto"/>
            </w:pPr>
            <w:r>
              <w:rPr>
                <w:rFonts w:ascii="Calibri" w:hAnsi="Calibri"/>
                <w:b/>
                <w:i w:val="0"/>
                <w:color w:val="212121"/>
                <w:sz w:val="19"/>
              </w:rPr>
              <w:t>Pallor / signs of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Conjunctival/pallor from chronic heavy menstrual bleeding.</w:t>
            </w:r>
          </w:p>
        </w:tc>
      </w:tr>
      <w:tr>
        <w:trPr>
          <w:cantSplit/>
        </w:trPr>
        <w:tc>
          <w:tcPr>
            <w:tcW w:type="dxa" w:w="3456"/>
            <w:vAlign w:val="top"/>
          </w:tcPr>
          <w:p>
            <w:pPr>
              <w:spacing w:after="40" w:before="0" w:line="259" w:lineRule="auto"/>
            </w:pPr>
            <w:r>
              <w:rPr>
                <w:rFonts w:ascii="Calibri" w:hAnsi="Calibri"/>
                <w:b/>
                <w:i w:val="0"/>
                <w:color w:val="212121"/>
                <w:sz w:val="19"/>
              </w:rPr>
              <w:t>Restricted pouch-of-Douglas / obliteration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the normal rectouterine space from dense adhesions in advanced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dysmenorrhoea and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dyspareunia and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Ovarian endometrioma (‘chocolate cyst’)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Cyclical bowel (dyschezia) and bladder (dysuria) symptoms</w:t>
            </w:r>
          </w:p>
        </w:tc>
        <w:tc>
          <w:tcPr>
            <w:tcW w:type="dxa" w:w="2980"/>
            <w:vAlign w:val="top"/>
          </w:tcPr>
          <w:p>
            <w:pPr>
              <w:spacing w:after="40" w:before="0" w:line="259" w:lineRule="auto"/>
            </w:pPr>
            <w:r>
              <w:rPr>
                <w:rFonts w:ascii="Calibri" w:hAnsi="Calibri"/>
                <w:b w:val="0"/>
                <w:i w:val="0"/>
                <w:color w:val="212121"/>
                <w:sz w:val="19"/>
              </w:rPr>
              <w:t>Direct consequences of cyclical bleeding and inflammation of ectopic endometrial tissue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Infertility and sub-fertility (25–50% of affected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Pelvic adhesions / ‘frozen pelvis’ and distorted anatomy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Endometrioma rupture, torsion or ovarian-reserve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Bowel or ureteric obstruction and hydronephrosis (deep infiltrating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anaemia from heavy menstrual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ectopic pregnancy and pregnancy complications</w:t>
            </w:r>
          </w:p>
        </w:tc>
        <w:tc>
          <w:tcPr>
            <w:tcW w:type="dxa" w:w="2980"/>
            <w:vAlign w:val="top"/>
          </w:tcPr>
          <w:p>
            <w:pPr>
              <w:spacing w:after="40" w:before="0" w:line="259" w:lineRule="auto"/>
            </w:pPr>
            <w:r>
              <w:rPr>
                <w:rFonts w:ascii="Calibri" w:hAnsi="Calibri"/>
                <w:b w:val="0"/>
                <w:i w:val="0"/>
                <w:color w:val="212121"/>
                <w:sz w:val="19"/>
              </w:rPr>
              <w:t>Arise from chronic inflammation, adhesion formation and organ infiltration over time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absenteeism and markedly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elevated self-harm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Repeated surgery with risk of premature ovarian insufficiency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malignant transformation to clear-cell / endometrioid ovarian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of disease and pain after treatment (recurrence 6–67% after surgery)</w:t>
            </w:r>
          </w:p>
        </w:tc>
        <w:tc>
          <w:tcPr>
            <w:tcW w:type="dxa" w:w="2980"/>
            <w:vAlign w:val="top"/>
          </w:tcPr>
          <w:p>
            <w:pPr>
              <w:spacing w:after="40" w:before="0" w:line="259" w:lineRule="auto"/>
            </w:pPr>
            <w:r>
              <w:rPr>
                <w:rFonts w:ascii="Calibri" w:hAnsi="Calibri"/>
                <w:b w:val="0"/>
                <w:i w:val="0"/>
                <w:color w:val="212121"/>
                <w:sz w:val="19"/>
              </w:rPr>
              <w:t>Long-term, disabling or irreversible outcomes of longstanding disease and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Infertility / sub-fertility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Endometriosis distorts pelvic anatomy and creates an inflammatory, adhesion-laden environment hostile to conception; it is both a driver and a common presenting context.</w:t>
            </w:r>
          </w:p>
          <w:p>
            <w:pPr>
              <w:spacing w:after="40" w:before="0" w:line="259" w:lineRule="auto"/>
            </w:pPr>
            <w:r>
              <w:rPr>
                <w:rFonts w:ascii="Calibri" w:hAnsi="Calibri"/>
                <w:b/>
                <w:i w:val="0"/>
                <w:color w:val="212121"/>
                <w:sz w:val="19"/>
              </w:rPr>
              <w:t>25–50%</w:t>
            </w:r>
          </w:p>
        </w:tc>
      </w:tr>
      <w:tr>
        <w:trPr>
          <w:cantSplit/>
        </w:trPr>
        <w:tc>
          <w:tcPr>
            <w:tcW w:type="dxa" w:w="2232"/>
            <w:vAlign w:val="top"/>
          </w:tcPr>
          <w:p>
            <w:pPr>
              <w:spacing w:after="40" w:before="0" w:line="259" w:lineRule="auto"/>
            </w:pPr>
            <w:r>
              <w:rPr>
                <w:rFonts w:ascii="Calibri" w:hAnsi="Calibri"/>
                <w:b/>
                <w:i w:val="0"/>
                <w:color w:val="212121"/>
                <w:sz w:val="19"/>
              </w:rPr>
              <w:t>Adenomyosis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Endometrial tissue within the uterine muscle; shares estrogen-driven pathophysiology and frequently coexists, worsening dysmenorrhoea and heavy bleeding.</w:t>
            </w:r>
          </w:p>
        </w:tc>
      </w:tr>
      <w:tr>
        <w:trPr>
          <w:cantSplit/>
        </w:trPr>
        <w:tc>
          <w:tcPr>
            <w:tcW w:type="dxa" w:w="2232"/>
            <w:vAlign w:val="top"/>
          </w:tcPr>
          <w:p>
            <w:pPr>
              <w:spacing w:after="40" w:before="0" w:line="259" w:lineRule="auto"/>
            </w:pPr>
            <w:r>
              <w:rPr>
                <w:rFonts w:ascii="Calibri" w:hAnsi="Calibri"/>
                <w:b/>
                <w:i w:val="0"/>
                <w:color w:val="212121"/>
                <w:sz w:val="19"/>
              </w:rPr>
              <w:t>Uterine fibroids (leiomyomata)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Estrogen-dependent benign tumours that commonly co-occur with endometriosis and compound bleeding, pain and infertility.</w:t>
            </w:r>
          </w:p>
        </w:tc>
      </w:tr>
      <w:tr>
        <w:trPr>
          <w:cantSplit/>
        </w:trPr>
        <w:tc>
          <w:tcPr>
            <w:tcW w:type="dxa" w:w="2232"/>
            <w:vAlign w:val="top"/>
          </w:tcPr>
          <w:p>
            <w:pPr>
              <w:spacing w:after="40" w:before="0" w:line="259" w:lineRule="auto"/>
            </w:pPr>
            <w:r>
              <w:rPr>
                <w:rFonts w:ascii="Calibri" w:hAnsi="Calibri"/>
                <w:b/>
                <w:i w:val="0"/>
                <w:color w:val="212121"/>
                <w:sz w:val="19"/>
              </w:rPr>
              <w:t>Ovarian cancer (clear-cell / endometrioid)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Long-standing endometriosis, especially endometrioma, carries a small but real increased risk of these ovarian carcinoma subtypes.</w:t>
            </w:r>
          </w:p>
          <w:p>
            <w:pPr>
              <w:spacing w:after="40" w:before="0" w:line="259" w:lineRule="auto"/>
            </w:pPr>
            <w:r>
              <w:rPr>
                <w:rFonts w:ascii="Calibri" w:hAnsi="Calibri"/>
                <w:b/>
                <w:i w:val="0"/>
                <w:color w:val="212121"/>
                <w:sz w:val="19"/>
              </w:rPr>
              <w:t>~2× (clear-cell up to ~3.4×)</w:t>
            </w:r>
          </w:p>
        </w:tc>
      </w:tr>
      <w:tr>
        <w:trPr>
          <w:cantSplit/>
        </w:trPr>
        <w:tc>
          <w:tcPr>
            <w:tcW w:type="dxa" w:w="2232"/>
            <w:vAlign w:val="top"/>
          </w:tcPr>
          <w:p>
            <w:pPr>
              <w:spacing w:after="40" w:before="0" w:line="259" w:lineRule="auto"/>
            </w:pPr>
            <w:r>
              <w:rPr>
                <w:rFonts w:ascii="Calibri" w:hAnsi="Calibri"/>
                <w:b/>
                <w:i w:val="0"/>
                <w:color w:val="212121"/>
                <w:sz w:val="19"/>
              </w:rPr>
              <w:t>Irritable bowel syndrome (IBS)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Overlapping visceral-pain and inflammatory mechanisms; IBS-like bloating and dyschezia are common and can mask or delay endometriosis diagnosis.</w:t>
            </w:r>
          </w:p>
          <w:p>
            <w:pPr>
              <w:spacing w:after="40" w:before="0" w:line="259" w:lineRule="auto"/>
            </w:pPr>
            <w:r>
              <w:rPr>
                <w:rFonts w:ascii="Calibri" w:hAnsi="Calibri"/>
                <w:b/>
                <w:i w:val="0"/>
                <w:color w:val="212121"/>
                <w:sz w:val="19"/>
              </w:rPr>
              <w:t>OR ~3.0</w:t>
            </w:r>
          </w:p>
        </w:tc>
      </w:tr>
      <w:tr>
        <w:trPr>
          <w:cantSplit/>
        </w:trPr>
        <w:tc>
          <w:tcPr>
            <w:tcW w:type="dxa" w:w="2232"/>
            <w:vAlign w:val="top"/>
          </w:tcPr>
          <w:p>
            <w:pPr>
              <w:spacing w:after="40" w:before="0" w:line="259" w:lineRule="auto"/>
            </w:pPr>
            <w:r>
              <w:rPr>
                <w:rFonts w:ascii="Calibri" w:hAnsi="Calibri"/>
                <w:b/>
                <w:i w:val="0"/>
                <w:color w:val="212121"/>
                <w:sz w:val="19"/>
              </w:rPr>
              <w:t>Interstitial cystitis / bladder pain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‘evil twin’ of endometriosis — shared pelvic-pain pathways mean the two frequently coexist and both must be treated for pain relief.</w:t>
            </w:r>
          </w:p>
          <w:p>
            <w:pPr>
              <w:spacing w:after="40" w:before="0" w:line="259" w:lineRule="auto"/>
            </w:pPr>
            <w:r>
              <w:rPr>
                <w:rFonts w:ascii="Calibri" w:hAnsi="Calibri"/>
                <w:b/>
                <w:i w:val="0"/>
                <w:color w:val="212121"/>
                <w:sz w:val="19"/>
              </w:rPr>
              <w:t>HR ~3.7–4.4</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infertility and diagnostic delay drive mood disorder, which in turn amplifies pain perception — a bidirectional relationship.</w:t>
            </w:r>
          </w:p>
          <w:p>
            <w:pPr>
              <w:spacing w:after="40" w:before="0" w:line="259" w:lineRule="auto"/>
            </w:pPr>
            <w:r>
              <w:rPr>
                <w:rFonts w:ascii="Calibri" w:hAnsi="Calibri"/>
                <w:b/>
                <w:i w:val="0"/>
                <w:color w:val="212121"/>
                <w:sz w:val="19"/>
              </w:rPr>
              <w:t>HR ~1.5</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Commonly coexist with endometriosis-associated chronic pain and worsen quality of life and treatment response.</w:t>
            </w:r>
          </w:p>
          <w:p>
            <w:pPr>
              <w:spacing w:after="40" w:before="0" w:line="259" w:lineRule="auto"/>
            </w:pPr>
            <w:r>
              <w:rPr>
                <w:rFonts w:ascii="Calibri" w:hAnsi="Calibri"/>
                <w:b/>
                <w:i w:val="0"/>
                <w:color w:val="212121"/>
                <w:sz w:val="19"/>
              </w:rPr>
              <w:t>HR ~1.4</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estrogen-sensitivity and neuro-inflammatory pain mechanisms; migraine is reported more often in women with endometriosis.</w:t>
            </w:r>
          </w:p>
          <w:p>
            <w:pPr>
              <w:spacing w:after="40" w:before="0" w:line="259" w:lineRule="auto"/>
            </w:pPr>
            <w:r>
              <w:rPr>
                <w:rFonts w:ascii="Calibri" w:hAnsi="Calibri"/>
                <w:b/>
                <w:i w:val="0"/>
                <w:color w:val="212121"/>
                <w:sz w:val="19"/>
              </w:rPr>
              <w:t>SRR ~1.6</w:t>
            </w:r>
          </w:p>
        </w:tc>
      </w:tr>
      <w:tr>
        <w:trPr>
          <w:cantSplit/>
        </w:trPr>
        <w:tc>
          <w:tcPr>
            <w:tcW w:type="dxa" w:w="2232"/>
            <w:vAlign w:val="top"/>
          </w:tcPr>
          <w:p>
            <w:pPr>
              <w:spacing w:after="40" w:before="0" w:line="259" w:lineRule="auto"/>
            </w:pPr>
            <w:r>
              <w:rPr>
                <w:rFonts w:ascii="Calibri" w:hAnsi="Calibri"/>
                <w:b/>
                <w:i w:val="0"/>
                <w:color w:val="212121"/>
                <w:sz w:val="19"/>
              </w:rPr>
              <w:t>Autoimmune diseases (SLE, RA, Sjögren, IBD, coeliac)</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Immune dysregulation underlying endometriosis is mirrored by a modestly higher prevalence of several autoimmune conditions.</w:t>
            </w:r>
          </w:p>
          <w:p>
            <w:pPr>
              <w:spacing w:after="40" w:before="0" w:line="259" w:lineRule="auto"/>
            </w:pPr>
            <w:r>
              <w:rPr>
                <w:rFonts w:ascii="Calibri" w:hAnsi="Calibri"/>
                <w:b/>
                <w:i w:val="0"/>
                <w:color w:val="212121"/>
                <w:sz w:val="19"/>
              </w:rPr>
              <w:t>RR ~1.4–2.1</w:t>
            </w:r>
          </w:p>
        </w:tc>
      </w:tr>
      <w:tr>
        <w:trPr>
          <w:cantSplit/>
        </w:trPr>
        <w:tc>
          <w:tcPr>
            <w:tcW w:type="dxa" w:w="2232"/>
            <w:vAlign w:val="top"/>
          </w:tcPr>
          <w:p>
            <w:pPr>
              <w:spacing w:after="40" w:before="0" w:line="259" w:lineRule="auto"/>
            </w:pPr>
            <w:r>
              <w:rPr>
                <w:rFonts w:ascii="Calibri" w:hAnsi="Calibri"/>
                <w:b/>
                <w:i w:val="0"/>
                <w:color w:val="212121"/>
                <w:sz w:val="19"/>
              </w:rPr>
              <w:t>Fibromyalgia / chronic overlapping pain conditions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sensitisation from years of pelvic pain predisposes to widespread pain syndromes that complicate management.</w:t>
            </w:r>
          </w:p>
          <w:p>
            <w:pPr>
              <w:spacing w:after="40" w:before="0" w:line="259" w:lineRule="auto"/>
            </w:pPr>
            <w:r>
              <w:rPr>
                <w:rFonts w:ascii="Calibri" w:hAnsi="Calibri"/>
                <w:b/>
                <w:i w:val="0"/>
                <w:color w:val="212121"/>
                <w:sz w:val="19"/>
              </w:rPr>
              <w:t>IRR ~2.8</w:t>
            </w:r>
          </w:p>
        </w:tc>
      </w:tr>
      <w:tr>
        <w:trPr>
          <w:cantSplit/>
        </w:trPr>
        <w:tc>
          <w:tcPr>
            <w:tcW w:type="dxa" w:w="2232"/>
            <w:vAlign w:val="top"/>
          </w:tcPr>
          <w:p>
            <w:pPr>
              <w:spacing w:after="40" w:before="0" w:line="259" w:lineRule="auto"/>
            </w:pPr>
            <w:r>
              <w:rPr>
                <w:rFonts w:ascii="Calibri" w:hAnsi="Calibri"/>
                <w:b/>
                <w:i w:val="0"/>
                <w:color w:val="212121"/>
                <w:sz w:val="19"/>
              </w:rPr>
              <w:t>Ischaemic heart / cerebrovascular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systemic inflammation associated with endometriosis is linked to a modestly higher long-term cardiovascular risk.</w:t>
            </w:r>
          </w:p>
          <w:p>
            <w:pPr>
              <w:spacing w:after="40" w:before="0" w:line="259" w:lineRule="auto"/>
            </w:pPr>
            <w:r>
              <w:rPr>
                <w:rFonts w:ascii="Calibri" w:hAnsi="Calibri"/>
                <w:b/>
                <w:i w:val="0"/>
                <w:color w:val="212121"/>
                <w:sz w:val="19"/>
              </w:rPr>
              <w:t>HR ~1.2–1.5</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severe, disabling period pain, pain with sex, or pain opening the bowels during periods is NOT normal — it can signal endometriosis and deserves medical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normalise or silently endure years of menstrual pain; early evaluation shortens the long diagnostic delay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 progressive dysmenorrhoea, deep dyspareunia, cyclical bowel/bladder pain and difficulty conceiving — and seek a gynaecologist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pregnancy and breastfeeding, later menarche and a diet rich in fruit (especially citrus) and vegetables are associated with lower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Track periods, pain scores and symptoms in a diary or app to help clinicians reach a diagnosis faster.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endometriosis is a chronic, manageable condition — not an infection or a curse — to reduce stigma and encourage timely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girls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severe period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school health programmes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 aerobic exercise (brisk walking, cycling, swimming) aiming for ≥150 minutes/week to lower estrogen and inflammation and ease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gentle stretching, yoga and pelvic-floor-friendly movement to relieve pelvic muscle tension and cramping.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low-impact activity during flares rather than complete rest, as movement can reduce pain and improve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relaxation and paced breathing to counter chronic-pain-related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gradually and individualise intensity around the menstrual cycle and symptom severity.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endometriosis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on medical therapy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diet rich in fruit (especially citrus), green vegetables, whole grains and fibre, which is associated with lower endometriosis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omega-3-rich foods (fish, flaxseed, walnuts) that may reduce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red and processed meat and trans/fried fats, which are linked to higher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iron-rich foods (green leafy vegetables, pulses, jaggery) to offset menstrual blood loss, along with vitamin-C sources to aid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anti-inflammatory eating pattern and a healthy weight.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at higher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Meat-heavy diet consumers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an anti-inflammatory diet (fruit, vegetables, whole grains, omega-3 fats) to help reduce pain and bloating alongside medical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iron-deficiency anaemia from heavy bleeding with iron-rich foods and prescribed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alcohol and caffeine, which some women find worsen symptoms and which may affect estrogen.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trial of reducing red/processed meat and refined foods and monitor symptom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dietitian input for individualised nutrition when symptoms significantly affect eating or weight.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endometriosis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‘endo belly’/GI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seeking adjuncts to therapy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regular sleep, as poor sleep amplifies pain perception.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good sleep hygiene — consistent timings, a dark cool room, limited screens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analgesia and use heat therapy at night during flares to protect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pain-related night waking with the treating clinician rather than enduring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relaxation or mindfulness at bedtime to reduce pain-linked arousal.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sleep disruption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during menstrual flares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smoking — any perceived anti-estrogen effect is weak and unreliable and harms overall reproductive and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smoke, seek cessation support, as smoking worsens cardiovascular risk that is already modestly elevated in endometriosis.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especially when planning pregnancy or undergoing fertility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quitlines, counselling or nicotine-replacement therapy for structured cessation.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endometriosis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raises circulating estrogen and is modestly associated with higher endometriosis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intake well within low-risk limits and have several alcohol-free days each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coping mechanism for chronic pain; use evidence-based pain and mood strategies instead.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when planning pregnancy or during fertility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drink regularly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at higher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endometriosis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openly discuss depression and anxiety, which are markedly more common with endometriosis (~1.5× depression, ~1.4×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psychological therapies (CBT, pain-coping and mindfulness programmes) to reduce the impact of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pain-management and support groups to counter isolation, stigma and the toll of diagnostic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partners/family in understanding the condition to improve support and relationships.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professional help for persistent low mood, hopelessness or thoughts of self-harm, given the elevated self-harm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endometriosis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long diagnostic delay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about the full menu of treatments — analgesia/NSAIDs, hormonal therapy (combined pills, progestins, GnRH analogues, LNG-IUS) and surgery — and that there is currently no cure, so care is long-term.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fertility early, as timing of pregnancy and options such as IVF may be affected by the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pros and cons of surgery, including recurrence and effects on ovarian reserve, before deciding.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gynaecology follow-up to monitor symptoms, endometrioma and treatment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reliable resources and specialist endometriosis services rather than unproven remedies.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newly diagnosed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considering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on long-term therapy</w:t>
            </w:r>
          </w:p>
        </w:tc>
        <w:tc>
          <w:tcPr>
            <w:tcW w:type="dxa" w:w="1036"/>
            <w:vAlign w:val="top"/>
          </w:tcPr>
          <w:p>
            <w:pPr>
              <w:spacing w:after="40" w:before="0" w:line="259" w:lineRule="auto"/>
            </w:pPr>
            <w:r>
              <w:rPr>
                <w:rFonts w:ascii="Calibri" w:hAnsi="Calibri"/>
                <w:b w:val="0"/>
                <w:i w:val="0"/>
                <w:color w:val="212121"/>
                <w:sz w:val="19"/>
              </w:rPr>
              <w:t>NA</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1570443/" TargetMode="External"/><Relationship Id="rId10" Type="http://schemas.openxmlformats.org/officeDocument/2006/relationships/hyperlink" Target="https://www.business-standard.com/health/endometriosis-symptoms-risks-treatment-india-awareness-diagnosis-delay-125062000261_1.html" TargetMode="External"/><Relationship Id="rId11" Type="http://schemas.openxmlformats.org/officeDocument/2006/relationships/hyperlink" Target="https://www.who.int/news-room/fact-sheets/detail/endometriosis" TargetMode="External"/><Relationship Id="rId12" Type="http://schemas.openxmlformats.org/officeDocument/2006/relationships/hyperlink" Target="https://www.nichd.nih.gov/health/topics/endometri/conditioninfo/pages/at-risk.aspx" TargetMode="External"/><Relationship Id="rId13" Type="http://schemas.openxmlformats.org/officeDocument/2006/relationships/hyperlink" Target="https://ijmr.org.in/a-systematic-review-on-the-prevalence-of-endometriosis-in-women/" TargetMode="External"/><Relationship Id="rId14" Type="http://schemas.openxmlformats.org/officeDocument/2006/relationships/hyperlink" Target="https://pubmed.ncbi.nlm.nih.gov/19901838/" TargetMode="External"/><Relationship Id="rId15" Type="http://schemas.openxmlformats.org/officeDocument/2006/relationships/hyperlink" Target="https://pubmed.ncbi.nlm.nih.gov/30307628/" TargetMode="External"/><Relationship Id="rId16" Type="http://schemas.openxmlformats.org/officeDocument/2006/relationships/hyperlink" Target="https://pubmed.ncbi.nlm.nih.gov/23419794/" TargetMode="External"/><Relationship Id="rId17" Type="http://schemas.openxmlformats.org/officeDocument/2006/relationships/hyperlink" Target="https://www.ncbi.nlm.nih.gov/books/NBK567777/" TargetMode="External"/><Relationship Id="rId18" Type="http://schemas.openxmlformats.org/officeDocument/2006/relationships/hyperlink" Target="https://www.frontiersin.org/journals/public-health/articles/10.3389/fpubh.2023.1230303/full" TargetMode="External"/><Relationship Id="rId19" Type="http://schemas.openxmlformats.org/officeDocument/2006/relationships/hyperlink" Target="https://academic.oup.com/aje/article/190/5/843/5979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