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Cervicitis / Cervical Ectropion</w:t>
      </w:r>
    </w:p>
    <w:p>
      <w:pPr>
        <w:spacing w:before="0" w:after="160"/>
      </w:pPr>
      <w:r>
        <w:rPr>
          <w:rFonts w:ascii="Calibri" w:hAnsi="Calibri"/>
          <w:b/>
          <w:i w:val="0"/>
          <w:color w:val="212121"/>
          <w:sz w:val="22"/>
        </w:rPr>
        <w:t xml:space="preserve">AKA </w:t>
      </w:r>
      <w:r>
        <w:rPr>
          <w:rFonts w:ascii="Calibri" w:hAnsi="Calibri"/>
          <w:b w:val="0"/>
          <w:i w:val="0"/>
          <w:color w:val="212121"/>
          <w:sz w:val="22"/>
        </w:rPr>
        <w:t>i.e., Cervical erosion, Cervical ectopy, Cervical eversion, Endocervicitis, Mucopurulent cervicitis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Cervicitis is inflammation of the uterine cervix, particularly the columnar epithelium of the endocervix; it may be acute (usually infective) or chronic (persisting three months or more, often non-infective). Cervical ectropion, also called cervical ectopy, eversion or ‘erosion’, is a benign condition in which the delicate columnar (glandular) epithelium of the endocervical canal is everted onto the ectocervix, exposing it to the acidic vaginal environment. Because this exposed tissue is red, fragile and prone to discharge, contact bleeding and secondary infection, ectropion and cervicitis frequently coexist and are clinically grouped together.</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Cervical ectropion is a benign, physiological variant found in an estimated 17–50% of women of reproductive age and in up to 80% of sexually active adolescents, and it is markedly more common during pregnancy and with combined oral-contraceptive use. In India, reproductive tract infections (RTIs), of which cervicitis is a major component, are among the most frequent gynaecological complaints — community studies report symptomatic RTIs in roughly one-fifth to one-third of women (about 22% among tribal migrant women in one urban study) — and abnormal vaginal discharge is a leading reason for gynaecology OPD attendance. In a recent Indian tertiary-care series of women referred with symptomatic cervical ectropion, abnormal vaginal discharge was present in 92.7% before treatment.</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Cervicitis and ectropion are diagnosed clinically on speculum examination, supported by microbiological and cytological testing, based on one or more of the following:</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 reddened, granular area of everted columnar epithelium surrounding the external os (ectropion), often with a friable surface that bleeds on contact;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either of the two cardinal signs of cervicitis (CDC): (1) mucopurulent or purulent endocervical discharge visible in the canal or on a swab, and/or (2) sustained endocervical bleeding easily induced by gentle passage of a cotton swab (cervical friability);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microscopy showing increased polymorphonuclear leucocytes (&gt;30 WBC per high-power field on endocervical Gram stain, or &gt;10 per HPF on vaginal wet mount);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nucleic acid amplification testing (NAAT) of an endocervical or vaginal swab — the gold standard for Chlamydia trachomatis and Neisseria gonorrhoeae; add testing for Trichomonas vaginalis and Mycoplasma genitalium where available;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saline and KOH wet-mount microscopy with vaginal pH and amine (whiff) test to detect co-existing trichomoniasis, bacterial vaginosis and candidiasis;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Papanicolaou (Pap) smear / cervical cytology and, where indicated, colposcopy and biopsy, since a persistently eroded or bleeding cervix can mimic cervical intraepithelial neoplasia or early malignancy.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Cervicitis and cervical ectropion are best understood along two axes — the underlying pathology (a physiological epithelial variant versus true inflammation) and, for cervicitis, the time course and cause:</w:t>
      </w:r>
    </w:p>
    <w:p>
      <w:pPr>
        <w:spacing w:before="0" w:after="80"/>
      </w:pPr>
      <w:r>
        <w:rPr>
          <w:rFonts w:ascii="Calibri" w:hAnsi="Calibri"/>
          <w:b w:val="0"/>
          <w:i w:val="0"/>
          <w:color w:val="212121"/>
          <w:sz w:val="21"/>
        </w:rPr>
        <w:t>(1) Cervical ectropion (ectopy/eversion) — a benign, usually asymptomatic physiological variant in which endocervical columnar epithelium is present on the ectocervix, driven by high-oestrogen states (puberty, pregnancy, combined oral contraceptives). It is not an infection but predisposes to discharge, contact bleeding and secondary cervicitis;</w:t>
      </w:r>
    </w:p>
    <w:p>
      <w:pPr>
        <w:spacing w:before="0" w:after="80"/>
      </w:pPr>
      <w:r>
        <w:rPr>
          <w:rFonts w:ascii="Calibri" w:hAnsi="Calibri"/>
          <w:b w:val="0"/>
          <w:i w:val="0"/>
          <w:color w:val="212121"/>
          <w:sz w:val="21"/>
        </w:rPr>
        <w:t>(2) Acute cervicitis — inflammation of recent onset, usually infective, most often due to sexually transmitted organisms (Chlamydia trachomatis, Neisseria gonorrhoeae) and, less often, Trichomonas vaginalis, herpes simplex virus or Mycoplasma genitalium;</w:t>
      </w:r>
    </w:p>
    <w:p>
      <w:pPr>
        <w:spacing w:before="0" w:after="80"/>
      </w:pPr>
      <w:r>
        <w:rPr>
          <w:rFonts w:ascii="Calibri" w:hAnsi="Calibri"/>
          <w:b w:val="0"/>
          <w:i w:val="0"/>
          <w:color w:val="212121"/>
          <w:sz w:val="21"/>
        </w:rPr>
        <w:t>(3) Chronic cervicitis — low-grade inflammation persisting three months or more, frequently non-infective (long-standing ectropion, chronic irritation, retained products) though it may follow inadequately treated infection;</w:t>
      </w:r>
    </w:p>
    <w:p>
      <w:pPr>
        <w:spacing w:before="0" w:after="80"/>
      </w:pPr>
      <w:r>
        <w:rPr>
          <w:rFonts w:ascii="Calibri" w:hAnsi="Calibri"/>
          <w:b w:val="0"/>
          <w:i w:val="0"/>
          <w:color w:val="212121"/>
          <w:sz w:val="21"/>
        </w:rPr>
        <w:t>(4) Non-infective cervicitis — caused by mechanical trauma (pessaries, IUD threads, tampons, instrumentation), chemical irritants (douches, spermicides, latex, contraceptive creams), radiation, systemic inflammatory disease, or post-menopausal / lactational atrophy (atrophic cervicitis).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Sexually transmitted infection: Chlamydia trachomatis and Neisseria gonorrhoeae are the leading identifiable infective causes (together 30–50% of infective cases, chlamydia 4–5× commoner than gonorrhoea), followed by Trichomonas vaginalis, herpes simplex virus and Mycoplasma genitalium.</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High-oestrogen states: Puberty, pregnancy and combined oral-contraceptive use evert the squamocolumnar junction, producing ectropion and exposing fragile columnar epithelium to the vagina.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Disturbed vaginal ecology: Bacterial vaginosis and loss of protective lactobacilli raise vaginal pH and predispose to ascending cervical inflammation.</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Mechanical trauma: IUD threads, pessaries, tampons, diaphragms, douching and instrumentation cause direct epithelial injury and chronic irritation.</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Chemical irritants: Spermicides, latex, vaginal deodorants/douches and contraceptive creams trigger non-infective (irritant) cervicitis.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Hypo-oestrogenism / atrophy: Post-menopausal or lactational low-oestrogen states thin the epithelium and predispose to atrophic cervicitis with friability and spotting.</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Systemic / iatrogenic causes: Lichen planus, Behçet disease, sarcoidosis and pelvic radiation are uncommon non-infective causes.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Young reproductive-age women (15–24 y)</w:t>
            </w:r>
          </w:p>
        </w:tc>
        <w:tc>
          <w:tcPr>
            <w:tcW w:type="dxa" w:w="4276"/>
            <w:vAlign w:val="top"/>
          </w:tcPr>
          <w:p>
            <w:pPr>
              <w:spacing w:after="60" w:line="259" w:lineRule="auto"/>
            </w:pPr>
            <w:r>
              <w:rPr>
                <w:rFonts w:ascii="Calibri" w:hAnsi="Calibri"/>
                <w:b w:val="0"/>
                <w:i w:val="0"/>
                <w:color w:val="212121"/>
                <w:sz w:val="19"/>
              </w:rPr>
              <w:t>Peak incidence of infective cervicitis. The immature, larger zone of ectropion in young women exposes columnar cells that are especially susceptible to Chlamydia and gonorrhoea, and this age group has the highest rates of new sexual partners.</w:t>
            </w:r>
          </w:p>
          <w:p>
            <w:pPr>
              <w:spacing w:after="40" w:before="60" w:line="259" w:lineRule="auto"/>
            </w:pPr>
            <w:r>
              <w:rPr>
                <w:rFonts w:ascii="Calibri" w:hAnsi="Calibri"/>
                <w:b w:val="0"/>
                <w:i w:val="0"/>
                <w:color w:val="212121"/>
                <w:sz w:val="19"/>
              </w:rPr>
              <w:t>Cervicitis affects roughly 30–40% of women attending STI clinics, with the highest incidence in sexually active women aged 15–24.</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#youngwomen  #STI  #chlamydia  #ectopy  #reproductiveage</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Adolescents</w:t>
            </w:r>
          </w:p>
        </w:tc>
        <w:tc>
          <w:tcPr>
            <w:tcW w:type="dxa" w:w="4276"/>
            <w:vAlign w:val="top"/>
          </w:tcPr>
          <w:p>
            <w:pPr>
              <w:spacing w:after="60" w:line="259" w:lineRule="auto"/>
            </w:pPr>
            <w:r>
              <w:rPr>
                <w:rFonts w:ascii="Calibri" w:hAnsi="Calibri"/>
                <w:b w:val="0"/>
                <w:i w:val="0"/>
                <w:color w:val="212121"/>
                <w:sz w:val="19"/>
              </w:rPr>
              <w:t>Physiological ectropion is very common in adolescence because the squamocolumnar junction sits out on the ectocervix; the exposed columnar epithelium is thin and vulnerable to infection and contact bleeding.</w:t>
            </w:r>
          </w:p>
          <w:p>
            <w:pPr>
              <w:spacing w:after="40" w:before="60" w:line="259" w:lineRule="auto"/>
            </w:pPr>
            <w:r>
              <w:rPr>
                <w:rFonts w:ascii="Calibri" w:hAnsi="Calibri"/>
                <w:b w:val="0"/>
                <w:i w:val="0"/>
                <w:color w:val="212121"/>
                <w:sz w:val="19"/>
              </w:rPr>
              <w:t>Cervical ectropion is found in up to 80% of sexually active adolescents.</w:t>
            </w:r>
          </w:p>
          <w:p>
            <w:pPr>
              <w:spacing w:after="40" w:line="252" w:lineRule="auto"/>
            </w:pPr>
            <w:hyperlink r:id="rId10">
              <w:r>
                <w:rPr>
                  <w:rFonts w:ascii="Calibri" w:hAnsi="Calibri" w:cs="Calibri"/>
                  <w:sz w:val="18"/>
                  <w:color w:val="1155CC"/>
                  <w:u w:val="single"/>
                </w:rPr>
                <w:t xml:space="preserve">ncbi.nlm.nih.gov — StatPearls: Cervical Ectropion</w:t>
              </w:r>
            </w:hyperlink>
          </w:p>
          <w:p>
            <w:pPr>
              <w:spacing w:before="60" w:after="40"/>
            </w:pPr>
            <w:r>
              <w:rPr>
                <w:rFonts w:ascii="Calibri" w:hAnsi="Calibri"/>
                <w:b w:val="0"/>
                <w:i w:val="0"/>
                <w:color w:val="5A5A5A"/>
                <w:sz w:val="18"/>
              </w:rPr>
              <w:t>#adolescents  #ectropion  #squamocolumnar  #puberty</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Peri- &amp; post-menopausal women</w:t>
            </w:r>
          </w:p>
        </w:tc>
        <w:tc>
          <w:tcPr>
            <w:tcW w:type="dxa" w:w="4276"/>
            <w:vAlign w:val="top"/>
          </w:tcPr>
          <w:p>
            <w:pPr>
              <w:spacing w:after="60" w:line="259" w:lineRule="auto"/>
            </w:pPr>
            <w:r>
              <w:rPr>
                <w:rFonts w:ascii="Calibri" w:hAnsi="Calibri"/>
                <w:b w:val="0"/>
                <w:i w:val="0"/>
                <w:color w:val="212121"/>
                <w:sz w:val="19"/>
              </w:rPr>
              <w:t>Ectropion regresses after the mid-30s and is uncommon after menopause; instead low oestrogen causes a thin, atrophic, friable cervix that bleeds easily. Any post-menopausal cervical bleeding or persistent ‘erosion’ must be evaluated to exclude malignancy.</w:t>
            </w:r>
          </w:p>
          <w:p>
            <w:pPr>
              <w:spacing w:after="40" w:before="60" w:line="259" w:lineRule="auto"/>
            </w:pPr>
            <w:r>
              <w:rPr>
                <w:rFonts w:ascii="Calibri" w:hAnsi="Calibri"/>
                <w:b w:val="0"/>
                <w:i w:val="0"/>
                <w:color w:val="212121"/>
                <w:sz w:val="19"/>
              </w:rPr>
              <w:t>Cervical ectropion prevalence falls with age after ~35 years and is uncommon in post-menopausal women.</w:t>
            </w:r>
          </w:p>
          <w:p>
            <w:pPr>
              <w:spacing w:after="40" w:line="252" w:lineRule="auto"/>
            </w:pPr>
            <w:hyperlink r:id="rId10">
              <w:r>
                <w:rPr>
                  <w:rFonts w:ascii="Calibri" w:hAnsi="Calibri" w:cs="Calibri"/>
                  <w:sz w:val="18"/>
                  <w:color w:val="1155CC"/>
                  <w:u w:val="single"/>
                </w:rPr>
                <w:t xml:space="preserve">ncbi.nlm.nih.gov — StatPearls: Cervical Ectropion</w:t>
              </w:r>
            </w:hyperlink>
          </w:p>
          <w:p>
            <w:pPr>
              <w:spacing w:before="60" w:after="40"/>
            </w:pPr>
            <w:r>
              <w:rPr>
                <w:rFonts w:ascii="Calibri" w:hAnsi="Calibri"/>
                <w:b w:val="0"/>
                <w:i w:val="0"/>
                <w:color w:val="5A5A5A"/>
                <w:sz w:val="18"/>
              </w:rPr>
              <w:t>#menopause  #atrophy  #postmenopausalbleeding  #redflag</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 (all)</w:t>
            </w:r>
          </w:p>
        </w:tc>
        <w:tc>
          <w:tcPr>
            <w:tcW w:type="dxa" w:w="4276"/>
            <w:vAlign w:val="top"/>
          </w:tcPr>
          <w:p>
            <w:pPr>
              <w:spacing w:after="60" w:line="259" w:lineRule="auto"/>
            </w:pPr>
            <w:r>
              <w:rPr>
                <w:rFonts w:ascii="Calibri" w:hAnsi="Calibri"/>
                <w:b w:val="0"/>
                <w:i w:val="0"/>
                <w:color w:val="212121"/>
                <w:sz w:val="19"/>
              </w:rPr>
              <w:t>Cervicitis and ectropion are, by definition, conditions of the uterine cervix and occur exclusively in women; the exposed glandular epithelium and cyclical oestrogen exposure underlie both.</w:t>
            </w:r>
          </w:p>
          <w:p>
            <w:pPr>
              <w:spacing w:after="40" w:before="60" w:line="259" w:lineRule="auto"/>
            </w:pPr>
            <w:r>
              <w:rPr>
                <w:rFonts w:ascii="Calibri" w:hAnsi="Calibri"/>
                <w:b w:val="0"/>
                <w:i w:val="0"/>
                <w:color w:val="212121"/>
                <w:sz w:val="19"/>
              </w:rPr>
              <w:t>An exclusively female condition; a majority of cases (up to ~80% of cervicitis) are asymptomatic and detected on examination or screening.</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#women  #cervix  #gynaecology  #asymptomatic</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Low-income women with poor healthcare access</w:t>
            </w:r>
          </w:p>
        </w:tc>
        <w:tc>
          <w:tcPr>
            <w:tcW w:type="dxa" w:w="4276"/>
            <w:vAlign w:val="top"/>
          </w:tcPr>
          <w:p>
            <w:pPr>
              <w:spacing w:after="60" w:line="259" w:lineRule="auto"/>
            </w:pPr>
            <w:r>
              <w:rPr>
                <w:rFonts w:ascii="Calibri" w:hAnsi="Calibri"/>
                <w:b w:val="0"/>
                <w:i w:val="0"/>
                <w:color w:val="212121"/>
                <w:sz w:val="19"/>
              </w:rPr>
              <w:t>Limited access to screening, reliance on syndromic management, stigma around genital symptoms and delayed treatment-seeking allow cervicitis/RTI to persist and ascend, increasing complications.</w:t>
            </w:r>
          </w:p>
          <w:p>
            <w:pPr>
              <w:spacing w:after="40" w:before="60" w:line="259" w:lineRule="auto"/>
            </w:pPr>
            <w:r>
              <w:rPr>
                <w:rFonts w:ascii="Calibri" w:hAnsi="Calibri"/>
                <w:b w:val="0"/>
                <w:i w:val="0"/>
                <w:color w:val="212121"/>
                <w:sz w:val="19"/>
              </w:rPr>
              <w:t>Indian community studies show a large proportion of women with RTI symptoms delay or do not seek formal treatment, self-treat, or use informal providers.</w:t>
            </w:r>
          </w:p>
          <w:p>
            <w:pPr>
              <w:spacing w:after="40" w:line="252" w:lineRule="auto"/>
            </w:pPr>
            <w:hyperlink r:id="rId11">
              <w:r>
                <w:rPr>
                  <w:rFonts w:ascii="Calibri" w:hAnsi="Calibri" w:cs="Calibri"/>
                  <w:sz w:val="18"/>
                  <w:color w:val="1155CC"/>
                  <w:u w:val="single"/>
                </w:rPr>
                <w:t xml:space="preserve">pubmed.ncbi.nlm.nih.gov/30623176 — RTI symptoms &amp; treatment-seeking</w:t>
              </w:r>
            </w:hyperlink>
          </w:p>
          <w:p>
            <w:pPr>
              <w:spacing w:before="60" w:after="40"/>
            </w:pPr>
            <w:r>
              <w:rPr>
                <w:rFonts w:ascii="Calibri" w:hAnsi="Calibri"/>
                <w:b w:val="0"/>
                <w:i w:val="0"/>
                <w:color w:val="5A5A5A"/>
                <w:sz w:val="18"/>
              </w:rPr>
              <w:t>#healthaccess  #treatmentgap  #syndromic  #stigma</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Indian tribal &amp; migrant women</w:t>
            </w:r>
          </w:p>
        </w:tc>
        <w:tc>
          <w:tcPr>
            <w:tcW w:type="dxa" w:w="4276"/>
            <w:vAlign w:val="top"/>
          </w:tcPr>
          <w:p>
            <w:pPr>
              <w:spacing w:after="60" w:line="259" w:lineRule="auto"/>
            </w:pPr>
            <w:r>
              <w:rPr>
                <w:rFonts w:ascii="Calibri" w:hAnsi="Calibri"/>
                <w:b w:val="0"/>
                <w:i w:val="0"/>
                <w:color w:val="212121"/>
                <w:sz w:val="19"/>
              </w:rPr>
              <w:t>Crowded living conditions, limited sanitation and water, poor menstrual hygiene access and restricted health services concentrate reproductive tract infections in tribal and migrant communities.</w:t>
            </w:r>
          </w:p>
          <w:p>
            <w:pPr>
              <w:spacing w:after="40" w:before="60" w:line="259" w:lineRule="auto"/>
            </w:pPr>
            <w:r>
              <w:rPr>
                <w:rFonts w:ascii="Calibri" w:hAnsi="Calibri"/>
                <w:b w:val="0"/>
                <w:i w:val="0"/>
                <w:color w:val="212121"/>
                <w:sz w:val="19"/>
              </w:rPr>
              <w:t>About 22% of tribal migrant women in an urban Indian community study reported reproductive tract health problems.</w:t>
            </w:r>
          </w:p>
          <w:p>
            <w:pPr>
              <w:spacing w:after="40" w:line="252" w:lineRule="auto"/>
            </w:pPr>
            <w:hyperlink r:id="rId12">
              <w:r>
                <w:rPr>
                  <w:rFonts w:ascii="Calibri" w:hAnsi="Calibri" w:cs="Calibri"/>
                  <w:sz w:val="18"/>
                  <w:color w:val="1155CC"/>
                  <w:u w:val="single"/>
                </w:rPr>
                <w:t xml:space="preserve">pubmed.ncbi.nlm.nih.gov/39305663 — RTI in tribal migrant women</w:t>
              </w:r>
            </w:hyperlink>
          </w:p>
          <w:p>
            <w:pPr>
              <w:spacing w:before="60" w:after="40"/>
            </w:pPr>
            <w:r>
              <w:rPr>
                <w:rFonts w:ascii="Calibri" w:hAnsi="Calibri"/>
                <w:b w:val="0"/>
                <w:i w:val="0"/>
                <w:color w:val="5A5A5A"/>
                <w:sz w:val="18"/>
              </w:rPr>
              <w:t>#tribal  #migrant  #India  #RTI  #menstrualhygiene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Geographic setting</w:t>
            </w:r>
          </w:p>
        </w:tc>
        <w:tc>
          <w:tcPr>
            <w:tcW w:type="dxa" w:w="2160"/>
            <w:vAlign w:val="top"/>
          </w:tcPr>
          <w:p>
            <w:pPr>
              <w:spacing w:after="40" w:before="0" w:line="259" w:lineRule="auto"/>
            </w:pPr>
            <w:r>
              <w:rPr>
                <w:rFonts w:ascii="Calibri" w:hAnsi="Calibri"/>
                <w:b w:val="0"/>
                <w:i w:val="0"/>
                <w:color w:val="212121"/>
                <w:sz w:val="19"/>
              </w:rPr>
              <w:t>Rural / low-resource populations</w:t>
            </w:r>
          </w:p>
        </w:tc>
        <w:tc>
          <w:tcPr>
            <w:tcW w:type="dxa" w:w="4276"/>
            <w:vAlign w:val="top"/>
          </w:tcPr>
          <w:p>
            <w:pPr>
              <w:spacing w:after="60" w:line="259" w:lineRule="auto"/>
            </w:pPr>
            <w:r>
              <w:rPr>
                <w:rFonts w:ascii="Calibri" w:hAnsi="Calibri"/>
                <w:b w:val="0"/>
                <w:i w:val="0"/>
                <w:color w:val="212121"/>
                <w:sz w:val="19"/>
              </w:rPr>
              <w:t>In rural India, NAAT and cytology are often unavailable, so cervicitis is managed syndromically; asymptomatic chlamydia/gonorrhoea go undetected and untreated, sustaining transmission and complications.</w:t>
            </w:r>
          </w:p>
          <w:p>
            <w:pPr>
              <w:spacing w:after="40" w:before="60" w:line="259" w:lineRule="auto"/>
            </w:pPr>
            <w:r>
              <w:rPr>
                <w:rFonts w:ascii="Calibri" w:hAnsi="Calibri"/>
                <w:b w:val="0"/>
                <w:i w:val="0"/>
                <w:color w:val="212121"/>
                <w:sz w:val="19"/>
              </w:rPr>
              <w:t>Reported RTI/STI prevalence varies widely across Indian community studies depending on region, population and diagnostic method.</w:t>
            </w:r>
          </w:p>
          <w:p>
            <w:pPr>
              <w:spacing w:after="40" w:line="252" w:lineRule="auto"/>
            </w:pPr>
            <w:hyperlink r:id="rId13">
              <w:r>
                <w:rPr>
                  <w:rFonts w:ascii="Calibri" w:hAnsi="Calibri" w:cs="Calibri"/>
                  <w:sz w:val="18"/>
                  <w:color w:val="1155CC"/>
                  <w:u w:val="single"/>
                </w:rPr>
                <w:t xml:space="preserve">pubmed.ncbi.nlm.nih.gov/26392649 — systematic review, RTI/STI India</w:t>
              </w:r>
            </w:hyperlink>
          </w:p>
          <w:p>
            <w:pPr>
              <w:spacing w:before="60" w:after="40"/>
            </w:pPr>
            <w:r>
              <w:rPr>
                <w:rFonts w:ascii="Calibri" w:hAnsi="Calibri"/>
                <w:b w:val="0"/>
                <w:i w:val="0"/>
                <w:color w:val="5A5A5A"/>
                <w:sz w:val="18"/>
              </w:rPr>
              <w:t>#rural  #lowresource  #syndromicmanagement  #undiagnosed</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screening context</w:t>
            </w:r>
          </w:p>
        </w:tc>
        <w:tc>
          <w:tcPr>
            <w:tcW w:type="dxa" w:w="2160"/>
            <w:vAlign w:val="top"/>
          </w:tcPr>
          <w:p>
            <w:pPr>
              <w:spacing w:after="40" w:before="0" w:line="259" w:lineRule="auto"/>
            </w:pPr>
            <w:r>
              <w:rPr>
                <w:rFonts w:ascii="Calibri" w:hAnsi="Calibri"/>
                <w:b w:val="0"/>
                <w:i w:val="0"/>
                <w:color w:val="212121"/>
                <w:sz w:val="19"/>
              </w:rPr>
              <w:t>Women in high cervical-cancer-burden regions</w:t>
            </w:r>
          </w:p>
        </w:tc>
        <w:tc>
          <w:tcPr>
            <w:tcW w:type="dxa" w:w="4276"/>
            <w:vAlign w:val="top"/>
          </w:tcPr>
          <w:p>
            <w:pPr>
              <w:spacing w:after="60" w:line="259" w:lineRule="auto"/>
            </w:pPr>
            <w:r>
              <w:rPr>
                <w:rFonts w:ascii="Calibri" w:hAnsi="Calibri"/>
                <w:b w:val="0"/>
                <w:i w:val="0"/>
                <w:color w:val="212121"/>
                <w:sz w:val="19"/>
              </w:rPr>
              <w:t>India carries one of the world’s highest cervical-cancer burdens; a chronically eroded, bleeding cervix can harbour or mask high-risk HPV changes, so persistent cervicitis in under-screened regions warrants cytology/HPV testing.</w:t>
            </w:r>
          </w:p>
          <w:p>
            <w:pPr>
              <w:spacing w:after="40" w:before="60" w:line="259" w:lineRule="auto"/>
            </w:pPr>
            <w:r>
              <w:rPr>
                <w:rFonts w:ascii="Calibri" w:hAnsi="Calibri"/>
                <w:b w:val="0"/>
                <w:i w:val="0"/>
                <w:color w:val="212121"/>
                <w:sz w:val="19"/>
              </w:rPr>
              <w:t>In a Northeast-India cytology study, cervical erosion was significantly associated with an increased risk of precancerous cervical lesions.</w:t>
            </w:r>
          </w:p>
          <w:p>
            <w:pPr>
              <w:spacing w:after="40" w:line="252" w:lineRule="auto"/>
            </w:pPr>
            <w:hyperlink r:id="rId14">
              <w:r>
                <w:rPr>
                  <w:rFonts w:ascii="Calibri" w:hAnsi="Calibri" w:cs="Calibri"/>
                  <w:sz w:val="18"/>
                  <w:color w:val="1155CC"/>
                  <w:u w:val="single"/>
                </w:rPr>
                <w:t xml:space="preserve">pmc.ncbi.nlm.nih.gov/PMC13155742 — Pap cytology, NE India</w:t>
              </w:r>
            </w:hyperlink>
          </w:p>
          <w:p>
            <w:pPr>
              <w:spacing w:before="60" w:after="40"/>
            </w:pPr>
            <w:r>
              <w:rPr>
                <w:rFonts w:ascii="Calibri" w:hAnsi="Calibri"/>
                <w:b w:val="0"/>
                <w:i w:val="0"/>
                <w:color w:val="5A5A5A"/>
                <w:sz w:val="18"/>
              </w:rPr>
              <w:t>#HPV  #cervicalcancer  #screening  #Pap  #colposcopy</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Sexual behaviour</w:t>
            </w:r>
          </w:p>
        </w:tc>
        <w:tc>
          <w:tcPr>
            <w:tcW w:type="dxa" w:w="2160"/>
            <w:vAlign w:val="top"/>
          </w:tcPr>
          <w:p>
            <w:pPr>
              <w:spacing w:after="40" w:before="0" w:line="259" w:lineRule="auto"/>
            </w:pPr>
            <w:r>
              <w:rPr>
                <w:rFonts w:ascii="Calibri" w:hAnsi="Calibri"/>
                <w:b w:val="0"/>
                <w:i w:val="0"/>
                <w:color w:val="212121"/>
                <w:sz w:val="19"/>
              </w:rPr>
              <w:t>Multiple / new sexual partners, unprotected sex</w:t>
            </w:r>
          </w:p>
        </w:tc>
        <w:tc>
          <w:tcPr>
            <w:tcW w:type="dxa" w:w="4276"/>
            <w:vAlign w:val="top"/>
          </w:tcPr>
          <w:p>
            <w:pPr>
              <w:spacing w:after="60" w:line="259" w:lineRule="auto"/>
            </w:pPr>
            <w:r>
              <w:rPr>
                <w:rFonts w:ascii="Calibri" w:hAnsi="Calibri"/>
                <w:b w:val="0"/>
                <w:i w:val="0"/>
                <w:color w:val="212121"/>
                <w:sz w:val="19"/>
              </w:rPr>
              <w:t>New or multiple partners and inconsistent condom use are the dominant risk factors for STI-related cervicitis, chiefly chlamydial and gonococcal infection of the exposed columnar epithelium.</w:t>
            </w:r>
          </w:p>
          <w:p>
            <w:pPr>
              <w:spacing w:after="40" w:before="60" w:line="259" w:lineRule="auto"/>
            </w:pPr>
            <w:r>
              <w:rPr>
                <w:rFonts w:ascii="Calibri" w:hAnsi="Calibri"/>
                <w:b w:val="0"/>
                <w:i w:val="0"/>
                <w:color w:val="212121"/>
                <w:sz w:val="19"/>
              </w:rPr>
              <w:t>Chlamydia trachomatis and Neisseria gonorrhoeae together account for 30–50% of infective cervicitis; over half of clinical cervicitis is STI-negative.</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#unprotectedsex  #partners  #STI  #condoms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Contraception</w:t>
            </w:r>
          </w:p>
        </w:tc>
        <w:tc>
          <w:tcPr>
            <w:tcW w:type="dxa" w:w="2160"/>
            <w:vAlign w:val="top"/>
          </w:tcPr>
          <w:p>
            <w:pPr>
              <w:spacing w:after="40" w:before="0" w:line="259" w:lineRule="auto"/>
            </w:pPr>
            <w:r>
              <w:rPr>
                <w:rFonts w:ascii="Calibri" w:hAnsi="Calibri"/>
                <w:b w:val="0"/>
                <w:i w:val="0"/>
                <w:color w:val="212121"/>
                <w:sz w:val="19"/>
              </w:rPr>
              <w:t>Combined oral-contraceptive &amp; copper-IUD users</w:t>
            </w:r>
          </w:p>
        </w:tc>
        <w:tc>
          <w:tcPr>
            <w:tcW w:type="dxa" w:w="4276"/>
            <w:vAlign w:val="top"/>
          </w:tcPr>
          <w:p>
            <w:pPr>
              <w:spacing w:after="60" w:line="259" w:lineRule="auto"/>
            </w:pPr>
            <w:r>
              <w:rPr>
                <w:rFonts w:ascii="Calibri" w:hAnsi="Calibri"/>
                <w:b w:val="0"/>
                <w:i w:val="0"/>
                <w:color w:val="212121"/>
                <w:sz w:val="19"/>
              </w:rPr>
              <w:t>Oestrogen in combined pills drives eversion of the columnar epithelium (ectropion), while copper-IUD threads and insertion cause mechanical irritation — both increase discharge and contact bleeding.</w:t>
            </w:r>
          </w:p>
          <w:p>
            <w:pPr>
              <w:spacing w:after="40" w:before="60" w:line="259" w:lineRule="auto"/>
            </w:pPr>
            <w:r>
              <w:rPr>
                <w:rFonts w:ascii="Calibri" w:hAnsi="Calibri"/>
                <w:b w:val="0"/>
                <w:i w:val="0"/>
                <w:color w:val="212121"/>
                <w:sz w:val="19"/>
              </w:rPr>
              <w:t>Cervical ectropion was reported in about 54.9% of women using oral contraceptives or copper IUDs in one series.</w:t>
            </w:r>
          </w:p>
          <w:p>
            <w:pPr>
              <w:spacing w:after="40" w:line="252" w:lineRule="auto"/>
            </w:pPr>
            <w:hyperlink r:id="rId10">
              <w:r>
                <w:rPr>
                  <w:rFonts w:ascii="Calibri" w:hAnsi="Calibri" w:cs="Calibri"/>
                  <w:sz w:val="18"/>
                  <w:color w:val="1155CC"/>
                  <w:u w:val="single"/>
                </w:rPr>
                <w:t xml:space="preserve">ncbi.nlm.nih.gov — StatPearls: Cervical Ectropion</w:t>
              </w:r>
            </w:hyperlink>
          </w:p>
          <w:p>
            <w:pPr>
              <w:spacing w:before="60" w:after="40"/>
            </w:pPr>
            <w:r>
              <w:rPr>
                <w:rFonts w:ascii="Calibri" w:hAnsi="Calibri"/>
                <w:b w:val="0"/>
                <w:i w:val="0"/>
                <w:color w:val="5A5A5A"/>
                <w:sz w:val="18"/>
              </w:rPr>
              <w:t>#OCP  #estrogen  #IUD  #ectropion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Hygiene practices</w:t>
            </w:r>
          </w:p>
        </w:tc>
        <w:tc>
          <w:tcPr>
            <w:tcW w:type="dxa" w:w="2160"/>
            <w:vAlign w:val="top"/>
          </w:tcPr>
          <w:p>
            <w:pPr>
              <w:spacing w:after="40" w:before="0" w:line="259" w:lineRule="auto"/>
            </w:pPr>
            <w:r>
              <w:rPr>
                <w:rFonts w:ascii="Calibri" w:hAnsi="Calibri"/>
                <w:b w:val="0"/>
                <w:i w:val="0"/>
                <w:color w:val="212121"/>
                <w:sz w:val="19"/>
              </w:rPr>
              <w:t>Women who douche / use intravaginal agents</w:t>
            </w:r>
          </w:p>
        </w:tc>
        <w:tc>
          <w:tcPr>
            <w:tcW w:type="dxa" w:w="4276"/>
            <w:vAlign w:val="top"/>
          </w:tcPr>
          <w:p>
            <w:pPr>
              <w:spacing w:after="60" w:line="259" w:lineRule="auto"/>
            </w:pPr>
            <w:r>
              <w:rPr>
                <w:rFonts w:ascii="Calibri" w:hAnsi="Calibri"/>
                <w:b w:val="0"/>
                <w:i w:val="0"/>
                <w:color w:val="212121"/>
                <w:sz w:val="19"/>
              </w:rPr>
              <w:t>Vaginal douching and intravaginal cleansing/deodorant agents strip protective lactobacilli, raise pH and cause chemical irritation of the cervix, promoting bacterial vaginosis and non-infective cervicitis.</w:t>
            </w:r>
          </w:p>
          <w:p>
            <w:pPr>
              <w:spacing w:after="40" w:before="60" w:line="259" w:lineRule="auto"/>
            </w:pPr>
            <w:r>
              <w:rPr>
                <w:rFonts w:ascii="Calibri" w:hAnsi="Calibri"/>
                <w:b w:val="0"/>
                <w:i w:val="0"/>
                <w:color w:val="212121"/>
                <w:sz w:val="19"/>
              </w:rPr>
              <w:t>Chemical irritants (douches, spermicides, contraceptive creams, latex) are established non-infective causes of cervicitis.</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#douching  #chemicalirritant  #vaginalflora  #pH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Cigarette / bidi smokers</w:t>
            </w:r>
          </w:p>
        </w:tc>
        <w:tc>
          <w:tcPr>
            <w:tcW w:type="dxa" w:w="4276"/>
            <w:vAlign w:val="top"/>
          </w:tcPr>
          <w:p>
            <w:pPr>
              <w:spacing w:after="60" w:line="259" w:lineRule="auto"/>
            </w:pPr>
            <w:r>
              <w:rPr>
                <w:rFonts w:ascii="Calibri" w:hAnsi="Calibri"/>
                <w:b w:val="0"/>
                <w:i w:val="0"/>
                <w:color w:val="212121"/>
                <w:sz w:val="19"/>
              </w:rPr>
              <w:t>Tobacco impairs cervical mucosal immunity and reduces clearance of infections such as HPV, favouring persistent cervicitis and slower epithelial healing.</w:t>
            </w:r>
          </w:p>
          <w:p>
            <w:pPr>
              <w:spacing w:after="40" w:before="60" w:line="259" w:lineRule="auto"/>
            </w:pPr>
            <w:r>
              <w:rPr>
                <w:rFonts w:ascii="Calibri" w:hAnsi="Calibri"/>
                <w:b w:val="0"/>
                <w:i w:val="0"/>
                <w:color w:val="212121"/>
                <w:sz w:val="19"/>
              </w:rPr>
              <w:t>Smoking is a recognised cofactor for persistent cervical HPV infection and impaired local immunity (general clinical statement).</w:t>
            </w:r>
          </w:p>
          <w:p>
            <w:pPr>
              <w:spacing w:before="60" w:after="40"/>
            </w:pPr>
            <w:r>
              <w:rPr>
                <w:rFonts w:ascii="Calibri" w:hAnsi="Calibri"/>
                <w:b w:val="0"/>
                <w:i w:val="0"/>
                <w:color w:val="5A5A5A"/>
                <w:sz w:val="18"/>
              </w:rPr>
              <w:t>#smoking  #tobacco  #HPVpersistence  #mucosalimmunity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Micronutrient status</w:t>
            </w:r>
          </w:p>
        </w:tc>
        <w:tc>
          <w:tcPr>
            <w:tcW w:type="dxa" w:w="2160"/>
            <w:vAlign w:val="top"/>
          </w:tcPr>
          <w:p>
            <w:pPr>
              <w:spacing w:after="40" w:before="0" w:line="259" w:lineRule="auto"/>
            </w:pPr>
            <w:r>
              <w:rPr>
                <w:rFonts w:ascii="Calibri" w:hAnsi="Calibri"/>
                <w:b w:val="0"/>
                <w:i w:val="0"/>
                <w:color w:val="212121"/>
                <w:sz w:val="19"/>
              </w:rPr>
              <w:t>Women with antioxidant / micronutrient-poor diets</w:t>
            </w:r>
          </w:p>
        </w:tc>
        <w:tc>
          <w:tcPr>
            <w:tcW w:type="dxa" w:w="4276"/>
            <w:vAlign w:val="top"/>
          </w:tcPr>
          <w:p>
            <w:pPr>
              <w:spacing w:after="60" w:line="259" w:lineRule="auto"/>
            </w:pPr>
            <w:r>
              <w:rPr>
                <w:rFonts w:ascii="Calibri" w:hAnsi="Calibri"/>
                <w:b w:val="0"/>
                <w:i w:val="0"/>
                <w:color w:val="212121"/>
                <w:sz w:val="19"/>
              </w:rPr>
              <w:t>Diets deficient in vitamins A and C, folate and zinc impair epithelial integrity and mucosal immune defence, reducing resistance to cervicovaginal infection and HPV persistence.</w:t>
            </w:r>
          </w:p>
          <w:p>
            <w:pPr>
              <w:spacing w:after="40" w:before="60" w:line="259" w:lineRule="auto"/>
            </w:pPr>
            <w:r>
              <w:rPr>
                <w:rFonts w:ascii="Calibri" w:hAnsi="Calibri"/>
                <w:b w:val="0"/>
                <w:i w:val="0"/>
                <w:color w:val="212121"/>
                <w:sz w:val="19"/>
              </w:rPr>
              <w:t>Micronutrient deficiency impairs epithelial repair and mucosal immunity (general clinical statement; no condition-specific Indian figure verified).</w:t>
            </w:r>
          </w:p>
          <w:p>
            <w:pPr>
              <w:spacing w:before="60" w:after="40"/>
            </w:pPr>
            <w:r>
              <w:rPr>
                <w:rFonts w:ascii="Calibri" w:hAnsi="Calibri"/>
                <w:b w:val="0"/>
                <w:i w:val="0"/>
                <w:color w:val="5A5A5A"/>
                <w:sz w:val="18"/>
              </w:rPr>
              <w:t>#micronutrients  #vitaminA  #folate  #mucosalimmunity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Host immune susceptibility</w:t>
            </w:r>
          </w:p>
        </w:tc>
        <w:tc>
          <w:tcPr>
            <w:tcW w:type="dxa" w:w="2160"/>
            <w:vAlign w:val="top"/>
          </w:tcPr>
          <w:p>
            <w:pPr>
              <w:spacing w:after="40" w:before="0" w:line="259" w:lineRule="auto"/>
            </w:pPr>
            <w:r>
              <w:rPr>
                <w:rFonts w:ascii="Calibri" w:hAnsi="Calibri"/>
                <w:b w:val="0"/>
                <w:i w:val="0"/>
                <w:color w:val="212121"/>
                <w:sz w:val="19"/>
              </w:rPr>
              <w:t>Women with impaired mucosal / cell-mediated immunity</w:t>
            </w:r>
          </w:p>
        </w:tc>
        <w:tc>
          <w:tcPr>
            <w:tcW w:type="dxa" w:w="4276"/>
            <w:vAlign w:val="top"/>
          </w:tcPr>
          <w:p>
            <w:pPr>
              <w:spacing w:after="60" w:line="259" w:lineRule="auto"/>
            </w:pPr>
            <w:r>
              <w:rPr>
                <w:rFonts w:ascii="Calibri" w:hAnsi="Calibri"/>
                <w:b w:val="0"/>
                <w:i w:val="0"/>
                <w:color w:val="212121"/>
                <w:sz w:val="19"/>
              </w:rPr>
              <w:t>Host genetic variation in innate and cell-mediated immunity (e.g. HLA type, cytokine responses) influences susceptibility to and persistence of chlamydial, herpes and HPV infection of the cervix and the intensity of the inflammatory response.</w:t>
            </w:r>
          </w:p>
          <w:p>
            <w:pPr>
              <w:spacing w:after="40" w:before="60" w:line="259" w:lineRule="auto"/>
            </w:pPr>
            <w:r>
              <w:rPr>
                <w:rFonts w:ascii="Calibri" w:hAnsi="Calibri"/>
                <w:b w:val="0"/>
                <w:i w:val="0"/>
                <w:color w:val="212121"/>
                <w:sz w:val="19"/>
              </w:rPr>
              <w:t>Host immune-genetic factors modulate susceptibility to cervical infection and HPV persistence (general clinical statement).</w:t>
            </w:r>
          </w:p>
          <w:p>
            <w:pPr>
              <w:spacing w:before="60" w:after="40"/>
            </w:pPr>
            <w:r>
              <w:rPr>
                <w:rFonts w:ascii="Calibri" w:hAnsi="Calibri"/>
                <w:b w:val="0"/>
                <w:i w:val="0"/>
                <w:color w:val="5A5A5A"/>
                <w:sz w:val="18"/>
              </w:rPr>
              <w:t>#immunogenetics  #HLA  #HPV  #susceptibility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Bacterial vaginosis</w:t>
            </w:r>
          </w:p>
        </w:tc>
        <w:tc>
          <w:tcPr>
            <w:tcW w:type="dxa" w:w="2160"/>
            <w:vAlign w:val="top"/>
          </w:tcPr>
          <w:p>
            <w:pPr>
              <w:spacing w:after="40" w:before="0" w:line="259" w:lineRule="auto"/>
            </w:pPr>
            <w:r>
              <w:rPr>
                <w:rFonts w:ascii="Calibri" w:hAnsi="Calibri"/>
                <w:b w:val="0"/>
                <w:i w:val="0"/>
                <w:color w:val="212121"/>
                <w:sz w:val="19"/>
              </w:rPr>
              <w:t>Women with recurrent bacterial vaginosis</w:t>
            </w:r>
          </w:p>
        </w:tc>
        <w:tc>
          <w:tcPr>
            <w:tcW w:type="dxa" w:w="4276"/>
            <w:vAlign w:val="top"/>
          </w:tcPr>
          <w:p>
            <w:pPr>
              <w:spacing w:after="60" w:line="259" w:lineRule="auto"/>
            </w:pPr>
            <w:r>
              <w:rPr>
                <w:rFonts w:ascii="Calibri" w:hAnsi="Calibri"/>
                <w:b w:val="0"/>
                <w:i w:val="0"/>
                <w:color w:val="212121"/>
                <w:sz w:val="19"/>
              </w:rPr>
              <w:t>Loss of lactobacilli and overgrowth of anaerobes in BV raises vaginal pH and inflammation, predisposing the cervix to infective and non-infective inflammation; the two frequently coexist.</w:t>
            </w:r>
          </w:p>
          <w:p>
            <w:pPr>
              <w:spacing w:after="40" w:before="60" w:line="259" w:lineRule="auto"/>
            </w:pPr>
            <w:r>
              <w:rPr>
                <w:rFonts w:ascii="Calibri" w:hAnsi="Calibri"/>
                <w:b w:val="0"/>
                <w:i w:val="0"/>
                <w:color w:val="212121"/>
                <w:sz w:val="19"/>
              </w:rPr>
              <w:t>BV disrupts the vaginal microbiome and is strongly associated with cervicitis and ascending infection (general clinical statement).</w:t>
            </w:r>
          </w:p>
          <w:p>
            <w:pPr>
              <w:spacing w:before="60" w:after="40"/>
            </w:pPr>
            <w:r>
              <w:rPr>
                <w:rFonts w:ascii="Calibri" w:hAnsi="Calibri"/>
                <w:b w:val="0"/>
                <w:i w:val="0"/>
                <w:color w:val="5A5A5A"/>
                <w:sz w:val="18"/>
              </w:rPr>
              <w:t>#bacterialvaginosis  #dysbiosis  #lactobacilli  #pH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Pregnancy</w:t>
            </w:r>
          </w:p>
        </w:tc>
        <w:tc>
          <w:tcPr>
            <w:tcW w:type="dxa" w:w="2160"/>
            <w:vAlign w:val="top"/>
          </w:tcPr>
          <w:p>
            <w:pPr>
              <w:spacing w:after="40" w:before="0" w:line="259" w:lineRule="auto"/>
            </w:pPr>
            <w:r>
              <w:rPr>
                <w:rFonts w:ascii="Calibri" w:hAnsi="Calibri"/>
                <w:b w:val="0"/>
                <w:i w:val="0"/>
                <w:color w:val="212121"/>
                <w:sz w:val="19"/>
              </w:rPr>
              <w:t>Pregnant women</w:t>
            </w:r>
          </w:p>
        </w:tc>
        <w:tc>
          <w:tcPr>
            <w:tcW w:type="dxa" w:w="4276"/>
            <w:vAlign w:val="top"/>
          </w:tcPr>
          <w:p>
            <w:pPr>
              <w:spacing w:after="60" w:line="259" w:lineRule="auto"/>
            </w:pPr>
            <w:r>
              <w:rPr>
                <w:rFonts w:ascii="Calibri" w:hAnsi="Calibri"/>
                <w:b w:val="0"/>
                <w:i w:val="0"/>
                <w:color w:val="212121"/>
                <w:sz w:val="19"/>
              </w:rPr>
              <w:t>High gestational oestrogen and increased cervical vascularity produce prominent ectropion, so discharge and painless contact bleeding are common; untreated infective cervicitis in pregnancy risks preterm birth and neonatal infection.</w:t>
            </w:r>
          </w:p>
          <w:p>
            <w:pPr>
              <w:spacing w:after="40" w:before="60" w:line="259" w:lineRule="auto"/>
            </w:pPr>
            <w:r>
              <w:rPr>
                <w:rFonts w:ascii="Calibri" w:hAnsi="Calibri"/>
                <w:b w:val="0"/>
                <w:i w:val="0"/>
                <w:color w:val="212121"/>
                <w:sz w:val="19"/>
              </w:rPr>
              <w:t>Pregnancy is a classic high-oestrogen state associated with prominent cervical ectropion.</w:t>
            </w:r>
          </w:p>
          <w:p>
            <w:pPr>
              <w:spacing w:after="40" w:line="252" w:lineRule="auto"/>
            </w:pPr>
            <w:hyperlink r:id="rId10">
              <w:r>
                <w:rPr>
                  <w:rFonts w:ascii="Calibri" w:hAnsi="Calibri" w:cs="Calibri"/>
                  <w:sz w:val="18"/>
                  <w:color w:val="1155CC"/>
                  <w:u w:val="single"/>
                </w:rPr>
                <w:t xml:space="preserve">ncbi.nlm.nih.gov — StatPearls: Cervical Ectropion</w:t>
              </w:r>
            </w:hyperlink>
          </w:p>
          <w:p>
            <w:pPr>
              <w:spacing w:before="60" w:after="40"/>
            </w:pPr>
            <w:r>
              <w:rPr>
                <w:rFonts w:ascii="Calibri" w:hAnsi="Calibri"/>
                <w:b w:val="0"/>
                <w:i w:val="0"/>
                <w:color w:val="5A5A5A"/>
                <w:sz w:val="18"/>
              </w:rPr>
              <w:t>#pregnancy  #estrogen  #contactbleeding  #pretermbirth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HIV / immunosuppression</w:t>
            </w:r>
          </w:p>
        </w:tc>
        <w:tc>
          <w:tcPr>
            <w:tcW w:type="dxa" w:w="2160"/>
            <w:vAlign w:val="top"/>
          </w:tcPr>
          <w:p>
            <w:pPr>
              <w:spacing w:after="40" w:before="0" w:line="259" w:lineRule="auto"/>
            </w:pPr>
            <w:r>
              <w:rPr>
                <w:rFonts w:ascii="Calibri" w:hAnsi="Calibri"/>
                <w:b w:val="0"/>
                <w:i w:val="0"/>
                <w:color w:val="212121"/>
                <w:sz w:val="19"/>
              </w:rPr>
              <w:t>Women living with HIV or immunosuppression</w:t>
            </w:r>
          </w:p>
        </w:tc>
        <w:tc>
          <w:tcPr>
            <w:tcW w:type="dxa" w:w="4276"/>
            <w:vAlign w:val="top"/>
          </w:tcPr>
          <w:p>
            <w:pPr>
              <w:spacing w:after="60" w:line="259" w:lineRule="auto"/>
            </w:pPr>
            <w:r>
              <w:rPr>
                <w:rFonts w:ascii="Calibri" w:hAnsi="Calibri"/>
                <w:b w:val="0"/>
                <w:i w:val="0"/>
                <w:color w:val="212121"/>
                <w:sz w:val="19"/>
              </w:rPr>
              <w:t>Immunosuppression increases acquisition and persistence of cervical STIs, while active cervicitis (mucosal inflammation and friability) in turn increases HIV shedding and transmission — a bidirectional relationship.</w:t>
            </w:r>
          </w:p>
          <w:p>
            <w:pPr>
              <w:spacing w:after="40" w:before="60" w:line="259" w:lineRule="auto"/>
            </w:pPr>
            <w:r>
              <w:rPr>
                <w:rFonts w:ascii="Calibri" w:hAnsi="Calibri"/>
                <w:b w:val="0"/>
                <w:i w:val="0"/>
                <w:color w:val="212121"/>
                <w:sz w:val="19"/>
              </w:rPr>
              <w:t>Cervicitis increases susceptibility to and transmission of HIV through mucosal inflammation and disruption.</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#HIV  #immunosuppression  #mucosalinflammation  #transmission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 recurrent STI or PID</w:t>
            </w:r>
          </w:p>
        </w:tc>
        <w:tc>
          <w:tcPr>
            <w:tcW w:type="dxa" w:w="2160"/>
            <w:vAlign w:val="top"/>
          </w:tcPr>
          <w:p>
            <w:pPr>
              <w:spacing w:after="40" w:before="0" w:line="259" w:lineRule="auto"/>
            </w:pPr>
            <w:r>
              <w:rPr>
                <w:rFonts w:ascii="Calibri" w:hAnsi="Calibri"/>
                <w:b w:val="0"/>
                <w:i w:val="0"/>
                <w:color w:val="212121"/>
                <w:sz w:val="19"/>
              </w:rPr>
              <w:t>Women with previous chlamydia, gonorrhoea or PID</w:t>
            </w:r>
          </w:p>
        </w:tc>
        <w:tc>
          <w:tcPr>
            <w:tcW w:type="dxa" w:w="4276"/>
            <w:vAlign w:val="top"/>
          </w:tcPr>
          <w:p>
            <w:pPr>
              <w:spacing w:after="60" w:line="259" w:lineRule="auto"/>
            </w:pPr>
            <w:r>
              <w:rPr>
                <w:rFonts w:ascii="Calibri" w:hAnsi="Calibri"/>
                <w:b w:val="0"/>
                <w:i w:val="0"/>
                <w:color w:val="212121"/>
                <w:sz w:val="19"/>
              </w:rPr>
              <w:t>A history of cervical STI or pelvic inflammatory disease reflects ongoing exposure and susceptibility, predisposing to recurrent cervicitis and to tubal damage on repeated infection.</w:t>
            </w:r>
          </w:p>
          <w:p>
            <w:pPr>
              <w:spacing w:after="40" w:before="60" w:line="259" w:lineRule="auto"/>
            </w:pPr>
            <w:r>
              <w:rPr>
                <w:rFonts w:ascii="Calibri" w:hAnsi="Calibri"/>
                <w:b w:val="0"/>
                <w:i w:val="0"/>
                <w:color w:val="212121"/>
                <w:sz w:val="19"/>
              </w:rPr>
              <w:t>Untreated chlamydial cervicitis can ascend to PID; delayed care raises the risk of PID-related infertility roughly three-fold.</w:t>
            </w:r>
          </w:p>
          <w:p>
            <w:pPr>
              <w:spacing w:after="40" w:line="252" w:lineRule="auto"/>
            </w:pPr>
            <w:hyperlink r:id="rId9">
              <w:r>
                <w:rPr>
                  <w:rFonts w:ascii="Calibri" w:hAnsi="Calibri" w:cs="Calibri"/>
                  <w:sz w:val="18"/>
                  <w:color w:val="1155CC"/>
                  <w:u w:val="single"/>
                </w:rPr>
                <w:t xml:space="preserve">ncbi.nlm.nih.gov — StatPearls: Cervicitis</w:t>
              </w:r>
            </w:hyperlink>
          </w:p>
          <w:p>
            <w:pPr>
              <w:spacing w:before="60" w:after="40"/>
            </w:pPr>
            <w:r>
              <w:rPr>
                <w:rFonts w:ascii="Calibri" w:hAnsi="Calibri"/>
                <w:b w:val="0"/>
                <w:i w:val="0"/>
                <w:color w:val="5A5A5A"/>
                <w:sz w:val="18"/>
              </w:rPr>
              <w:t>#PID  #recurrentSTI  #tubaldamage  #infertilityrisk</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link to cervicitis/ectropion; regular activity supports general immune and reproductive health but does not independently alter cervical inflammation.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Diets deficient in vitamins A/C, folate and zinc may impair epithelial integrity and mucosal immunity, plausibly favouring infection persistence, but direct evidence for cervicitis is limited.</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Chronic sleep deprivation impairs immune competence in general; a specific link to cervicitis has not been established.</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smoking impairs cervical mucosal immunity, promotes persistent HPV infection and slows epithelial healing, contributing to chronic cervicitis and cervical dysplasia risk.</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direct causal effect on the cervix; heavy use is indirectly linked through higher-risk sexual behaviour and reduced condom use.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Persistent discharge, dyspareunia and fear of cancer cause anxiety and sexual-health distress; chronic stress may modestly impair mucosal immunity.</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Access to clean water underpins genital hygiene and menstrual-hygiene practices; poor water access is an indirect community-level risk for RTI in India.</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 — no established relationship with cervicitis or cervical ectropion.</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Vaginal douching, chemical intravaginal agents and poor menstrual hygiene disrupt the vaginal microbiome and directly cause chemical/non-infective cervicitis and predispose to RTI; safe menstrual hygiene is protective.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New or multiple sexual partners, unprotected intercourse, combined oral contraceptives, IUD threads and instrumentation directly provoke infective cervicitis, ectropion and contact bleeding.</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Number of sexual partners (past 12 months)</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1 (mutually monogamous)</w:t>
            </w:r>
          </w:p>
        </w:tc>
        <w:tc>
          <w:tcPr>
            <w:tcW w:type="dxa" w:w="1512"/>
            <w:vAlign w:val="top"/>
          </w:tcPr>
          <w:p>
            <w:pPr>
              <w:spacing w:after="40" w:before="0" w:line="259" w:lineRule="auto"/>
            </w:pPr>
            <w:r>
              <w:rPr>
                <w:rFonts w:ascii="Calibri" w:hAnsi="Calibri"/>
                <w:b w:val="0"/>
                <w:i w:val="0"/>
                <w:color w:val="212121"/>
                <w:sz w:val="19"/>
              </w:rPr>
              <w:t>≥ 2 or any new partner</w:t>
            </w:r>
          </w:p>
        </w:tc>
        <w:tc>
          <w:tcPr>
            <w:tcW w:type="dxa" w:w="1468"/>
            <w:vAlign w:val="top"/>
          </w:tcPr>
          <w:p>
            <w:pPr>
              <w:spacing w:after="60" w:line="259" w:lineRule="auto"/>
            </w:pPr>
            <w:r>
              <w:rPr>
                <w:rFonts w:ascii="Calibri" w:hAnsi="Calibri"/>
                <w:b w:val="0"/>
                <w:i w:val="0"/>
                <w:color w:val="212121"/>
                <w:sz w:val="19"/>
              </w:rPr>
              <w:t>Multiple/new partners is the strongest risk for STI-related cervicitis</w:t>
            </w:r>
          </w:p>
          <w:p>
            <w:pPr>
              <w:spacing w:after="40" w:line="252" w:lineRule="auto"/>
            </w:pPr>
            <w:hyperlink r:id="rId9">
              <w:r>
                <w:rPr>
                  <w:rFonts w:ascii="Calibri" w:hAnsi="Calibri" w:cs="Calibri"/>
                  <w:sz w:val="18"/>
                  <w:color w:val="1155CC"/>
                  <w:u w:val="single"/>
                </w:rPr>
                <w:t xml:space="preserve">https://www.ncbi.nlm.nih.gov/books/NBK562193/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Barrier contraception (condom) use</w:t>
            </w:r>
          </w:p>
        </w:tc>
        <w:tc>
          <w:tcPr>
            <w:tcW w:type="dxa" w:w="1655"/>
            <w:vAlign w:val="top"/>
          </w:tcPr>
          <w:p>
            <w:pPr>
              <w:spacing w:after="40" w:before="0" w:line="259" w:lineRule="auto"/>
            </w:pPr>
            <w:r>
              <w:rPr>
                <w:rFonts w:ascii="Calibri" w:hAnsi="Calibri"/>
                <w:b w:val="0"/>
                <w:i w:val="0"/>
                <w:color w:val="212121"/>
                <w:sz w:val="19"/>
              </w:rPr>
              <w:t>Sexually active women</w:t>
            </w:r>
          </w:p>
        </w:tc>
        <w:tc>
          <w:tcPr>
            <w:tcW w:type="dxa" w:w="1512"/>
            <w:vAlign w:val="top"/>
          </w:tcPr>
          <w:p>
            <w:pPr>
              <w:spacing w:after="40" w:before="0" w:line="259" w:lineRule="auto"/>
            </w:pPr>
            <w:r>
              <w:rPr>
                <w:rFonts w:ascii="Calibri" w:hAnsi="Calibri"/>
                <w:b w:val="0"/>
                <w:i w:val="0"/>
                <w:color w:val="212121"/>
                <w:sz w:val="19"/>
              </w:rPr>
              <w:t>Consistent, correct use</w:t>
            </w:r>
          </w:p>
        </w:tc>
        <w:tc>
          <w:tcPr>
            <w:tcW w:type="dxa" w:w="1512"/>
            <w:vAlign w:val="top"/>
          </w:tcPr>
          <w:p>
            <w:pPr>
              <w:spacing w:after="40" w:before="0" w:line="259" w:lineRule="auto"/>
            </w:pPr>
            <w:r>
              <w:rPr>
                <w:rFonts w:ascii="Calibri" w:hAnsi="Calibri"/>
                <w:b w:val="0"/>
                <w:i w:val="0"/>
                <w:color w:val="212121"/>
                <w:sz w:val="19"/>
              </w:rPr>
              <w:t>Inconsistent / none</w:t>
            </w:r>
          </w:p>
        </w:tc>
        <w:tc>
          <w:tcPr>
            <w:tcW w:type="dxa" w:w="1468"/>
            <w:vAlign w:val="top"/>
          </w:tcPr>
          <w:p>
            <w:pPr>
              <w:spacing w:after="40" w:before="0" w:line="259" w:lineRule="auto"/>
            </w:pPr>
            <w:r>
              <w:rPr>
                <w:rFonts w:ascii="Calibri" w:hAnsi="Calibri"/>
                <w:b w:val="0"/>
                <w:i w:val="0"/>
                <w:color w:val="212121"/>
                <w:sz w:val="19"/>
              </w:rPr>
              <w:t>Condoms reduce chlamydial and gonococcal cervicitis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Combined oral-contraceptive use</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Individualised; review if symptomatic</w:t>
            </w:r>
          </w:p>
        </w:tc>
        <w:tc>
          <w:tcPr>
            <w:tcW w:type="dxa" w:w="1512"/>
            <w:vAlign w:val="top"/>
          </w:tcPr>
          <w:p>
            <w:pPr>
              <w:spacing w:after="40" w:before="0" w:line="259" w:lineRule="auto"/>
            </w:pPr>
            <w:r>
              <w:rPr>
                <w:rFonts w:ascii="Calibri" w:hAnsi="Calibri"/>
                <w:b w:val="0"/>
                <w:i w:val="0"/>
                <w:color w:val="212121"/>
                <w:sz w:val="19"/>
              </w:rPr>
              <w:t>Long-term COC with symptomatic ectropion</w:t>
            </w:r>
          </w:p>
        </w:tc>
        <w:tc>
          <w:tcPr>
            <w:tcW w:type="dxa" w:w="1468"/>
            <w:vAlign w:val="top"/>
          </w:tcPr>
          <w:p>
            <w:pPr>
              <w:spacing w:after="60" w:line="259" w:lineRule="auto"/>
            </w:pPr>
            <w:r>
              <w:rPr>
                <w:rFonts w:ascii="Calibri" w:hAnsi="Calibri"/>
                <w:b w:val="0"/>
                <w:i w:val="0"/>
                <w:color w:val="212121"/>
                <w:sz w:val="19"/>
              </w:rPr>
              <w:t>Oestrogen drives ectropion; ~54.9% ectopy in COC/IUD users</w:t>
            </w:r>
          </w:p>
          <w:p>
            <w:pPr>
              <w:spacing w:after="40" w:line="252" w:lineRule="auto"/>
            </w:pPr>
            <w:hyperlink r:id="rId10">
              <w:r>
                <w:rPr>
                  <w:rFonts w:ascii="Calibri" w:hAnsi="Calibri" w:cs="Calibri"/>
                  <w:sz w:val="18"/>
                  <w:color w:val="1155CC"/>
                  <w:u w:val="single"/>
                </w:rPr>
                <w:t xml:space="preserve">https://www.ncbi.nlm.nih.gov/books/NBK560709/</w:t>
              </w:r>
            </w:hyperlink>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douching / intravaginal agents</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None (water-only external washing)</w:t>
            </w:r>
          </w:p>
        </w:tc>
        <w:tc>
          <w:tcPr>
            <w:tcW w:type="dxa" w:w="1512"/>
            <w:vAlign w:val="top"/>
          </w:tcPr>
          <w:p>
            <w:pPr>
              <w:spacing w:after="40" w:before="0" w:line="259" w:lineRule="auto"/>
            </w:pPr>
            <w:r>
              <w:rPr>
                <w:rFonts w:ascii="Calibri" w:hAnsi="Calibri"/>
                <w:b w:val="0"/>
                <w:i w:val="0"/>
                <w:color w:val="212121"/>
                <w:sz w:val="19"/>
              </w:rPr>
              <w:t>Any regular douching or chemical agent use</w:t>
            </w:r>
          </w:p>
        </w:tc>
        <w:tc>
          <w:tcPr>
            <w:tcW w:type="dxa" w:w="1468"/>
            <w:vAlign w:val="top"/>
          </w:tcPr>
          <w:p>
            <w:pPr>
              <w:spacing w:after="60" w:line="259" w:lineRule="auto"/>
            </w:pPr>
            <w:r>
              <w:rPr>
                <w:rFonts w:ascii="Calibri" w:hAnsi="Calibri"/>
                <w:b w:val="0"/>
                <w:i w:val="0"/>
                <w:color w:val="212121"/>
                <w:sz w:val="19"/>
              </w:rPr>
              <w:t>Douching disrupts flora and causes chemical cervicitis</w:t>
            </w:r>
          </w:p>
          <w:p>
            <w:pPr>
              <w:spacing w:after="40" w:line="252" w:lineRule="auto"/>
            </w:pPr>
            <w:hyperlink r:id="rId9">
              <w:r>
                <w:rPr>
                  <w:rFonts w:ascii="Calibri" w:hAnsi="Calibri" w:cs="Calibri"/>
                  <w:sz w:val="18"/>
                  <w:color w:val="1155CC"/>
                  <w:u w:val="single"/>
                </w:rPr>
                <w:t xml:space="preserve">https://www.ncbi.nlm.nih.gov/books/NBK562193/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Menstrual absorbent change interval</w:t>
            </w:r>
          </w:p>
        </w:tc>
        <w:tc>
          <w:tcPr>
            <w:tcW w:type="dxa" w:w="1655"/>
            <w:vAlign w:val="top"/>
          </w:tcPr>
          <w:p>
            <w:pPr>
              <w:spacing w:after="40" w:before="0" w:line="259" w:lineRule="auto"/>
            </w:pPr>
            <w:r>
              <w:rPr>
                <w:rFonts w:ascii="Calibri" w:hAnsi="Calibri"/>
                <w:b w:val="0"/>
                <w:i w:val="0"/>
                <w:color w:val="212121"/>
                <w:sz w:val="19"/>
              </w:rPr>
              <w:t>Menstruating women</w:t>
            </w:r>
          </w:p>
        </w:tc>
        <w:tc>
          <w:tcPr>
            <w:tcW w:type="dxa" w:w="1512"/>
            <w:vAlign w:val="top"/>
          </w:tcPr>
          <w:p>
            <w:pPr>
              <w:spacing w:after="40" w:before="0" w:line="259" w:lineRule="auto"/>
            </w:pPr>
            <w:r>
              <w:rPr>
                <w:rFonts w:ascii="Calibri" w:hAnsi="Calibri"/>
                <w:b w:val="0"/>
                <w:i w:val="0"/>
                <w:color w:val="212121"/>
                <w:sz w:val="19"/>
              </w:rPr>
              <w:t>Every 4–6 hours; clean absorbents</w:t>
            </w:r>
          </w:p>
        </w:tc>
        <w:tc>
          <w:tcPr>
            <w:tcW w:type="dxa" w:w="1512"/>
            <w:vAlign w:val="top"/>
          </w:tcPr>
          <w:p>
            <w:pPr>
              <w:spacing w:after="40" w:before="0" w:line="259" w:lineRule="auto"/>
            </w:pPr>
            <w:r>
              <w:rPr>
                <w:rFonts w:ascii="Calibri" w:hAnsi="Calibri"/>
                <w:b w:val="0"/>
                <w:i w:val="0"/>
                <w:color w:val="212121"/>
                <w:sz w:val="19"/>
              </w:rPr>
              <w:t>Prolonged use (&gt;6–8 h) / unhygienic materials</w:t>
            </w:r>
          </w:p>
        </w:tc>
        <w:tc>
          <w:tcPr>
            <w:tcW w:type="dxa" w:w="1468"/>
            <w:vAlign w:val="top"/>
          </w:tcPr>
          <w:p>
            <w:pPr>
              <w:spacing w:after="40" w:before="0" w:line="259" w:lineRule="auto"/>
            </w:pPr>
            <w:r>
              <w:rPr>
                <w:rFonts w:ascii="Calibri" w:hAnsi="Calibri"/>
                <w:b w:val="0"/>
                <w:i w:val="0"/>
                <w:color w:val="212121"/>
                <w:sz w:val="19"/>
              </w:rPr>
              <w:t>Poor menstrual hygiene predisposes to RTI, especially in low-resource settings</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bidis per day</w:t>
            </w:r>
          </w:p>
        </w:tc>
        <w:tc>
          <w:tcPr>
            <w:tcW w:type="dxa" w:w="1655"/>
            <w:vAlign w:val="top"/>
          </w:tcPr>
          <w:p>
            <w:pPr>
              <w:spacing w:after="40" w:before="0" w:line="259" w:lineRule="auto"/>
            </w:pPr>
            <w:r>
              <w:rPr>
                <w:rFonts w:ascii="Calibri" w:hAnsi="Calibri"/>
                <w:b w:val="0"/>
                <w:i w:val="0"/>
                <w:color w:val="212121"/>
                <w:sz w:val="19"/>
              </w:rPr>
              <w:t>All women</w:t>
            </w:r>
          </w:p>
        </w:tc>
        <w:tc>
          <w:tcPr>
            <w:tcW w:type="dxa" w:w="1512"/>
            <w:vAlign w:val="top"/>
          </w:tcPr>
          <w:p>
            <w:pPr>
              <w:spacing w:after="40" w:before="0" w:line="259" w:lineRule="auto"/>
            </w:pPr>
            <w:r>
              <w:rPr>
                <w:rFonts w:ascii="Calibri" w:hAnsi="Calibri"/>
                <w:b w:val="0"/>
                <w:i w:val="0"/>
                <w:color w:val="212121"/>
                <w:sz w:val="19"/>
              </w:rPr>
              <w:t>0 / day</w:t>
            </w:r>
          </w:p>
        </w:tc>
        <w:tc>
          <w:tcPr>
            <w:tcW w:type="dxa" w:w="1512"/>
            <w:vAlign w:val="top"/>
          </w:tcPr>
          <w:p>
            <w:pPr>
              <w:spacing w:after="40" w:before="0" w:line="259" w:lineRule="auto"/>
            </w:pPr>
            <w:r>
              <w:rPr>
                <w:rFonts w:ascii="Calibri" w:hAnsi="Calibri"/>
                <w:b w:val="0"/>
                <w:i w:val="0"/>
                <w:color w:val="212121"/>
                <w:sz w:val="19"/>
              </w:rPr>
              <w:t>≥ 1 / day</w:t>
            </w:r>
          </w:p>
        </w:tc>
        <w:tc>
          <w:tcPr>
            <w:tcW w:type="dxa" w:w="1468"/>
            <w:vAlign w:val="top"/>
          </w:tcPr>
          <w:p>
            <w:pPr>
              <w:spacing w:after="40" w:before="0" w:line="259" w:lineRule="auto"/>
            </w:pPr>
            <w:r>
              <w:rPr>
                <w:rFonts w:ascii="Calibri" w:hAnsi="Calibri"/>
                <w:b w:val="0"/>
                <w:i w:val="0"/>
                <w:color w:val="212121"/>
                <w:sz w:val="19"/>
              </w:rPr>
              <w:t>Smoking impairs cervical immunity and HPV clearance and delays healing</w:t>
            </w:r>
          </w:p>
        </w:tc>
      </w:tr>
      <w:tr>
        <w:trPr>
          <w:cantSplit/>
        </w:trPr>
        <w:tc>
          <w:tcPr>
            <w:tcW w:type="dxa" w:w="1512"/>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Vaginal pH</w:t>
            </w:r>
          </w:p>
        </w:tc>
        <w:tc>
          <w:tcPr>
            <w:tcW w:type="dxa" w:w="1655"/>
            <w:vAlign w:val="top"/>
          </w:tcPr>
          <w:p>
            <w:pPr>
              <w:spacing w:after="40" w:before="0" w:line="259" w:lineRule="auto"/>
            </w:pPr>
            <w:r>
              <w:rPr>
                <w:rFonts w:ascii="Calibri" w:hAnsi="Calibri"/>
                <w:b w:val="0"/>
                <w:i w:val="0"/>
                <w:color w:val="212121"/>
                <w:sz w:val="19"/>
              </w:rPr>
              <w:t>Symptomatic women</w:t>
            </w:r>
          </w:p>
        </w:tc>
        <w:tc>
          <w:tcPr>
            <w:tcW w:type="dxa" w:w="1512"/>
            <w:vAlign w:val="top"/>
          </w:tcPr>
          <w:p>
            <w:pPr>
              <w:spacing w:after="40" w:before="0" w:line="259" w:lineRule="auto"/>
            </w:pPr>
            <w:r>
              <w:rPr>
                <w:rFonts w:ascii="Calibri" w:hAnsi="Calibri"/>
                <w:b w:val="0"/>
                <w:i w:val="0"/>
                <w:color w:val="212121"/>
                <w:sz w:val="19"/>
              </w:rPr>
              <w:t>3.8–4.5</w:t>
            </w:r>
          </w:p>
        </w:tc>
        <w:tc>
          <w:tcPr>
            <w:tcW w:type="dxa" w:w="1512"/>
            <w:vAlign w:val="top"/>
          </w:tcPr>
          <w:p>
            <w:pPr>
              <w:spacing w:after="40" w:before="0" w:line="259" w:lineRule="auto"/>
            </w:pPr>
            <w:r>
              <w:rPr>
                <w:rFonts w:ascii="Calibri" w:hAnsi="Calibri"/>
                <w:b w:val="0"/>
                <w:i w:val="0"/>
                <w:color w:val="212121"/>
                <w:sz w:val="19"/>
              </w:rPr>
              <w:t>&gt; 4.5</w:t>
            </w:r>
          </w:p>
        </w:tc>
        <w:tc>
          <w:tcPr>
            <w:tcW w:type="dxa" w:w="1468"/>
            <w:vAlign w:val="top"/>
          </w:tcPr>
          <w:p>
            <w:pPr>
              <w:spacing w:after="40" w:before="0" w:line="259" w:lineRule="auto"/>
            </w:pPr>
            <w:r>
              <w:rPr>
                <w:rFonts w:ascii="Calibri" w:hAnsi="Calibri"/>
                <w:b w:val="0"/>
                <w:i w:val="0"/>
                <w:color w:val="212121"/>
                <w:sz w:val="19"/>
              </w:rPr>
              <w:t>Raised pH suggests bacterial vaginosis or trichomoniasis co-infection</w:t>
            </w:r>
          </w:p>
        </w:tc>
      </w:tr>
      <w:tr>
        <w:trPr>
          <w:cantSplit/>
        </w:trPr>
        <w:tc>
          <w:tcPr>
            <w:tcW w:type="dxa" w:w="1512"/>
            <w:vAlign w:val="center"/>
          </w:tcPr>
          <w:p>
            <w:pPr>
              <w:spacing w:after="40"/>
            </w:pPr>
            <w:r>
              <w:rPr>
                <w:rFonts w:ascii="Calibri" w:hAnsi="Calibri"/>
                <w:b w:val="0"/>
                <w:i w:val="0"/>
                <w:color w:val="212121"/>
                <w:sz w:val="19"/>
              </w:rPr>
              <w:t>Provoking factors</w:t>
            </w:r>
          </w:p>
        </w:tc>
        <w:tc>
          <w:tcPr>
            <w:tcW w:type="dxa" w:w="1944"/>
            <w:vAlign w:val="top"/>
          </w:tcPr>
          <w:p>
            <w:pPr>
              <w:spacing w:after="40" w:before="0" w:line="259" w:lineRule="auto"/>
            </w:pPr>
            <w:r>
              <w:rPr>
                <w:rFonts w:ascii="Calibri" w:hAnsi="Calibri"/>
                <w:b w:val="0"/>
                <w:i w:val="0"/>
                <w:color w:val="212121"/>
                <w:sz w:val="19"/>
              </w:rPr>
              <w:t>Endocervical WBC on microscopy</w:t>
            </w:r>
          </w:p>
        </w:tc>
        <w:tc>
          <w:tcPr>
            <w:tcW w:type="dxa" w:w="1655"/>
            <w:vAlign w:val="top"/>
          </w:tcPr>
          <w:p>
            <w:pPr>
              <w:spacing w:after="40" w:before="0" w:line="259" w:lineRule="auto"/>
            </w:pPr>
            <w:r>
              <w:rPr>
                <w:rFonts w:ascii="Calibri" w:hAnsi="Calibri"/>
                <w:b w:val="0"/>
                <w:i w:val="0"/>
                <w:color w:val="212121"/>
                <w:sz w:val="19"/>
              </w:rPr>
              <w:t>Women with suspected cervicitis</w:t>
            </w:r>
          </w:p>
        </w:tc>
        <w:tc>
          <w:tcPr>
            <w:tcW w:type="dxa" w:w="1512"/>
            <w:vAlign w:val="top"/>
          </w:tcPr>
          <w:p>
            <w:pPr>
              <w:spacing w:after="40" w:before="0" w:line="259" w:lineRule="auto"/>
            </w:pPr>
            <w:r>
              <w:rPr>
                <w:rFonts w:ascii="Calibri" w:hAnsi="Calibri"/>
                <w:b w:val="0"/>
                <w:i w:val="0"/>
                <w:color w:val="212121"/>
                <w:sz w:val="19"/>
              </w:rPr>
              <w:t>&lt; 10 per HPF</w:t>
            </w:r>
          </w:p>
        </w:tc>
        <w:tc>
          <w:tcPr>
            <w:tcW w:type="dxa" w:w="1512"/>
            <w:vAlign w:val="top"/>
          </w:tcPr>
          <w:p>
            <w:pPr>
              <w:spacing w:after="40" w:before="0" w:line="259" w:lineRule="auto"/>
            </w:pPr>
            <w:r>
              <w:rPr>
                <w:rFonts w:ascii="Calibri" w:hAnsi="Calibri"/>
                <w:b w:val="0"/>
                <w:i w:val="0"/>
                <w:color w:val="212121"/>
                <w:sz w:val="19"/>
              </w:rPr>
              <w:t>&gt; 30 per HPF (Gram stain)</w:t>
            </w:r>
          </w:p>
        </w:tc>
        <w:tc>
          <w:tcPr>
            <w:tcW w:type="dxa" w:w="1468"/>
            <w:vAlign w:val="top"/>
          </w:tcPr>
          <w:p>
            <w:pPr>
              <w:spacing w:after="60" w:line="259" w:lineRule="auto"/>
            </w:pPr>
            <w:r>
              <w:rPr>
                <w:rFonts w:ascii="Calibri" w:hAnsi="Calibri"/>
                <w:b w:val="0"/>
                <w:i w:val="0"/>
                <w:color w:val="212121"/>
                <w:sz w:val="19"/>
              </w:rPr>
              <w:t>Objective marker of cervical inflammation</w:t>
            </w:r>
          </w:p>
          <w:p>
            <w:pPr>
              <w:spacing w:after="40" w:line="252" w:lineRule="auto"/>
            </w:pPr>
            <w:hyperlink r:id="rId9">
              <w:r>
                <w:rPr>
                  <w:rFonts w:ascii="Calibri" w:hAnsi="Calibri" w:cs="Calibri"/>
                  <w:sz w:val="18"/>
                  <w:color w:val="1155CC"/>
                  <w:u w:val="single"/>
                </w:rPr>
                <w:t xml:space="preserve">https://www.ncbi.nlm.nih.gov/books/NBK562193/</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micronutrient adequacy (vit A/C, folate, zinc)</w:t>
            </w:r>
          </w:p>
        </w:tc>
        <w:tc>
          <w:tcPr>
            <w:tcW w:type="dxa" w:w="1655"/>
            <w:vAlign w:val="top"/>
          </w:tcPr>
          <w:p>
            <w:pPr>
              <w:spacing w:after="40" w:before="0" w:line="259" w:lineRule="auto"/>
            </w:pPr>
            <w:r>
              <w:rPr>
                <w:rFonts w:ascii="Calibri" w:hAnsi="Calibri"/>
                <w:b w:val="0"/>
                <w:i w:val="0"/>
                <w:color w:val="212121"/>
                <w:sz w:val="19"/>
              </w:rPr>
              <w:t>Reproductive-age women</w:t>
            </w:r>
          </w:p>
        </w:tc>
        <w:tc>
          <w:tcPr>
            <w:tcW w:type="dxa" w:w="1512"/>
            <w:vAlign w:val="top"/>
          </w:tcPr>
          <w:p>
            <w:pPr>
              <w:spacing w:after="40" w:before="0" w:line="259" w:lineRule="auto"/>
            </w:pPr>
            <w:r>
              <w:rPr>
                <w:rFonts w:ascii="Calibri" w:hAnsi="Calibri"/>
                <w:b w:val="0"/>
                <w:i w:val="0"/>
                <w:color w:val="212121"/>
                <w:sz w:val="19"/>
              </w:rPr>
              <w:t>Adequate, balanced intake</w:t>
            </w:r>
          </w:p>
        </w:tc>
        <w:tc>
          <w:tcPr>
            <w:tcW w:type="dxa" w:w="1512"/>
            <w:vAlign w:val="top"/>
          </w:tcPr>
          <w:p>
            <w:pPr>
              <w:spacing w:after="40" w:before="0" w:line="259" w:lineRule="auto"/>
            </w:pPr>
            <w:r>
              <w:rPr>
                <w:rFonts w:ascii="Calibri" w:hAnsi="Calibri"/>
                <w:b w:val="0"/>
                <w:i w:val="0"/>
                <w:color w:val="212121"/>
                <w:sz w:val="19"/>
              </w:rPr>
              <w:t>Deficient intake</w:t>
            </w:r>
          </w:p>
        </w:tc>
        <w:tc>
          <w:tcPr>
            <w:tcW w:type="dxa" w:w="1468"/>
            <w:vAlign w:val="top"/>
          </w:tcPr>
          <w:p>
            <w:pPr>
              <w:spacing w:after="40" w:before="0" w:line="259" w:lineRule="auto"/>
            </w:pPr>
            <w:r>
              <w:rPr>
                <w:rFonts w:ascii="Calibri" w:hAnsi="Calibri"/>
                <w:b w:val="0"/>
                <w:i w:val="0"/>
                <w:color w:val="212121"/>
                <w:sz w:val="19"/>
              </w:rPr>
              <w:t>Micronutrient deficiency impairs epithelial repair and mucosal immunity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NAAT for C. trachomatis &amp; N. gonorrhoeae</w:t>
            </w:r>
          </w:p>
        </w:tc>
        <w:tc>
          <w:tcPr>
            <w:tcW w:type="dxa" w:w="892"/>
            <w:vAlign w:val="top"/>
          </w:tcPr>
          <w:p>
            <w:pPr>
              <w:spacing w:after="40" w:before="0" w:line="259" w:lineRule="auto"/>
            </w:pPr>
            <w:r>
              <w:rPr>
                <w:rFonts w:ascii="Calibri" w:hAnsi="Calibri"/>
                <w:b w:val="0"/>
                <w:i w:val="0"/>
                <w:color w:val="212121"/>
                <w:sz w:val="16"/>
              </w:rPr>
              <w:t>Endocervical / vaginal swab NAAT</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Organism DNA detected</w:t>
            </w:r>
          </w:p>
        </w:tc>
        <w:tc>
          <w:tcPr>
            <w:tcW w:type="dxa" w:w="1036"/>
            <w:vAlign w:val="top"/>
          </w:tcPr>
          <w:p>
            <w:pPr>
              <w:spacing w:after="40" w:before="0" w:line="259" w:lineRule="auto"/>
            </w:pPr>
            <w:r>
              <w:rPr>
                <w:rFonts w:ascii="Calibri" w:hAnsi="Calibri"/>
                <w:b w:val="0"/>
                <w:i w:val="0"/>
                <w:color w:val="212121"/>
                <w:sz w:val="16"/>
              </w:rPr>
              <w:t>Gold standard for chlamydia and gonorrhoea; confirms infective cervicitis</w:t>
            </w:r>
          </w:p>
        </w:tc>
        <w:tc>
          <w:tcPr>
            <w:tcW w:type="dxa" w:w="1036"/>
            <w:vAlign w:val="top"/>
          </w:tcPr>
          <w:p>
            <w:pPr>
              <w:spacing w:after="40" w:before="0" w:line="259" w:lineRule="auto"/>
            </w:pPr>
            <w:r>
              <w:rPr>
                <w:rFonts w:ascii="Calibri" w:hAnsi="Calibri"/>
                <w:b w:val="0"/>
                <w:i w:val="0"/>
                <w:color w:val="212121"/>
                <w:sz w:val="16"/>
              </w:rPr>
              <w:t>Sexually active women &lt;25 y, new/multiple partners, symptomatic cervicitis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Test and treat partners; treat presumptively if strong suspicion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Microbiological</w:t>
            </w:r>
          </w:p>
        </w:tc>
        <w:tc>
          <w:tcPr>
            <w:tcW w:type="dxa" w:w="1036"/>
            <w:vAlign w:val="top"/>
          </w:tcPr>
          <w:p>
            <w:pPr>
              <w:spacing w:after="40" w:before="0" w:line="259" w:lineRule="auto"/>
            </w:pPr>
            <w:r>
              <w:rPr>
                <w:rFonts w:ascii="Calibri" w:hAnsi="Calibri"/>
                <w:b w:val="0"/>
                <w:i w:val="0"/>
                <w:color w:val="212121"/>
                <w:sz w:val="16"/>
              </w:rPr>
              <w:t>Wet-mount / NAAT for Trichomonas vaginalis</w:t>
            </w:r>
          </w:p>
        </w:tc>
        <w:tc>
          <w:tcPr>
            <w:tcW w:type="dxa" w:w="892"/>
            <w:vAlign w:val="top"/>
          </w:tcPr>
          <w:p>
            <w:pPr>
              <w:spacing w:after="40" w:before="0" w:line="259" w:lineRule="auto"/>
            </w:pPr>
            <w:r>
              <w:rPr>
                <w:rFonts w:ascii="Calibri" w:hAnsi="Calibri"/>
                <w:b w:val="0"/>
                <w:i w:val="0"/>
                <w:color w:val="212121"/>
                <w:sz w:val="16"/>
              </w:rPr>
              <w:t>Saline wet mount microscopy</w:t>
            </w:r>
          </w:p>
        </w:tc>
        <w:tc>
          <w:tcPr>
            <w:tcW w:type="dxa" w:w="950"/>
            <w:vAlign w:val="top"/>
          </w:tcPr>
          <w:p>
            <w:pPr>
              <w:spacing w:after="40" w:before="0" w:line="259" w:lineRule="auto"/>
            </w:pPr>
            <w:r>
              <w:rPr>
                <w:rFonts w:ascii="Calibri" w:hAnsi="Calibri"/>
                <w:b w:val="0"/>
                <w:i w:val="0"/>
                <w:color w:val="212121"/>
                <w:sz w:val="16"/>
              </w:rPr>
              <w:t>No motile trophozoites</w:t>
            </w:r>
          </w:p>
        </w:tc>
        <w:tc>
          <w:tcPr>
            <w:tcW w:type="dxa" w:w="950"/>
            <w:vAlign w:val="top"/>
          </w:tcPr>
          <w:p>
            <w:pPr>
              <w:spacing w:after="40" w:before="0" w:line="259" w:lineRule="auto"/>
            </w:pPr>
            <w:r>
              <w:rPr>
                <w:rFonts w:ascii="Calibri" w:hAnsi="Calibri"/>
                <w:b w:val="0"/>
                <w:i w:val="0"/>
                <w:color w:val="212121"/>
                <w:sz w:val="16"/>
              </w:rPr>
              <w:t>Motile trophozoites / positive NAAT</w:t>
            </w:r>
          </w:p>
        </w:tc>
        <w:tc>
          <w:tcPr>
            <w:tcW w:type="dxa" w:w="1036"/>
            <w:vAlign w:val="top"/>
          </w:tcPr>
          <w:p>
            <w:pPr>
              <w:spacing w:after="40" w:before="0" w:line="259" w:lineRule="auto"/>
            </w:pPr>
            <w:r>
              <w:rPr>
                <w:rFonts w:ascii="Calibri" w:hAnsi="Calibri"/>
                <w:b w:val="0"/>
                <w:i w:val="0"/>
                <w:color w:val="212121"/>
                <w:sz w:val="16"/>
              </w:rPr>
              <w:t>Detects trichomoniasis (‘strawberry cervix’)</w:t>
            </w:r>
          </w:p>
        </w:tc>
        <w:tc>
          <w:tcPr>
            <w:tcW w:type="dxa" w:w="1036"/>
            <w:vAlign w:val="top"/>
          </w:tcPr>
          <w:p>
            <w:pPr>
              <w:spacing w:after="40" w:before="0" w:line="259" w:lineRule="auto"/>
            </w:pPr>
            <w:r>
              <w:rPr>
                <w:rFonts w:ascii="Calibri" w:hAnsi="Calibri"/>
                <w:b w:val="0"/>
                <w:i w:val="0"/>
                <w:color w:val="212121"/>
                <w:sz w:val="16"/>
              </w:rPr>
              <w:t>Women with frothy discharge, itching</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Wet mount low sensitivity; NAAT preferred where available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 / bedside</w:t>
            </w:r>
          </w:p>
        </w:tc>
        <w:tc>
          <w:tcPr>
            <w:tcW w:type="dxa" w:w="1036"/>
            <w:vAlign w:val="top"/>
          </w:tcPr>
          <w:p>
            <w:pPr>
              <w:spacing w:after="40" w:before="0" w:line="259" w:lineRule="auto"/>
            </w:pPr>
            <w:r>
              <w:rPr>
                <w:rFonts w:ascii="Calibri" w:hAnsi="Calibri"/>
                <w:b w:val="0"/>
                <w:i w:val="0"/>
                <w:color w:val="212121"/>
                <w:sz w:val="16"/>
              </w:rPr>
              <w:t>Vaginal pH</w:t>
            </w:r>
          </w:p>
        </w:tc>
        <w:tc>
          <w:tcPr>
            <w:tcW w:type="dxa" w:w="892"/>
            <w:vAlign w:val="top"/>
          </w:tcPr>
          <w:p>
            <w:pPr>
              <w:spacing w:after="40" w:before="0" w:line="259" w:lineRule="auto"/>
            </w:pPr>
            <w:r>
              <w:rPr>
                <w:rFonts w:ascii="Calibri" w:hAnsi="Calibri"/>
                <w:b w:val="0"/>
                <w:i w:val="0"/>
                <w:color w:val="212121"/>
                <w:sz w:val="16"/>
              </w:rPr>
              <w:t>pH strip</w:t>
            </w:r>
          </w:p>
        </w:tc>
        <w:tc>
          <w:tcPr>
            <w:tcW w:type="dxa" w:w="950"/>
            <w:vAlign w:val="top"/>
          </w:tcPr>
          <w:p>
            <w:pPr>
              <w:spacing w:after="40" w:before="0" w:line="259" w:lineRule="auto"/>
            </w:pPr>
            <w:r>
              <w:rPr>
                <w:rFonts w:ascii="Calibri" w:hAnsi="Calibri"/>
                <w:b w:val="0"/>
                <w:i w:val="0"/>
                <w:color w:val="212121"/>
                <w:sz w:val="16"/>
              </w:rPr>
              <w:t>3.8–4.5</w:t>
            </w:r>
          </w:p>
        </w:tc>
        <w:tc>
          <w:tcPr>
            <w:tcW w:type="dxa" w:w="950"/>
            <w:vAlign w:val="top"/>
          </w:tcPr>
          <w:p>
            <w:pPr>
              <w:spacing w:after="40" w:before="0" w:line="259" w:lineRule="auto"/>
            </w:pPr>
            <w:r>
              <w:rPr>
                <w:rFonts w:ascii="Calibri" w:hAnsi="Calibri"/>
                <w:b w:val="0"/>
                <w:i w:val="0"/>
                <w:color w:val="212121"/>
                <w:sz w:val="16"/>
              </w:rPr>
              <w:t>&gt; 4.5</w:t>
            </w:r>
          </w:p>
        </w:tc>
        <w:tc>
          <w:tcPr>
            <w:tcW w:type="dxa" w:w="1036"/>
            <w:vAlign w:val="top"/>
          </w:tcPr>
          <w:p>
            <w:pPr>
              <w:spacing w:after="40" w:before="0" w:line="259" w:lineRule="auto"/>
            </w:pPr>
            <w:r>
              <w:rPr>
                <w:rFonts w:ascii="Calibri" w:hAnsi="Calibri"/>
                <w:b w:val="0"/>
                <w:i w:val="0"/>
                <w:color w:val="212121"/>
                <w:sz w:val="16"/>
              </w:rPr>
              <w:t>Raised pH points to BV or trichomoniasis co-infection</w:t>
            </w:r>
          </w:p>
        </w:tc>
        <w:tc>
          <w:tcPr>
            <w:tcW w:type="dxa" w:w="1036"/>
            <w:vAlign w:val="top"/>
          </w:tcPr>
          <w:p>
            <w:pPr>
              <w:spacing w:after="40" w:before="0" w:line="259" w:lineRule="auto"/>
            </w:pPr>
            <w:r>
              <w:rPr>
                <w:rFonts w:ascii="Calibri" w:hAnsi="Calibri"/>
                <w:b w:val="0"/>
                <w:i w:val="0"/>
                <w:color w:val="212121"/>
                <w:sz w:val="16"/>
              </w:rPr>
              <w:t>Women with abnormal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Simple point-of-care test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Bedside</w:t>
            </w:r>
          </w:p>
        </w:tc>
        <w:tc>
          <w:tcPr>
            <w:tcW w:type="dxa" w:w="1036"/>
            <w:vAlign w:val="top"/>
          </w:tcPr>
          <w:p>
            <w:pPr>
              <w:spacing w:after="40" w:before="0" w:line="259" w:lineRule="auto"/>
            </w:pPr>
            <w:r>
              <w:rPr>
                <w:rFonts w:ascii="Calibri" w:hAnsi="Calibri"/>
                <w:b w:val="0"/>
                <w:i w:val="0"/>
                <w:color w:val="212121"/>
                <w:sz w:val="16"/>
              </w:rPr>
              <w:t>Amine (whiff) test with KOH</w:t>
            </w:r>
          </w:p>
        </w:tc>
        <w:tc>
          <w:tcPr>
            <w:tcW w:type="dxa" w:w="892"/>
            <w:vAlign w:val="top"/>
          </w:tcPr>
          <w:p>
            <w:pPr>
              <w:spacing w:after="40" w:before="0" w:line="259" w:lineRule="auto"/>
            </w:pPr>
            <w:r>
              <w:rPr>
                <w:rFonts w:ascii="Calibri" w:hAnsi="Calibri"/>
                <w:b w:val="0"/>
                <w:i w:val="0"/>
                <w:color w:val="212121"/>
                <w:sz w:val="16"/>
              </w:rPr>
              <w:t>10% KOH on discharge</w:t>
            </w:r>
          </w:p>
        </w:tc>
        <w:tc>
          <w:tcPr>
            <w:tcW w:type="dxa" w:w="950"/>
            <w:vAlign w:val="top"/>
          </w:tcPr>
          <w:p>
            <w:pPr>
              <w:spacing w:after="40" w:before="0" w:line="259" w:lineRule="auto"/>
            </w:pPr>
            <w:r>
              <w:rPr>
                <w:rFonts w:ascii="Calibri" w:hAnsi="Calibri"/>
                <w:b w:val="0"/>
                <w:i w:val="0"/>
                <w:color w:val="212121"/>
                <w:sz w:val="16"/>
              </w:rPr>
              <w:t>No fishy odour</w:t>
            </w:r>
          </w:p>
        </w:tc>
        <w:tc>
          <w:tcPr>
            <w:tcW w:type="dxa" w:w="950"/>
            <w:vAlign w:val="top"/>
          </w:tcPr>
          <w:p>
            <w:pPr>
              <w:spacing w:after="40" w:before="0" w:line="259" w:lineRule="auto"/>
            </w:pPr>
            <w:r>
              <w:rPr>
                <w:rFonts w:ascii="Calibri" w:hAnsi="Calibri"/>
                <w:b w:val="0"/>
                <w:i w:val="0"/>
                <w:color w:val="212121"/>
                <w:sz w:val="16"/>
              </w:rPr>
              <w:t>Fishy amine odour</w:t>
            </w:r>
          </w:p>
        </w:tc>
        <w:tc>
          <w:tcPr>
            <w:tcW w:type="dxa" w:w="1036"/>
            <w:vAlign w:val="top"/>
          </w:tcPr>
          <w:p>
            <w:pPr>
              <w:spacing w:after="40" w:before="0" w:line="259" w:lineRule="auto"/>
            </w:pPr>
            <w:r>
              <w:rPr>
                <w:rFonts w:ascii="Calibri" w:hAnsi="Calibri"/>
                <w:b w:val="0"/>
                <w:i w:val="0"/>
                <w:color w:val="212121"/>
                <w:sz w:val="16"/>
              </w:rPr>
              <w:t>Positive supports bacterial vaginosis</w:t>
            </w:r>
          </w:p>
        </w:tc>
        <w:tc>
          <w:tcPr>
            <w:tcW w:type="dxa" w:w="1036"/>
            <w:vAlign w:val="top"/>
          </w:tcPr>
          <w:p>
            <w:pPr>
              <w:spacing w:after="40" w:before="0" w:line="259" w:lineRule="auto"/>
            </w:pPr>
            <w:r>
              <w:rPr>
                <w:rFonts w:ascii="Calibri" w:hAnsi="Calibri"/>
                <w:b w:val="0"/>
                <w:i w:val="0"/>
                <w:color w:val="212121"/>
                <w:sz w:val="16"/>
              </w:rPr>
              <w:t>Women with malodorous discharge</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Part of Amsel criteria for BV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Microscopy</w:t>
            </w:r>
          </w:p>
        </w:tc>
        <w:tc>
          <w:tcPr>
            <w:tcW w:type="dxa" w:w="1036"/>
            <w:vAlign w:val="top"/>
          </w:tcPr>
          <w:p>
            <w:pPr>
              <w:spacing w:after="40" w:before="0" w:line="259" w:lineRule="auto"/>
            </w:pPr>
            <w:r>
              <w:rPr>
                <w:rFonts w:ascii="Calibri" w:hAnsi="Calibri"/>
                <w:b w:val="0"/>
                <w:i w:val="0"/>
                <w:color w:val="212121"/>
                <w:sz w:val="16"/>
              </w:rPr>
              <w:t>Endocervical Gram stain WBC count</w:t>
            </w:r>
          </w:p>
        </w:tc>
        <w:tc>
          <w:tcPr>
            <w:tcW w:type="dxa" w:w="892"/>
            <w:vAlign w:val="top"/>
          </w:tcPr>
          <w:p>
            <w:pPr>
              <w:spacing w:after="40" w:before="0" w:line="259" w:lineRule="auto"/>
            </w:pPr>
            <w:r>
              <w:rPr>
                <w:rFonts w:ascii="Calibri" w:hAnsi="Calibri"/>
                <w:b w:val="0"/>
                <w:i w:val="0"/>
                <w:color w:val="212121"/>
                <w:sz w:val="16"/>
              </w:rPr>
              <w:t>Gram stain</w:t>
            </w:r>
          </w:p>
        </w:tc>
        <w:tc>
          <w:tcPr>
            <w:tcW w:type="dxa" w:w="950"/>
            <w:vAlign w:val="top"/>
          </w:tcPr>
          <w:p>
            <w:pPr>
              <w:spacing w:after="40" w:before="0" w:line="259" w:lineRule="auto"/>
            </w:pPr>
            <w:r>
              <w:rPr>
                <w:rFonts w:ascii="Calibri" w:hAnsi="Calibri"/>
                <w:b w:val="0"/>
                <w:i w:val="0"/>
                <w:color w:val="212121"/>
                <w:sz w:val="16"/>
              </w:rPr>
              <w:t>&lt; 10 WBC / HPF</w:t>
            </w:r>
          </w:p>
        </w:tc>
        <w:tc>
          <w:tcPr>
            <w:tcW w:type="dxa" w:w="950"/>
            <w:vAlign w:val="top"/>
          </w:tcPr>
          <w:p>
            <w:pPr>
              <w:spacing w:after="40" w:before="0" w:line="259" w:lineRule="auto"/>
            </w:pPr>
            <w:r>
              <w:rPr>
                <w:rFonts w:ascii="Calibri" w:hAnsi="Calibri"/>
                <w:b w:val="0"/>
                <w:i w:val="0"/>
                <w:color w:val="212121"/>
                <w:sz w:val="16"/>
              </w:rPr>
              <w:t>&gt; 30 WBC / HPF</w:t>
            </w:r>
          </w:p>
        </w:tc>
        <w:tc>
          <w:tcPr>
            <w:tcW w:type="dxa" w:w="1036"/>
            <w:vAlign w:val="top"/>
          </w:tcPr>
          <w:p>
            <w:pPr>
              <w:spacing w:after="40" w:before="0" w:line="259" w:lineRule="auto"/>
            </w:pPr>
            <w:r>
              <w:rPr>
                <w:rFonts w:ascii="Calibri" w:hAnsi="Calibri"/>
                <w:b w:val="0"/>
                <w:i w:val="0"/>
                <w:color w:val="212121"/>
                <w:sz w:val="16"/>
              </w:rPr>
              <w:t>Objective evidence of cervical inflammation</w:t>
            </w:r>
          </w:p>
        </w:tc>
        <w:tc>
          <w:tcPr>
            <w:tcW w:type="dxa" w:w="1036"/>
            <w:vAlign w:val="top"/>
          </w:tcPr>
          <w:p>
            <w:pPr>
              <w:spacing w:after="40" w:before="0" w:line="259" w:lineRule="auto"/>
            </w:pPr>
            <w:r>
              <w:rPr>
                <w:rFonts w:ascii="Calibri" w:hAnsi="Calibri"/>
                <w:b w:val="0"/>
                <w:i w:val="0"/>
                <w:color w:val="212121"/>
                <w:sz w:val="16"/>
              </w:rPr>
              <w:t>Women with suspected cervicitis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Also assess for intracellular Gram-negative diplococci</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Cytology</w:t>
            </w:r>
          </w:p>
        </w:tc>
        <w:tc>
          <w:tcPr>
            <w:tcW w:type="dxa" w:w="1036"/>
            <w:vAlign w:val="top"/>
          </w:tcPr>
          <w:p>
            <w:pPr>
              <w:spacing w:after="40" w:before="0" w:line="259" w:lineRule="auto"/>
            </w:pPr>
            <w:r>
              <w:rPr>
                <w:rFonts w:ascii="Calibri" w:hAnsi="Calibri"/>
                <w:b w:val="0"/>
                <w:i w:val="0"/>
                <w:color w:val="212121"/>
                <w:sz w:val="16"/>
              </w:rPr>
              <w:t>Pap smear / cervical cytology</w:t>
            </w:r>
          </w:p>
        </w:tc>
        <w:tc>
          <w:tcPr>
            <w:tcW w:type="dxa" w:w="892"/>
            <w:vAlign w:val="top"/>
          </w:tcPr>
          <w:p>
            <w:pPr>
              <w:spacing w:after="40" w:before="0" w:line="259" w:lineRule="auto"/>
            </w:pPr>
            <w:r>
              <w:rPr>
                <w:rFonts w:ascii="Calibri" w:hAnsi="Calibri"/>
                <w:b w:val="0"/>
                <w:i w:val="0"/>
                <w:color w:val="212121"/>
                <w:sz w:val="16"/>
              </w:rPr>
              <w:t>Papanicolaou smear</w:t>
            </w:r>
          </w:p>
        </w:tc>
        <w:tc>
          <w:tcPr>
            <w:tcW w:type="dxa" w:w="950"/>
            <w:vAlign w:val="top"/>
          </w:tcPr>
          <w:p>
            <w:pPr>
              <w:spacing w:after="40" w:before="0" w:line="259" w:lineRule="auto"/>
            </w:pPr>
            <w:r>
              <w:rPr>
                <w:rFonts w:ascii="Calibri" w:hAnsi="Calibri"/>
                <w:b w:val="0"/>
                <w:i w:val="0"/>
                <w:color w:val="212121"/>
                <w:sz w:val="16"/>
              </w:rPr>
              <w:t>NILM (negative)</w:t>
            </w:r>
          </w:p>
        </w:tc>
        <w:tc>
          <w:tcPr>
            <w:tcW w:type="dxa" w:w="950"/>
            <w:vAlign w:val="top"/>
          </w:tcPr>
          <w:p>
            <w:pPr>
              <w:spacing w:after="40" w:before="0" w:line="259" w:lineRule="auto"/>
            </w:pPr>
            <w:r>
              <w:rPr>
                <w:rFonts w:ascii="Calibri" w:hAnsi="Calibri"/>
                <w:b w:val="0"/>
                <w:i w:val="0"/>
                <w:color w:val="212121"/>
                <w:sz w:val="16"/>
              </w:rPr>
              <w:t>ASC-US / LSIL / HSIL / atypical glandular cells</w:t>
            </w:r>
          </w:p>
        </w:tc>
        <w:tc>
          <w:tcPr>
            <w:tcW w:type="dxa" w:w="1036"/>
            <w:vAlign w:val="top"/>
          </w:tcPr>
          <w:p>
            <w:pPr>
              <w:spacing w:after="40" w:before="0" w:line="259" w:lineRule="auto"/>
            </w:pPr>
            <w:r>
              <w:rPr>
                <w:rFonts w:ascii="Calibri" w:hAnsi="Calibri"/>
                <w:b w:val="0"/>
                <w:i w:val="0"/>
                <w:color w:val="212121"/>
                <w:sz w:val="16"/>
              </w:rPr>
              <w:t>Screens for cervical intraepithelial neoplasia; distinguishes benign ectropion from dysplasia</w:t>
            </w:r>
          </w:p>
        </w:tc>
        <w:tc>
          <w:tcPr>
            <w:tcW w:type="dxa" w:w="1036"/>
            <w:vAlign w:val="top"/>
          </w:tcPr>
          <w:p>
            <w:pPr>
              <w:spacing w:after="40" w:before="0" w:line="259" w:lineRule="auto"/>
            </w:pPr>
            <w:r>
              <w:rPr>
                <w:rFonts w:ascii="Calibri" w:hAnsi="Calibri"/>
                <w:b w:val="0"/>
                <w:i w:val="0"/>
                <w:color w:val="212121"/>
                <w:sz w:val="16"/>
              </w:rPr>
              <w:t>Women 25–65 y; persistent erosion or contact bleeding</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Avoid taking during heavy bleeding; repeat if inflammatory smear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High-risk HPV DNA test</w:t>
            </w:r>
          </w:p>
        </w:tc>
        <w:tc>
          <w:tcPr>
            <w:tcW w:type="dxa" w:w="892"/>
            <w:vAlign w:val="top"/>
          </w:tcPr>
          <w:p>
            <w:pPr>
              <w:spacing w:after="40" w:before="0" w:line="259" w:lineRule="auto"/>
            </w:pPr>
            <w:r>
              <w:rPr>
                <w:rFonts w:ascii="Calibri" w:hAnsi="Calibri"/>
                <w:b w:val="0"/>
                <w:i w:val="0"/>
                <w:color w:val="212121"/>
                <w:sz w:val="16"/>
              </w:rPr>
              <w:t>HPV DNA (hrHPV)</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High-risk HPV detected</w:t>
            </w:r>
          </w:p>
        </w:tc>
        <w:tc>
          <w:tcPr>
            <w:tcW w:type="dxa" w:w="1036"/>
            <w:vAlign w:val="top"/>
          </w:tcPr>
          <w:p>
            <w:pPr>
              <w:spacing w:after="40" w:before="0" w:line="259" w:lineRule="auto"/>
            </w:pPr>
            <w:r>
              <w:rPr>
                <w:rFonts w:ascii="Calibri" w:hAnsi="Calibri"/>
                <w:b w:val="0"/>
                <w:i w:val="0"/>
                <w:color w:val="212121"/>
                <w:sz w:val="16"/>
              </w:rPr>
              <w:t>Risk-stratifies for cervical precancer; guides colposcopy</w:t>
            </w:r>
          </w:p>
        </w:tc>
        <w:tc>
          <w:tcPr>
            <w:tcW w:type="dxa" w:w="1036"/>
            <w:vAlign w:val="top"/>
          </w:tcPr>
          <w:p>
            <w:pPr>
              <w:spacing w:after="40" w:before="0" w:line="259" w:lineRule="auto"/>
            </w:pPr>
            <w:r>
              <w:rPr>
                <w:rFonts w:ascii="Calibri" w:hAnsi="Calibri"/>
                <w:b w:val="0"/>
                <w:i w:val="0"/>
                <w:color w:val="212121"/>
                <w:sz w:val="16"/>
              </w:rPr>
              <w:t>Women 30–65 y; abnormal cytology; persistent erosion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Primary HPV screening increasingly preferred over cytology alone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HIV &amp; syphilis (VDRL/RPR) screening</w:t>
            </w:r>
          </w:p>
        </w:tc>
        <w:tc>
          <w:tcPr>
            <w:tcW w:type="dxa" w:w="892"/>
            <w:vAlign w:val="top"/>
          </w:tcPr>
          <w:p>
            <w:pPr>
              <w:spacing w:after="40" w:before="0" w:line="259" w:lineRule="auto"/>
            </w:pPr>
            <w:r>
              <w:rPr>
                <w:rFonts w:ascii="Calibri" w:hAnsi="Calibri"/>
                <w:b w:val="0"/>
                <w:i w:val="0"/>
                <w:color w:val="212121"/>
                <w:sz w:val="16"/>
              </w:rPr>
              <w:t>Serology</w:t>
            </w:r>
          </w:p>
        </w:tc>
        <w:tc>
          <w:tcPr>
            <w:tcW w:type="dxa" w:w="950"/>
            <w:vAlign w:val="top"/>
          </w:tcPr>
          <w:p>
            <w:pPr>
              <w:spacing w:after="40" w:before="0" w:line="259" w:lineRule="auto"/>
            </w:pPr>
            <w:r>
              <w:rPr>
                <w:rFonts w:ascii="Calibri" w:hAnsi="Calibri"/>
                <w:b w:val="0"/>
                <w:i w:val="0"/>
                <w:color w:val="212121"/>
                <w:sz w:val="16"/>
              </w:rPr>
              <w:t>Non-reactive</w:t>
            </w:r>
          </w:p>
        </w:tc>
        <w:tc>
          <w:tcPr>
            <w:tcW w:type="dxa" w:w="950"/>
            <w:vAlign w:val="top"/>
          </w:tcPr>
          <w:p>
            <w:pPr>
              <w:spacing w:after="40" w:before="0" w:line="259" w:lineRule="auto"/>
            </w:pPr>
            <w:r>
              <w:rPr>
                <w:rFonts w:ascii="Calibri" w:hAnsi="Calibri"/>
                <w:b w:val="0"/>
                <w:i w:val="0"/>
                <w:color w:val="212121"/>
                <w:sz w:val="16"/>
              </w:rPr>
              <w:t>Reactive</w:t>
            </w:r>
          </w:p>
        </w:tc>
        <w:tc>
          <w:tcPr>
            <w:tcW w:type="dxa" w:w="1036"/>
            <w:vAlign w:val="top"/>
          </w:tcPr>
          <w:p>
            <w:pPr>
              <w:spacing w:after="40" w:before="0" w:line="259" w:lineRule="auto"/>
            </w:pPr>
            <w:r>
              <w:rPr>
                <w:rFonts w:ascii="Calibri" w:hAnsi="Calibri"/>
                <w:b w:val="0"/>
                <w:i w:val="0"/>
                <w:color w:val="212121"/>
                <w:sz w:val="16"/>
              </w:rPr>
              <w:t>Screens for co-existing STIs given shared risk factors</w:t>
            </w:r>
          </w:p>
        </w:tc>
        <w:tc>
          <w:tcPr>
            <w:tcW w:type="dxa" w:w="1036"/>
            <w:vAlign w:val="top"/>
          </w:tcPr>
          <w:p>
            <w:pPr>
              <w:spacing w:after="40" w:before="0" w:line="259" w:lineRule="auto"/>
            </w:pPr>
            <w:r>
              <w:rPr>
                <w:rFonts w:ascii="Calibri" w:hAnsi="Calibri"/>
                <w:b w:val="0"/>
                <w:i w:val="0"/>
                <w:color w:val="212121"/>
                <w:sz w:val="16"/>
              </w:rPr>
              <w:t>Women diagnosed with STI cervicitis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Offer full STI screen and partner services</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Abnormal discharge, postcoital / intermenstrual bleeding, dyspareunia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Any one or more present</w:t>
            </w:r>
          </w:p>
        </w:tc>
        <w:tc>
          <w:tcPr>
            <w:tcW w:type="dxa" w:w="1036"/>
            <w:vAlign w:val="top"/>
          </w:tcPr>
          <w:p>
            <w:pPr>
              <w:spacing w:after="40" w:before="0" w:line="259" w:lineRule="auto"/>
            </w:pPr>
            <w:r>
              <w:rPr>
                <w:rFonts w:ascii="Calibri" w:hAnsi="Calibri"/>
                <w:b w:val="0"/>
                <w:i w:val="0"/>
                <w:color w:val="212121"/>
                <w:sz w:val="16"/>
              </w:rPr>
              <w:t>Cardinal symptoms prompting cervical examination</w:t>
            </w:r>
          </w:p>
        </w:tc>
        <w:tc>
          <w:tcPr>
            <w:tcW w:type="dxa" w:w="1036"/>
            <w:vAlign w:val="top"/>
          </w:tcPr>
          <w:p>
            <w:pPr>
              <w:spacing w:after="40" w:before="0" w:line="259" w:lineRule="auto"/>
            </w:pPr>
            <w:r>
              <w:rPr>
                <w:rFonts w:ascii="Calibri" w:hAnsi="Calibri"/>
                <w:b w:val="0"/>
                <w:i w:val="0"/>
                <w:color w:val="212121"/>
                <w:sz w:val="16"/>
              </w:rPr>
              <w:t>Reproductive-age women, pregnant women</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Many cases are asymptomatic and found incidentally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Sexual &amp; contraceptive history</w:t>
            </w:r>
          </w:p>
        </w:tc>
        <w:tc>
          <w:tcPr>
            <w:tcW w:type="dxa" w:w="979"/>
            <w:vAlign w:val="top"/>
          </w:tcPr>
          <w:p>
            <w:pPr>
              <w:spacing w:after="40" w:before="0" w:line="259" w:lineRule="auto"/>
            </w:pPr>
            <w:r>
              <w:rPr>
                <w:rFonts w:ascii="Calibri" w:hAnsi="Calibri"/>
                <w:b w:val="0"/>
                <w:i w:val="0"/>
                <w:color w:val="212121"/>
                <w:sz w:val="16"/>
              </w:rPr>
              <w:t>Partners, condom use, combined pill, IUD</w:t>
            </w:r>
          </w:p>
        </w:tc>
        <w:tc>
          <w:tcPr>
            <w:tcW w:type="dxa" w:w="950"/>
            <w:vAlign w:val="top"/>
          </w:tcPr>
          <w:p>
            <w:pPr>
              <w:spacing w:after="40" w:before="0" w:line="259" w:lineRule="auto"/>
            </w:pPr>
            <w:r>
              <w:rPr>
                <w:rFonts w:ascii="Calibri" w:hAnsi="Calibri"/>
                <w:b w:val="0"/>
                <w:i w:val="0"/>
                <w:color w:val="212121"/>
                <w:sz w:val="16"/>
              </w:rPr>
              <w:t>Single partner, barrier use, no hormonal driver</w:t>
            </w:r>
          </w:p>
        </w:tc>
        <w:tc>
          <w:tcPr>
            <w:tcW w:type="dxa" w:w="950"/>
            <w:vAlign w:val="top"/>
          </w:tcPr>
          <w:p>
            <w:pPr>
              <w:spacing w:after="40" w:before="0" w:line="259" w:lineRule="auto"/>
            </w:pPr>
            <w:r>
              <w:rPr>
                <w:rFonts w:ascii="Calibri" w:hAnsi="Calibri"/>
                <w:b w:val="0"/>
                <w:i w:val="0"/>
                <w:color w:val="212121"/>
                <w:sz w:val="16"/>
              </w:rPr>
              <w:t>New/multiple partners, no condoms, long-term COC/IUD</w:t>
            </w:r>
          </w:p>
        </w:tc>
        <w:tc>
          <w:tcPr>
            <w:tcW w:type="dxa" w:w="1036"/>
            <w:vAlign w:val="top"/>
          </w:tcPr>
          <w:p>
            <w:pPr>
              <w:spacing w:after="40" w:before="0" w:line="259" w:lineRule="auto"/>
            </w:pPr>
            <w:r>
              <w:rPr>
                <w:rFonts w:ascii="Calibri" w:hAnsi="Calibri"/>
                <w:b w:val="0"/>
                <w:i w:val="0"/>
                <w:color w:val="212121"/>
                <w:sz w:val="16"/>
              </w:rPr>
              <w:t>Stratifies STI risk and oestrogen-driven ectropion</w:t>
            </w:r>
          </w:p>
        </w:tc>
        <w:tc>
          <w:tcPr>
            <w:tcW w:type="dxa" w:w="1036"/>
            <w:vAlign w:val="top"/>
          </w:tcPr>
          <w:p>
            <w:pPr>
              <w:spacing w:after="40" w:before="0" w:line="259" w:lineRule="auto"/>
            </w:pPr>
            <w:r>
              <w:rPr>
                <w:rFonts w:ascii="Calibri" w:hAnsi="Calibri"/>
                <w:b w:val="0"/>
                <w:i w:val="0"/>
                <w:color w:val="212121"/>
                <w:sz w:val="16"/>
              </w:rPr>
              <w:t>Sexually active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sensitively; offer partner testing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Menstrual &amp; obstetric history</w:t>
            </w:r>
          </w:p>
        </w:tc>
        <w:tc>
          <w:tcPr>
            <w:tcW w:type="dxa" w:w="979"/>
            <w:vAlign w:val="top"/>
          </w:tcPr>
          <w:p>
            <w:pPr>
              <w:spacing w:after="40" w:before="0" w:line="259" w:lineRule="auto"/>
            </w:pPr>
            <w:r>
              <w:rPr>
                <w:rFonts w:ascii="Calibri" w:hAnsi="Calibri"/>
                <w:b w:val="0"/>
                <w:i w:val="0"/>
                <w:color w:val="212121"/>
                <w:sz w:val="16"/>
              </w:rPr>
              <w:t>Parity, pregnancy status, LMP, menopausal state</w:t>
            </w:r>
          </w:p>
        </w:tc>
        <w:tc>
          <w:tcPr>
            <w:tcW w:type="dxa" w:w="950"/>
            <w:vAlign w:val="top"/>
          </w:tcPr>
          <w:p>
            <w:pPr>
              <w:spacing w:after="40" w:before="0" w:line="259" w:lineRule="auto"/>
            </w:pPr>
            <w:r>
              <w:rPr>
                <w:rFonts w:ascii="Calibri" w:hAnsi="Calibri"/>
                <w:b w:val="0"/>
                <w:i w:val="0"/>
                <w:color w:val="212121"/>
                <w:sz w:val="16"/>
              </w:rPr>
              <w:t>Consistent with age</w:t>
            </w:r>
          </w:p>
        </w:tc>
        <w:tc>
          <w:tcPr>
            <w:tcW w:type="dxa" w:w="950"/>
            <w:vAlign w:val="top"/>
          </w:tcPr>
          <w:p>
            <w:pPr>
              <w:spacing w:after="40" w:before="0" w:line="259" w:lineRule="auto"/>
            </w:pPr>
            <w:r>
              <w:rPr>
                <w:rFonts w:ascii="Calibri" w:hAnsi="Calibri"/>
                <w:b w:val="0"/>
                <w:i w:val="0"/>
                <w:color w:val="212121"/>
                <w:sz w:val="16"/>
              </w:rPr>
              <w:t>Pregnancy / post-menopausal bleeding</w:t>
            </w:r>
          </w:p>
        </w:tc>
        <w:tc>
          <w:tcPr>
            <w:tcW w:type="dxa" w:w="1036"/>
            <w:vAlign w:val="top"/>
          </w:tcPr>
          <w:p>
            <w:pPr>
              <w:spacing w:after="40" w:before="0" w:line="259" w:lineRule="auto"/>
            </w:pPr>
            <w:r>
              <w:rPr>
                <w:rFonts w:ascii="Calibri" w:hAnsi="Calibri"/>
                <w:b w:val="0"/>
                <w:i w:val="0"/>
                <w:color w:val="212121"/>
                <w:sz w:val="16"/>
              </w:rPr>
              <w:t>Contextualises ectropion (pregnancy) vs red-flag bleeding (post-menopause)</w:t>
            </w:r>
          </w:p>
        </w:tc>
        <w:tc>
          <w:tcPr>
            <w:tcW w:type="dxa" w:w="1036"/>
            <w:vAlign w:val="top"/>
          </w:tcPr>
          <w:p>
            <w:pPr>
              <w:spacing w:after="40" w:before="0" w:line="259" w:lineRule="auto"/>
            </w:pPr>
            <w:r>
              <w:rPr>
                <w:rFonts w:ascii="Calibri" w:hAnsi="Calibri"/>
                <w:b w:val="0"/>
                <w:i w:val="0"/>
                <w:color w:val="212121"/>
                <w:sz w:val="16"/>
              </w:rPr>
              <w:t>Pregnant and peri/post-menopausal women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Post-menopausal bleeding mandates malignancy work-up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Per-speculum inspection</w:t>
            </w:r>
          </w:p>
        </w:tc>
        <w:tc>
          <w:tcPr>
            <w:tcW w:type="dxa" w:w="979"/>
            <w:vAlign w:val="top"/>
          </w:tcPr>
          <w:p>
            <w:pPr>
              <w:spacing w:after="40" w:before="0" w:line="259" w:lineRule="auto"/>
            </w:pPr>
            <w:r>
              <w:rPr>
                <w:rFonts w:ascii="Calibri" w:hAnsi="Calibri"/>
                <w:b w:val="0"/>
                <w:i w:val="0"/>
                <w:color w:val="212121"/>
                <w:sz w:val="16"/>
              </w:rPr>
              <w:t>Ectropion, mucopurulent discharge, friability, lesions</w:t>
            </w:r>
          </w:p>
        </w:tc>
        <w:tc>
          <w:tcPr>
            <w:tcW w:type="dxa" w:w="950"/>
            <w:vAlign w:val="top"/>
          </w:tcPr>
          <w:p>
            <w:pPr>
              <w:spacing w:after="40" w:before="0" w:line="259" w:lineRule="auto"/>
            </w:pPr>
            <w:r>
              <w:rPr>
                <w:rFonts w:ascii="Calibri" w:hAnsi="Calibri"/>
                <w:b w:val="0"/>
                <w:i w:val="0"/>
                <w:color w:val="212121"/>
                <w:sz w:val="16"/>
              </w:rPr>
              <w:t>Smooth pink ectocervix, clear os</w:t>
            </w:r>
          </w:p>
        </w:tc>
        <w:tc>
          <w:tcPr>
            <w:tcW w:type="dxa" w:w="950"/>
            <w:vAlign w:val="top"/>
          </w:tcPr>
          <w:p>
            <w:pPr>
              <w:spacing w:after="40" w:before="0" w:line="259" w:lineRule="auto"/>
            </w:pPr>
            <w:r>
              <w:rPr>
                <w:rFonts w:ascii="Calibri" w:hAnsi="Calibri"/>
                <w:b w:val="0"/>
                <w:i w:val="0"/>
                <w:color w:val="212121"/>
                <w:sz w:val="16"/>
              </w:rPr>
              <w:t>Reddened everted epithelium, mucopus, friable/bleeding surface</w:t>
            </w:r>
          </w:p>
        </w:tc>
        <w:tc>
          <w:tcPr>
            <w:tcW w:type="dxa" w:w="1036"/>
            <w:vAlign w:val="top"/>
          </w:tcPr>
          <w:p>
            <w:pPr>
              <w:spacing w:after="40" w:before="0" w:line="259" w:lineRule="auto"/>
            </w:pPr>
            <w:r>
              <w:rPr>
                <w:rFonts w:ascii="Calibri" w:hAnsi="Calibri"/>
                <w:b w:val="0"/>
                <w:i w:val="0"/>
                <w:color w:val="212121"/>
                <w:sz w:val="16"/>
              </w:rPr>
              <w:t>Establishes clinical diagnosis of cervicitis/ectropion</w:t>
            </w:r>
          </w:p>
        </w:tc>
        <w:tc>
          <w:tcPr>
            <w:tcW w:type="dxa" w:w="1036"/>
            <w:vAlign w:val="top"/>
          </w:tcPr>
          <w:p>
            <w:pPr>
              <w:spacing w:after="40" w:before="0" w:line="259" w:lineRule="auto"/>
            </w:pPr>
            <w:r>
              <w:rPr>
                <w:rFonts w:ascii="Calibri" w:hAnsi="Calibri"/>
                <w:b w:val="0"/>
                <w:i w:val="0"/>
                <w:color w:val="212121"/>
                <w:sz w:val="16"/>
              </w:rPr>
              <w:t>All women being examined</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Note size/appearance; photograph or map suspicious areas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Friability / swab test</w:t>
            </w:r>
          </w:p>
        </w:tc>
        <w:tc>
          <w:tcPr>
            <w:tcW w:type="dxa" w:w="979"/>
            <w:vAlign w:val="top"/>
          </w:tcPr>
          <w:p>
            <w:pPr>
              <w:spacing w:after="40" w:before="0" w:line="259" w:lineRule="auto"/>
            </w:pPr>
            <w:r>
              <w:rPr>
                <w:rFonts w:ascii="Calibri" w:hAnsi="Calibri"/>
                <w:b w:val="0"/>
                <w:i w:val="0"/>
                <w:color w:val="212121"/>
                <w:sz w:val="16"/>
              </w:rPr>
              <w:t>Endocervical bleeding induced by gentle swab</w:t>
            </w:r>
          </w:p>
        </w:tc>
        <w:tc>
          <w:tcPr>
            <w:tcW w:type="dxa" w:w="950"/>
            <w:vAlign w:val="top"/>
          </w:tcPr>
          <w:p>
            <w:pPr>
              <w:spacing w:after="40" w:before="0" w:line="259" w:lineRule="auto"/>
            </w:pPr>
            <w:r>
              <w:rPr>
                <w:rFonts w:ascii="Calibri" w:hAnsi="Calibri"/>
                <w:b w:val="0"/>
                <w:i w:val="0"/>
                <w:color w:val="212121"/>
                <w:sz w:val="16"/>
              </w:rPr>
              <w:t>No induced bleeding</w:t>
            </w:r>
          </w:p>
        </w:tc>
        <w:tc>
          <w:tcPr>
            <w:tcW w:type="dxa" w:w="950"/>
            <w:vAlign w:val="top"/>
          </w:tcPr>
          <w:p>
            <w:pPr>
              <w:spacing w:after="40" w:before="0" w:line="259" w:lineRule="auto"/>
            </w:pPr>
            <w:r>
              <w:rPr>
                <w:rFonts w:ascii="Calibri" w:hAnsi="Calibri"/>
                <w:b w:val="0"/>
                <w:i w:val="0"/>
                <w:color w:val="212121"/>
                <w:sz w:val="16"/>
              </w:rPr>
              <w:t>Sustained contact bleeding</w:t>
            </w:r>
          </w:p>
        </w:tc>
        <w:tc>
          <w:tcPr>
            <w:tcW w:type="dxa" w:w="1036"/>
            <w:vAlign w:val="top"/>
          </w:tcPr>
          <w:p>
            <w:pPr>
              <w:spacing w:after="40" w:before="0" w:line="259" w:lineRule="auto"/>
            </w:pPr>
            <w:r>
              <w:rPr>
                <w:rFonts w:ascii="Calibri" w:hAnsi="Calibri"/>
                <w:b w:val="0"/>
                <w:i w:val="0"/>
                <w:color w:val="212121"/>
                <w:sz w:val="16"/>
              </w:rPr>
              <w:t>One of two CDC cardinal signs of cervicitis</w:t>
            </w:r>
          </w:p>
        </w:tc>
        <w:tc>
          <w:tcPr>
            <w:tcW w:type="dxa" w:w="1036"/>
            <w:vAlign w:val="top"/>
          </w:tcPr>
          <w:p>
            <w:pPr>
              <w:spacing w:after="40" w:before="0" w:line="259" w:lineRule="auto"/>
            </w:pPr>
            <w:r>
              <w:rPr>
                <w:rFonts w:ascii="Calibri" w:hAnsi="Calibri"/>
                <w:b w:val="0"/>
                <w:i w:val="0"/>
                <w:color w:val="212121"/>
                <w:sz w:val="16"/>
              </w:rPr>
              <w:t>Women with suspected cervicitis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Take swabs for NAAT at the same time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Bimanual pelvic examination</w:t>
            </w:r>
          </w:p>
        </w:tc>
        <w:tc>
          <w:tcPr>
            <w:tcW w:type="dxa" w:w="979"/>
            <w:vAlign w:val="top"/>
          </w:tcPr>
          <w:p>
            <w:pPr>
              <w:spacing w:after="40" w:before="0" w:line="259" w:lineRule="auto"/>
            </w:pPr>
            <w:r>
              <w:rPr>
                <w:rFonts w:ascii="Calibri" w:hAnsi="Calibri"/>
                <w:b w:val="0"/>
                <w:i w:val="0"/>
                <w:color w:val="212121"/>
                <w:sz w:val="16"/>
              </w:rPr>
              <w:t>Cervical motion / adnexal tenderness</w:t>
            </w:r>
          </w:p>
        </w:tc>
        <w:tc>
          <w:tcPr>
            <w:tcW w:type="dxa" w:w="950"/>
            <w:vAlign w:val="top"/>
          </w:tcPr>
          <w:p>
            <w:pPr>
              <w:spacing w:after="40" w:before="0" w:line="259" w:lineRule="auto"/>
            </w:pPr>
            <w:r>
              <w:rPr>
                <w:rFonts w:ascii="Calibri" w:hAnsi="Calibri"/>
                <w:b w:val="0"/>
                <w:i w:val="0"/>
                <w:color w:val="212121"/>
                <w:sz w:val="16"/>
              </w:rPr>
              <w:t>No tenderness</w:t>
            </w:r>
          </w:p>
        </w:tc>
        <w:tc>
          <w:tcPr>
            <w:tcW w:type="dxa" w:w="950"/>
            <w:vAlign w:val="top"/>
          </w:tcPr>
          <w:p>
            <w:pPr>
              <w:spacing w:after="40" w:before="0" w:line="259" w:lineRule="auto"/>
            </w:pPr>
            <w:r>
              <w:rPr>
                <w:rFonts w:ascii="Calibri" w:hAnsi="Calibri"/>
                <w:b w:val="0"/>
                <w:i w:val="0"/>
                <w:color w:val="212121"/>
                <w:sz w:val="16"/>
              </w:rPr>
              <w:t>Cervical motion or adnexal tenderness</w:t>
            </w:r>
          </w:p>
        </w:tc>
        <w:tc>
          <w:tcPr>
            <w:tcW w:type="dxa" w:w="1036"/>
            <w:vAlign w:val="top"/>
          </w:tcPr>
          <w:p>
            <w:pPr>
              <w:spacing w:after="40" w:before="0" w:line="259" w:lineRule="auto"/>
            </w:pPr>
            <w:r>
              <w:rPr>
                <w:rFonts w:ascii="Calibri" w:hAnsi="Calibri"/>
                <w:b w:val="0"/>
                <w:i w:val="0"/>
                <w:color w:val="212121"/>
                <w:sz w:val="16"/>
              </w:rPr>
              <w:t>Positive findings suggest ascent to pelvic inflammatory disease</w:t>
            </w:r>
          </w:p>
        </w:tc>
        <w:tc>
          <w:tcPr>
            <w:tcW w:type="dxa" w:w="1036"/>
            <w:vAlign w:val="top"/>
          </w:tcPr>
          <w:p>
            <w:pPr>
              <w:spacing w:after="40" w:before="0" w:line="259" w:lineRule="auto"/>
            </w:pPr>
            <w:r>
              <w:rPr>
                <w:rFonts w:ascii="Calibri" w:hAnsi="Calibri"/>
                <w:b w:val="0"/>
                <w:i w:val="0"/>
                <w:color w:val="212121"/>
                <w:sz w:val="16"/>
              </w:rPr>
              <w:t>Women with lower abdominal pain</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If PID suspected, treat empirically without delay</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Abnormal / excessive vaginal discharge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White, yellow or mucoid discharge from the exposed columnar epithelium or infection; the commonest complaint.</w:t>
            </w:r>
          </w:p>
        </w:tc>
      </w:tr>
      <w:tr>
        <w:trPr>
          <w:cantSplit/>
        </w:trPr>
        <w:tc>
          <w:tcPr>
            <w:tcW w:type="dxa" w:w="2304"/>
            <w:vAlign w:val="top"/>
          </w:tcPr>
          <w:p>
            <w:pPr>
              <w:spacing w:after="40" w:before="0" w:line="259" w:lineRule="auto"/>
            </w:pPr>
            <w:r>
              <w:rPr>
                <w:rFonts w:ascii="Calibri" w:hAnsi="Calibri"/>
                <w:b/>
                <w:i w:val="0"/>
                <w:color w:val="212121"/>
                <w:sz w:val="19"/>
              </w:rPr>
              <w:t>Postcoital bleeding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Light bleeding after intercourse from the friable ectropion or inflamed cervix; reported in roughly 5–25% of ectropion cases.</w:t>
            </w:r>
          </w:p>
        </w:tc>
      </w:tr>
      <w:tr>
        <w:trPr>
          <w:cantSplit/>
        </w:trPr>
        <w:tc>
          <w:tcPr>
            <w:tcW w:type="dxa" w:w="2304"/>
            <w:vAlign w:val="top"/>
          </w:tcPr>
          <w:p>
            <w:pPr>
              <w:spacing w:after="40" w:before="0" w:line="259" w:lineRule="auto"/>
            </w:pPr>
            <w:r>
              <w:rPr>
                <w:rFonts w:ascii="Calibri" w:hAnsi="Calibri"/>
                <w:b/>
                <w:i w:val="0"/>
                <w:color w:val="212121"/>
                <w:sz w:val="19"/>
              </w:rPr>
              <w:t>Intermenstrual (mid-cycle) spotting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Contact bleeding from fragile columnar epithelium between periods.</w:t>
            </w:r>
          </w:p>
        </w:tc>
      </w:tr>
      <w:tr>
        <w:trPr>
          <w:cantSplit/>
        </w:trPr>
        <w:tc>
          <w:tcPr>
            <w:tcW w:type="dxa" w:w="2304"/>
            <w:vAlign w:val="top"/>
          </w:tcPr>
          <w:p>
            <w:pPr>
              <w:spacing w:after="40" w:before="0" w:line="259" w:lineRule="auto"/>
            </w:pPr>
            <w:r>
              <w:rPr>
                <w:rFonts w:ascii="Calibri" w:hAnsi="Calibri"/>
                <w:b/>
                <w:i w:val="0"/>
                <w:color w:val="212121"/>
                <w:sz w:val="19"/>
              </w:rPr>
              <w:t>Dyspareunia (painful intercourse)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Discomfort or superficial pain during sex from cervical inflammation and friability.</w:t>
            </w:r>
          </w:p>
        </w:tc>
      </w:tr>
      <w:tr>
        <w:trPr>
          <w:cantSplit/>
        </w:trPr>
        <w:tc>
          <w:tcPr>
            <w:tcW w:type="dxa" w:w="2304"/>
            <w:vAlign w:val="top"/>
          </w:tcPr>
          <w:p>
            <w:pPr>
              <w:spacing w:after="40" w:before="0" w:line="259" w:lineRule="auto"/>
            </w:pPr>
            <w:r>
              <w:rPr>
                <w:rFonts w:ascii="Calibri" w:hAnsi="Calibri"/>
                <w:b/>
                <w:i w:val="0"/>
                <w:color w:val="212121"/>
                <w:sz w:val="19"/>
              </w:rPr>
              <w:t>Asymptomatic (incidental finding)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Up to ~80% of cervicitis and most ectropion is asymptomatic, detected on speculum exam or screening.</w:t>
            </w:r>
          </w:p>
        </w:tc>
      </w:tr>
      <w:tr>
        <w:trPr>
          <w:cantSplit/>
        </w:trPr>
        <w:tc>
          <w:tcPr>
            <w:tcW w:type="dxa" w:w="2304"/>
            <w:vAlign w:val="top"/>
          </w:tcPr>
          <w:p>
            <w:pPr>
              <w:spacing w:after="40" w:before="0" w:line="259" w:lineRule="auto"/>
            </w:pPr>
            <w:r>
              <w:rPr>
                <w:rFonts w:ascii="Calibri" w:hAnsi="Calibri"/>
                <w:b/>
                <w:i w:val="0"/>
                <w:color w:val="212121"/>
                <w:sz w:val="19"/>
              </w:rPr>
              <w:t>Vulvovaginal irritation / itching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associated discharge, chemical irritants or co-existing vaginitis.</w:t>
            </w:r>
          </w:p>
        </w:tc>
      </w:tr>
      <w:tr>
        <w:trPr>
          <w:cantSplit/>
        </w:trPr>
        <w:tc>
          <w:tcPr>
            <w:tcW w:type="dxa" w:w="2304"/>
            <w:vAlign w:val="top"/>
          </w:tcPr>
          <w:p>
            <w:pPr>
              <w:spacing w:after="40" w:before="0" w:line="259" w:lineRule="auto"/>
            </w:pPr>
            <w:r>
              <w:rPr>
                <w:rFonts w:ascii="Calibri" w:hAnsi="Calibri"/>
                <w:b/>
                <w:i w:val="0"/>
                <w:color w:val="212121"/>
                <w:sz w:val="19"/>
              </w:rPr>
              <w:t>Lower abdominal / pelvic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Mild ache; significant pain suggests ascent to PID and warrants urgent review.</w:t>
            </w:r>
          </w:p>
        </w:tc>
      </w:tr>
      <w:tr>
        <w:trPr>
          <w:cantSplit/>
        </w:trPr>
        <w:tc>
          <w:tcPr>
            <w:tcW w:type="dxa" w:w="2304"/>
            <w:vAlign w:val="top"/>
          </w:tcPr>
          <w:p>
            <w:pPr>
              <w:spacing w:after="40" w:before="0" w:line="259" w:lineRule="auto"/>
            </w:pPr>
            <w:r>
              <w:rPr>
                <w:rFonts w:ascii="Calibri" w:hAnsi="Calibri"/>
                <w:b/>
                <w:i w:val="0"/>
                <w:color w:val="212121"/>
                <w:sz w:val="19"/>
              </w:rPr>
              <w:t>Dysuria / urinary discomfort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urethral involvement in chlamydial or gonococcal infection.</w:t>
            </w:r>
          </w:p>
        </w:tc>
      </w:tr>
      <w:tr>
        <w:trPr>
          <w:cantSplit/>
        </w:trPr>
        <w:tc>
          <w:tcPr>
            <w:tcW w:type="dxa" w:w="2304"/>
            <w:vAlign w:val="top"/>
          </w:tcPr>
          <w:p>
            <w:pPr>
              <w:spacing w:after="40" w:before="0" w:line="259" w:lineRule="auto"/>
            </w:pPr>
            <w:r>
              <w:rPr>
                <w:rFonts w:ascii="Calibri" w:hAnsi="Calibri"/>
                <w:b/>
                <w:i w:val="0"/>
                <w:color w:val="212121"/>
                <w:sz w:val="19"/>
              </w:rPr>
              <w:t>Recurrent / persistent discharge despite treatment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Suggests chronic cervicitis, ongoing irritant exposure or untreated ectropion.</w:t>
            </w:r>
          </w:p>
        </w:tc>
      </w:tr>
      <w:tr>
        <w:trPr>
          <w:cantSplit/>
        </w:trPr>
        <w:tc>
          <w:tcPr>
            <w:tcW w:type="dxa" w:w="2304"/>
            <w:vAlign w:val="top"/>
          </w:tcPr>
          <w:p>
            <w:pPr>
              <w:spacing w:after="40" w:before="0" w:line="259" w:lineRule="auto"/>
            </w:pPr>
            <w:r>
              <w:rPr>
                <w:rFonts w:ascii="Calibri" w:hAnsi="Calibri"/>
                <w:b/>
                <w:i w:val="0"/>
                <w:color w:val="212121"/>
                <w:sz w:val="19"/>
              </w:rPr>
              <w:t>Low backache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Non-specific; may accompany chronic cervicitis or pelvic infection.</w:t>
            </w:r>
          </w:p>
        </w:tc>
      </w:tr>
      <w:tr>
        <w:trPr>
          <w:cantSplit/>
        </w:trPr>
        <w:tc>
          <w:tcPr>
            <w:tcW w:type="dxa" w:w="2304"/>
            <w:vAlign w:val="top"/>
          </w:tcPr>
          <w:p>
            <w:pPr>
              <w:spacing w:after="40" w:before="0" w:line="259" w:lineRule="auto"/>
            </w:pPr>
            <w:r>
              <w:rPr>
                <w:rFonts w:ascii="Calibri" w:hAnsi="Calibri"/>
                <w:b/>
                <w:i w:val="0"/>
                <w:color w:val="212121"/>
                <w:sz w:val="19"/>
              </w:rPr>
              <w:t>Malodorous discharge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Points to co-existing bacterial vaginosis or trichomoniasis rather than ectropion alone.</w:t>
            </w:r>
          </w:p>
        </w:tc>
      </w:tr>
      <w:tr>
        <w:trPr>
          <w:cantSplit/>
        </w:trPr>
        <w:tc>
          <w:tcPr>
            <w:tcW w:type="dxa" w:w="2304"/>
            <w:vAlign w:val="top"/>
          </w:tcPr>
          <w:p>
            <w:pPr>
              <w:spacing w:after="40" w:before="0" w:line="259" w:lineRule="auto"/>
            </w:pPr>
            <w:r>
              <w:rPr>
                <w:rFonts w:ascii="Calibri" w:hAnsi="Calibri"/>
                <w:b/>
                <w:i w:val="0"/>
                <w:color w:val="212121"/>
                <w:sz w:val="19"/>
              </w:rPr>
              <w:t>Painful genital ulcers / vesicles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 herpes simplex virus cervicitis; often with systemic symptoms in primary infection.</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Reddened everted columnar epithelium around the external os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The defining speculum appearance of cervical ectropion; a well-demarcated red ‘ring’ of glandular tissue.</w:t>
            </w:r>
          </w:p>
        </w:tc>
      </w:tr>
      <w:tr>
        <w:trPr>
          <w:cantSplit/>
        </w:trPr>
        <w:tc>
          <w:tcPr>
            <w:tcW w:type="dxa" w:w="3456"/>
            <w:vAlign w:val="top"/>
          </w:tcPr>
          <w:p>
            <w:pPr>
              <w:spacing w:after="40" w:before="0" w:line="259" w:lineRule="auto"/>
            </w:pPr>
            <w:r>
              <w:rPr>
                <w:rFonts w:ascii="Calibri" w:hAnsi="Calibri"/>
                <w:b/>
                <w:i w:val="0"/>
                <w:color w:val="212121"/>
                <w:sz w:val="19"/>
              </w:rPr>
              <w:t>Mucopurulent / purulent endocervical discharge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yellow discharge in the os or on a swab — a CDC cardinal sign of cervicitis.</w:t>
            </w:r>
          </w:p>
        </w:tc>
      </w:tr>
      <w:tr>
        <w:trPr>
          <w:cantSplit/>
        </w:trPr>
        <w:tc>
          <w:tcPr>
            <w:tcW w:type="dxa" w:w="3456"/>
            <w:vAlign w:val="top"/>
          </w:tcPr>
          <w:p>
            <w:pPr>
              <w:spacing w:after="40" w:before="0" w:line="259" w:lineRule="auto"/>
            </w:pPr>
            <w:r>
              <w:rPr>
                <w:rFonts w:ascii="Calibri" w:hAnsi="Calibri"/>
                <w:b/>
                <w:i w:val="0"/>
                <w:color w:val="212121"/>
                <w:sz w:val="19"/>
              </w:rPr>
              <w:t>Cervical friability (contact bleeding on swab)</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Sustained bleeding induced by gentle swabbing — the second CDC cardinal sign.</w:t>
            </w:r>
          </w:p>
        </w:tc>
      </w:tr>
      <w:tr>
        <w:trPr>
          <w:cantSplit/>
        </w:trPr>
        <w:tc>
          <w:tcPr>
            <w:tcW w:type="dxa" w:w="3456"/>
            <w:vAlign w:val="top"/>
          </w:tcPr>
          <w:p>
            <w:pPr>
              <w:spacing w:after="40" w:before="0" w:line="259" w:lineRule="auto"/>
            </w:pPr>
            <w:r>
              <w:rPr>
                <w:rFonts w:ascii="Calibri" w:hAnsi="Calibri"/>
                <w:b/>
                <w:i w:val="0"/>
                <w:color w:val="212121"/>
                <w:sz w:val="19"/>
              </w:rPr>
              <w:t>Cervical oedema, congestion and erythema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Swollen, inflamed cervix in acute infective cervicitis.</w:t>
            </w:r>
          </w:p>
        </w:tc>
      </w:tr>
      <w:tr>
        <w:trPr>
          <w:cantSplit/>
        </w:trPr>
        <w:tc>
          <w:tcPr>
            <w:tcW w:type="dxa" w:w="3456"/>
            <w:vAlign w:val="top"/>
          </w:tcPr>
          <w:p>
            <w:pPr>
              <w:spacing w:after="40" w:before="0" w:line="259" w:lineRule="auto"/>
            </w:pPr>
            <w:r>
              <w:rPr>
                <w:rFonts w:ascii="Calibri" w:hAnsi="Calibri"/>
                <w:b/>
                <w:i w:val="0"/>
                <w:color w:val="212121"/>
                <w:sz w:val="19"/>
              </w:rPr>
              <w:t>Increased leucocytes on microscopy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&gt;30 WBC/HPF on endocervical Gram stain (or &gt;10/HPF on wet mount) supports cervical inflammation.</w:t>
            </w:r>
          </w:p>
        </w:tc>
      </w:tr>
      <w:tr>
        <w:trPr>
          <w:cantSplit/>
        </w:trPr>
        <w:tc>
          <w:tcPr>
            <w:tcW w:type="dxa" w:w="3456"/>
            <w:vAlign w:val="top"/>
          </w:tcPr>
          <w:p>
            <w:pPr>
              <w:spacing w:after="40" w:before="0" w:line="259" w:lineRule="auto"/>
            </w:pPr>
            <w:r>
              <w:rPr>
                <w:rFonts w:ascii="Calibri" w:hAnsi="Calibri"/>
                <w:b/>
                <w:i w:val="0"/>
                <w:color w:val="212121"/>
                <w:sz w:val="19"/>
              </w:rPr>
              <w:t>Contact bleeding during Pap smear collection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Fragile columnar epithelium bleeds when sampled; note to distinguish from suspicious lesions.</w:t>
            </w:r>
          </w:p>
        </w:tc>
      </w:tr>
      <w:tr>
        <w:trPr>
          <w:cantSplit/>
        </w:trPr>
        <w:tc>
          <w:tcPr>
            <w:tcW w:type="dxa" w:w="3456"/>
            <w:vAlign w:val="top"/>
          </w:tcPr>
          <w:p>
            <w:pPr>
              <w:spacing w:after="40" w:before="0" w:line="259" w:lineRule="auto"/>
            </w:pPr>
            <w:r>
              <w:rPr>
                <w:rFonts w:ascii="Calibri" w:hAnsi="Calibri"/>
                <w:b/>
                <w:i w:val="0"/>
                <w:color w:val="212121"/>
                <w:sz w:val="19"/>
              </w:rPr>
              <w:t>Nabothian cysts / chronic cervical changes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Retention cysts where squamous epithelium overgrows glandular crypts — a marker of healed/chronic change.</w:t>
            </w:r>
          </w:p>
        </w:tc>
      </w:tr>
      <w:tr>
        <w:trPr>
          <w:cantSplit/>
        </w:trPr>
        <w:tc>
          <w:tcPr>
            <w:tcW w:type="dxa" w:w="3456"/>
            <w:vAlign w:val="top"/>
          </w:tcPr>
          <w:p>
            <w:pPr>
              <w:spacing w:after="40" w:before="0" w:line="259" w:lineRule="auto"/>
            </w:pPr>
            <w:r>
              <w:rPr>
                <w:rFonts w:ascii="Calibri" w:hAnsi="Calibri"/>
                <w:b/>
                <w:i w:val="0"/>
                <w:color w:val="212121"/>
                <w:sz w:val="19"/>
              </w:rPr>
              <w:t>Cervical motion / adnexal tenderness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Indicates ascent to pelvic inflammatory disease and needs prompt treatment.</w:t>
            </w:r>
          </w:p>
        </w:tc>
      </w:tr>
      <w:tr>
        <w:trPr>
          <w:cantSplit/>
        </w:trPr>
        <w:tc>
          <w:tcPr>
            <w:tcW w:type="dxa" w:w="3456"/>
            <w:vAlign w:val="top"/>
          </w:tcPr>
          <w:p>
            <w:pPr>
              <w:spacing w:after="40" w:before="0" w:line="259" w:lineRule="auto"/>
            </w:pPr>
            <w:r>
              <w:rPr>
                <w:rFonts w:ascii="Calibri" w:hAnsi="Calibri"/>
                <w:b/>
                <w:i w:val="0"/>
                <w:color w:val="212121"/>
                <w:sz w:val="19"/>
              </w:rPr>
              <w:t>‘Strawberry cervix’ (punctate haemorrhages)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Colpitis macularis characteristic of Trichomonas vaginalis cervicitis.</w:t>
            </w:r>
          </w:p>
        </w:tc>
      </w:tr>
      <w:tr>
        <w:trPr>
          <w:cantSplit/>
        </w:trPr>
        <w:tc>
          <w:tcPr>
            <w:tcW w:type="dxa" w:w="3456"/>
            <w:vAlign w:val="top"/>
          </w:tcPr>
          <w:p>
            <w:pPr>
              <w:spacing w:after="40" w:before="0" w:line="259" w:lineRule="auto"/>
            </w:pPr>
            <w:r>
              <w:rPr>
                <w:rFonts w:ascii="Calibri" w:hAnsi="Calibri"/>
                <w:b/>
                <w:i w:val="0"/>
                <w:color w:val="212121"/>
                <w:sz w:val="19"/>
              </w:rPr>
              <w:t>Cervical vesicles or ulcers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Suggest herpes simplex virus infection of the cervix.</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or recurrent vaginal discharge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Contact bleeding — postcoital and intermenstrual spotting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Dyspareunia and sexual-health distress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infection of the exposed/inflamed columnar epithelium</w:t>
            </w:r>
          </w:p>
        </w:tc>
        <w:tc>
          <w:tcPr>
            <w:tcW w:type="dxa" w:w="2980"/>
            <w:vAlign w:val="top"/>
          </w:tcPr>
          <w:p>
            <w:pPr>
              <w:spacing w:after="40" w:before="0" w:line="259" w:lineRule="auto"/>
            </w:pPr>
            <w:r>
              <w:rPr>
                <w:rFonts w:ascii="Calibri" w:hAnsi="Calibri"/>
                <w:b w:val="0"/>
                <w:i w:val="0"/>
                <w:color w:val="212121"/>
                <w:sz w:val="19"/>
              </w:rPr>
              <w:t>Direct local consequences of the exposed, friable, inflamed cervical epithelium</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Ascending infection: pelvic inflammatory disease, endometritis, salpingitis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Increased acquisition and transmission of HIV and other STIs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Adverse pregnancy outcomes: preterm birth, chorioamnionitis, low birth weight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Neonatal chlamydial/gonococcal conjunctivitis and pneumonia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Bartholin gland abscess and other lower-genital-tract infection</w:t>
            </w:r>
          </w:p>
        </w:tc>
        <w:tc>
          <w:tcPr>
            <w:tcW w:type="dxa" w:w="2980"/>
            <w:vAlign w:val="top"/>
          </w:tcPr>
          <w:p>
            <w:pPr>
              <w:spacing w:after="40" w:before="0" w:line="259" w:lineRule="auto"/>
            </w:pPr>
            <w:r>
              <w:rPr>
                <w:rFonts w:ascii="Calibri" w:hAnsi="Calibri"/>
                <w:b w:val="0"/>
                <w:i w:val="0"/>
                <w:color w:val="212121"/>
                <w:sz w:val="19"/>
              </w:rPr>
              <w:t>Result from spread of infection, mucosal disruption and inflammation to adjacent and systemic sites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Tubal-factor infertility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Ectopic pregnancy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pelvic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Co-existence with, or masking of, cervical intraepithelial neoplasia in chronic ‘erosion’</w:t>
            </w:r>
          </w:p>
        </w:tc>
        <w:tc>
          <w:tcPr>
            <w:tcW w:type="dxa" w:w="2980"/>
            <w:vAlign w:val="top"/>
          </w:tcPr>
          <w:p>
            <w:pPr>
              <w:spacing w:after="40" w:before="0" w:line="259" w:lineRule="auto"/>
            </w:pPr>
            <w:r>
              <w:rPr>
                <w:rFonts w:ascii="Calibri" w:hAnsi="Calibri"/>
                <w:b w:val="0"/>
                <w:i w:val="0"/>
                <w:color w:val="212121"/>
                <w:sz w:val="19"/>
              </w:rPr>
              <w:t>Irreversible or long-term sequelae of untreated ascending infection and longstanding cervical change</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Chlamydia &amp; gonorrhoea (STI cervicitis)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The leading identifiable infective causes; chlamydia is 4–5× commoner than gonorrhoea and both infect the exposed columnar epithelium.</w:t>
            </w:r>
          </w:p>
          <w:p>
            <w:pPr>
              <w:spacing w:after="40" w:before="0" w:line="259" w:lineRule="auto"/>
            </w:pPr>
            <w:r>
              <w:rPr>
                <w:rFonts w:ascii="Calibri" w:hAnsi="Calibri"/>
                <w:b/>
                <w:i w:val="0"/>
                <w:color w:val="212121"/>
                <w:sz w:val="19"/>
              </w:rPr>
              <w:t>30–50% of infective cases</w:t>
            </w:r>
          </w:p>
        </w:tc>
      </w:tr>
      <w:tr>
        <w:trPr>
          <w:cantSplit/>
        </w:trPr>
        <w:tc>
          <w:tcPr>
            <w:tcW w:type="dxa" w:w="2232"/>
            <w:vAlign w:val="top"/>
          </w:tcPr>
          <w:p>
            <w:pPr>
              <w:spacing w:after="40" w:before="0" w:line="259" w:lineRule="auto"/>
            </w:pPr>
            <w:r>
              <w:rPr>
                <w:rFonts w:ascii="Calibri" w:hAnsi="Calibri"/>
                <w:b/>
                <w:i w:val="0"/>
                <w:color w:val="212121"/>
                <w:sz w:val="19"/>
              </w:rPr>
              <w:t>Bacterial vaginosis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Predisposes To</w:t>
            </w:r>
          </w:p>
        </w:tc>
        <w:tc>
          <w:tcPr>
            <w:tcW w:type="dxa" w:w="4852"/>
            <w:vAlign w:val="top"/>
          </w:tcPr>
          <w:p>
            <w:pPr>
              <w:spacing w:after="40" w:before="0" w:line="259" w:lineRule="auto"/>
            </w:pPr>
            <w:r>
              <w:rPr>
                <w:rFonts w:ascii="Calibri" w:hAnsi="Calibri"/>
                <w:b w:val="0"/>
                <w:i w:val="0"/>
                <w:color w:val="212121"/>
                <w:sz w:val="19"/>
              </w:rPr>
              <w:t>Loss of lactobacilli and raised vaginal pH promote and coexist with cervical inflammation; each worsens the other.</w:t>
            </w:r>
          </w:p>
        </w:tc>
      </w:tr>
      <w:tr>
        <w:trPr>
          <w:cantSplit/>
        </w:trPr>
        <w:tc>
          <w:tcPr>
            <w:tcW w:type="dxa" w:w="2232"/>
            <w:vAlign w:val="top"/>
          </w:tcPr>
          <w:p>
            <w:pPr>
              <w:spacing w:after="40" w:before="0" w:line="259" w:lineRule="auto"/>
            </w:pPr>
            <w:r>
              <w:rPr>
                <w:rFonts w:ascii="Calibri" w:hAnsi="Calibri"/>
                <w:b/>
                <w:i w:val="0"/>
                <w:color w:val="212121"/>
                <w:sz w:val="19"/>
              </w:rPr>
              <w:t>Trichomoniasis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Trichomonas vaginalis causes cervicitis with a characteristic ‘strawberry cervix’ and shares sexual-transmission risk factors.</w:t>
            </w:r>
          </w:p>
        </w:tc>
      </w:tr>
      <w:tr>
        <w:trPr>
          <w:cantSplit/>
        </w:trPr>
        <w:tc>
          <w:tcPr>
            <w:tcW w:type="dxa" w:w="2232"/>
            <w:vAlign w:val="top"/>
          </w:tcPr>
          <w:p>
            <w:pPr>
              <w:spacing w:after="40" w:before="0" w:line="259" w:lineRule="auto"/>
            </w:pPr>
            <w:r>
              <w:rPr>
                <w:rFonts w:ascii="Calibri" w:hAnsi="Calibri"/>
                <w:b/>
                <w:i w:val="0"/>
                <w:color w:val="212121"/>
                <w:sz w:val="19"/>
              </w:rPr>
              <w:t>Mycoplasma genitalium</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An increasingly recognised cause of non-chlamydial, non-gonococcal cervicitis, often persistent.</w:t>
            </w:r>
          </w:p>
          <w:p>
            <w:pPr>
              <w:spacing w:after="40" w:before="0" w:line="259" w:lineRule="auto"/>
            </w:pPr>
            <w:r>
              <w:rPr>
                <w:rFonts w:ascii="Calibri" w:hAnsi="Calibri"/>
                <w:b/>
                <w:i w:val="0"/>
                <w:color w:val="212121"/>
                <w:sz w:val="19"/>
              </w:rPr>
              <w:t>10–30% of cases</w:t>
            </w:r>
          </w:p>
        </w:tc>
      </w:tr>
      <w:tr>
        <w:trPr>
          <w:cantSplit/>
        </w:trPr>
        <w:tc>
          <w:tcPr>
            <w:tcW w:type="dxa" w:w="2232"/>
            <w:vAlign w:val="top"/>
          </w:tcPr>
          <w:p>
            <w:pPr>
              <w:spacing w:after="40" w:before="0" w:line="259" w:lineRule="auto"/>
            </w:pPr>
            <w:r>
              <w:rPr>
                <w:rFonts w:ascii="Calibri" w:hAnsi="Calibri"/>
                <w:b/>
                <w:i w:val="0"/>
                <w:color w:val="212121"/>
                <w:sz w:val="19"/>
              </w:rPr>
              <w:t>Pelvic inflammatory disease (PID)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Untreated cervical infection ascends to the upper tract, causing endometritis and salpingitis.</w:t>
            </w:r>
          </w:p>
        </w:tc>
      </w:tr>
      <w:tr>
        <w:trPr>
          <w:cantSplit/>
        </w:trPr>
        <w:tc>
          <w:tcPr>
            <w:tcW w:type="dxa" w:w="2232"/>
            <w:vAlign w:val="top"/>
          </w:tcPr>
          <w:p>
            <w:pPr>
              <w:spacing w:after="40" w:before="0" w:line="259" w:lineRule="auto"/>
            </w:pPr>
            <w:r>
              <w:rPr>
                <w:rFonts w:ascii="Calibri" w:hAnsi="Calibri"/>
                <w:b/>
                <w:i w:val="0"/>
                <w:color w:val="212121"/>
                <w:sz w:val="19"/>
              </w:rPr>
              <w:t>HIV infection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Cervicitis increases HIV shedding and susceptibility, while HIV increases persistent cervical infection — a two-way relationship.</w:t>
            </w:r>
          </w:p>
        </w:tc>
      </w:tr>
      <w:tr>
        <w:trPr>
          <w:cantSplit/>
        </w:trPr>
        <w:tc>
          <w:tcPr>
            <w:tcW w:type="dxa" w:w="2232"/>
            <w:vAlign w:val="top"/>
          </w:tcPr>
          <w:p>
            <w:pPr>
              <w:spacing w:after="40" w:before="0" w:line="259" w:lineRule="auto"/>
            </w:pPr>
            <w:r>
              <w:rPr>
                <w:rFonts w:ascii="Calibri" w:hAnsi="Calibri"/>
                <w:b/>
                <w:i w:val="0"/>
                <w:color w:val="212121"/>
                <w:sz w:val="19"/>
              </w:rPr>
              <w:t>HPV infection / cervical intraepithelial neoplasia</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inflammation and a persistently eroded cervix can harbour or mask high-risk HPV change, altering screening and follow-up.</w:t>
            </w:r>
          </w:p>
        </w:tc>
      </w:tr>
      <w:tr>
        <w:trPr>
          <w:cantSplit/>
        </w:trPr>
        <w:tc>
          <w:tcPr>
            <w:tcW w:type="dxa" w:w="2232"/>
            <w:vAlign w:val="top"/>
          </w:tcPr>
          <w:p>
            <w:pPr>
              <w:spacing w:after="40" w:before="0" w:line="259" w:lineRule="auto"/>
            </w:pPr>
            <w:r>
              <w:rPr>
                <w:rFonts w:ascii="Calibri" w:hAnsi="Calibri"/>
                <w:b/>
                <w:i w:val="0"/>
                <w:color w:val="212121"/>
                <w:sz w:val="19"/>
              </w:rPr>
              <w:t>Tubal-factor infertility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Repeated chlamydial cervicitis and PID scar the fallopian tubes; delayed care raises infertility risk about three-fold.</w:t>
            </w:r>
          </w:p>
        </w:tc>
      </w:tr>
      <w:tr>
        <w:trPr>
          <w:cantSplit/>
        </w:trPr>
        <w:tc>
          <w:tcPr>
            <w:tcW w:type="dxa" w:w="2232"/>
            <w:vAlign w:val="top"/>
          </w:tcPr>
          <w:p>
            <w:pPr>
              <w:spacing w:after="40" w:before="0" w:line="259" w:lineRule="auto"/>
            </w:pPr>
            <w:r>
              <w:rPr>
                <w:rFonts w:ascii="Calibri" w:hAnsi="Calibri"/>
                <w:b/>
                <w:i w:val="0"/>
                <w:color w:val="212121"/>
                <w:sz w:val="19"/>
              </w:rPr>
              <w:t>Adverse pregnancy outcomes (preterm birth)</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Infective cervicitis in pregnancy is associated with preterm birth, chorioamnionitis and neonatal infection.</w:t>
            </w:r>
          </w:p>
        </w:tc>
      </w:tr>
      <w:tr>
        <w:trPr>
          <w:cantSplit/>
        </w:trPr>
        <w:tc>
          <w:tcPr>
            <w:tcW w:type="dxa" w:w="2232"/>
            <w:vAlign w:val="top"/>
          </w:tcPr>
          <w:p>
            <w:pPr>
              <w:spacing w:after="40" w:before="0" w:line="259" w:lineRule="auto"/>
            </w:pPr>
            <w:r>
              <w:rPr>
                <w:rFonts w:ascii="Calibri" w:hAnsi="Calibri"/>
                <w:b/>
                <w:i w:val="0"/>
                <w:color w:val="212121"/>
                <w:sz w:val="19"/>
              </w:rPr>
              <w:t>Vulvovaginal candidiasis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Commonly coexists with cervicitis, contributing to discharge and irritation and complicating symptom attribution.</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Merge w:val="restart"/>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cervical ectropion is a benign, normal variant — not cancer or an ‘ulcer’ — and often needs only reassurance and follow-up rather than treatment.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safe sex: limit the number of partners, use condoms consistently and correctly, and ensure sexual partners are tested and treated to prevent STI-related cervicitis.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vaginal douching, intravaginal deodorants, unnecessary spermicides and harsh soaps that disrupt the vaginal flora and irritate the cervix.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safe menstrual hygiene: use clean absorbents and change them every 4–6 hours, especially important in low-resource settings.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warning symptoms — persistent or foul discharge, bleeding after sex or between periods, and pelvic pain — and seek timely evaluation.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cervical cancer screening (Pap smear / HPV test) as recommended for age, since a chronically eroded cervix must be distinguished from precancer.</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&amp; young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Pregnant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using combined pills or IUDs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 low-resource communities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the full prescribed antibiotic course for infective cervicitis (e.g. treatment covering chlamydia/gonorrhoea per current guidelines) even if symptoms settle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partner notification and treatment and abstain from intercourse until both partners complete treatment to prevent re-infection.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persistently symptomatic ectropion, discuss ablative options — cryotherapy, electrocautery or laser — which have high cure rates for discharge and contact bleeding.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follow-up to confirm resolution, repeat any abnormal cytology, and arrange colposcopy if high-risk HPV or dysplasia is found.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screened for co-existing STIs (HIV, syphilis, trichomoniasis) when an STI cause is confirmed.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confirmed infective cervicitis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symptomatic ectropion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Partners of affected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abnormal cytology/HPV</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moderate physical activity to support overall immune function and reproductive wellbeing.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use of tight, non-breathable synthetic underwear during exercise; choose breathable cotton and change out of damp clothing promptly to reduce genital moisture and irritation.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Physically active women</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a balanced diet rich in vitamins A and C, folate and zinc (fruits, vegetables, whole grains, pulses) to support epithelial integrity and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probiotic foods such as fermented dairy/curd, which may help maintain a healthy lactobacillus-dominant vaginal flora.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Correct iron and micronutrient deficiencies, which are common in Indian women and impair tissue repair and immune defence.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Stay well hydrated to support mucosal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Reproductive-age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recurrent RTI/BV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anaemia / micronutrient deficiency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good-quality sleep per night to maintain healthy immune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shift-work and disrupted sleep, which can impair immunity and recovery from infection.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(cigarettes and bidis): tobacco impairs cervical immunity, promotes persistent HPV infection and slows healing of the cervical epithelium.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exposure, which also affects mucosal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available cessation support — counselling, quitlines and, where appropriate, nicotine replacement.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smoke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persistent cervicitis or HPV</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abnormal cytology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intoxication is linked to higher-risk sexual behaviour and inconsistent condom use, indirectly raising STI-related cervicitis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Plan for safe sex in advance so that alcohol does not compromise condom use.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Sexually active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who drink heavily</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clear reassurance that ectropion is benign to relieve cancer-related anxiety triggered by the word ‘erosion’.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impact of chronic discharge, contact bleeding and dyspareunia on sexual wellbeing and relationships through counselling.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manage anxiety or distress in women with recurrent or persistent symptoms, and involve partners where appropriate.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supportive counselling around STI diagnoses to reduce stigma and support partner disclosure and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anxious about ‘cervical erosion’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chronic symptoms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Women with STI-related cervicitis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62193/" TargetMode="External"/><Relationship Id="rId10" Type="http://schemas.openxmlformats.org/officeDocument/2006/relationships/hyperlink" Target="https://www.ncbi.nlm.nih.gov/books/NBK560709/" TargetMode="External"/><Relationship Id="rId11" Type="http://schemas.openxmlformats.org/officeDocument/2006/relationships/hyperlink" Target="https://pubmed.ncbi.nlm.nih.gov/30623176/" TargetMode="External"/><Relationship Id="rId12" Type="http://schemas.openxmlformats.org/officeDocument/2006/relationships/hyperlink" Target="https://pubmed.ncbi.nlm.nih.gov/39305663/" TargetMode="External"/><Relationship Id="rId13" Type="http://schemas.openxmlformats.org/officeDocument/2006/relationships/hyperlink" Target="https://pubmed.ncbi.nlm.nih.gov/26392649/" TargetMode="External"/><Relationship Id="rId14" Type="http://schemas.openxmlformats.org/officeDocument/2006/relationships/hyperlink" Target="https://pmc.ncbi.nlm.nih.gov/articles/PMC1315574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