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Female Infertility</w:t>
      </w:r>
    </w:p>
    <w:p>
      <w:pPr>
        <w:spacing w:before="0" w:after="160"/>
      </w:pPr>
      <w:r>
        <w:rPr>
          <w:rFonts w:ascii="Calibri" w:hAnsi="Calibri"/>
          <w:b/>
          <w:i w:val="0"/>
          <w:color w:val="212121"/>
          <w:sz w:val="22"/>
        </w:rPr>
        <w:t xml:space="preserve">AKA </w:t>
      </w:r>
      <w:r>
        <w:rPr>
          <w:rFonts w:ascii="Calibri" w:hAnsi="Calibri"/>
          <w:b w:val="0"/>
          <w:i w:val="0"/>
          <w:color w:val="212121"/>
          <w:sz w:val="22"/>
        </w:rPr>
        <w:t>i.e., Female-factor infertility, Female subfertility, Inability to conceive, Primary infertility (never conceived), Secondary infertility (after a previous pregnancy), Anovulatory / tubal / uterine infertility, “Bandhyatva / Vandhyatva” (lay Indian term), “not able to have a baby”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Female infertility is the failure to achieve a clinical pregnancy after 12 months or more of regular, unprotected sexual intercourse (or after 6 months when the woman is aged 35 years or older, or when there is a known reproductive-tract abnormality), due to a female-factor cause. It is termed primary when the woman has never conceived and secondary when it follows at least one prior pregnancy. The problem is typically multifactorial and can arise at any point in the reproductive axis — disordered ovulation (most often polycystic ovary syndrome), tubal and peritoneal damage (in India frequently from genital tuberculosis and pelvic infection), endometriosis, uterine or cervical abnormalities, and age-related diminished ovarian reserve; in a substantial minority no cause is found (unexplained infertility). Because a male factor coexists in a large share of couples, infertility is always evaluated at the level of the couple, not the woman alone.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Infertility affects roughly 1 in 6 people — about 17.5% of adults — worldwide at some point in their lives, with remarkably little variation between high-, middle- and low-income countries. Female factors are solely responsible in approximately a third of couples and contribute together with a male factor in a further third (a widely used clinical estimate). In India infertility is commonly estimated to affect about 10–15% of couples of reproductive age. Community data bear this out: a cross-sectional study in Sonepat, Haryana found 5% primary and 6.3% secondary infertility among women; a national systematic review and meta-analysis of 25,778 women pooled primary infertility at 5% and secondary infertility at 2%; and a survey of tribal communities in Central India reported an overall infertility prevalence of 14.2%. A distinctive Indian feature is the heavy burden of tubal-factor infertility from female genital tuberculosis and untreated pelvic infection: among Indian women undergoing diagnostic laparoscopy for infertility, definite or probable genital TB has been demonstrated in a large proportion (definite disease in about 44% of one 374-woman series), and the fallopian tubes are affected in almost all cases of genital TB, with conception rates remaining low even after anti-tuberculous therapy.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Female infertility is a couple-level clinical diagnosis confirmed by a structured evaluation of ovulation, ovarian reserve, tubal patency and the uterus/pelvis, after excluding a male factor. Investigation is warranted after 12 months of unprotected intercourse without conception, or earlier (after 6 months) when the woman is ≥ 35 years or has an obvious risk factor. It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Confirmation of ovulation — a history of regular cycles plus a mid-luteal (≈ day 21) serum progesterone above the ovulatory threshold; oligomenorrhoea/amenorrhoea points to an ovulatory disorder such as PCOS, hypothalamic anovulation or premature ovarian insufficiency;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ovarian reserve — anti-Müllerian hormone (AMH), antral follicle count on transvaginal ultrasound, and early-follicular (day 2–3) FSH and estradiol; a low AMH/AFC or raised FSH indicates diminished ovarian reserve, which rises steeply with age;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Documentation of tubal patency — hysterosalpingography (HSG) or hysterosalpingo-contrast sonography (HyCoSy); diagnostic laparoscopy with chromopertubation (dye test) is the gold standard and simultaneously detects endometriosis, adhesions and genital-tuberculous damage;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Evaluation of the uterus and pelvis — transvaginal ultrasound, with saline-infusion sonohysterography or hysteroscopy to define cavity lesions (fibroids, polyps, uterine septum, intrauterine adhesions/Asherman syndrome);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Endocrine screen — serum TSH and prolactin in all, with total/free testosterone and other androgens when PCOS or virilisation is suspected; thyroid dysfunction and hyperprolactinaemia are common, correctable causes of anovulation;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genital tuberculosis (India-specific) — endometrial sampling for acid-fast bacilli, culture, GeneXpert/PCR, together with characteristic HSG/laparoscopic features (beaded or blocked tubes, tubercles, caseous nodules, dense pelvic adhesions);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Evaluation of the couple — a partner semen analysis is mandatory before attributing infertility to a female factor, since a male contribution is present in a large proportion of couples.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Female infertility is classified both by reproductive history (primary vs secondary) and, more usefully for management, by the anatomical or physiological site of the defect:</w:t>
      </w:r>
    </w:p>
    <w:p>
      <w:pPr>
        <w:spacing w:before="0" w:after="80"/>
      </w:pPr>
      <w:r>
        <w:rPr>
          <w:rFonts w:ascii="Calibri" w:hAnsi="Calibri"/>
          <w:b w:val="0"/>
          <w:i w:val="0"/>
          <w:color w:val="212121"/>
          <w:sz w:val="21"/>
        </w:rPr>
        <w:t>(1) Ovulatory / anovulatory disorders — the single most common category. Using the WHO scheme: Group I (hypogonadotropic, hypo-oestrogenic — functional hypothalamic amenorrhoea from low body weight, excessive exercise or stress, and Kallmann syndrome); Group II (normogonadotropic, normo-oestrogenic — the large majority, dominated by polycystic ovary syndrome); and Group III (hypergonadotropic, hypo-oestrogenic — premature ovarian insufficiency/ovarian failure); plus hyperprolactinaemic and thyroid-related anovulation;</w:t>
      </w:r>
    </w:p>
    <w:p>
      <w:pPr>
        <w:spacing w:before="0" w:after="80"/>
      </w:pPr>
      <w:r>
        <w:rPr>
          <w:rFonts w:ascii="Calibri" w:hAnsi="Calibri"/>
          <w:b w:val="0"/>
          <w:i w:val="0"/>
          <w:color w:val="212121"/>
          <w:sz w:val="21"/>
        </w:rPr>
        <w:t>(2) Tubal and peritoneal factor — blocked or damaged fallopian tubes and pelvic adhesions from pelvic inflammatory disease and sexually transmitted infection, genital tuberculosis (a leading cause in India), previous unsafe abortion or postpartum sepsis, and pelvic/abdominal surgery;</w:t>
      </w:r>
    </w:p>
    <w:p>
      <w:pPr>
        <w:spacing w:before="0" w:after="80"/>
      </w:pPr>
      <w:r>
        <w:rPr>
          <w:rFonts w:ascii="Calibri" w:hAnsi="Calibri"/>
          <w:b w:val="0"/>
          <w:i w:val="0"/>
          <w:color w:val="212121"/>
          <w:sz w:val="21"/>
        </w:rPr>
        <w:t>(3) Uterine, cervical and endometrial factor — leiomyomas (especially submucosal), endometrial polyps, uterine septum and other Müllerian anomalies, intrauterine adhesions (Asherman syndrome), chronic endometritis, and cervical-factor problems;</w:t>
      </w:r>
    </w:p>
    <w:p>
      <w:pPr>
        <w:spacing w:before="0" w:after="80"/>
      </w:pPr>
      <w:r>
        <w:rPr>
          <w:rFonts w:ascii="Calibri" w:hAnsi="Calibri"/>
          <w:b w:val="0"/>
          <w:i w:val="0"/>
          <w:color w:val="212121"/>
          <w:sz w:val="21"/>
        </w:rPr>
        <w:t>(4) Endometriosis-associated infertility — ectopic endometrial tissue causing pelvic inflammation, adhesions, distorted anatomy and impaired oocyte/embryo quality;</w:t>
      </w:r>
    </w:p>
    <w:p>
      <w:pPr>
        <w:spacing w:before="0" w:after="80"/>
      </w:pPr>
      <w:r>
        <w:rPr>
          <w:rFonts w:ascii="Calibri" w:hAnsi="Calibri"/>
          <w:b w:val="0"/>
          <w:i w:val="0"/>
          <w:color w:val="212121"/>
          <w:sz w:val="21"/>
        </w:rPr>
        <w:t>(5) Age-related diminished ovarian reserve, and unexplained infertility — a normal standard evaluation (ovulatory, patent tubes, normal semen and uterus) with continued failure to conceive; its frequency rises with the woman's age.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Ovulatory dysfunction: The commonest cause of female infertility; polycystic ovary syndrome predominates, alongside hypothalamic anovulation (low weight, excessive exercise, stress), hyperprolactinaemia, thyroid disease and premature ovarian insufficiency.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Tubal and pelvic factor: Blocked or scarred tubes from pelvic inflammatory disease and untreated sexually transmitted infection, and — characteristically in India — female genital tuberculosis, which damages the fallopian tubes in almost all affected women.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Endometriosis: Ectopic endometrial implants provoke pelvic inflammation, adhesions and anatomical distortion and impair oocyte and embryo quality; it is found in a high proportion of infertile women investigated by laparoscopy.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Uterine and cervical factors: Submucosal fibroids, endometrial polyps, uterine septum and other Müllerian anomalies, intrauterine adhesions (Asherman syndrome) and chronic endometritis impair implantation.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Advancing age and diminished ovarian reserve: Oocyte number and quality fall progressively with age, with a marked decline after 35 and a steep fall after 40, reducing fecundability and raising miscarriage risk.</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Endocrine and metabolic disorders: Hypothyroidism, hyperprolactinaemia, insulin resistance and obesity disrupt the hypothalamic-pituitary-ovarian axis and ovulation.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Lifestyle and environmental exposures: Smoking (including bidi/smokeless tobacco), heavy alcohol, obesity or very low body weight, and environmental/occupational toxins reduce fertility.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Women of advanced reproductive age (≥ 35 years)</w:t>
            </w:r>
          </w:p>
        </w:tc>
        <w:tc>
          <w:tcPr>
            <w:tcW w:type="dxa" w:w="4276"/>
            <w:vAlign w:val="top"/>
          </w:tcPr>
          <w:p>
            <w:pPr>
              <w:spacing w:after="60" w:line="259" w:lineRule="auto"/>
            </w:pPr>
            <w:r>
              <w:rPr>
                <w:rFonts w:ascii="Calibri" w:hAnsi="Calibri"/>
                <w:b w:val="0"/>
                <w:i w:val="0"/>
                <w:color w:val="212121"/>
                <w:sz w:val="19"/>
              </w:rPr>
              <w:t>Oocyte quantity and quality decline progressively with age — markedly after 35 and steeply after 40 — lowering monthly fecundability and raising rates of aneuploidy and miscarriage. Delayed marriage and childbearing therefore shift more couples into an age-limited fertility window.</w:t>
            </w:r>
          </w:p>
          <w:p>
            <w:pPr>
              <w:spacing w:after="40" w:before="60" w:line="259" w:lineRule="auto"/>
            </w:pPr>
            <w:r>
              <w:rPr>
                <w:rFonts w:ascii="Calibri" w:hAnsi="Calibri"/>
                <w:b w:val="0"/>
                <w:i w:val="0"/>
                <w:color w:val="212121"/>
                <w:sz w:val="19"/>
              </w:rPr>
              <w:t>Investigation is recommended after only 6 months (rather than 12) once the woman is 35 or older, reflecting the age-related fall in ovarian reserve.</w:t>
            </w:r>
          </w:p>
          <w:p>
            <w:pPr>
              <w:spacing w:after="40" w:line="252" w:lineRule="auto"/>
            </w:pPr>
            <w:hyperlink r:id="rId9">
              <w:r>
                <w:rPr>
                  <w:rFonts w:ascii="Calibri" w:hAnsi="Calibri" w:cs="Calibri"/>
                  <w:sz w:val="18"/>
                  <w:color w:val="1155CC"/>
                  <w:u w:val="single"/>
                </w:rPr>
                <w:t xml:space="preserve">who.int — infertility fact sheet</w:t>
              </w:r>
            </w:hyperlink>
          </w:p>
          <w:p>
            <w:pPr>
              <w:spacing w:before="60" w:after="40"/>
            </w:pPr>
            <w:r>
              <w:rPr>
                <w:rFonts w:ascii="Calibri" w:hAnsi="Calibri"/>
                <w:b w:val="0"/>
                <w:i w:val="0"/>
                <w:color w:val="5A5A5A"/>
                <w:sz w:val="18"/>
              </w:rPr>
              <w:t>#ovarianreserve  #AMH  #delayedchildbearing  #advancedmaternalage  #agedecline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Reproductive-age women in the peak-presentation band (≈ 25–35 years)</w:t>
            </w:r>
          </w:p>
        </w:tc>
        <w:tc>
          <w:tcPr>
            <w:tcW w:type="dxa" w:w="4276"/>
            <w:vAlign w:val="top"/>
          </w:tcPr>
          <w:p>
            <w:pPr>
              <w:spacing w:after="60" w:line="259" w:lineRule="auto"/>
            </w:pPr>
            <w:r>
              <w:rPr>
                <w:rFonts w:ascii="Calibri" w:hAnsi="Calibri"/>
                <w:b w:val="0"/>
                <w:i w:val="0"/>
                <w:color w:val="212121"/>
                <w:sz w:val="19"/>
              </w:rPr>
              <w:t>This is when most Indian couples actively try to conceive and present for care; primary infertility clusters in the twenties and early thirties, while secondary infertility becomes commoner with rising age and prior pelvic infection.</w:t>
            </w:r>
          </w:p>
          <w:p>
            <w:pPr>
              <w:spacing w:after="40" w:before="60" w:line="259" w:lineRule="auto"/>
            </w:pPr>
            <w:r>
              <w:rPr>
                <w:rFonts w:ascii="Calibri" w:hAnsi="Calibri"/>
                <w:b w:val="0"/>
                <w:i w:val="0"/>
                <w:color w:val="212121"/>
                <w:sz w:val="19"/>
              </w:rPr>
              <w:t>In a Haryana community study most infertile women were aged 30–39 years, with 5% primary and 6.3% secondary infertility.</w:t>
            </w:r>
          </w:p>
          <w:p>
            <w:pPr>
              <w:spacing w:after="40" w:line="252" w:lineRule="auto"/>
            </w:pPr>
            <w:hyperlink r:id="rId10">
              <w:r>
                <w:rPr>
                  <w:rFonts w:ascii="Calibri" w:hAnsi="Calibri" w:cs="Calibri"/>
                  <w:sz w:val="18"/>
                  <w:color w:val="1155CC"/>
                  <w:u w:val="single"/>
                </w:rPr>
                <w:t xml:space="preserve">pubmed — Kataria, Sonepat community study (JHRS 2023)</w:t>
              </w:r>
            </w:hyperlink>
          </w:p>
          <w:p>
            <w:pPr>
              <w:spacing w:before="60" w:after="40"/>
            </w:pPr>
            <w:r>
              <w:rPr>
                <w:rFonts w:ascii="Calibri" w:hAnsi="Calibri"/>
                <w:b w:val="0"/>
                <w:i w:val="0"/>
                <w:color w:val="5A5A5A"/>
                <w:sz w:val="18"/>
              </w:rPr>
              <w:t>#primaryinfertility  #secondaryinfertility  #Indiacouples  #presentation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(female-factor by definition)</w:t>
            </w:r>
          </w:p>
        </w:tc>
        <w:tc>
          <w:tcPr>
            <w:tcW w:type="dxa" w:w="4276"/>
            <w:vAlign w:val="top"/>
          </w:tcPr>
          <w:p>
            <w:pPr>
              <w:spacing w:after="60" w:line="259" w:lineRule="auto"/>
            </w:pPr>
            <w:r>
              <w:rPr>
                <w:rFonts w:ascii="Calibri" w:hAnsi="Calibri"/>
                <w:b w:val="0"/>
                <w:i w:val="0"/>
                <w:color w:val="212121"/>
                <w:sz w:val="19"/>
              </w:rPr>
              <w:t>Female-factor infertility, by definition, arises in the female reproductive tract; however a male factor coexists in a large share of couples, so both partners must always be evaluated together before attributing infertility to the woman.</w:t>
            </w:r>
          </w:p>
          <w:p>
            <w:pPr>
              <w:spacing w:after="40" w:before="60" w:line="259" w:lineRule="auto"/>
            </w:pPr>
            <w:r>
              <w:rPr>
                <w:rFonts w:ascii="Calibri" w:hAnsi="Calibri"/>
                <w:b w:val="0"/>
                <w:i w:val="0"/>
                <w:color w:val="212121"/>
                <w:sz w:val="19"/>
              </w:rPr>
              <w:t>Female factors are solely responsible in roughly a third of couples and combine with a male factor in a further third (widely used clinical estimate).</w:t>
            </w:r>
          </w:p>
          <w:p>
            <w:pPr>
              <w:spacing w:after="40" w:line="252" w:lineRule="auto"/>
            </w:pPr>
            <w:hyperlink r:id="rId9">
              <w:r>
                <w:rPr>
                  <w:rFonts w:ascii="Calibri" w:hAnsi="Calibri" w:cs="Calibri"/>
                  <w:sz w:val="18"/>
                  <w:color w:val="1155CC"/>
                  <w:u w:val="single"/>
                </w:rPr>
                <w:t xml:space="preserve">who.int — infertility fact sheet</w:t>
              </w:r>
            </w:hyperlink>
          </w:p>
          <w:p>
            <w:pPr>
              <w:spacing w:before="60" w:after="40"/>
            </w:pPr>
            <w:r>
              <w:rPr>
                <w:rFonts w:ascii="Calibri" w:hAnsi="Calibri"/>
                <w:b w:val="0"/>
                <w:i w:val="0"/>
                <w:color w:val="5A5A5A"/>
                <w:sz w:val="18"/>
              </w:rPr>
              <w:t>#femalefactor  #coupleevaluation  #malefactor  #sharedcause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less-educated &amp; socially stigmatised women</w:t>
            </w:r>
          </w:p>
        </w:tc>
        <w:tc>
          <w:tcPr>
            <w:tcW w:type="dxa" w:w="4276"/>
            <w:vAlign w:val="top"/>
          </w:tcPr>
          <w:p>
            <w:pPr>
              <w:spacing w:after="60" w:line="259" w:lineRule="auto"/>
            </w:pPr>
            <w:r>
              <w:rPr>
                <w:rFonts w:ascii="Calibri" w:hAnsi="Calibri"/>
                <w:b w:val="0"/>
                <w:i w:val="0"/>
                <w:color w:val="212121"/>
                <w:sz w:val="19"/>
              </w:rPr>
              <w:t>Poverty, low health literacy and the stigma attached to childlessness delay evaluation, increase exposure to untreated reproductive-tract infection, genital tuberculosis and unsafe abortion, and put expensive assisted-reproduction largely out of reach — while the social burden (blame, marital discord, violence) falls disproportionately on women.</w:t>
            </w:r>
          </w:p>
          <w:p>
            <w:pPr>
              <w:spacing w:after="40" w:before="60" w:line="259" w:lineRule="auto"/>
            </w:pPr>
            <w:r>
              <w:rPr>
                <w:rFonts w:ascii="Calibri" w:hAnsi="Calibri"/>
                <w:b w:val="0"/>
                <w:i w:val="0"/>
                <w:color w:val="212121"/>
                <w:sz w:val="19"/>
              </w:rPr>
              <w:t>Reproductive-tract-infection symptoms (genital discharge, ulcers) were significantly associated with infertility in an Indian community study; low socioeconomic status limits access to diagnosis and ART.</w:t>
            </w:r>
          </w:p>
          <w:p>
            <w:pPr>
              <w:spacing w:after="40" w:line="252" w:lineRule="auto"/>
            </w:pPr>
            <w:hyperlink r:id="rId10">
              <w:r>
                <w:rPr>
                  <w:rFonts w:ascii="Calibri" w:hAnsi="Calibri" w:cs="Calibri"/>
                  <w:sz w:val="18"/>
                  <w:color w:val="1155CC"/>
                  <w:u w:val="single"/>
                </w:rPr>
                <w:t xml:space="preserve">pubmed — Kataria, Sonepat community study (JHRS 2023)</w:t>
              </w:r>
            </w:hyperlink>
          </w:p>
          <w:p>
            <w:pPr>
              <w:spacing w:before="60" w:after="40"/>
            </w:pPr>
            <w:r>
              <w:rPr>
                <w:rFonts w:ascii="Calibri" w:hAnsi="Calibri"/>
                <w:b w:val="0"/>
                <w:i w:val="0"/>
                <w:color w:val="5A5A5A"/>
                <w:sz w:val="18"/>
              </w:rPr>
              <w:t>#healthequity  #stigma  #RTI  #accessgap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Rural Indian women with limited fertility-care access</w:t>
            </w:r>
          </w:p>
        </w:tc>
        <w:tc>
          <w:tcPr>
            <w:tcW w:type="dxa" w:w="4276"/>
            <w:vAlign w:val="top"/>
          </w:tcPr>
          <w:p>
            <w:pPr>
              <w:spacing w:after="60" w:line="259" w:lineRule="auto"/>
            </w:pPr>
            <w:r>
              <w:rPr>
                <w:rFonts w:ascii="Calibri" w:hAnsi="Calibri"/>
                <w:b w:val="0"/>
                <w:i w:val="0"/>
                <w:color w:val="212121"/>
                <w:sz w:val="19"/>
              </w:rPr>
              <w:t>Fertility diagnostics, laparoscopy and assisted-reproduction services are concentrated in cities, so rural women — the majority of Indian women — face delayed diagnosis and carry a disproportionate burden of tubal-factor infertility from pelvic infection and genital tuberculosis.</w:t>
            </w:r>
          </w:p>
          <w:p>
            <w:pPr>
              <w:spacing w:after="40" w:before="60" w:line="259" w:lineRule="auto"/>
            </w:pPr>
            <w:r>
              <w:rPr>
                <w:rFonts w:ascii="Calibri" w:hAnsi="Calibri"/>
                <w:b w:val="0"/>
                <w:i w:val="0"/>
                <w:color w:val="212121"/>
                <w:sz w:val="19"/>
              </w:rPr>
              <w:t>Female genital tuberculosis, a predominantly rural and resource-poor-setting disease, damages the fallopian tubes in almost all affected women and keeps conception rates low even after treatment.</w:t>
            </w:r>
          </w:p>
          <w:p>
            <w:pPr>
              <w:spacing w:after="40" w:line="252" w:lineRule="auto"/>
            </w:pPr>
            <w:hyperlink r:id="rId11">
              <w:r>
                <w:rPr>
                  <w:rFonts w:ascii="Calibri" w:hAnsi="Calibri" w:cs="Calibri"/>
                  <w:sz w:val="18"/>
                  <w:color w:val="1155CC"/>
                  <w:u w:val="single"/>
                </w:rPr>
                <w:t xml:space="preserve">pubmed — Grace, genital TB in females (Indian J Med Res 2017)</w:t>
              </w:r>
            </w:hyperlink>
          </w:p>
          <w:p>
            <w:pPr>
              <w:spacing w:before="60" w:after="40"/>
            </w:pPr>
            <w:r>
              <w:rPr>
                <w:rFonts w:ascii="Calibri" w:hAnsi="Calibri"/>
                <w:b w:val="0"/>
                <w:i w:val="0"/>
                <w:color w:val="5A5A5A"/>
                <w:sz w:val="18"/>
              </w:rPr>
              <w:t>#ruralhealth  #genitalTB  #tubalfactor  #accessgap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Tribal &amp; high-infection-burden communities</w:t>
            </w:r>
          </w:p>
        </w:tc>
        <w:tc>
          <w:tcPr>
            <w:tcW w:type="dxa" w:w="4276"/>
            <w:vAlign w:val="top"/>
          </w:tcPr>
          <w:p>
            <w:pPr>
              <w:spacing w:after="60" w:line="259" w:lineRule="auto"/>
            </w:pPr>
            <w:r>
              <w:rPr>
                <w:rFonts w:ascii="Calibri" w:hAnsi="Calibri"/>
                <w:b w:val="0"/>
                <w:i w:val="0"/>
                <w:color w:val="212121"/>
                <w:sz w:val="19"/>
              </w:rPr>
              <w:t>Tribal and underserved populations experience higher rates of untreated infection, tuberculosis and poor obstetric care, which raise tubal-factor and secondary infertility; consanguinity and genetic factors may add in some groups.</w:t>
            </w:r>
          </w:p>
          <w:p>
            <w:pPr>
              <w:spacing w:after="40" w:before="60" w:line="259" w:lineRule="auto"/>
            </w:pPr>
            <w:r>
              <w:rPr>
                <w:rFonts w:ascii="Calibri" w:hAnsi="Calibri"/>
                <w:b w:val="0"/>
                <w:i w:val="0"/>
                <w:color w:val="212121"/>
                <w:sz w:val="19"/>
              </w:rPr>
              <w:t>A survey of tribal communities in Central India found an overall female-infertility prevalence of 14.2% (up to 17.2% in one tribe).</w:t>
            </w:r>
          </w:p>
          <w:p>
            <w:pPr>
              <w:spacing w:after="40" w:line="252" w:lineRule="auto"/>
            </w:pPr>
            <w:hyperlink r:id="rId12">
              <w:r>
                <w:rPr>
                  <w:rFonts w:ascii="Calibri" w:hAnsi="Calibri" w:cs="Calibri"/>
                  <w:sz w:val="18"/>
                  <w:color w:val="1155CC"/>
                  <w:u w:val="single"/>
                </w:rPr>
                <w:t xml:space="preserve">pubmed — Kumar, tribal Central India (Rural Remote Health 2007)</w:t>
              </w:r>
            </w:hyperlink>
          </w:p>
          <w:p>
            <w:pPr>
              <w:spacing w:before="60" w:after="40"/>
            </w:pPr>
            <w:r>
              <w:rPr>
                <w:rFonts w:ascii="Calibri" w:hAnsi="Calibri"/>
                <w:b w:val="0"/>
                <w:i w:val="0"/>
                <w:color w:val="5A5A5A"/>
                <w:sz w:val="18"/>
              </w:rPr>
              <w:t>#tribalhealth  #India  #secondaryinfertility  #regionaldisparity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women (Asian BMI 23–24.9)</w:t>
            </w:r>
          </w:p>
        </w:tc>
        <w:tc>
          <w:tcPr>
            <w:tcW w:type="dxa" w:w="4276"/>
            <w:vAlign w:val="top"/>
          </w:tcPr>
          <w:p>
            <w:pPr>
              <w:spacing w:after="60" w:line="259" w:lineRule="auto"/>
            </w:pPr>
            <w:r>
              <w:rPr>
                <w:rFonts w:ascii="Calibri" w:hAnsi="Calibri"/>
                <w:b w:val="0"/>
                <w:i w:val="0"/>
                <w:color w:val="212121"/>
                <w:sz w:val="19"/>
              </w:rPr>
              <w:t>Excess adiposity raises insulin resistance and peripheral oestrogen, disturbing the hypothalamic-pituitary-ovarian axis, promoting anovulation and reducing success of both natural conception and fertility treatment.</w:t>
            </w:r>
          </w:p>
          <w:p>
            <w:pPr>
              <w:spacing w:after="40" w:before="60" w:line="259" w:lineRule="auto"/>
            </w:pPr>
            <w:r>
              <w:rPr>
                <w:rFonts w:ascii="Calibri" w:hAnsi="Calibri"/>
                <w:b w:val="0"/>
                <w:i w:val="0"/>
                <w:color w:val="212121"/>
                <w:sz w:val="19"/>
              </w:rPr>
              <w:t>Overweight/obesity is common among reproductive-age Indian women and clusters with PCOS-related anovulatory infertility.</w:t>
            </w:r>
          </w:p>
          <w:p>
            <w:pPr>
              <w:spacing w:after="40" w:line="252" w:lineRule="auto"/>
            </w:pPr>
            <w:hyperlink r:id="rId13">
              <w:r>
                <w:rPr>
                  <w:rFonts w:ascii="Calibri" w:hAnsi="Calibri" w:cs="Calibri"/>
                  <w:sz w:val="18"/>
                  <w:color w:val="1155CC"/>
                  <w:u w:val="single"/>
                </w:rPr>
                <w:t xml:space="preserve">pubmed — Ganie, ICMR-PCOS task force (JMIR PH Surveill 2023)</w:t>
              </w:r>
            </w:hyperlink>
          </w:p>
          <w:p>
            <w:pPr>
              <w:spacing w:before="60" w:after="40"/>
            </w:pPr>
            <w:r>
              <w:rPr>
                <w:rFonts w:ascii="Calibri" w:hAnsi="Calibri"/>
                <w:b w:val="0"/>
                <w:i w:val="0"/>
                <w:color w:val="5A5A5A"/>
                <w:sz w:val="18"/>
              </w:rPr>
              <w:t>#overweight  #insulinresistance  #anovulation  #AsianBMI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women (Asian BMI ≥ 25) — especially with PCOS</w:t>
            </w:r>
          </w:p>
        </w:tc>
        <w:tc>
          <w:tcPr>
            <w:tcW w:type="dxa" w:w="4276"/>
            <w:vAlign w:val="top"/>
          </w:tcPr>
          <w:p>
            <w:pPr>
              <w:spacing w:after="60" w:line="259" w:lineRule="auto"/>
            </w:pPr>
            <w:r>
              <w:rPr>
                <w:rFonts w:ascii="Calibri" w:hAnsi="Calibri"/>
                <w:b w:val="0"/>
                <w:i w:val="0"/>
                <w:color w:val="212121"/>
                <w:sz w:val="19"/>
              </w:rPr>
              <w:t>Obesity strongly aggravates PCOS-related anovulation, worsens oocyte and endometrial quality, lowers response to ovulation induction and IVF, and increases miscarriage; even modest weight loss can restore ovulation.</w:t>
            </w:r>
          </w:p>
          <w:p>
            <w:pPr>
              <w:spacing w:after="40" w:before="60" w:line="259" w:lineRule="auto"/>
            </w:pPr>
            <w:r>
              <w:rPr>
                <w:rFonts w:ascii="Calibri" w:hAnsi="Calibri"/>
                <w:b w:val="0"/>
                <w:i w:val="0"/>
                <w:color w:val="212121"/>
                <w:sz w:val="19"/>
              </w:rPr>
              <w:t>Among healthy reproductive-age Indian women, obesity prevalence rose from 8.1% by WHO criteria to about 40% using Asian-Indian cut-offs in the ICMR-PCOS study of 7,107 women.</w:t>
            </w:r>
          </w:p>
          <w:p>
            <w:pPr>
              <w:spacing w:after="40" w:line="252" w:lineRule="auto"/>
            </w:pPr>
            <w:hyperlink r:id="rId13">
              <w:r>
                <w:rPr>
                  <w:rFonts w:ascii="Calibri" w:hAnsi="Calibri" w:cs="Calibri"/>
                  <w:sz w:val="18"/>
                  <w:color w:val="1155CC"/>
                  <w:u w:val="single"/>
                </w:rPr>
                <w:t xml:space="preserve">pubmed — Ganie, ICMR-PCOS task force (JMIR PH Surveill 2023)</w:t>
              </w:r>
            </w:hyperlink>
          </w:p>
          <w:p>
            <w:pPr>
              <w:spacing w:before="60" w:after="40"/>
            </w:pPr>
            <w:r>
              <w:rPr>
                <w:rFonts w:ascii="Calibri" w:hAnsi="Calibri"/>
                <w:b w:val="0"/>
                <w:i w:val="0"/>
                <w:color w:val="5A5A5A"/>
                <w:sz w:val="18"/>
              </w:rPr>
              <w:t>#obesity  #PCOS  #anovulation  #weightloss  #AsianBMI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Tobacco</w:t>
            </w:r>
          </w:p>
        </w:tc>
        <w:tc>
          <w:tcPr>
            <w:tcW w:type="dxa" w:w="2160"/>
            <w:vAlign w:val="top"/>
          </w:tcPr>
          <w:p>
            <w:pPr>
              <w:spacing w:after="40" w:before="0" w:line="259" w:lineRule="auto"/>
            </w:pPr>
            <w:r>
              <w:rPr>
                <w:rFonts w:ascii="Calibri" w:hAnsi="Calibri"/>
                <w:b w:val="0"/>
                <w:i w:val="0"/>
                <w:color w:val="212121"/>
                <w:sz w:val="19"/>
              </w:rPr>
              <w:t>Women who smoke or use smokeless tobacco / bidis</w:t>
            </w:r>
          </w:p>
        </w:tc>
        <w:tc>
          <w:tcPr>
            <w:tcW w:type="dxa" w:w="4276"/>
            <w:vAlign w:val="top"/>
          </w:tcPr>
          <w:p>
            <w:pPr>
              <w:spacing w:after="60" w:line="259" w:lineRule="auto"/>
            </w:pPr>
            <w:r>
              <w:rPr>
                <w:rFonts w:ascii="Calibri" w:hAnsi="Calibri"/>
                <w:b w:val="0"/>
                <w:i w:val="0"/>
                <w:color w:val="212121"/>
                <w:sz w:val="19"/>
              </w:rPr>
              <w:t>Tobacco toxins accelerate depletion of ovarian follicles (earlier menopause), impair tubal ciliary transport, and reduce natural and IVF conception rates; passive smoke and smokeless tobacco (common among Indian women) are also harmful.</w:t>
            </w:r>
          </w:p>
          <w:p>
            <w:pPr>
              <w:spacing w:after="40" w:before="60" w:line="259" w:lineRule="auto"/>
            </w:pPr>
            <w:r>
              <w:rPr>
                <w:rFonts w:ascii="Calibri" w:hAnsi="Calibri"/>
                <w:b w:val="0"/>
                <w:i w:val="0"/>
                <w:color w:val="212121"/>
                <w:sz w:val="19"/>
              </w:rPr>
              <w:t>Smoking is an established modifiable cause of reduced fertility and accelerated ovarian ageing (general clinical statement).</w:t>
            </w:r>
          </w:p>
          <w:p>
            <w:pPr>
              <w:spacing w:before="60" w:after="40"/>
            </w:pPr>
            <w:r>
              <w:rPr>
                <w:rFonts w:ascii="Calibri" w:hAnsi="Calibri"/>
                <w:b w:val="0"/>
                <w:i w:val="0"/>
                <w:color w:val="5A5A5A"/>
                <w:sz w:val="18"/>
              </w:rPr>
              <w:t>#smoking  #smokelesstobacco  #ovarianageing  #tubaldamage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Women with heavy or frequent alcohol intake</w:t>
            </w:r>
          </w:p>
        </w:tc>
        <w:tc>
          <w:tcPr>
            <w:tcW w:type="dxa" w:w="4276"/>
            <w:vAlign w:val="top"/>
          </w:tcPr>
          <w:p>
            <w:pPr>
              <w:spacing w:after="60" w:line="259" w:lineRule="auto"/>
            </w:pPr>
            <w:r>
              <w:rPr>
                <w:rFonts w:ascii="Calibri" w:hAnsi="Calibri"/>
                <w:b w:val="0"/>
                <w:i w:val="0"/>
                <w:color w:val="212121"/>
                <w:sz w:val="19"/>
              </w:rPr>
              <w:t>Heavy alcohol consumption lowers fecundability and disrupts menstrual and ovulatory function in a dose-dependent way, and is best minimised while trying to conceive.</w:t>
            </w:r>
          </w:p>
          <w:p>
            <w:pPr>
              <w:spacing w:after="40" w:before="60" w:line="259" w:lineRule="auto"/>
            </w:pPr>
            <w:r>
              <w:rPr>
                <w:rFonts w:ascii="Calibri" w:hAnsi="Calibri"/>
                <w:b w:val="0"/>
                <w:i w:val="0"/>
                <w:color w:val="212121"/>
                <w:sz w:val="19"/>
              </w:rPr>
              <w:t>Heavy alcohol use is associated with reduced fertility (general clinical statement).</w:t>
            </w:r>
          </w:p>
          <w:p>
            <w:pPr>
              <w:spacing w:before="60" w:after="40"/>
            </w:pPr>
            <w:r>
              <w:rPr>
                <w:rFonts w:ascii="Calibri" w:hAnsi="Calibri"/>
                <w:b w:val="0"/>
                <w:i w:val="0"/>
                <w:color w:val="5A5A5A"/>
                <w:sz w:val="18"/>
              </w:rPr>
              <w:t>#alcohol  #fecundability  #ovulation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Body-weight extremes</w:t>
            </w:r>
          </w:p>
        </w:tc>
        <w:tc>
          <w:tcPr>
            <w:tcW w:type="dxa" w:w="2160"/>
            <w:vAlign w:val="top"/>
          </w:tcPr>
          <w:p>
            <w:pPr>
              <w:spacing w:after="40" w:before="0" w:line="259" w:lineRule="auto"/>
            </w:pPr>
            <w:r>
              <w:rPr>
                <w:rFonts w:ascii="Calibri" w:hAnsi="Calibri"/>
                <w:b w:val="0"/>
                <w:i w:val="0"/>
                <w:color w:val="212121"/>
                <w:sz w:val="19"/>
              </w:rPr>
              <w:t>Sedentary women, and underweight women / excessive exercisers</w:t>
            </w:r>
          </w:p>
        </w:tc>
        <w:tc>
          <w:tcPr>
            <w:tcW w:type="dxa" w:w="4276"/>
            <w:vAlign w:val="top"/>
          </w:tcPr>
          <w:p>
            <w:pPr>
              <w:spacing w:after="60" w:line="259" w:lineRule="auto"/>
            </w:pPr>
            <w:r>
              <w:rPr>
                <w:rFonts w:ascii="Calibri" w:hAnsi="Calibri"/>
                <w:b w:val="0"/>
                <w:i w:val="0"/>
                <w:color w:val="212121"/>
                <w:sz w:val="19"/>
              </w:rPr>
              <w:t>Physical inactivity with weight gain worsens insulin resistance and anovulation, whereas very low body weight or intense exercise causes hypothalamic (WHO Group I) anovulation with low gonadotrophins; both extremes of the weight spectrum impair ovulation.</w:t>
            </w:r>
          </w:p>
          <w:p>
            <w:pPr>
              <w:spacing w:after="40" w:before="60" w:line="259" w:lineRule="auto"/>
            </w:pPr>
            <w:r>
              <w:rPr>
                <w:rFonts w:ascii="Calibri" w:hAnsi="Calibri"/>
                <w:b w:val="0"/>
                <w:i w:val="0"/>
                <w:color w:val="212121"/>
                <w:sz w:val="19"/>
              </w:rPr>
              <w:t>Very low body weight and excessive exercise cause hypothalamic anovulation, while sedentary weight gain drives PCOS-type anovulation (general clinical statement).</w:t>
            </w:r>
          </w:p>
          <w:p>
            <w:pPr>
              <w:spacing w:before="60" w:after="40"/>
            </w:pPr>
            <w:r>
              <w:rPr>
                <w:rFonts w:ascii="Calibri" w:hAnsi="Calibri"/>
                <w:b w:val="0"/>
                <w:i w:val="0"/>
                <w:color w:val="5A5A5A"/>
                <w:sz w:val="18"/>
              </w:rPr>
              <w:t>#hypothalamicanovulation  #underweight  #sedentary  #exercise  #weightextremes</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Poor-quality diets low in micronutrients (folate, vitamin D, iron)</w:t>
            </w:r>
          </w:p>
        </w:tc>
        <w:tc>
          <w:tcPr>
            <w:tcW w:type="dxa" w:w="4276"/>
            <w:vAlign w:val="top"/>
          </w:tcPr>
          <w:p>
            <w:pPr>
              <w:spacing w:after="60" w:line="259" w:lineRule="auto"/>
            </w:pPr>
            <w:r>
              <w:rPr>
                <w:rFonts w:ascii="Calibri" w:hAnsi="Calibri"/>
                <w:b w:val="0"/>
                <w:i w:val="0"/>
                <w:color w:val="212121"/>
                <w:sz w:val="19"/>
              </w:rPr>
              <w:t>Diets high in refined carbohydrate, trans fats and sugar with low intake of folate, iron, vitamin D and antioxidants are linked to ovulatory dysfunction and poorer reproductive outcomes, and micronutrient deficiency (anaemia, vitamin D) is widespread among Indian women.</w:t>
            </w:r>
          </w:p>
          <w:p>
            <w:pPr>
              <w:spacing w:after="40" w:before="60" w:line="259" w:lineRule="auto"/>
            </w:pPr>
            <w:r>
              <w:rPr>
                <w:rFonts w:ascii="Calibri" w:hAnsi="Calibri"/>
                <w:b w:val="0"/>
                <w:i w:val="0"/>
                <w:color w:val="212121"/>
                <w:sz w:val="19"/>
              </w:rPr>
              <w:t>Low-micronutrient, high-glycaemic diets are associated with ovulatory infertility (general clinical statement).</w:t>
            </w:r>
          </w:p>
          <w:p>
            <w:pPr>
              <w:spacing w:before="60" w:after="40"/>
            </w:pPr>
            <w:r>
              <w:rPr>
                <w:rFonts w:ascii="Calibri" w:hAnsi="Calibri"/>
                <w:b w:val="0"/>
                <w:i w:val="0"/>
                <w:color w:val="5A5A5A"/>
                <w:sz w:val="18"/>
              </w:rPr>
              <w:t>#diet  #folate  #vitaminD  #anaemia  #micronutrients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PCOS, endometriosis or early menopause</w:t>
            </w:r>
          </w:p>
        </w:tc>
        <w:tc>
          <w:tcPr>
            <w:tcW w:type="dxa" w:w="4276"/>
            <w:vAlign w:val="top"/>
          </w:tcPr>
          <w:p>
            <w:pPr>
              <w:spacing w:after="60" w:line="259" w:lineRule="auto"/>
            </w:pPr>
            <w:r>
              <w:rPr>
                <w:rFonts w:ascii="Calibri" w:hAnsi="Calibri"/>
                <w:b w:val="0"/>
                <w:i w:val="0"/>
                <w:color w:val="212121"/>
                <w:sz w:val="19"/>
              </w:rPr>
              <w:t>PCOS, endometriosis and premature ovarian insufficiency cluster in families, so a first-degree family history of these conditions or of early (before-40) menopause raises a woman's own risk of an ovulatory or endometriosis-related cause.</w:t>
            </w:r>
          </w:p>
          <w:p>
            <w:pPr>
              <w:spacing w:after="40" w:before="60" w:line="259" w:lineRule="auto"/>
            </w:pPr>
            <w:r>
              <w:rPr>
                <w:rFonts w:ascii="Calibri" w:hAnsi="Calibri"/>
                <w:b w:val="0"/>
                <w:i w:val="0"/>
                <w:color w:val="212121"/>
                <w:sz w:val="19"/>
              </w:rPr>
              <w:t>Familial clustering of PCOS, endometriosis and early menopause increases individual risk (general clinical statement).</w:t>
            </w:r>
          </w:p>
          <w:p>
            <w:pPr>
              <w:spacing w:before="60" w:after="40"/>
            </w:pPr>
            <w:r>
              <w:rPr>
                <w:rFonts w:ascii="Calibri" w:hAnsi="Calibri"/>
                <w:b w:val="0"/>
                <w:i w:val="0"/>
                <w:color w:val="5A5A5A"/>
                <w:sz w:val="18"/>
              </w:rPr>
              <w:t>#familyhistory  #PCOS  #endometriosis  #earlymenopause  #inheritedrisk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Chromosomal / genetic</w:t>
            </w:r>
          </w:p>
        </w:tc>
        <w:tc>
          <w:tcPr>
            <w:tcW w:type="dxa" w:w="2160"/>
            <w:vAlign w:val="top"/>
          </w:tcPr>
          <w:p>
            <w:pPr>
              <w:spacing w:after="40" w:before="0" w:line="259" w:lineRule="auto"/>
            </w:pPr>
            <w:r>
              <w:rPr>
                <w:rFonts w:ascii="Calibri" w:hAnsi="Calibri"/>
                <w:b w:val="0"/>
                <w:i w:val="0"/>
                <w:color w:val="212121"/>
                <w:sz w:val="19"/>
              </w:rPr>
              <w:t>Women with Turner syndrome, Fragile-X (FMR1) premutation or other POI genes</w:t>
            </w:r>
          </w:p>
        </w:tc>
        <w:tc>
          <w:tcPr>
            <w:tcW w:type="dxa" w:w="4276"/>
            <w:vAlign w:val="top"/>
          </w:tcPr>
          <w:p>
            <w:pPr>
              <w:spacing w:after="60" w:line="259" w:lineRule="auto"/>
            </w:pPr>
            <w:r>
              <w:rPr>
                <w:rFonts w:ascii="Calibri" w:hAnsi="Calibri"/>
                <w:b w:val="0"/>
                <w:i w:val="0"/>
                <w:color w:val="212121"/>
                <w:sz w:val="19"/>
              </w:rPr>
              <w:t>Chromosomal and single-gene disorders — Turner syndrome (45,X) and mosaicism, the FMR1 (Fragile-X) premutation and other premature-ovarian-insufficiency genes, and galactosaemia — cause ovarian dysgenesis or accelerated follicle loss and primary/early infertility.</w:t>
            </w:r>
          </w:p>
          <w:p>
            <w:pPr>
              <w:spacing w:after="40" w:before="60" w:line="259" w:lineRule="auto"/>
            </w:pPr>
            <w:r>
              <w:rPr>
                <w:rFonts w:ascii="Calibri" w:hAnsi="Calibri"/>
                <w:b w:val="0"/>
                <w:i w:val="0"/>
                <w:color w:val="212121"/>
                <w:sz w:val="19"/>
              </w:rPr>
              <w:t>Turner syndrome and the FMR1 premutation are recognised genetic causes of premature ovarian insufficiency and infertility (general clinical statement).</w:t>
            </w:r>
          </w:p>
          <w:p>
            <w:pPr>
              <w:spacing w:before="60" w:after="40"/>
            </w:pPr>
            <w:r>
              <w:rPr>
                <w:rFonts w:ascii="Calibri" w:hAnsi="Calibri"/>
                <w:b w:val="0"/>
                <w:i w:val="0"/>
                <w:color w:val="5A5A5A"/>
                <w:sz w:val="18"/>
              </w:rPr>
              <w:t>#Turner  #FragileX  #FMR1  #POI  #karyotype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PCOS</w:t>
            </w:r>
          </w:p>
        </w:tc>
        <w:tc>
          <w:tcPr>
            <w:tcW w:type="dxa" w:w="2160"/>
            <w:vAlign w:val="top"/>
          </w:tcPr>
          <w:p>
            <w:pPr>
              <w:spacing w:after="40" w:before="0" w:line="259" w:lineRule="auto"/>
            </w:pPr>
            <w:r>
              <w:rPr>
                <w:rFonts w:ascii="Calibri" w:hAnsi="Calibri"/>
                <w:b w:val="0"/>
                <w:i w:val="0"/>
                <w:color w:val="212121"/>
                <w:sz w:val="19"/>
              </w:rPr>
              <w:t>Women with polycystic ovary syndrome</w:t>
            </w:r>
          </w:p>
        </w:tc>
        <w:tc>
          <w:tcPr>
            <w:tcW w:type="dxa" w:w="4276"/>
            <w:vAlign w:val="top"/>
          </w:tcPr>
          <w:p>
            <w:pPr>
              <w:spacing w:after="60" w:line="259" w:lineRule="auto"/>
            </w:pPr>
            <w:r>
              <w:rPr>
                <w:rFonts w:ascii="Calibri" w:hAnsi="Calibri"/>
                <w:b w:val="0"/>
                <w:i w:val="0"/>
                <w:color w:val="212121"/>
                <w:sz w:val="19"/>
              </w:rPr>
              <w:t>PCOS is the leading cause of anovulatory infertility: hyperandrogenism and insulin resistance disrupt follicle selection and ovulation, producing oligo/anovulation, and it is strongly linked with obesity and metabolic disease.</w:t>
            </w:r>
          </w:p>
          <w:p>
            <w:pPr>
              <w:spacing w:after="40" w:before="60" w:line="259" w:lineRule="auto"/>
            </w:pPr>
            <w:r>
              <w:rPr>
                <w:rFonts w:ascii="Calibri" w:hAnsi="Calibri"/>
                <w:b w:val="0"/>
                <w:i w:val="0"/>
                <w:color w:val="212121"/>
                <w:sz w:val="19"/>
              </w:rPr>
              <w:t>The pooled prevalence of PCOS in Indian women is about 11.3% (roughly 10% by Rotterdam/AES and 5.8% by NIH criteria); it is the commonest ovulatory cause of infertility.</w:t>
            </w:r>
          </w:p>
          <w:p>
            <w:pPr>
              <w:spacing w:after="40" w:line="252" w:lineRule="auto"/>
            </w:pPr>
            <w:hyperlink r:id="rId14">
              <w:r>
                <w:rPr>
                  <w:rFonts w:ascii="Calibri" w:hAnsi="Calibri" w:cs="Calibri"/>
                  <w:sz w:val="18"/>
                  <w:color w:val="1155CC"/>
                  <w:u w:val="single"/>
                </w:rPr>
                <w:t xml:space="preserve">pubmed — Bharali, PCOS in India meta-analysis (Cureus 2022)</w:t>
              </w:r>
            </w:hyperlink>
          </w:p>
          <w:p>
            <w:pPr>
              <w:spacing w:before="60" w:after="40"/>
            </w:pPr>
            <w:r>
              <w:rPr>
                <w:rFonts w:ascii="Calibri" w:hAnsi="Calibri"/>
                <w:b w:val="0"/>
                <w:i w:val="0"/>
                <w:color w:val="5A5A5A"/>
                <w:sz w:val="18"/>
              </w:rPr>
              <w:t>#PCOS  #anovulation  #hyperandrogenism  #insulinresistance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Genital tuberculosis</w:t>
            </w:r>
          </w:p>
        </w:tc>
        <w:tc>
          <w:tcPr>
            <w:tcW w:type="dxa" w:w="2160"/>
            <w:vAlign w:val="top"/>
          </w:tcPr>
          <w:p>
            <w:pPr>
              <w:spacing w:after="40" w:before="0" w:line="259" w:lineRule="auto"/>
            </w:pPr>
            <w:r>
              <w:rPr>
                <w:rFonts w:ascii="Calibri" w:hAnsi="Calibri"/>
                <w:b w:val="0"/>
                <w:i w:val="0"/>
                <w:color w:val="212121"/>
                <w:sz w:val="19"/>
              </w:rPr>
              <w:t>Women with female genital / pelvic tuberculosis</w:t>
            </w:r>
          </w:p>
        </w:tc>
        <w:tc>
          <w:tcPr>
            <w:tcW w:type="dxa" w:w="4276"/>
            <w:vAlign w:val="top"/>
          </w:tcPr>
          <w:p>
            <w:pPr>
              <w:spacing w:after="60" w:line="259" w:lineRule="auto"/>
            </w:pPr>
            <w:r>
              <w:rPr>
                <w:rFonts w:ascii="Calibri" w:hAnsi="Calibri"/>
                <w:b w:val="0"/>
                <w:i w:val="0"/>
                <w:color w:val="212121"/>
                <w:sz w:val="19"/>
              </w:rPr>
              <w:t>Female genital TB, a major and distinctively Indian cause of tubal-factor infertility, damages the fallopian tubes in almost all affected women and scars the endometrium, so conception rates stay low even after anti-tuberculous therapy — making early detection essential.</w:t>
            </w:r>
          </w:p>
          <w:p>
            <w:pPr>
              <w:spacing w:after="40" w:before="60" w:line="259" w:lineRule="auto"/>
            </w:pPr>
            <w:r>
              <w:rPr>
                <w:rFonts w:ascii="Calibri" w:hAnsi="Calibri"/>
                <w:b w:val="0"/>
                <w:i w:val="0"/>
                <w:color w:val="212121"/>
                <w:sz w:val="19"/>
              </w:rPr>
              <w:t>Among 374 infertile Indian women undergoing laparoscopy, definite genital TB was found in 43.86% (with 81% having primary infertility); the tubes are involved in almost all cases.</w:t>
            </w:r>
          </w:p>
          <w:p>
            <w:pPr>
              <w:spacing w:after="40" w:line="252" w:lineRule="auto"/>
            </w:pPr>
            <w:hyperlink r:id="rId15">
              <w:r>
                <w:rPr>
                  <w:rFonts w:ascii="Calibri" w:hAnsi="Calibri" w:cs="Calibri"/>
                  <w:sz w:val="18"/>
                  <w:color w:val="1155CC"/>
                  <w:u w:val="single"/>
                </w:rPr>
                <w:t xml:space="preserve">pubmed — Sharma JB, laparoscopy for genital TB (Indian J Med Res 2023)</w:t>
              </w:r>
            </w:hyperlink>
          </w:p>
          <w:p>
            <w:pPr>
              <w:spacing w:before="60" w:after="40"/>
            </w:pPr>
            <w:r>
              <w:rPr>
                <w:rFonts w:ascii="Calibri" w:hAnsi="Calibri"/>
                <w:b w:val="0"/>
                <w:i w:val="0"/>
                <w:color w:val="5A5A5A"/>
                <w:sz w:val="18"/>
              </w:rPr>
              <w:t>#genitalTB  #tubalfactor  #India  #endometrialTB  #GeneXpert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Endometriosis</w:t>
            </w:r>
          </w:p>
        </w:tc>
        <w:tc>
          <w:tcPr>
            <w:tcW w:type="dxa" w:w="2160"/>
            <w:vAlign w:val="top"/>
          </w:tcPr>
          <w:p>
            <w:pPr>
              <w:spacing w:after="40" w:before="0" w:line="259" w:lineRule="auto"/>
            </w:pPr>
            <w:r>
              <w:rPr>
                <w:rFonts w:ascii="Calibri" w:hAnsi="Calibri"/>
                <w:b w:val="0"/>
                <w:i w:val="0"/>
                <w:color w:val="212121"/>
                <w:sz w:val="19"/>
              </w:rPr>
              <w:t>Women with endometriosis</w:t>
            </w:r>
          </w:p>
        </w:tc>
        <w:tc>
          <w:tcPr>
            <w:tcW w:type="dxa" w:w="4276"/>
            <w:vAlign w:val="top"/>
          </w:tcPr>
          <w:p>
            <w:pPr>
              <w:spacing w:after="60" w:line="259" w:lineRule="auto"/>
            </w:pPr>
            <w:r>
              <w:rPr>
                <w:rFonts w:ascii="Calibri" w:hAnsi="Calibri"/>
                <w:b w:val="0"/>
                <w:i w:val="0"/>
                <w:color w:val="212121"/>
                <w:sz w:val="19"/>
              </w:rPr>
              <w:t>Ectopic endometrial tissue causes chronic pelvic inflammation, adhesions and distorted anatomy and impairs oocyte and embryo quality, so endometriosis is over-represented among infertile women and often found only at laparoscopy.</w:t>
            </w:r>
          </w:p>
          <w:p>
            <w:pPr>
              <w:spacing w:after="40" w:before="60" w:line="259" w:lineRule="auto"/>
            </w:pPr>
            <w:r>
              <w:rPr>
                <w:rFonts w:ascii="Calibri" w:hAnsi="Calibri"/>
                <w:b w:val="0"/>
                <w:i w:val="0"/>
                <w:color w:val="212121"/>
                <w:sz w:val="19"/>
              </w:rPr>
              <w:t>In an Indian series of 502 infertile women undergoing diagnostic laparoscopy, endometriosis was present in about 55% (mostly early, stage I).</w:t>
            </w:r>
          </w:p>
          <w:p>
            <w:pPr>
              <w:spacing w:after="40" w:line="252" w:lineRule="auto"/>
            </w:pPr>
            <w:hyperlink r:id="rId16">
              <w:r>
                <w:rPr>
                  <w:rFonts w:ascii="Calibri" w:hAnsi="Calibri" w:cs="Calibri"/>
                  <w:sz w:val="18"/>
                  <w:color w:val="1155CC"/>
                  <w:u w:val="single"/>
                </w:rPr>
                <w:t xml:space="preserve">pubmed — Mishra, endometriosis in infertile women (JOGI 2017)</w:t>
              </w:r>
            </w:hyperlink>
          </w:p>
          <w:p>
            <w:pPr>
              <w:spacing w:before="60" w:after="40"/>
            </w:pPr>
            <w:r>
              <w:rPr>
                <w:rFonts w:ascii="Calibri" w:hAnsi="Calibri"/>
                <w:b w:val="0"/>
                <w:i w:val="0"/>
                <w:color w:val="5A5A5A"/>
                <w:sz w:val="18"/>
              </w:rPr>
              <w:t>#endometriosis  #pelvicadhesions  #laparoscopy  #dysmenorrhoea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dysfunction &amp; hyperprolactinaemia</w:t>
            </w:r>
          </w:p>
        </w:tc>
        <w:tc>
          <w:tcPr>
            <w:tcW w:type="dxa" w:w="2160"/>
            <w:vAlign w:val="top"/>
          </w:tcPr>
          <w:p>
            <w:pPr>
              <w:spacing w:after="40" w:before="0" w:line="259" w:lineRule="auto"/>
            </w:pPr>
            <w:r>
              <w:rPr>
                <w:rFonts w:ascii="Calibri" w:hAnsi="Calibri"/>
                <w:b w:val="0"/>
                <w:i w:val="0"/>
                <w:color w:val="212121"/>
                <w:sz w:val="19"/>
              </w:rPr>
              <w:t>Women with hypothyroidism or raised prolactin</w:t>
            </w:r>
          </w:p>
        </w:tc>
        <w:tc>
          <w:tcPr>
            <w:tcW w:type="dxa" w:w="4276"/>
            <w:vAlign w:val="top"/>
          </w:tcPr>
          <w:p>
            <w:pPr>
              <w:spacing w:after="60" w:line="259" w:lineRule="auto"/>
            </w:pPr>
            <w:r>
              <w:rPr>
                <w:rFonts w:ascii="Calibri" w:hAnsi="Calibri"/>
                <w:b w:val="0"/>
                <w:i w:val="0"/>
                <w:color w:val="212121"/>
                <w:sz w:val="19"/>
              </w:rPr>
              <w:t>Hypothyroidism and hyperprolactinaemia are common, readily correctable endocrine causes of anovulation and menstrual disturbance; screening TSH and prolactin and treating abnormalities can restore ovulation and fertility.</w:t>
            </w:r>
          </w:p>
          <w:p>
            <w:pPr>
              <w:spacing w:after="40" w:before="60" w:line="259" w:lineRule="auto"/>
            </w:pPr>
            <w:r>
              <w:rPr>
                <w:rFonts w:ascii="Calibri" w:hAnsi="Calibri"/>
                <w:b w:val="0"/>
                <w:i w:val="0"/>
                <w:color w:val="212121"/>
                <w:sz w:val="19"/>
              </w:rPr>
              <w:t>Hyperprolactinaemia was found in 41% of infertile women (versus 15% of fertile controls), with about 60% having menstrual disorders, in an Indian study of 160 infertile women.</w:t>
            </w:r>
          </w:p>
          <w:p>
            <w:pPr>
              <w:spacing w:after="40" w:line="252" w:lineRule="auto"/>
            </w:pPr>
            <w:hyperlink r:id="rId17">
              <w:r>
                <w:rPr>
                  <w:rFonts w:ascii="Calibri" w:hAnsi="Calibri" w:cs="Calibri"/>
                  <w:sz w:val="18"/>
                  <w:color w:val="1155CC"/>
                  <w:u w:val="single"/>
                </w:rPr>
                <w:t xml:space="preserve">pubmed — Binita, prolactin &amp; thyroid in infertility (J Reprod Infertil 2009)</w:t>
              </w:r>
            </w:hyperlink>
          </w:p>
          <w:p>
            <w:pPr>
              <w:spacing w:before="60" w:after="40"/>
            </w:pPr>
            <w:r>
              <w:rPr>
                <w:rFonts w:ascii="Calibri" w:hAnsi="Calibri"/>
                <w:b w:val="0"/>
                <w:i w:val="0"/>
                <w:color w:val="5A5A5A"/>
                <w:sz w:val="18"/>
              </w:rPr>
              <w:t>#hypothyroidism  #hyperprolactinaemia  #TSH  #prolactin  #anovulation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Pelvic inflammatory disease / STIs</w:t>
            </w:r>
          </w:p>
        </w:tc>
        <w:tc>
          <w:tcPr>
            <w:tcW w:type="dxa" w:w="2160"/>
            <w:vAlign w:val="top"/>
          </w:tcPr>
          <w:p>
            <w:pPr>
              <w:spacing w:after="40" w:before="0" w:line="259" w:lineRule="auto"/>
            </w:pPr>
            <w:r>
              <w:rPr>
                <w:rFonts w:ascii="Calibri" w:hAnsi="Calibri"/>
                <w:b w:val="0"/>
                <w:i w:val="0"/>
                <w:color w:val="212121"/>
                <w:sz w:val="19"/>
              </w:rPr>
              <w:t>Women with prior PID, chlamydia or gonorrhoea</w:t>
            </w:r>
          </w:p>
        </w:tc>
        <w:tc>
          <w:tcPr>
            <w:tcW w:type="dxa" w:w="4276"/>
            <w:vAlign w:val="top"/>
          </w:tcPr>
          <w:p>
            <w:pPr>
              <w:spacing w:after="60" w:line="259" w:lineRule="auto"/>
            </w:pPr>
            <w:r>
              <w:rPr>
                <w:rFonts w:ascii="Calibri" w:hAnsi="Calibri"/>
                <w:b w:val="0"/>
                <w:i w:val="0"/>
                <w:color w:val="212121"/>
                <w:sz w:val="19"/>
              </w:rPr>
              <w:t>Ascending sexually transmitted infection (chlamydia, gonorrhoea) and pelvic inflammatory disease scar and block the fallopian tubes and raise the risk of ectopic pregnancy; untreated infection is a leading preventable cause of tubal-factor infertility.</w:t>
            </w:r>
          </w:p>
          <w:p>
            <w:pPr>
              <w:spacing w:after="40" w:before="60" w:line="259" w:lineRule="auto"/>
            </w:pPr>
            <w:r>
              <w:rPr>
                <w:rFonts w:ascii="Calibri" w:hAnsi="Calibri"/>
                <w:b w:val="0"/>
                <w:i w:val="0"/>
                <w:color w:val="212121"/>
                <w:sz w:val="19"/>
              </w:rPr>
              <w:t>Tubal disorders from untreated STIs, unsafe abortion or postpartum sepsis are a recognised major cause of female infertility.</w:t>
            </w:r>
          </w:p>
          <w:p>
            <w:pPr>
              <w:spacing w:after="40" w:line="252" w:lineRule="auto"/>
            </w:pPr>
            <w:hyperlink r:id="rId9">
              <w:r>
                <w:rPr>
                  <w:rFonts w:ascii="Calibri" w:hAnsi="Calibri" w:cs="Calibri"/>
                  <w:sz w:val="18"/>
                  <w:color w:val="1155CC"/>
                  <w:u w:val="single"/>
                </w:rPr>
                <w:t xml:space="preserve">who.int — infertility fact sheet</w:t>
              </w:r>
            </w:hyperlink>
          </w:p>
          <w:p>
            <w:pPr>
              <w:spacing w:before="60" w:after="40"/>
            </w:pPr>
            <w:r>
              <w:rPr>
                <w:rFonts w:ascii="Calibri" w:hAnsi="Calibri"/>
                <w:b w:val="0"/>
                <w:i w:val="0"/>
                <w:color w:val="5A5A5A"/>
                <w:sz w:val="18"/>
              </w:rPr>
              <w:t>#PID  #chlamydia  #tubalfactor  #STIs  #ectopicrisk</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moderate activity with a healthy weight improves insulin sensitivity and restores ovulation in overweight/PCOS women, whereas both a sedentary lifestyle (weight gain, anovulation) and excessive strenuous exercise (hypothalamic anovulation) impair fertility. The effect is meaningful but indirect, through weight and the HPO axis.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Diets high in refined carbohydrate and trans fats and low in folate, iron, vitamin D and antioxidants are linked to ovulatory dysfunction; a balanced 'fertility diet' and weight optimisation improve ovulation, particularly in PCOS. Widespread anaemia and vitamin-D deficiency add relevance in India.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Circadian disruption and shift work are associated with menstrual irregularity and reduced fecundability, and poor sleep is common in PCOS; adequate, regular sleep supports normal LH/FSH and ovulatory function.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passive and smokeless tobacco accelerate ovarian follicle depletion (earlier menopause), impair tubal ciliary transport and lower natural and IVF conception rates; smoking is one of the most important modifiable reproductive toxins.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or frequent alcohol intake reduces fecundability and disturbs ovulation in a dose-dependent manner; minimising alcohol is advised while trying to conceive, and abstinence is recommended once pregnant.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bidirectional — chronic stress, anxiety and depression may perturb the hypothalamic-pituitary-ovarian axis and reduce treatment adherence, while infertility itself and its social stigma (marked in India) cause substantial psychological distress. Stress reduction supports engagement with care.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and mucosal health but has no established direct effect on ovulation, tubal function or conception.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High caffeine intake (above roughly 200–300 mg/day) has been weakly associated with reduced fecundability and higher miscarriage risk; moderate intake appears to have little effect.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Safer sexual practices, prompt treatment of reproductive-tract and sexually transmitted infection, and safe delivery and abortion care reduce pelvic inflammatory disease and tubal-factor infertility — a major preventable pathway in India; general genital hygiene is supportive.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dominant provoking factors are untreated pelvic/sexually transmitted infection and genital tuberculosis, unsafe abortion or postpartum sepsis, pelvic surgery, endometriosis, PCOS, endocrine disease and, crucially, delayed childbearing with age-related decline in ovarian reserve.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 Asian-Indian cut-off)</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25 (obese) or &lt; 18.5 (underweight)</w:t>
            </w:r>
          </w:p>
        </w:tc>
        <w:tc>
          <w:tcPr>
            <w:tcW w:type="dxa" w:w="1468"/>
            <w:vAlign w:val="top"/>
          </w:tcPr>
          <w:p>
            <w:pPr>
              <w:spacing w:after="60" w:line="259" w:lineRule="auto"/>
            </w:pPr>
            <w:r>
              <w:rPr>
                <w:rFonts w:ascii="Calibri" w:hAnsi="Calibri"/>
                <w:b w:val="0"/>
                <w:i w:val="0"/>
                <w:color w:val="212121"/>
                <w:sz w:val="19"/>
              </w:rPr>
              <w:t>Both obesity and low body weight impair ovulation; weight normalisation can restore fertility</w:t>
            </w:r>
          </w:p>
          <w:p>
            <w:pPr>
              <w:spacing w:after="40" w:line="252" w:lineRule="auto"/>
            </w:pPr>
            <w:hyperlink r:id="rId13">
              <w:r>
                <w:rPr>
                  <w:rFonts w:ascii="Calibri" w:hAnsi="Calibri" w:cs="Calibri"/>
                  <w:sz w:val="18"/>
                  <w:color w:val="1155CC"/>
                  <w:u w:val="single"/>
                </w:rPr>
                <w:t xml:space="preserve">https://pubmed.ncbi.nlm.nih.gov/37672315/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Women with suspected PCOS</w:t>
            </w:r>
          </w:p>
        </w:tc>
        <w:tc>
          <w:tcPr>
            <w:tcW w:type="dxa" w:w="1512"/>
            <w:vAlign w:val="top"/>
          </w:tcPr>
          <w:p>
            <w:pPr>
              <w:spacing w:after="40" w:before="0" w:line="259" w:lineRule="auto"/>
            </w:pPr>
            <w:r>
              <w:rPr>
                <w:rFonts w:ascii="Calibri" w:hAnsi="Calibri"/>
                <w:b w:val="0"/>
                <w:i w:val="0"/>
                <w:color w:val="212121"/>
                <w:sz w:val="19"/>
              </w:rPr>
              <w:t>&lt; 80 cm</w:t>
            </w:r>
          </w:p>
        </w:tc>
        <w:tc>
          <w:tcPr>
            <w:tcW w:type="dxa" w:w="1512"/>
            <w:vAlign w:val="top"/>
          </w:tcPr>
          <w:p>
            <w:pPr>
              <w:spacing w:after="40" w:before="0" w:line="259" w:lineRule="auto"/>
            </w:pPr>
            <w:r>
              <w:rPr>
                <w:rFonts w:ascii="Calibri" w:hAnsi="Calibri"/>
                <w:b w:val="0"/>
                <w:i w:val="0"/>
                <w:color w:val="212121"/>
                <w:sz w:val="19"/>
              </w:rPr>
              <w:t>≥ 80 cm</w:t>
            </w:r>
          </w:p>
        </w:tc>
        <w:tc>
          <w:tcPr>
            <w:tcW w:type="dxa" w:w="1468"/>
            <w:vAlign w:val="top"/>
          </w:tcPr>
          <w:p>
            <w:pPr>
              <w:spacing w:after="40" w:before="0" w:line="259" w:lineRule="auto"/>
            </w:pPr>
            <w:r>
              <w:rPr>
                <w:rFonts w:ascii="Calibri" w:hAnsi="Calibri"/>
                <w:b w:val="0"/>
                <w:i w:val="0"/>
                <w:color w:val="212121"/>
                <w:sz w:val="19"/>
              </w:rPr>
              <w:t>Central adiposity marks insulin resistance driving anovulation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activity (min/week)</w:t>
            </w:r>
          </w:p>
        </w:tc>
        <w:tc>
          <w:tcPr>
            <w:tcW w:type="dxa" w:w="1655"/>
            <w:vAlign w:val="top"/>
          </w:tcPr>
          <w:p>
            <w:pPr>
              <w:spacing w:after="40" w:before="0" w:line="259" w:lineRule="auto"/>
            </w:pPr>
            <w:r>
              <w:rPr>
                <w:rFonts w:ascii="Calibri" w:hAnsi="Calibri"/>
                <w:b w:val="0"/>
                <w:i w:val="0"/>
                <w:color w:val="212121"/>
                <w:sz w:val="19"/>
              </w:rPr>
              <w:t>Overweight/PCOS women</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 (or very high-volume exercise)</w:t>
            </w:r>
          </w:p>
        </w:tc>
        <w:tc>
          <w:tcPr>
            <w:tcW w:type="dxa" w:w="1468"/>
            <w:vAlign w:val="top"/>
          </w:tcPr>
          <w:p>
            <w:pPr>
              <w:spacing w:after="40" w:before="0" w:line="259" w:lineRule="auto"/>
            </w:pPr>
            <w:r>
              <w:rPr>
                <w:rFonts w:ascii="Calibri" w:hAnsi="Calibri"/>
                <w:b w:val="0"/>
                <w:i w:val="0"/>
                <w:color w:val="212121"/>
                <w:sz w:val="19"/>
              </w:rPr>
              <w:t>Moderate activity aids ovulation; excessive exercise causes hypothalamic anovulation</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Micronutrient status (folate, vitamin D, haemoglobin)</w:t>
            </w:r>
          </w:p>
        </w:tc>
        <w:tc>
          <w:tcPr>
            <w:tcW w:type="dxa" w:w="1655"/>
            <w:vAlign w:val="top"/>
          </w:tcPr>
          <w:p>
            <w:pPr>
              <w:spacing w:after="40" w:before="0" w:line="259" w:lineRule="auto"/>
            </w:pPr>
            <w:r>
              <w:rPr>
                <w:rFonts w:ascii="Calibri" w:hAnsi="Calibri"/>
                <w:b w:val="0"/>
                <w:i w:val="0"/>
                <w:color w:val="212121"/>
                <w:sz w:val="19"/>
              </w:rPr>
              <w:t>Women trying to conceive</w:t>
            </w:r>
          </w:p>
        </w:tc>
        <w:tc>
          <w:tcPr>
            <w:tcW w:type="dxa" w:w="1512"/>
            <w:vAlign w:val="top"/>
          </w:tcPr>
          <w:p>
            <w:pPr>
              <w:spacing w:after="40" w:before="0" w:line="259" w:lineRule="auto"/>
            </w:pPr>
            <w:r>
              <w:rPr>
                <w:rFonts w:ascii="Calibri" w:hAnsi="Calibri"/>
                <w:b w:val="0"/>
                <w:i w:val="0"/>
                <w:color w:val="212121"/>
                <w:sz w:val="19"/>
              </w:rPr>
              <w:t>Replete; Hb ≥ 12 g/dL; periconceptional folate</w:t>
            </w:r>
          </w:p>
        </w:tc>
        <w:tc>
          <w:tcPr>
            <w:tcW w:type="dxa" w:w="1512"/>
            <w:vAlign w:val="top"/>
          </w:tcPr>
          <w:p>
            <w:pPr>
              <w:spacing w:after="40" w:before="0" w:line="259" w:lineRule="auto"/>
            </w:pPr>
            <w:r>
              <w:rPr>
                <w:rFonts w:ascii="Calibri" w:hAnsi="Calibri"/>
                <w:b w:val="0"/>
                <w:i w:val="0"/>
                <w:color w:val="212121"/>
                <w:sz w:val="19"/>
              </w:rPr>
              <w:t>Anaemia (Hb &lt; 12) or vitamin-D deficiency</w:t>
            </w:r>
          </w:p>
        </w:tc>
        <w:tc>
          <w:tcPr>
            <w:tcW w:type="dxa" w:w="1468"/>
            <w:vAlign w:val="top"/>
          </w:tcPr>
          <w:p>
            <w:pPr>
              <w:spacing w:after="40" w:before="0" w:line="259" w:lineRule="auto"/>
            </w:pPr>
            <w:r>
              <w:rPr>
                <w:rFonts w:ascii="Calibri" w:hAnsi="Calibri"/>
                <w:b w:val="0"/>
                <w:i w:val="0"/>
                <w:color w:val="212121"/>
                <w:sz w:val="19"/>
              </w:rPr>
              <w:t>Correct deficiency and start folic acid before conception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 (or any smokeless tobacco)</w:t>
            </w:r>
          </w:p>
        </w:tc>
        <w:tc>
          <w:tcPr>
            <w:tcW w:type="dxa" w:w="1468"/>
            <w:vAlign w:val="top"/>
          </w:tcPr>
          <w:p>
            <w:pPr>
              <w:spacing w:after="40" w:before="0" w:line="259" w:lineRule="auto"/>
            </w:pPr>
            <w:r>
              <w:rPr>
                <w:rFonts w:ascii="Calibri" w:hAnsi="Calibri"/>
                <w:b w:val="0"/>
                <w:i w:val="0"/>
                <w:color w:val="212121"/>
                <w:sz w:val="19"/>
              </w:rPr>
              <w:t>Any tobacco accelerates ovarian ageing and lowers conception rates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Women trying to conceive</w:t>
            </w:r>
          </w:p>
        </w:tc>
        <w:tc>
          <w:tcPr>
            <w:tcW w:type="dxa" w:w="1512"/>
            <w:vAlign w:val="top"/>
          </w:tcPr>
          <w:p>
            <w:pPr>
              <w:spacing w:after="40" w:before="0" w:line="259" w:lineRule="auto"/>
            </w:pPr>
            <w:r>
              <w:rPr>
                <w:rFonts w:ascii="Calibri" w:hAnsi="Calibri"/>
                <w:b w:val="0"/>
                <w:i w:val="0"/>
                <w:color w:val="212121"/>
                <w:sz w:val="19"/>
              </w:rPr>
              <w:t>None / minimal</w:t>
            </w:r>
          </w:p>
        </w:tc>
        <w:tc>
          <w:tcPr>
            <w:tcW w:type="dxa" w:w="1512"/>
            <w:vAlign w:val="top"/>
          </w:tcPr>
          <w:p>
            <w:pPr>
              <w:spacing w:after="40" w:before="0" w:line="259" w:lineRule="auto"/>
            </w:pPr>
            <w:r>
              <w:rPr>
                <w:rFonts w:ascii="Calibri" w:hAnsi="Calibri"/>
                <w:b w:val="0"/>
                <w:i w:val="0"/>
                <w:color w:val="212121"/>
                <w:sz w:val="19"/>
              </w:rPr>
              <w:t>Heavy or frequent intake</w:t>
            </w:r>
          </w:p>
        </w:tc>
        <w:tc>
          <w:tcPr>
            <w:tcW w:type="dxa" w:w="1468"/>
            <w:vAlign w:val="top"/>
          </w:tcPr>
          <w:p>
            <w:pPr>
              <w:spacing w:after="40" w:before="0" w:line="259" w:lineRule="auto"/>
            </w:pPr>
            <w:r>
              <w:rPr>
                <w:rFonts w:ascii="Calibri" w:hAnsi="Calibri"/>
                <w:b w:val="0"/>
                <w:i w:val="0"/>
                <w:color w:val="212121"/>
                <w:sz w:val="19"/>
              </w:rPr>
              <w:t>Dose-dependent reduction in fecundability; abstain in pregnancy</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(mg/day)</w:t>
            </w:r>
          </w:p>
        </w:tc>
        <w:tc>
          <w:tcPr>
            <w:tcW w:type="dxa" w:w="1655"/>
            <w:vAlign w:val="top"/>
          </w:tcPr>
          <w:p>
            <w:pPr>
              <w:spacing w:after="40" w:before="0" w:line="259" w:lineRule="auto"/>
            </w:pPr>
            <w:r>
              <w:rPr>
                <w:rFonts w:ascii="Calibri" w:hAnsi="Calibri"/>
                <w:b w:val="0"/>
                <w:i w:val="0"/>
                <w:color w:val="212121"/>
                <w:sz w:val="19"/>
              </w:rPr>
              <w:t>Women trying to conceive</w:t>
            </w:r>
          </w:p>
        </w:tc>
        <w:tc>
          <w:tcPr>
            <w:tcW w:type="dxa" w:w="1512"/>
            <w:vAlign w:val="top"/>
          </w:tcPr>
          <w:p>
            <w:pPr>
              <w:spacing w:after="40" w:before="0" w:line="259" w:lineRule="auto"/>
            </w:pPr>
            <w:r>
              <w:rPr>
                <w:rFonts w:ascii="Calibri" w:hAnsi="Calibri"/>
                <w:b w:val="0"/>
                <w:i w:val="0"/>
                <w:color w:val="212121"/>
                <w:sz w:val="19"/>
              </w:rPr>
              <w:t>&lt; 200 mg/day</w:t>
            </w:r>
          </w:p>
        </w:tc>
        <w:tc>
          <w:tcPr>
            <w:tcW w:type="dxa" w:w="1512"/>
            <w:vAlign w:val="top"/>
          </w:tcPr>
          <w:p>
            <w:pPr>
              <w:spacing w:after="40" w:before="0" w:line="259" w:lineRule="auto"/>
            </w:pPr>
            <w:r>
              <w:rPr>
                <w:rFonts w:ascii="Calibri" w:hAnsi="Calibri"/>
                <w:b w:val="0"/>
                <w:i w:val="0"/>
                <w:color w:val="212121"/>
                <w:sz w:val="19"/>
              </w:rPr>
              <w:t>&gt; 300 mg/day</w:t>
            </w:r>
          </w:p>
        </w:tc>
        <w:tc>
          <w:tcPr>
            <w:tcW w:type="dxa" w:w="1468"/>
            <w:vAlign w:val="top"/>
          </w:tcPr>
          <w:p>
            <w:pPr>
              <w:spacing w:after="40" w:before="0" w:line="259" w:lineRule="auto"/>
            </w:pPr>
            <w:r>
              <w:rPr>
                <w:rFonts w:ascii="Calibri" w:hAnsi="Calibri"/>
                <w:b w:val="0"/>
                <w:i w:val="0"/>
                <w:color w:val="212121"/>
                <w:sz w:val="19"/>
              </w:rPr>
              <w:t>High intake weakly linked to lower fecundability and miscarriage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shift work</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7–9 h/night; stable schedule</w:t>
            </w:r>
          </w:p>
        </w:tc>
        <w:tc>
          <w:tcPr>
            <w:tcW w:type="dxa" w:w="1512"/>
            <w:vAlign w:val="top"/>
          </w:tcPr>
          <w:p>
            <w:pPr>
              <w:spacing w:after="40" w:before="0" w:line="259" w:lineRule="auto"/>
            </w:pPr>
            <w:r>
              <w:rPr>
                <w:rFonts w:ascii="Calibri" w:hAnsi="Calibri"/>
                <w:b w:val="0"/>
                <w:i w:val="0"/>
                <w:color w:val="212121"/>
                <w:sz w:val="19"/>
              </w:rPr>
              <w:t>&lt; 6 h or rotating night shifts</w:t>
            </w:r>
          </w:p>
        </w:tc>
        <w:tc>
          <w:tcPr>
            <w:tcW w:type="dxa" w:w="1468"/>
            <w:vAlign w:val="top"/>
          </w:tcPr>
          <w:p>
            <w:pPr>
              <w:spacing w:after="40" w:before="0" w:line="259" w:lineRule="auto"/>
            </w:pPr>
            <w:r>
              <w:rPr>
                <w:rFonts w:ascii="Calibri" w:hAnsi="Calibri"/>
                <w:b w:val="0"/>
                <w:i w:val="0"/>
                <w:color w:val="212121"/>
                <w:sz w:val="19"/>
              </w:rPr>
              <w:t>Circadian disruption is linked to menstrual/ovulatory irregularity</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Age at attempting conception</w:t>
            </w:r>
          </w:p>
        </w:tc>
        <w:tc>
          <w:tcPr>
            <w:tcW w:type="dxa" w:w="1655"/>
            <w:vAlign w:val="top"/>
          </w:tcPr>
          <w:p>
            <w:pPr>
              <w:spacing w:after="40" w:before="0" w:line="259" w:lineRule="auto"/>
            </w:pPr>
            <w:r>
              <w:rPr>
                <w:rFonts w:ascii="Calibri" w:hAnsi="Calibri"/>
                <w:b w:val="0"/>
                <w:i w:val="0"/>
                <w:color w:val="212121"/>
                <w:sz w:val="19"/>
              </w:rPr>
              <w:t>Women planning pregnancy</w:t>
            </w:r>
          </w:p>
        </w:tc>
        <w:tc>
          <w:tcPr>
            <w:tcW w:type="dxa" w:w="1512"/>
            <w:vAlign w:val="top"/>
          </w:tcPr>
          <w:p>
            <w:pPr>
              <w:spacing w:after="40" w:before="0" w:line="259" w:lineRule="auto"/>
            </w:pPr>
            <w:r>
              <w:rPr>
                <w:rFonts w:ascii="Calibri" w:hAnsi="Calibri"/>
                <w:b w:val="0"/>
                <w:i w:val="0"/>
                <w:color w:val="212121"/>
                <w:sz w:val="19"/>
              </w:rPr>
              <w:t>&lt; 35 years</w:t>
            </w:r>
          </w:p>
        </w:tc>
        <w:tc>
          <w:tcPr>
            <w:tcW w:type="dxa" w:w="1512"/>
            <w:vAlign w:val="top"/>
          </w:tcPr>
          <w:p>
            <w:pPr>
              <w:spacing w:after="40" w:before="0" w:line="259" w:lineRule="auto"/>
            </w:pPr>
            <w:r>
              <w:rPr>
                <w:rFonts w:ascii="Calibri" w:hAnsi="Calibri"/>
                <w:b w:val="0"/>
                <w:i w:val="0"/>
                <w:color w:val="212121"/>
                <w:sz w:val="19"/>
              </w:rPr>
              <w:t>≥ 35 years (evaluate after 6 months)</w:t>
            </w:r>
          </w:p>
        </w:tc>
        <w:tc>
          <w:tcPr>
            <w:tcW w:type="dxa" w:w="1468"/>
            <w:vAlign w:val="top"/>
          </w:tcPr>
          <w:p>
            <w:pPr>
              <w:spacing w:after="60" w:line="259" w:lineRule="auto"/>
            </w:pPr>
            <w:r>
              <w:rPr>
                <w:rFonts w:ascii="Calibri" w:hAnsi="Calibri"/>
                <w:b w:val="0"/>
                <w:i w:val="0"/>
                <w:color w:val="212121"/>
                <w:sz w:val="19"/>
              </w:rPr>
              <w:t>Fecundity falls markedly after 35 and steeply after 40</w:t>
            </w:r>
          </w:p>
          <w:p>
            <w:pPr>
              <w:spacing w:after="40" w:line="252" w:lineRule="auto"/>
            </w:pPr>
            <w:hyperlink r:id="rId9">
              <w:r>
                <w:rPr>
                  <w:rFonts w:ascii="Calibri" w:hAnsi="Calibri" w:cs="Calibri"/>
                  <w:sz w:val="18"/>
                  <w:color w:val="1155CC"/>
                  <w:u w:val="single"/>
                </w:rPr>
                <w:t xml:space="preserve">https://www.who.int/news-room/fact-sheets/detail/infertility</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Anti-Müllerian hormone (AMH)</w:t>
            </w:r>
          </w:p>
        </w:tc>
        <w:tc>
          <w:tcPr>
            <w:tcW w:type="dxa" w:w="1655"/>
            <w:vAlign w:val="top"/>
          </w:tcPr>
          <w:p>
            <w:pPr>
              <w:spacing w:after="40" w:before="0" w:line="259" w:lineRule="auto"/>
            </w:pPr>
            <w:r>
              <w:rPr>
                <w:rFonts w:ascii="Calibri" w:hAnsi="Calibri"/>
                <w:b w:val="0"/>
                <w:i w:val="0"/>
                <w:color w:val="212121"/>
                <w:sz w:val="19"/>
              </w:rPr>
              <w:t>Women with suspected low reserve</w:t>
            </w:r>
          </w:p>
        </w:tc>
        <w:tc>
          <w:tcPr>
            <w:tcW w:type="dxa" w:w="1512"/>
            <w:vAlign w:val="top"/>
          </w:tcPr>
          <w:p>
            <w:pPr>
              <w:spacing w:after="40" w:before="0" w:line="259" w:lineRule="auto"/>
            </w:pPr>
            <w:r>
              <w:rPr>
                <w:rFonts w:ascii="Calibri" w:hAnsi="Calibri"/>
                <w:b w:val="0"/>
                <w:i w:val="0"/>
                <w:color w:val="212121"/>
                <w:sz w:val="19"/>
              </w:rPr>
              <w:t>Age-appropriate normal</w:t>
            </w:r>
          </w:p>
        </w:tc>
        <w:tc>
          <w:tcPr>
            <w:tcW w:type="dxa" w:w="1512"/>
            <w:vAlign w:val="top"/>
          </w:tcPr>
          <w:p>
            <w:pPr>
              <w:spacing w:after="40" w:before="0" w:line="259" w:lineRule="auto"/>
            </w:pPr>
            <w:r>
              <w:rPr>
                <w:rFonts w:ascii="Calibri" w:hAnsi="Calibri"/>
                <w:b w:val="0"/>
                <w:i w:val="0"/>
                <w:color w:val="212121"/>
                <w:sz w:val="19"/>
              </w:rPr>
              <w:t>Low for age</w:t>
            </w:r>
          </w:p>
        </w:tc>
        <w:tc>
          <w:tcPr>
            <w:tcW w:type="dxa" w:w="1468"/>
            <w:vAlign w:val="top"/>
          </w:tcPr>
          <w:p>
            <w:pPr>
              <w:spacing w:after="40" w:before="0" w:line="259" w:lineRule="auto"/>
            </w:pPr>
            <w:r>
              <w:rPr>
                <w:rFonts w:ascii="Calibri" w:hAnsi="Calibri"/>
                <w:b w:val="0"/>
                <w:i w:val="0"/>
                <w:color w:val="212121"/>
                <w:sz w:val="19"/>
              </w:rPr>
              <w:t>Marker of ovarian reserve; guides urgency and treatment choice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TSH (preconception)</w:t>
            </w:r>
          </w:p>
        </w:tc>
        <w:tc>
          <w:tcPr>
            <w:tcW w:type="dxa" w:w="1655"/>
            <w:vAlign w:val="top"/>
          </w:tcPr>
          <w:p>
            <w:pPr>
              <w:spacing w:after="40" w:before="0" w:line="259" w:lineRule="auto"/>
            </w:pPr>
            <w:r>
              <w:rPr>
                <w:rFonts w:ascii="Calibri" w:hAnsi="Calibri"/>
                <w:b w:val="0"/>
                <w:i w:val="0"/>
                <w:color w:val="212121"/>
                <w:sz w:val="19"/>
              </w:rPr>
              <w:t>All infertile women</w:t>
            </w:r>
          </w:p>
        </w:tc>
        <w:tc>
          <w:tcPr>
            <w:tcW w:type="dxa" w:w="1512"/>
            <w:vAlign w:val="top"/>
          </w:tcPr>
          <w:p>
            <w:pPr>
              <w:spacing w:after="40" w:before="0" w:line="259" w:lineRule="auto"/>
            </w:pPr>
            <w:r>
              <w:rPr>
                <w:rFonts w:ascii="Calibri" w:hAnsi="Calibri"/>
                <w:b w:val="0"/>
                <w:i w:val="0"/>
                <w:color w:val="212121"/>
                <w:sz w:val="19"/>
              </w:rPr>
              <w:t>0.4–2.5 mIU/L</w:t>
            </w:r>
          </w:p>
        </w:tc>
        <w:tc>
          <w:tcPr>
            <w:tcW w:type="dxa" w:w="1512"/>
            <w:vAlign w:val="top"/>
          </w:tcPr>
          <w:p>
            <w:pPr>
              <w:spacing w:after="40" w:before="0" w:line="259" w:lineRule="auto"/>
            </w:pPr>
            <w:r>
              <w:rPr>
                <w:rFonts w:ascii="Calibri" w:hAnsi="Calibri"/>
                <w:b w:val="0"/>
                <w:i w:val="0"/>
                <w:color w:val="212121"/>
                <w:sz w:val="19"/>
              </w:rPr>
              <w:t>&gt; 2.5–4 mIU/L or overt hypothyroidism</w:t>
            </w:r>
          </w:p>
        </w:tc>
        <w:tc>
          <w:tcPr>
            <w:tcW w:type="dxa" w:w="1468"/>
            <w:vAlign w:val="top"/>
          </w:tcPr>
          <w:p>
            <w:pPr>
              <w:spacing w:after="60" w:line="259" w:lineRule="auto"/>
            </w:pPr>
            <w:r>
              <w:rPr>
                <w:rFonts w:ascii="Calibri" w:hAnsi="Calibri"/>
                <w:b w:val="0"/>
                <w:i w:val="0"/>
                <w:color w:val="212121"/>
                <w:sz w:val="19"/>
              </w:rPr>
              <w:t>Treating thyroid dysfunction can restore ovulation</w:t>
            </w:r>
          </w:p>
          <w:p>
            <w:pPr>
              <w:spacing w:after="40" w:line="252" w:lineRule="auto"/>
            </w:pPr>
            <w:hyperlink r:id="rId17">
              <w:r>
                <w:rPr>
                  <w:rFonts w:ascii="Calibri" w:hAnsi="Calibri" w:cs="Calibri"/>
                  <w:sz w:val="18"/>
                  <w:color w:val="1155CC"/>
                  <w:u w:val="single"/>
                </w:rPr>
                <w:t xml:space="preserve">https://pubmed.ncbi.nlm.nih.gov/23926470/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prolactin</w:t>
            </w:r>
          </w:p>
        </w:tc>
        <w:tc>
          <w:tcPr>
            <w:tcW w:type="dxa" w:w="1655"/>
            <w:vAlign w:val="top"/>
          </w:tcPr>
          <w:p>
            <w:pPr>
              <w:spacing w:after="40" w:before="0" w:line="259" w:lineRule="auto"/>
            </w:pPr>
            <w:r>
              <w:rPr>
                <w:rFonts w:ascii="Calibri" w:hAnsi="Calibri"/>
                <w:b w:val="0"/>
                <w:i w:val="0"/>
                <w:color w:val="212121"/>
                <w:sz w:val="19"/>
              </w:rPr>
              <w:t>Women with oligomenorrhoea/galactorrhoea</w:t>
            </w:r>
          </w:p>
        </w:tc>
        <w:tc>
          <w:tcPr>
            <w:tcW w:type="dxa" w:w="1512"/>
            <w:vAlign w:val="top"/>
          </w:tcPr>
          <w:p>
            <w:pPr>
              <w:spacing w:after="40" w:before="0" w:line="259" w:lineRule="auto"/>
            </w:pPr>
            <w:r>
              <w:rPr>
                <w:rFonts w:ascii="Calibri" w:hAnsi="Calibri"/>
                <w:b w:val="0"/>
                <w:i w:val="0"/>
                <w:color w:val="212121"/>
                <w:sz w:val="19"/>
              </w:rPr>
              <w:t>Within normal range</w:t>
            </w:r>
          </w:p>
        </w:tc>
        <w:tc>
          <w:tcPr>
            <w:tcW w:type="dxa" w:w="1512"/>
            <w:vAlign w:val="top"/>
          </w:tcPr>
          <w:p>
            <w:pPr>
              <w:spacing w:after="40" w:before="0" w:line="259" w:lineRule="auto"/>
            </w:pPr>
            <w:r>
              <w:rPr>
                <w:rFonts w:ascii="Calibri" w:hAnsi="Calibri"/>
                <w:b w:val="0"/>
                <w:i w:val="0"/>
                <w:color w:val="212121"/>
                <w:sz w:val="19"/>
              </w:rPr>
              <w:t>Persistently elevated</w:t>
            </w:r>
          </w:p>
        </w:tc>
        <w:tc>
          <w:tcPr>
            <w:tcW w:type="dxa" w:w="1468"/>
            <w:vAlign w:val="top"/>
          </w:tcPr>
          <w:p>
            <w:pPr>
              <w:spacing w:after="60" w:line="259" w:lineRule="auto"/>
            </w:pPr>
            <w:r>
              <w:rPr>
                <w:rFonts w:ascii="Calibri" w:hAnsi="Calibri"/>
                <w:b w:val="0"/>
                <w:i w:val="0"/>
                <w:color w:val="212121"/>
                <w:sz w:val="19"/>
              </w:rPr>
              <w:t>Hyperprolactinaemia causes anovulation and is treatable</w:t>
            </w:r>
          </w:p>
          <w:p>
            <w:pPr>
              <w:spacing w:after="40" w:line="252" w:lineRule="auto"/>
            </w:pPr>
            <w:hyperlink r:id="rId17">
              <w:r>
                <w:rPr>
                  <w:rFonts w:ascii="Calibri" w:hAnsi="Calibri" w:cs="Calibri"/>
                  <w:sz w:val="18"/>
                  <w:color w:val="1155CC"/>
                  <w:u w:val="single"/>
                </w:rPr>
                <w:t xml:space="preserve">https://pubmed.ncbi.nlm.nih.gov/23926470/</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STI screening &amp; treatment (chlamydia/gonorrhoea)</w:t>
            </w:r>
          </w:p>
        </w:tc>
        <w:tc>
          <w:tcPr>
            <w:tcW w:type="dxa" w:w="1655"/>
            <w:vAlign w:val="top"/>
          </w:tcPr>
          <w:p>
            <w:pPr>
              <w:spacing w:after="40" w:before="0" w:line="259" w:lineRule="auto"/>
            </w:pPr>
            <w:r>
              <w:rPr>
                <w:rFonts w:ascii="Calibri" w:hAnsi="Calibri"/>
                <w:b w:val="0"/>
                <w:i w:val="0"/>
                <w:color w:val="212121"/>
                <w:sz w:val="19"/>
              </w:rPr>
              <w:t>Sexually active women</w:t>
            </w:r>
          </w:p>
        </w:tc>
        <w:tc>
          <w:tcPr>
            <w:tcW w:type="dxa" w:w="1512"/>
            <w:vAlign w:val="top"/>
          </w:tcPr>
          <w:p>
            <w:pPr>
              <w:spacing w:after="40" w:before="0" w:line="259" w:lineRule="auto"/>
            </w:pPr>
            <w:r>
              <w:rPr>
                <w:rFonts w:ascii="Calibri" w:hAnsi="Calibri"/>
                <w:b w:val="0"/>
                <w:i w:val="0"/>
                <w:color w:val="212121"/>
                <w:sz w:val="19"/>
              </w:rPr>
              <w:t>Screened &amp; treated; safer sex</w:t>
            </w:r>
          </w:p>
        </w:tc>
        <w:tc>
          <w:tcPr>
            <w:tcW w:type="dxa" w:w="1512"/>
            <w:vAlign w:val="top"/>
          </w:tcPr>
          <w:p>
            <w:pPr>
              <w:spacing w:after="40" w:before="0" w:line="259" w:lineRule="auto"/>
            </w:pPr>
            <w:r>
              <w:rPr>
                <w:rFonts w:ascii="Calibri" w:hAnsi="Calibri"/>
                <w:b w:val="0"/>
                <w:i w:val="0"/>
                <w:color w:val="212121"/>
                <w:sz w:val="19"/>
              </w:rPr>
              <w:t>Untreated STI / symptoms of PID</w:t>
            </w:r>
          </w:p>
        </w:tc>
        <w:tc>
          <w:tcPr>
            <w:tcW w:type="dxa" w:w="1468"/>
            <w:vAlign w:val="top"/>
          </w:tcPr>
          <w:p>
            <w:pPr>
              <w:spacing w:after="60" w:line="259" w:lineRule="auto"/>
            </w:pPr>
            <w:r>
              <w:rPr>
                <w:rFonts w:ascii="Calibri" w:hAnsi="Calibri"/>
                <w:b w:val="0"/>
                <w:i w:val="0"/>
                <w:color w:val="212121"/>
                <w:sz w:val="19"/>
              </w:rPr>
              <w:t>Prevents tubal-factor infertility from ascending infection</w:t>
            </w:r>
          </w:p>
          <w:p>
            <w:pPr>
              <w:spacing w:after="40" w:line="252" w:lineRule="auto"/>
            </w:pPr>
            <w:hyperlink r:id="rId9">
              <w:r>
                <w:rPr>
                  <w:rFonts w:ascii="Calibri" w:hAnsi="Calibri" w:cs="Calibri"/>
                  <w:sz w:val="18"/>
                  <w:color w:val="1155CC"/>
                  <w:u w:val="single"/>
                </w:rPr>
                <w:t xml:space="preserve">https://www.who.int/news-room/fact-sheets/detail/infertility</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Mid-luteal serum progesterone</w:t>
            </w:r>
          </w:p>
        </w:tc>
        <w:tc>
          <w:tcPr>
            <w:tcW w:type="dxa" w:w="892"/>
            <w:vAlign w:val="top"/>
          </w:tcPr>
          <w:p>
            <w:pPr>
              <w:spacing w:after="40" w:before="0" w:line="259" w:lineRule="auto"/>
            </w:pPr>
            <w:r>
              <w:rPr>
                <w:rFonts w:ascii="Calibri" w:hAnsi="Calibri"/>
                <w:b w:val="0"/>
                <w:i w:val="0"/>
                <w:color w:val="212121"/>
                <w:sz w:val="16"/>
              </w:rPr>
              <w:t>Ovulation confirmation</w:t>
            </w:r>
          </w:p>
        </w:tc>
        <w:tc>
          <w:tcPr>
            <w:tcW w:type="dxa" w:w="950"/>
            <w:vAlign w:val="top"/>
          </w:tcPr>
          <w:p>
            <w:pPr>
              <w:spacing w:after="40" w:before="0" w:line="259" w:lineRule="auto"/>
            </w:pPr>
            <w:r>
              <w:rPr>
                <w:rFonts w:ascii="Calibri" w:hAnsi="Calibri"/>
                <w:b w:val="0"/>
                <w:i w:val="0"/>
                <w:color w:val="212121"/>
                <w:sz w:val="16"/>
              </w:rPr>
              <w:t>Elevated (ovulatory range) ≈ day 21</w:t>
            </w:r>
          </w:p>
        </w:tc>
        <w:tc>
          <w:tcPr>
            <w:tcW w:type="dxa" w:w="950"/>
            <w:vAlign w:val="top"/>
          </w:tcPr>
          <w:p>
            <w:pPr>
              <w:spacing w:after="40" w:before="0" w:line="259" w:lineRule="auto"/>
            </w:pPr>
            <w:r>
              <w:rPr>
                <w:rFonts w:ascii="Calibri" w:hAnsi="Calibri"/>
                <w:b w:val="0"/>
                <w:i w:val="0"/>
                <w:color w:val="212121"/>
                <w:sz w:val="16"/>
              </w:rPr>
              <w:t>Low (anovulatory)</w:t>
            </w:r>
          </w:p>
        </w:tc>
        <w:tc>
          <w:tcPr>
            <w:tcW w:type="dxa" w:w="1036"/>
            <w:vAlign w:val="top"/>
          </w:tcPr>
          <w:p>
            <w:pPr>
              <w:spacing w:after="40" w:before="0" w:line="259" w:lineRule="auto"/>
            </w:pPr>
            <w:r>
              <w:rPr>
                <w:rFonts w:ascii="Calibri" w:hAnsi="Calibri"/>
                <w:b w:val="0"/>
                <w:i w:val="0"/>
                <w:color w:val="212121"/>
                <w:sz w:val="16"/>
              </w:rPr>
              <w:t>Confirms whether ovulation has occurred in that cycle</w:t>
            </w:r>
          </w:p>
        </w:tc>
        <w:tc>
          <w:tcPr>
            <w:tcW w:type="dxa" w:w="1036"/>
            <w:vAlign w:val="top"/>
          </w:tcPr>
          <w:p>
            <w:pPr>
              <w:spacing w:after="40" w:before="0" w:line="259" w:lineRule="auto"/>
            </w:pPr>
            <w:r>
              <w:rPr>
                <w:rFonts w:ascii="Calibri" w:hAnsi="Calibri"/>
                <w:b w:val="0"/>
                <w:i w:val="0"/>
                <w:color w:val="212121"/>
                <w:sz w:val="16"/>
              </w:rPr>
              <w:t>Women with regular or irregular cycles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Core test</w:t>
            </w:r>
          </w:p>
        </w:tc>
        <w:tc>
          <w:tcPr>
            <w:tcW w:type="dxa" w:w="720"/>
            <w:vAlign w:val="top"/>
          </w:tcPr>
          <w:p>
            <w:pPr>
              <w:spacing w:after="40" w:before="0" w:line="259" w:lineRule="auto"/>
            </w:pPr>
            <w:r>
              <w:rPr>
                <w:rFonts w:ascii="Calibri" w:hAnsi="Calibri"/>
                <w:b w:val="0"/>
                <w:i w:val="0"/>
                <w:color w:val="212121"/>
                <w:sz w:val="16"/>
              </w:rPr>
              <w:t>Timing 7 days before expected menses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Day 2–3 FSH, LH &amp; estradiol</w:t>
            </w:r>
          </w:p>
        </w:tc>
        <w:tc>
          <w:tcPr>
            <w:tcW w:type="dxa" w:w="892"/>
            <w:vAlign w:val="top"/>
          </w:tcPr>
          <w:p>
            <w:pPr>
              <w:spacing w:after="40" w:before="0" w:line="259" w:lineRule="auto"/>
            </w:pPr>
            <w:r>
              <w:rPr>
                <w:rFonts w:ascii="Calibri" w:hAnsi="Calibri"/>
                <w:b w:val="0"/>
                <w:i w:val="0"/>
                <w:color w:val="212121"/>
                <w:sz w:val="16"/>
              </w:rPr>
              <w:t>Ovarian-reserve / ovulatory axis</w:t>
            </w:r>
          </w:p>
        </w:tc>
        <w:tc>
          <w:tcPr>
            <w:tcW w:type="dxa" w:w="950"/>
            <w:vAlign w:val="top"/>
          </w:tcPr>
          <w:p>
            <w:pPr>
              <w:spacing w:after="40" w:before="0" w:line="259" w:lineRule="auto"/>
            </w:pPr>
            <w:r>
              <w:rPr>
                <w:rFonts w:ascii="Calibri" w:hAnsi="Calibri"/>
                <w:b w:val="0"/>
                <w:i w:val="0"/>
                <w:color w:val="212121"/>
                <w:sz w:val="16"/>
              </w:rPr>
              <w:t>Age-appropriate; FSH not elevated</w:t>
            </w:r>
          </w:p>
        </w:tc>
        <w:tc>
          <w:tcPr>
            <w:tcW w:type="dxa" w:w="950"/>
            <w:vAlign w:val="top"/>
          </w:tcPr>
          <w:p>
            <w:pPr>
              <w:spacing w:after="40" w:before="0" w:line="259" w:lineRule="auto"/>
            </w:pPr>
            <w:r>
              <w:rPr>
                <w:rFonts w:ascii="Calibri" w:hAnsi="Calibri"/>
                <w:b w:val="0"/>
                <w:i w:val="0"/>
                <w:color w:val="212121"/>
                <w:sz w:val="16"/>
              </w:rPr>
              <w:t>High FSH (low reserve) or high LH:FSH (PCOS pattern)</w:t>
            </w:r>
          </w:p>
        </w:tc>
        <w:tc>
          <w:tcPr>
            <w:tcW w:type="dxa" w:w="1036"/>
            <w:vAlign w:val="top"/>
          </w:tcPr>
          <w:p>
            <w:pPr>
              <w:spacing w:after="40" w:before="0" w:line="259" w:lineRule="auto"/>
            </w:pPr>
            <w:r>
              <w:rPr>
                <w:rFonts w:ascii="Calibri" w:hAnsi="Calibri"/>
                <w:b w:val="0"/>
                <w:i w:val="0"/>
                <w:color w:val="212121"/>
                <w:sz w:val="16"/>
              </w:rPr>
              <w:t>Assesses ovarian reserve and distinguishes ovulatory disorders</w:t>
            </w:r>
          </w:p>
        </w:tc>
        <w:tc>
          <w:tcPr>
            <w:tcW w:type="dxa" w:w="1036"/>
            <w:vAlign w:val="top"/>
          </w:tcPr>
          <w:p>
            <w:pPr>
              <w:spacing w:after="40" w:before="0" w:line="259" w:lineRule="auto"/>
            </w:pPr>
            <w:r>
              <w:rPr>
                <w:rFonts w:ascii="Calibri" w:hAnsi="Calibri"/>
                <w:b w:val="0"/>
                <w:i w:val="0"/>
                <w:color w:val="212121"/>
                <w:sz w:val="16"/>
              </w:rPr>
              <w:t>Women ≥ 35, irregular cycles, suspected PCOS/POI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Core test</w:t>
            </w:r>
          </w:p>
        </w:tc>
        <w:tc>
          <w:tcPr>
            <w:tcW w:type="dxa" w:w="720"/>
            <w:vAlign w:val="top"/>
          </w:tcPr>
          <w:p>
            <w:pPr>
              <w:spacing w:after="40" w:before="0" w:line="259" w:lineRule="auto"/>
            </w:pPr>
            <w:r>
              <w:rPr>
                <w:rFonts w:ascii="Calibri" w:hAnsi="Calibri"/>
                <w:b w:val="0"/>
                <w:i w:val="0"/>
                <w:color w:val="212121"/>
                <w:sz w:val="16"/>
              </w:rPr>
              <w:t>Interpret with AMH and antral follicle count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Anti-Müllerian hormone (AMH)</w:t>
            </w:r>
          </w:p>
        </w:tc>
        <w:tc>
          <w:tcPr>
            <w:tcW w:type="dxa" w:w="892"/>
            <w:vAlign w:val="top"/>
          </w:tcPr>
          <w:p>
            <w:pPr>
              <w:spacing w:after="40" w:before="0" w:line="259" w:lineRule="auto"/>
            </w:pPr>
            <w:r>
              <w:rPr>
                <w:rFonts w:ascii="Calibri" w:hAnsi="Calibri"/>
                <w:b w:val="0"/>
                <w:i w:val="0"/>
                <w:color w:val="212121"/>
                <w:sz w:val="16"/>
              </w:rPr>
              <w:t>Ovarian-reserve marker</w:t>
            </w:r>
          </w:p>
        </w:tc>
        <w:tc>
          <w:tcPr>
            <w:tcW w:type="dxa" w:w="950"/>
            <w:vAlign w:val="top"/>
          </w:tcPr>
          <w:p>
            <w:pPr>
              <w:spacing w:after="40" w:before="0" w:line="259" w:lineRule="auto"/>
            </w:pPr>
            <w:r>
              <w:rPr>
                <w:rFonts w:ascii="Calibri" w:hAnsi="Calibri"/>
                <w:b w:val="0"/>
                <w:i w:val="0"/>
                <w:color w:val="212121"/>
                <w:sz w:val="16"/>
              </w:rPr>
              <w:t>Age-appropriate normal</w:t>
            </w:r>
          </w:p>
        </w:tc>
        <w:tc>
          <w:tcPr>
            <w:tcW w:type="dxa" w:w="950"/>
            <w:vAlign w:val="top"/>
          </w:tcPr>
          <w:p>
            <w:pPr>
              <w:spacing w:after="40" w:before="0" w:line="259" w:lineRule="auto"/>
            </w:pPr>
            <w:r>
              <w:rPr>
                <w:rFonts w:ascii="Calibri" w:hAnsi="Calibri"/>
                <w:b w:val="0"/>
                <w:i w:val="0"/>
                <w:color w:val="212121"/>
                <w:sz w:val="16"/>
              </w:rPr>
              <w:t>Low for age (diminished reserve); high in PCOS</w:t>
            </w:r>
          </w:p>
        </w:tc>
        <w:tc>
          <w:tcPr>
            <w:tcW w:type="dxa" w:w="1036"/>
            <w:vAlign w:val="top"/>
          </w:tcPr>
          <w:p>
            <w:pPr>
              <w:spacing w:after="40" w:before="0" w:line="259" w:lineRule="auto"/>
            </w:pPr>
            <w:r>
              <w:rPr>
                <w:rFonts w:ascii="Calibri" w:hAnsi="Calibri"/>
                <w:b w:val="0"/>
                <w:i w:val="0"/>
                <w:color w:val="212121"/>
                <w:sz w:val="16"/>
              </w:rPr>
              <w:t>Cycle-independent marker of the ovarian follicle pool</w:t>
            </w:r>
          </w:p>
        </w:tc>
        <w:tc>
          <w:tcPr>
            <w:tcW w:type="dxa" w:w="1036"/>
            <w:vAlign w:val="top"/>
          </w:tcPr>
          <w:p>
            <w:pPr>
              <w:spacing w:after="40" w:before="0" w:line="259" w:lineRule="auto"/>
            </w:pPr>
            <w:r>
              <w:rPr>
                <w:rFonts w:ascii="Calibri" w:hAnsi="Calibri"/>
                <w:b w:val="0"/>
                <w:i w:val="0"/>
                <w:color w:val="212121"/>
                <w:sz w:val="16"/>
              </w:rPr>
              <w:t>Women ≥ 35, suspected DOR or PCOS, pre-ART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urgency and ART protocol; does not predict natural conception alone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TSH ± free T4, and prolactin</w:t>
            </w:r>
          </w:p>
        </w:tc>
        <w:tc>
          <w:tcPr>
            <w:tcW w:type="dxa" w:w="892"/>
            <w:vAlign w:val="top"/>
          </w:tcPr>
          <w:p>
            <w:pPr>
              <w:spacing w:after="40" w:before="0" w:line="259" w:lineRule="auto"/>
            </w:pPr>
            <w:r>
              <w:rPr>
                <w:rFonts w:ascii="Calibri" w:hAnsi="Calibri"/>
                <w:b w:val="0"/>
                <w:i w:val="0"/>
                <w:color w:val="212121"/>
                <w:sz w:val="16"/>
              </w:rPr>
              <w:t>Thyroid &amp; prolactin screen</w:t>
            </w:r>
          </w:p>
        </w:tc>
        <w:tc>
          <w:tcPr>
            <w:tcW w:type="dxa" w:w="950"/>
            <w:vAlign w:val="top"/>
          </w:tcPr>
          <w:p>
            <w:pPr>
              <w:spacing w:after="40" w:before="0" w:line="259" w:lineRule="auto"/>
            </w:pPr>
            <w:r>
              <w:rPr>
                <w:rFonts w:ascii="Calibri" w:hAnsi="Calibri"/>
                <w:b w:val="0"/>
                <w:i w:val="0"/>
                <w:color w:val="212121"/>
                <w:sz w:val="16"/>
              </w:rPr>
              <w:t>TSH 0.4–2.5 mIU/L; normal prolactin</w:t>
            </w:r>
          </w:p>
        </w:tc>
        <w:tc>
          <w:tcPr>
            <w:tcW w:type="dxa" w:w="950"/>
            <w:vAlign w:val="top"/>
          </w:tcPr>
          <w:p>
            <w:pPr>
              <w:spacing w:after="40" w:before="0" w:line="259" w:lineRule="auto"/>
            </w:pPr>
            <w:r>
              <w:rPr>
                <w:rFonts w:ascii="Calibri" w:hAnsi="Calibri"/>
                <w:b w:val="0"/>
                <w:i w:val="0"/>
                <w:color w:val="212121"/>
                <w:sz w:val="16"/>
              </w:rPr>
              <w:t>Hypothyroidism (raised TSH) or hyperprolactinaemia</w:t>
            </w:r>
          </w:p>
        </w:tc>
        <w:tc>
          <w:tcPr>
            <w:tcW w:type="dxa" w:w="1036"/>
            <w:vAlign w:val="top"/>
          </w:tcPr>
          <w:p>
            <w:pPr>
              <w:spacing w:after="40" w:before="0" w:line="259" w:lineRule="auto"/>
            </w:pPr>
            <w:r>
              <w:rPr>
                <w:rFonts w:ascii="Calibri" w:hAnsi="Calibri"/>
                <w:b w:val="0"/>
                <w:i w:val="0"/>
                <w:color w:val="212121"/>
                <w:sz w:val="16"/>
              </w:rPr>
              <w:t>Identifies common, correctable endocrine causes of anovulation</w:t>
            </w:r>
          </w:p>
        </w:tc>
        <w:tc>
          <w:tcPr>
            <w:tcW w:type="dxa" w:w="1036"/>
            <w:vAlign w:val="top"/>
          </w:tcPr>
          <w:p>
            <w:pPr>
              <w:spacing w:after="40" w:before="0" w:line="259" w:lineRule="auto"/>
            </w:pPr>
            <w:r>
              <w:rPr>
                <w:rFonts w:ascii="Calibri" w:hAnsi="Calibri"/>
                <w:b w:val="0"/>
                <w:i w:val="0"/>
                <w:color w:val="212121"/>
                <w:sz w:val="16"/>
              </w:rPr>
              <w:t>All infertile women, oligomenorrhoea, galactorrhoea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Core test</w:t>
            </w:r>
          </w:p>
        </w:tc>
        <w:tc>
          <w:tcPr>
            <w:tcW w:type="dxa" w:w="720"/>
            <w:vAlign w:val="top"/>
          </w:tcPr>
          <w:p>
            <w:pPr>
              <w:spacing w:after="40" w:before="0" w:line="259" w:lineRule="auto"/>
            </w:pPr>
            <w:r>
              <w:rPr>
                <w:rFonts w:ascii="Calibri" w:hAnsi="Calibri"/>
                <w:b w:val="0"/>
                <w:i w:val="0"/>
                <w:color w:val="212121"/>
                <w:sz w:val="16"/>
              </w:rPr>
              <w:t>Treatment can restore ovulation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Total/free testosterone &amp; androgens</w:t>
            </w:r>
          </w:p>
        </w:tc>
        <w:tc>
          <w:tcPr>
            <w:tcW w:type="dxa" w:w="892"/>
            <w:vAlign w:val="top"/>
          </w:tcPr>
          <w:p>
            <w:pPr>
              <w:spacing w:after="40" w:before="0" w:line="259" w:lineRule="auto"/>
            </w:pPr>
            <w:r>
              <w:rPr>
                <w:rFonts w:ascii="Calibri" w:hAnsi="Calibri"/>
                <w:b w:val="0"/>
                <w:i w:val="0"/>
                <w:color w:val="212121"/>
                <w:sz w:val="16"/>
              </w:rPr>
              <w:t>Hyperandrogenism work-up</w:t>
            </w:r>
          </w:p>
        </w:tc>
        <w:tc>
          <w:tcPr>
            <w:tcW w:type="dxa" w:w="950"/>
            <w:vAlign w:val="top"/>
          </w:tcPr>
          <w:p>
            <w:pPr>
              <w:spacing w:after="40" w:before="0" w:line="259" w:lineRule="auto"/>
            </w:pPr>
            <w:r>
              <w:rPr>
                <w:rFonts w:ascii="Calibri" w:hAnsi="Calibri"/>
                <w:b w:val="0"/>
                <w:i w:val="0"/>
                <w:color w:val="212121"/>
                <w:sz w:val="16"/>
              </w:rPr>
              <w:t>Within female range</w:t>
            </w:r>
          </w:p>
        </w:tc>
        <w:tc>
          <w:tcPr>
            <w:tcW w:type="dxa" w:w="950"/>
            <w:vAlign w:val="top"/>
          </w:tcPr>
          <w:p>
            <w:pPr>
              <w:spacing w:after="40" w:before="0" w:line="259" w:lineRule="auto"/>
            </w:pPr>
            <w:r>
              <w:rPr>
                <w:rFonts w:ascii="Calibri" w:hAnsi="Calibri"/>
                <w:b w:val="0"/>
                <w:i w:val="0"/>
                <w:color w:val="212121"/>
                <w:sz w:val="16"/>
              </w:rPr>
              <w:t>Elevated (PCOS; markedly high suggests tumour/CAH)</w:t>
            </w:r>
          </w:p>
        </w:tc>
        <w:tc>
          <w:tcPr>
            <w:tcW w:type="dxa" w:w="1036"/>
            <w:vAlign w:val="top"/>
          </w:tcPr>
          <w:p>
            <w:pPr>
              <w:spacing w:after="40" w:before="0" w:line="259" w:lineRule="auto"/>
            </w:pPr>
            <w:r>
              <w:rPr>
                <w:rFonts w:ascii="Calibri" w:hAnsi="Calibri"/>
                <w:b w:val="0"/>
                <w:i w:val="0"/>
                <w:color w:val="212121"/>
                <w:sz w:val="16"/>
              </w:rPr>
              <w:t>Supports PCOS diagnosis and excludes other hyperandrogenic causes</w:t>
            </w:r>
          </w:p>
        </w:tc>
        <w:tc>
          <w:tcPr>
            <w:tcW w:type="dxa" w:w="1036"/>
            <w:vAlign w:val="top"/>
          </w:tcPr>
          <w:p>
            <w:pPr>
              <w:spacing w:after="40" w:before="0" w:line="259" w:lineRule="auto"/>
            </w:pPr>
            <w:r>
              <w:rPr>
                <w:rFonts w:ascii="Calibri" w:hAnsi="Calibri"/>
                <w:b w:val="0"/>
                <w:i w:val="0"/>
                <w:color w:val="212121"/>
                <w:sz w:val="16"/>
              </w:rPr>
              <w:t>Women with hirsutism, acne, oligomenorrhoea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Interpret with clinical hyperandrogenism and ultrasound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Transvaginal ultrasound (antral follicle count, ovaries, uterus)</w:t>
            </w:r>
          </w:p>
        </w:tc>
        <w:tc>
          <w:tcPr>
            <w:tcW w:type="dxa" w:w="892"/>
            <w:vAlign w:val="top"/>
          </w:tcPr>
          <w:p>
            <w:pPr>
              <w:spacing w:after="40" w:before="0" w:line="259" w:lineRule="auto"/>
            </w:pPr>
            <w:r>
              <w:rPr>
                <w:rFonts w:ascii="Calibri" w:hAnsi="Calibri"/>
                <w:b w:val="0"/>
                <w:i w:val="0"/>
                <w:color w:val="212121"/>
                <w:sz w:val="16"/>
              </w:rPr>
              <w:t>Pelvic ultrasound</w:t>
            </w:r>
          </w:p>
        </w:tc>
        <w:tc>
          <w:tcPr>
            <w:tcW w:type="dxa" w:w="950"/>
            <w:vAlign w:val="top"/>
          </w:tcPr>
          <w:p>
            <w:pPr>
              <w:spacing w:after="40" w:before="0" w:line="259" w:lineRule="auto"/>
            </w:pPr>
            <w:r>
              <w:rPr>
                <w:rFonts w:ascii="Calibri" w:hAnsi="Calibri"/>
                <w:b w:val="0"/>
                <w:i w:val="0"/>
                <w:color w:val="212121"/>
                <w:sz w:val="16"/>
              </w:rPr>
              <w:t>Normal uterus/ovaries; age-appropriate AFC</w:t>
            </w:r>
          </w:p>
        </w:tc>
        <w:tc>
          <w:tcPr>
            <w:tcW w:type="dxa" w:w="950"/>
            <w:vAlign w:val="top"/>
          </w:tcPr>
          <w:p>
            <w:pPr>
              <w:spacing w:after="40" w:before="0" w:line="259" w:lineRule="auto"/>
            </w:pPr>
            <w:r>
              <w:rPr>
                <w:rFonts w:ascii="Calibri" w:hAnsi="Calibri"/>
                <w:b w:val="0"/>
                <w:i w:val="0"/>
                <w:color w:val="212121"/>
                <w:sz w:val="16"/>
              </w:rPr>
              <w:t>Polycystic ovarian morphology, fibroids, endometrioma, low AFC</w:t>
            </w:r>
          </w:p>
        </w:tc>
        <w:tc>
          <w:tcPr>
            <w:tcW w:type="dxa" w:w="1036"/>
            <w:vAlign w:val="top"/>
          </w:tcPr>
          <w:p>
            <w:pPr>
              <w:spacing w:after="40" w:before="0" w:line="259" w:lineRule="auto"/>
            </w:pPr>
            <w:r>
              <w:rPr>
                <w:rFonts w:ascii="Calibri" w:hAnsi="Calibri"/>
                <w:b w:val="0"/>
                <w:i w:val="0"/>
                <w:color w:val="212121"/>
                <w:sz w:val="16"/>
              </w:rPr>
              <w:t>Assesses ovarian reserve and structural pelvic pathology; enables follicle tracking</w:t>
            </w:r>
          </w:p>
        </w:tc>
        <w:tc>
          <w:tcPr>
            <w:tcW w:type="dxa" w:w="1036"/>
            <w:vAlign w:val="top"/>
          </w:tcPr>
          <w:p>
            <w:pPr>
              <w:spacing w:after="40" w:before="0" w:line="259" w:lineRule="auto"/>
            </w:pPr>
            <w:r>
              <w:rPr>
                <w:rFonts w:ascii="Calibri" w:hAnsi="Calibri"/>
                <w:b w:val="0"/>
                <w:i w:val="0"/>
                <w:color w:val="212121"/>
                <w:sz w:val="16"/>
              </w:rPr>
              <w:t>All infertile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Core test</w:t>
            </w:r>
          </w:p>
        </w:tc>
        <w:tc>
          <w:tcPr>
            <w:tcW w:type="dxa" w:w="720"/>
            <w:vAlign w:val="top"/>
          </w:tcPr>
          <w:p>
            <w:pPr>
              <w:spacing w:after="40" w:before="0" w:line="259" w:lineRule="auto"/>
            </w:pPr>
            <w:r>
              <w:rPr>
                <w:rFonts w:ascii="Calibri" w:hAnsi="Calibri"/>
                <w:b w:val="0"/>
                <w:i w:val="0"/>
                <w:color w:val="212121"/>
                <w:sz w:val="16"/>
              </w:rPr>
              <w:t>First-line, non-invasive imaging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Tubal patency (HSG / HyCoSy)</w:t>
            </w:r>
          </w:p>
        </w:tc>
        <w:tc>
          <w:tcPr>
            <w:tcW w:type="dxa" w:w="892"/>
            <w:vAlign w:val="top"/>
          </w:tcPr>
          <w:p>
            <w:pPr>
              <w:spacing w:after="40" w:before="0" w:line="259" w:lineRule="auto"/>
            </w:pPr>
            <w:r>
              <w:rPr>
                <w:rFonts w:ascii="Calibri" w:hAnsi="Calibri"/>
                <w:b w:val="0"/>
                <w:i w:val="0"/>
                <w:color w:val="212121"/>
                <w:sz w:val="16"/>
              </w:rPr>
              <w:t>Hysterosalpingography</w:t>
            </w:r>
          </w:p>
        </w:tc>
        <w:tc>
          <w:tcPr>
            <w:tcW w:type="dxa" w:w="950"/>
            <w:vAlign w:val="top"/>
          </w:tcPr>
          <w:p>
            <w:pPr>
              <w:spacing w:after="40" w:before="0" w:line="259" w:lineRule="auto"/>
            </w:pPr>
            <w:r>
              <w:rPr>
                <w:rFonts w:ascii="Calibri" w:hAnsi="Calibri"/>
                <w:b w:val="0"/>
                <w:i w:val="0"/>
                <w:color w:val="212121"/>
                <w:sz w:val="16"/>
              </w:rPr>
              <w:t>Both tubes patent; normal cavity</w:t>
            </w:r>
          </w:p>
        </w:tc>
        <w:tc>
          <w:tcPr>
            <w:tcW w:type="dxa" w:w="950"/>
            <w:vAlign w:val="top"/>
          </w:tcPr>
          <w:p>
            <w:pPr>
              <w:spacing w:after="40" w:before="0" w:line="259" w:lineRule="auto"/>
            </w:pPr>
            <w:r>
              <w:rPr>
                <w:rFonts w:ascii="Calibri" w:hAnsi="Calibri"/>
                <w:b w:val="0"/>
                <w:i w:val="0"/>
                <w:color w:val="212121"/>
                <w:sz w:val="16"/>
              </w:rPr>
              <w:t>Tubal block/hydrosalpinx; beaded tubes or cavity defect</w:t>
            </w:r>
          </w:p>
        </w:tc>
        <w:tc>
          <w:tcPr>
            <w:tcW w:type="dxa" w:w="1036"/>
            <w:vAlign w:val="top"/>
          </w:tcPr>
          <w:p>
            <w:pPr>
              <w:spacing w:after="40" w:before="0" w:line="259" w:lineRule="auto"/>
            </w:pPr>
            <w:r>
              <w:rPr>
                <w:rFonts w:ascii="Calibri" w:hAnsi="Calibri"/>
                <w:b w:val="0"/>
                <w:i w:val="0"/>
                <w:color w:val="212121"/>
                <w:sz w:val="16"/>
              </w:rPr>
              <w:t>Documents tubal patency and uterine-cavity contour</w:t>
            </w:r>
          </w:p>
        </w:tc>
        <w:tc>
          <w:tcPr>
            <w:tcW w:type="dxa" w:w="1036"/>
            <w:vAlign w:val="top"/>
          </w:tcPr>
          <w:p>
            <w:pPr>
              <w:spacing w:after="40" w:before="0" w:line="259" w:lineRule="auto"/>
            </w:pPr>
            <w:r>
              <w:rPr>
                <w:rFonts w:ascii="Calibri" w:hAnsi="Calibri"/>
                <w:b w:val="0"/>
                <w:i w:val="0"/>
                <w:color w:val="212121"/>
                <w:sz w:val="16"/>
              </w:rPr>
              <w:t>Women without a known ovulatory-only cause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Core test</w:t>
            </w:r>
          </w:p>
        </w:tc>
        <w:tc>
          <w:tcPr>
            <w:tcW w:type="dxa" w:w="720"/>
            <w:vAlign w:val="top"/>
          </w:tcPr>
          <w:p>
            <w:pPr>
              <w:spacing w:after="40" w:before="0" w:line="259" w:lineRule="auto"/>
            </w:pPr>
            <w:r>
              <w:rPr>
                <w:rFonts w:ascii="Calibri" w:hAnsi="Calibri"/>
                <w:b w:val="0"/>
                <w:i w:val="0"/>
                <w:color w:val="212121"/>
                <w:sz w:val="16"/>
              </w:rPr>
              <w:t>Beaded/blocked tubes raise suspicion of genital TB</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 Molecular</w:t>
            </w:r>
          </w:p>
        </w:tc>
        <w:tc>
          <w:tcPr>
            <w:tcW w:type="dxa" w:w="1036"/>
            <w:vAlign w:val="top"/>
          </w:tcPr>
          <w:p>
            <w:pPr>
              <w:spacing w:after="40" w:before="0" w:line="259" w:lineRule="auto"/>
            </w:pPr>
            <w:r>
              <w:rPr>
                <w:rFonts w:ascii="Calibri" w:hAnsi="Calibri"/>
                <w:b w:val="0"/>
                <w:i w:val="0"/>
                <w:color w:val="212121"/>
                <w:sz w:val="16"/>
              </w:rPr>
              <w:t>Endometrial AFB, culture &amp; GeneXpert/PCR for TB</w:t>
            </w:r>
          </w:p>
        </w:tc>
        <w:tc>
          <w:tcPr>
            <w:tcW w:type="dxa" w:w="892"/>
            <w:vAlign w:val="top"/>
          </w:tcPr>
          <w:p>
            <w:pPr>
              <w:spacing w:after="40" w:before="0" w:line="259" w:lineRule="auto"/>
            </w:pPr>
            <w:r>
              <w:rPr>
                <w:rFonts w:ascii="Calibri" w:hAnsi="Calibri"/>
                <w:b w:val="0"/>
                <w:i w:val="0"/>
                <w:color w:val="212121"/>
                <w:sz w:val="16"/>
              </w:rPr>
              <w:t>Genital-TB work-up</w:t>
            </w:r>
          </w:p>
        </w:tc>
        <w:tc>
          <w:tcPr>
            <w:tcW w:type="dxa" w:w="950"/>
            <w:vAlign w:val="top"/>
          </w:tcPr>
          <w:p>
            <w:pPr>
              <w:spacing w:after="40" w:before="0" w:line="259" w:lineRule="auto"/>
            </w:pPr>
            <w:r>
              <w:rPr>
                <w:rFonts w:ascii="Calibri" w:hAnsi="Calibri"/>
                <w:b w:val="0"/>
                <w:i w:val="0"/>
                <w:color w:val="212121"/>
                <w:sz w:val="16"/>
              </w:rPr>
              <w:t>No evidence of TB</w:t>
            </w:r>
          </w:p>
        </w:tc>
        <w:tc>
          <w:tcPr>
            <w:tcW w:type="dxa" w:w="950"/>
            <w:vAlign w:val="top"/>
          </w:tcPr>
          <w:p>
            <w:pPr>
              <w:spacing w:after="40" w:before="0" w:line="259" w:lineRule="auto"/>
            </w:pPr>
            <w:r>
              <w:rPr>
                <w:rFonts w:ascii="Calibri" w:hAnsi="Calibri"/>
                <w:b w:val="0"/>
                <w:i w:val="0"/>
                <w:color w:val="212121"/>
                <w:sz w:val="16"/>
              </w:rPr>
              <w:t>AFB/culture/PCR positive or granuloma</w:t>
            </w:r>
          </w:p>
        </w:tc>
        <w:tc>
          <w:tcPr>
            <w:tcW w:type="dxa" w:w="1036"/>
            <w:vAlign w:val="top"/>
          </w:tcPr>
          <w:p>
            <w:pPr>
              <w:spacing w:after="40" w:before="0" w:line="259" w:lineRule="auto"/>
            </w:pPr>
            <w:r>
              <w:rPr>
                <w:rFonts w:ascii="Calibri" w:hAnsi="Calibri"/>
                <w:b w:val="0"/>
                <w:i w:val="0"/>
                <w:color w:val="212121"/>
                <w:sz w:val="16"/>
              </w:rPr>
              <w:t>Detects endometrial/genital tuberculosis — a leading Indian tubal cause</w:t>
            </w:r>
          </w:p>
        </w:tc>
        <w:tc>
          <w:tcPr>
            <w:tcW w:type="dxa" w:w="1036"/>
            <w:vAlign w:val="top"/>
          </w:tcPr>
          <w:p>
            <w:pPr>
              <w:spacing w:after="40" w:before="0" w:line="259" w:lineRule="auto"/>
            </w:pPr>
            <w:r>
              <w:rPr>
                <w:rFonts w:ascii="Calibri" w:hAnsi="Calibri"/>
                <w:b w:val="0"/>
                <w:i w:val="0"/>
                <w:color w:val="212121"/>
                <w:sz w:val="16"/>
              </w:rPr>
              <w:t>Infertile women with tubal block, menstrual scanty flow, TB contact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India-specific key test</w:t>
            </w:r>
          </w:p>
        </w:tc>
        <w:tc>
          <w:tcPr>
            <w:tcW w:type="dxa" w:w="720"/>
            <w:vAlign w:val="top"/>
          </w:tcPr>
          <w:p>
            <w:pPr>
              <w:spacing w:after="40" w:before="0" w:line="259" w:lineRule="auto"/>
            </w:pPr>
            <w:r>
              <w:rPr>
                <w:rFonts w:ascii="Calibri" w:hAnsi="Calibri"/>
                <w:b w:val="0"/>
                <w:i w:val="0"/>
                <w:color w:val="212121"/>
                <w:sz w:val="16"/>
              </w:rPr>
              <w:t>Combine with laparoscopic/HSG features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Diagnostic laparoscopy + chromopertubation (± hysteroscopy)</w:t>
            </w:r>
          </w:p>
        </w:tc>
        <w:tc>
          <w:tcPr>
            <w:tcW w:type="dxa" w:w="892"/>
            <w:vAlign w:val="top"/>
          </w:tcPr>
          <w:p>
            <w:pPr>
              <w:spacing w:after="40" w:before="0" w:line="259" w:lineRule="auto"/>
            </w:pPr>
            <w:r>
              <w:rPr>
                <w:rFonts w:ascii="Calibri" w:hAnsi="Calibri"/>
                <w:b w:val="0"/>
                <w:i w:val="0"/>
                <w:color w:val="212121"/>
                <w:sz w:val="16"/>
              </w:rPr>
              <w:t>Laparoscopy (gold standard)</w:t>
            </w:r>
          </w:p>
        </w:tc>
        <w:tc>
          <w:tcPr>
            <w:tcW w:type="dxa" w:w="950"/>
            <w:vAlign w:val="top"/>
          </w:tcPr>
          <w:p>
            <w:pPr>
              <w:spacing w:after="40" w:before="0" w:line="259" w:lineRule="auto"/>
            </w:pPr>
            <w:r>
              <w:rPr>
                <w:rFonts w:ascii="Calibri" w:hAnsi="Calibri"/>
                <w:b w:val="0"/>
                <w:i w:val="0"/>
                <w:color w:val="212121"/>
                <w:sz w:val="16"/>
              </w:rPr>
              <w:t>Patent tubes; no endometriosis/adhesions; normal cavity</w:t>
            </w:r>
          </w:p>
        </w:tc>
        <w:tc>
          <w:tcPr>
            <w:tcW w:type="dxa" w:w="950"/>
            <w:vAlign w:val="top"/>
          </w:tcPr>
          <w:p>
            <w:pPr>
              <w:spacing w:after="40" w:before="0" w:line="259" w:lineRule="auto"/>
            </w:pPr>
            <w:r>
              <w:rPr>
                <w:rFonts w:ascii="Calibri" w:hAnsi="Calibri"/>
                <w:b w:val="0"/>
                <w:i w:val="0"/>
                <w:color w:val="212121"/>
                <w:sz w:val="16"/>
              </w:rPr>
              <w:t>Tubal block, endometriosis, adhesions, TB lesions, cavity defects</w:t>
            </w:r>
          </w:p>
        </w:tc>
        <w:tc>
          <w:tcPr>
            <w:tcW w:type="dxa" w:w="1036"/>
            <w:vAlign w:val="top"/>
          </w:tcPr>
          <w:p>
            <w:pPr>
              <w:spacing w:after="40" w:before="0" w:line="259" w:lineRule="auto"/>
            </w:pPr>
            <w:r>
              <w:rPr>
                <w:rFonts w:ascii="Calibri" w:hAnsi="Calibri"/>
                <w:b w:val="0"/>
                <w:i w:val="0"/>
                <w:color w:val="212121"/>
                <w:sz w:val="16"/>
              </w:rPr>
              <w:t>Gold standard for tubal/peritoneal factor and endometriosis; allows concurrent treatment</w:t>
            </w:r>
          </w:p>
        </w:tc>
        <w:tc>
          <w:tcPr>
            <w:tcW w:type="dxa" w:w="1036"/>
            <w:vAlign w:val="top"/>
          </w:tcPr>
          <w:p>
            <w:pPr>
              <w:spacing w:after="40" w:before="0" w:line="259" w:lineRule="auto"/>
            </w:pPr>
            <w:r>
              <w:rPr>
                <w:rFonts w:ascii="Calibri" w:hAnsi="Calibri"/>
                <w:b w:val="0"/>
                <w:i w:val="0"/>
                <w:color w:val="212121"/>
                <w:sz w:val="16"/>
              </w:rPr>
              <w:t>Unexplained infertility, suspected tubal/endometriosis/TB</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Reserved for indicated cases given its invasiveness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Andrology</w:t>
            </w:r>
          </w:p>
        </w:tc>
        <w:tc>
          <w:tcPr>
            <w:tcW w:type="dxa" w:w="1036"/>
            <w:vAlign w:val="top"/>
          </w:tcPr>
          <w:p>
            <w:pPr>
              <w:spacing w:after="40" w:before="0" w:line="259" w:lineRule="auto"/>
            </w:pPr>
            <w:r>
              <w:rPr>
                <w:rFonts w:ascii="Calibri" w:hAnsi="Calibri"/>
                <w:b w:val="0"/>
                <w:i w:val="0"/>
                <w:color w:val="212121"/>
                <w:sz w:val="16"/>
              </w:rPr>
              <w:t>Partner semen analysis</w:t>
            </w:r>
          </w:p>
        </w:tc>
        <w:tc>
          <w:tcPr>
            <w:tcW w:type="dxa" w:w="892"/>
            <w:vAlign w:val="top"/>
          </w:tcPr>
          <w:p>
            <w:pPr>
              <w:spacing w:after="40" w:before="0" w:line="259" w:lineRule="auto"/>
            </w:pPr>
            <w:r>
              <w:rPr>
                <w:rFonts w:ascii="Calibri" w:hAnsi="Calibri"/>
                <w:b w:val="0"/>
                <w:i w:val="0"/>
                <w:color w:val="212121"/>
                <w:sz w:val="16"/>
              </w:rPr>
              <w:t>Couple evaluation</w:t>
            </w:r>
          </w:p>
        </w:tc>
        <w:tc>
          <w:tcPr>
            <w:tcW w:type="dxa" w:w="950"/>
            <w:vAlign w:val="top"/>
          </w:tcPr>
          <w:p>
            <w:pPr>
              <w:spacing w:after="40" w:before="0" w:line="259" w:lineRule="auto"/>
            </w:pPr>
            <w:r>
              <w:rPr>
                <w:rFonts w:ascii="Calibri" w:hAnsi="Calibri"/>
                <w:b w:val="0"/>
                <w:i w:val="0"/>
                <w:color w:val="212121"/>
                <w:sz w:val="16"/>
              </w:rPr>
              <w:t>Normal parameters (WHO reference)</w:t>
            </w:r>
          </w:p>
        </w:tc>
        <w:tc>
          <w:tcPr>
            <w:tcW w:type="dxa" w:w="950"/>
            <w:vAlign w:val="top"/>
          </w:tcPr>
          <w:p>
            <w:pPr>
              <w:spacing w:after="40" w:before="0" w:line="259" w:lineRule="auto"/>
            </w:pPr>
            <w:r>
              <w:rPr>
                <w:rFonts w:ascii="Calibri" w:hAnsi="Calibri"/>
                <w:b w:val="0"/>
                <w:i w:val="0"/>
                <w:color w:val="212121"/>
                <w:sz w:val="16"/>
              </w:rPr>
              <w:t>Oligo/astheno/teratozoospermia or azoospermia</w:t>
            </w:r>
          </w:p>
        </w:tc>
        <w:tc>
          <w:tcPr>
            <w:tcW w:type="dxa" w:w="1036"/>
            <w:vAlign w:val="top"/>
          </w:tcPr>
          <w:p>
            <w:pPr>
              <w:spacing w:after="40" w:before="0" w:line="259" w:lineRule="auto"/>
            </w:pPr>
            <w:r>
              <w:rPr>
                <w:rFonts w:ascii="Calibri" w:hAnsi="Calibri"/>
                <w:b w:val="0"/>
                <w:i w:val="0"/>
                <w:color w:val="212121"/>
                <w:sz w:val="16"/>
              </w:rPr>
              <w:t>Excludes/quantifies a coexisting male factor before treating the woman</w:t>
            </w:r>
          </w:p>
        </w:tc>
        <w:tc>
          <w:tcPr>
            <w:tcW w:type="dxa" w:w="1036"/>
            <w:vAlign w:val="top"/>
          </w:tcPr>
          <w:p>
            <w:pPr>
              <w:spacing w:after="40" w:before="0" w:line="259" w:lineRule="auto"/>
            </w:pPr>
            <w:r>
              <w:rPr>
                <w:rFonts w:ascii="Calibri" w:hAnsi="Calibri"/>
                <w:b w:val="0"/>
                <w:i w:val="0"/>
                <w:color w:val="212121"/>
                <w:sz w:val="16"/>
              </w:rPr>
              <w:t>All couples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Mandatory</w:t>
            </w:r>
          </w:p>
        </w:tc>
        <w:tc>
          <w:tcPr>
            <w:tcW w:type="dxa" w:w="720"/>
            <w:vAlign w:val="top"/>
          </w:tcPr>
          <w:p>
            <w:pPr>
              <w:spacing w:after="40" w:before="0" w:line="259" w:lineRule="auto"/>
            </w:pPr>
            <w:r>
              <w:rPr>
                <w:rFonts w:ascii="Calibri" w:hAnsi="Calibri"/>
                <w:b w:val="0"/>
                <w:i w:val="0"/>
                <w:color w:val="212121"/>
                <w:sz w:val="16"/>
              </w:rPr>
              <w:t>Infertility is evaluated at couple level</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&amp; ovulatory history</w:t>
            </w:r>
          </w:p>
        </w:tc>
        <w:tc>
          <w:tcPr>
            <w:tcW w:type="dxa" w:w="979"/>
            <w:vAlign w:val="top"/>
          </w:tcPr>
          <w:p>
            <w:pPr>
              <w:spacing w:after="40" w:before="0" w:line="259" w:lineRule="auto"/>
            </w:pPr>
            <w:r>
              <w:rPr>
                <w:rFonts w:ascii="Calibri" w:hAnsi="Calibri"/>
                <w:b w:val="0"/>
                <w:i w:val="0"/>
                <w:color w:val="212121"/>
                <w:sz w:val="16"/>
              </w:rPr>
              <w:t>Cycle regularity, length, oligo/amenorrhoea, molimina</w:t>
            </w:r>
          </w:p>
        </w:tc>
        <w:tc>
          <w:tcPr>
            <w:tcW w:type="dxa" w:w="950"/>
            <w:vAlign w:val="top"/>
          </w:tcPr>
          <w:p>
            <w:pPr>
              <w:spacing w:after="40" w:before="0" w:line="259" w:lineRule="auto"/>
            </w:pPr>
            <w:r>
              <w:rPr>
                <w:rFonts w:ascii="Calibri" w:hAnsi="Calibri"/>
                <w:b w:val="0"/>
                <w:i w:val="0"/>
                <w:color w:val="212121"/>
                <w:sz w:val="16"/>
              </w:rPr>
              <w:t>Regular, predictable ovulatory cycles</w:t>
            </w:r>
          </w:p>
        </w:tc>
        <w:tc>
          <w:tcPr>
            <w:tcW w:type="dxa" w:w="950"/>
            <w:vAlign w:val="top"/>
          </w:tcPr>
          <w:p>
            <w:pPr>
              <w:spacing w:after="40" w:before="0" w:line="259" w:lineRule="auto"/>
            </w:pPr>
            <w:r>
              <w:rPr>
                <w:rFonts w:ascii="Calibri" w:hAnsi="Calibri"/>
                <w:b w:val="0"/>
                <w:i w:val="0"/>
                <w:color w:val="212121"/>
                <w:sz w:val="16"/>
              </w:rPr>
              <w:t>Irregular, infrequent or absent menses</w:t>
            </w:r>
          </w:p>
        </w:tc>
        <w:tc>
          <w:tcPr>
            <w:tcW w:type="dxa" w:w="1036"/>
            <w:vAlign w:val="top"/>
          </w:tcPr>
          <w:p>
            <w:pPr>
              <w:spacing w:after="40" w:before="0" w:line="259" w:lineRule="auto"/>
            </w:pPr>
            <w:r>
              <w:rPr>
                <w:rFonts w:ascii="Calibri" w:hAnsi="Calibri"/>
                <w:b w:val="0"/>
                <w:i w:val="0"/>
                <w:color w:val="212121"/>
                <w:sz w:val="16"/>
              </w:rPr>
              <w:t>Irregular cycles suggest an ovulatory disorder (PCOS, hypothalamic, POI)</w:t>
            </w:r>
          </w:p>
        </w:tc>
        <w:tc>
          <w:tcPr>
            <w:tcW w:type="dxa" w:w="1036"/>
            <w:vAlign w:val="top"/>
          </w:tcPr>
          <w:p>
            <w:pPr>
              <w:spacing w:after="40" w:before="0" w:line="259" w:lineRule="auto"/>
            </w:pPr>
            <w:r>
              <w:rPr>
                <w:rFonts w:ascii="Calibri" w:hAnsi="Calibri"/>
                <w:b w:val="0"/>
                <w:i w:val="0"/>
                <w:color w:val="212121"/>
                <w:sz w:val="16"/>
              </w:rPr>
              <w:t>Women with menstrual disturbance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Cornerstone of the fertility history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&amp; duration history</w:t>
            </w:r>
          </w:p>
        </w:tc>
        <w:tc>
          <w:tcPr>
            <w:tcW w:type="dxa" w:w="979"/>
            <w:vAlign w:val="top"/>
          </w:tcPr>
          <w:p>
            <w:pPr>
              <w:spacing w:after="40" w:before="0" w:line="259" w:lineRule="auto"/>
            </w:pPr>
            <w:r>
              <w:rPr>
                <w:rFonts w:ascii="Calibri" w:hAnsi="Calibri"/>
                <w:b w:val="0"/>
                <w:i w:val="0"/>
                <w:color w:val="212121"/>
                <w:sz w:val="16"/>
              </w:rPr>
              <w:t>Prior pregnancies/outcomes, duration of infertility, primary vs secondary</w:t>
            </w:r>
          </w:p>
        </w:tc>
        <w:tc>
          <w:tcPr>
            <w:tcW w:type="dxa" w:w="950"/>
            <w:vAlign w:val="top"/>
          </w:tcPr>
          <w:p>
            <w:pPr>
              <w:spacing w:after="40" w:before="0" w:line="259" w:lineRule="auto"/>
            </w:pPr>
            <w:r>
              <w:rPr>
                <w:rFonts w:ascii="Calibri" w:hAnsi="Calibri"/>
                <w:b w:val="0"/>
                <w:i w:val="0"/>
                <w:color w:val="212121"/>
                <w:sz w:val="16"/>
              </w:rPr>
              <w:t>—</w:t>
            </w:r>
          </w:p>
        </w:tc>
        <w:tc>
          <w:tcPr>
            <w:tcW w:type="dxa" w:w="950"/>
            <w:vAlign w:val="top"/>
          </w:tcPr>
          <w:p>
            <w:pPr>
              <w:spacing w:after="40" w:before="0" w:line="259" w:lineRule="auto"/>
            </w:pPr>
            <w:r>
              <w:rPr>
                <w:rFonts w:ascii="Calibri" w:hAnsi="Calibri"/>
                <w:b w:val="0"/>
                <w:i w:val="0"/>
                <w:color w:val="212121"/>
                <w:sz w:val="16"/>
              </w:rPr>
              <w:t>Prior abortion/sepsis; long duration; secondary infertility</w:t>
            </w:r>
          </w:p>
        </w:tc>
        <w:tc>
          <w:tcPr>
            <w:tcW w:type="dxa" w:w="1036"/>
            <w:vAlign w:val="top"/>
          </w:tcPr>
          <w:p>
            <w:pPr>
              <w:spacing w:after="40" w:before="0" w:line="259" w:lineRule="auto"/>
            </w:pPr>
            <w:r>
              <w:rPr>
                <w:rFonts w:ascii="Calibri" w:hAnsi="Calibri"/>
                <w:b w:val="0"/>
                <w:i w:val="0"/>
                <w:color w:val="212121"/>
                <w:sz w:val="16"/>
              </w:rPr>
              <w:t>Defines primary vs secondary infertility and points to acquired (tubal) causes</w:t>
            </w:r>
          </w:p>
        </w:tc>
        <w:tc>
          <w:tcPr>
            <w:tcW w:type="dxa" w:w="1036"/>
            <w:vAlign w:val="top"/>
          </w:tcPr>
          <w:p>
            <w:pPr>
              <w:spacing w:after="40" w:before="0" w:line="259" w:lineRule="auto"/>
            </w:pPr>
            <w:r>
              <w:rPr>
                <w:rFonts w:ascii="Calibri" w:hAnsi="Calibri"/>
                <w:b w:val="0"/>
                <w:i w:val="0"/>
                <w:color w:val="212121"/>
                <w:sz w:val="16"/>
              </w:rPr>
              <w:t>All couples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Prior unsafe abortion/postpartum sepsis flags tubal factor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Coital &amp; sexual history</w:t>
            </w:r>
          </w:p>
        </w:tc>
        <w:tc>
          <w:tcPr>
            <w:tcW w:type="dxa" w:w="979"/>
            <w:vAlign w:val="top"/>
          </w:tcPr>
          <w:p>
            <w:pPr>
              <w:spacing w:after="40" w:before="0" w:line="259" w:lineRule="auto"/>
            </w:pPr>
            <w:r>
              <w:rPr>
                <w:rFonts w:ascii="Calibri" w:hAnsi="Calibri"/>
                <w:b w:val="0"/>
                <w:i w:val="0"/>
                <w:color w:val="212121"/>
                <w:sz w:val="16"/>
              </w:rPr>
              <w:t>Frequency and timing of intercourse, dyspareunia</w:t>
            </w:r>
          </w:p>
        </w:tc>
        <w:tc>
          <w:tcPr>
            <w:tcW w:type="dxa" w:w="950"/>
            <w:vAlign w:val="top"/>
          </w:tcPr>
          <w:p>
            <w:pPr>
              <w:spacing w:after="40" w:before="0" w:line="259" w:lineRule="auto"/>
            </w:pPr>
            <w:r>
              <w:rPr>
                <w:rFonts w:ascii="Calibri" w:hAnsi="Calibri"/>
                <w:b w:val="0"/>
                <w:i w:val="0"/>
                <w:color w:val="212121"/>
                <w:sz w:val="16"/>
              </w:rPr>
              <w:t>Regular, well-timed intercourse; no pain</w:t>
            </w:r>
          </w:p>
        </w:tc>
        <w:tc>
          <w:tcPr>
            <w:tcW w:type="dxa" w:w="950"/>
            <w:vAlign w:val="top"/>
          </w:tcPr>
          <w:p>
            <w:pPr>
              <w:spacing w:after="40" w:before="0" w:line="259" w:lineRule="auto"/>
            </w:pPr>
            <w:r>
              <w:rPr>
                <w:rFonts w:ascii="Calibri" w:hAnsi="Calibri"/>
                <w:b w:val="0"/>
                <w:i w:val="0"/>
                <w:color w:val="212121"/>
                <w:sz w:val="16"/>
              </w:rPr>
              <w:t>Infrequent intercourse, sexual dysfunction, deep dyspareunia</w:t>
            </w:r>
          </w:p>
        </w:tc>
        <w:tc>
          <w:tcPr>
            <w:tcW w:type="dxa" w:w="1036"/>
            <w:vAlign w:val="top"/>
          </w:tcPr>
          <w:p>
            <w:pPr>
              <w:spacing w:after="40" w:before="0" w:line="259" w:lineRule="auto"/>
            </w:pPr>
            <w:r>
              <w:rPr>
                <w:rFonts w:ascii="Calibri" w:hAnsi="Calibri"/>
                <w:b w:val="0"/>
                <w:i w:val="0"/>
                <w:color w:val="212121"/>
                <w:sz w:val="16"/>
              </w:rPr>
              <w:t>Excludes coital factors and flags endometriosis/PID</w:t>
            </w:r>
          </w:p>
        </w:tc>
        <w:tc>
          <w:tcPr>
            <w:tcW w:type="dxa" w:w="1036"/>
            <w:vAlign w:val="top"/>
          </w:tcPr>
          <w:p>
            <w:pPr>
              <w:spacing w:after="40" w:before="0" w:line="259" w:lineRule="auto"/>
            </w:pPr>
            <w:r>
              <w:rPr>
                <w:rFonts w:ascii="Calibri" w:hAnsi="Calibri"/>
                <w:b w:val="0"/>
                <w:i w:val="0"/>
                <w:color w:val="212121"/>
                <w:sz w:val="16"/>
              </w:rPr>
              <w:t>All couples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Enquire sensitively and non-judgementally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Infection, TB &amp; surgical history</w:t>
            </w:r>
          </w:p>
        </w:tc>
        <w:tc>
          <w:tcPr>
            <w:tcW w:type="dxa" w:w="979"/>
            <w:vAlign w:val="top"/>
          </w:tcPr>
          <w:p>
            <w:pPr>
              <w:spacing w:after="40" w:before="0" w:line="259" w:lineRule="auto"/>
            </w:pPr>
            <w:r>
              <w:rPr>
                <w:rFonts w:ascii="Calibri" w:hAnsi="Calibri"/>
                <w:b w:val="0"/>
                <w:i w:val="0"/>
                <w:color w:val="212121"/>
                <w:sz w:val="16"/>
              </w:rPr>
              <w:t>Past PID/STI, tuberculosis or TB contact, pelvic surgery</w:t>
            </w:r>
          </w:p>
        </w:tc>
        <w:tc>
          <w:tcPr>
            <w:tcW w:type="dxa" w:w="950"/>
            <w:vAlign w:val="top"/>
          </w:tcPr>
          <w:p>
            <w:pPr>
              <w:spacing w:after="40" w:before="0" w:line="259" w:lineRule="auto"/>
            </w:pPr>
            <w:r>
              <w:rPr>
                <w:rFonts w:ascii="Calibri" w:hAnsi="Calibri"/>
                <w:b w:val="0"/>
                <w:i w:val="0"/>
                <w:color w:val="212121"/>
                <w:sz w:val="16"/>
              </w:rPr>
              <w:t>No relevant infection or surgery</w:t>
            </w:r>
          </w:p>
        </w:tc>
        <w:tc>
          <w:tcPr>
            <w:tcW w:type="dxa" w:w="950"/>
            <w:vAlign w:val="top"/>
          </w:tcPr>
          <w:p>
            <w:pPr>
              <w:spacing w:after="40" w:before="0" w:line="259" w:lineRule="auto"/>
            </w:pPr>
            <w:r>
              <w:rPr>
                <w:rFonts w:ascii="Calibri" w:hAnsi="Calibri"/>
                <w:b w:val="0"/>
                <w:i w:val="0"/>
                <w:color w:val="212121"/>
                <w:sz w:val="16"/>
              </w:rPr>
              <w:t>Prior PID/STI, TB/contact, pelvic/tubal surgery</w:t>
            </w:r>
          </w:p>
        </w:tc>
        <w:tc>
          <w:tcPr>
            <w:tcW w:type="dxa" w:w="1036"/>
            <w:vAlign w:val="top"/>
          </w:tcPr>
          <w:p>
            <w:pPr>
              <w:spacing w:after="40" w:before="0" w:line="259" w:lineRule="auto"/>
            </w:pPr>
            <w:r>
              <w:rPr>
                <w:rFonts w:ascii="Calibri" w:hAnsi="Calibri"/>
                <w:b w:val="0"/>
                <w:i w:val="0"/>
                <w:color w:val="212121"/>
                <w:sz w:val="16"/>
              </w:rPr>
              <w:t>Identifies acquired tubal-factor and genital-TB risk (key in India)</w:t>
            </w:r>
          </w:p>
        </w:tc>
        <w:tc>
          <w:tcPr>
            <w:tcW w:type="dxa" w:w="1036"/>
            <w:vAlign w:val="top"/>
          </w:tcPr>
          <w:p>
            <w:pPr>
              <w:spacing w:after="40" w:before="0" w:line="259" w:lineRule="auto"/>
            </w:pPr>
            <w:r>
              <w:rPr>
                <w:rFonts w:ascii="Calibri" w:hAnsi="Calibri"/>
                <w:b w:val="0"/>
                <w:i w:val="0"/>
                <w:color w:val="212121"/>
                <w:sz w:val="16"/>
              </w:rPr>
              <w:t>Women with tubal risk factors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Low threshold to investigate for genital TB</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Medical, drug &amp; lifestyle history</w:t>
            </w:r>
          </w:p>
        </w:tc>
        <w:tc>
          <w:tcPr>
            <w:tcW w:type="dxa" w:w="979"/>
            <w:vAlign w:val="top"/>
          </w:tcPr>
          <w:p>
            <w:pPr>
              <w:spacing w:after="40" w:before="0" w:line="259" w:lineRule="auto"/>
            </w:pPr>
            <w:r>
              <w:rPr>
                <w:rFonts w:ascii="Calibri" w:hAnsi="Calibri"/>
                <w:b w:val="0"/>
                <w:i w:val="0"/>
                <w:color w:val="212121"/>
                <w:sz w:val="16"/>
              </w:rPr>
              <w:t>Thyroid/prolactin symptoms, chronic disease, tobacco, alcohol, weight change</w:t>
            </w:r>
          </w:p>
        </w:tc>
        <w:tc>
          <w:tcPr>
            <w:tcW w:type="dxa" w:w="950"/>
            <w:vAlign w:val="top"/>
          </w:tcPr>
          <w:p>
            <w:pPr>
              <w:spacing w:after="40" w:before="0" w:line="259" w:lineRule="auto"/>
            </w:pPr>
            <w:r>
              <w:rPr>
                <w:rFonts w:ascii="Calibri" w:hAnsi="Calibri"/>
                <w:b w:val="0"/>
                <w:i w:val="0"/>
                <w:color w:val="212121"/>
                <w:sz w:val="16"/>
              </w:rPr>
              <w:t>No relevant illness or exposures</w:t>
            </w:r>
          </w:p>
        </w:tc>
        <w:tc>
          <w:tcPr>
            <w:tcW w:type="dxa" w:w="950"/>
            <w:vAlign w:val="top"/>
          </w:tcPr>
          <w:p>
            <w:pPr>
              <w:spacing w:after="40" w:before="0" w:line="259" w:lineRule="auto"/>
            </w:pPr>
            <w:r>
              <w:rPr>
                <w:rFonts w:ascii="Calibri" w:hAnsi="Calibri"/>
                <w:b w:val="0"/>
                <w:i w:val="0"/>
                <w:color w:val="212121"/>
                <w:sz w:val="16"/>
              </w:rPr>
              <w:t>Thyroid/galactorrhoea symptoms, tobacco/alcohol, weight extremes</w:t>
            </w:r>
          </w:p>
        </w:tc>
        <w:tc>
          <w:tcPr>
            <w:tcW w:type="dxa" w:w="1036"/>
            <w:vAlign w:val="top"/>
          </w:tcPr>
          <w:p>
            <w:pPr>
              <w:spacing w:after="40" w:before="0" w:line="259" w:lineRule="auto"/>
            </w:pPr>
            <w:r>
              <w:rPr>
                <w:rFonts w:ascii="Calibri" w:hAnsi="Calibri"/>
                <w:b w:val="0"/>
                <w:i w:val="0"/>
                <w:color w:val="212121"/>
                <w:sz w:val="16"/>
              </w:rPr>
              <w:t>Reveals endocrine and modifiable lifestyle contributors</w:t>
            </w:r>
          </w:p>
        </w:tc>
        <w:tc>
          <w:tcPr>
            <w:tcW w:type="dxa" w:w="1036"/>
            <w:vAlign w:val="top"/>
          </w:tcPr>
          <w:p>
            <w:pPr>
              <w:spacing w:after="40" w:before="0" w:line="259" w:lineRule="auto"/>
            </w:pPr>
            <w:r>
              <w:rPr>
                <w:rFonts w:ascii="Calibri" w:hAnsi="Calibri"/>
                <w:b w:val="0"/>
                <w:i w:val="0"/>
                <w:color w:val="212121"/>
                <w:sz w:val="16"/>
              </w:rPr>
              <w:t>All infertile women</w:t>
            </w:r>
          </w:p>
        </w:tc>
        <w:tc>
          <w:tcPr>
            <w:tcW w:type="dxa" w:w="720"/>
            <w:vAlign w:val="top"/>
          </w:tcPr>
          <w:p>
            <w:pPr>
              <w:spacing w:after="40" w:before="0" w:line="259" w:lineRule="auto"/>
            </w:pPr>
            <w:r>
              <w:rPr>
                <w:rFonts w:ascii="Calibri" w:hAnsi="Calibri"/>
                <w:b w:val="0"/>
                <w:i w:val="0"/>
                <w:color w:val="212121"/>
                <w:sz w:val="16"/>
              </w:rPr>
              <w:t>Smoking; Alcohol;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Reinforce modifiable-risk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General &amp; endocrine examination</w:t>
            </w:r>
          </w:p>
        </w:tc>
        <w:tc>
          <w:tcPr>
            <w:tcW w:type="dxa" w:w="979"/>
            <w:vAlign w:val="top"/>
          </w:tcPr>
          <w:p>
            <w:pPr>
              <w:spacing w:after="40" w:before="0" w:line="259" w:lineRule="auto"/>
            </w:pPr>
            <w:r>
              <w:rPr>
                <w:rFonts w:ascii="Calibri" w:hAnsi="Calibri"/>
                <w:b w:val="0"/>
                <w:i w:val="0"/>
                <w:color w:val="212121"/>
                <w:sz w:val="16"/>
              </w:rPr>
              <w:t>BMI, hirsutism/acne, acanthosis, galactorrhoea, thyroid, secondary sexual characteristics</w:t>
            </w:r>
          </w:p>
        </w:tc>
        <w:tc>
          <w:tcPr>
            <w:tcW w:type="dxa" w:w="950"/>
            <w:vAlign w:val="top"/>
          </w:tcPr>
          <w:p>
            <w:pPr>
              <w:spacing w:after="40" w:before="0" w:line="259" w:lineRule="auto"/>
            </w:pPr>
            <w:r>
              <w:rPr>
                <w:rFonts w:ascii="Calibri" w:hAnsi="Calibri"/>
                <w:b w:val="0"/>
                <w:i w:val="0"/>
                <w:color w:val="212121"/>
                <w:sz w:val="16"/>
              </w:rPr>
              <w:t>Normal BMI and examination</w:t>
            </w:r>
          </w:p>
        </w:tc>
        <w:tc>
          <w:tcPr>
            <w:tcW w:type="dxa" w:w="950"/>
            <w:vAlign w:val="top"/>
          </w:tcPr>
          <w:p>
            <w:pPr>
              <w:spacing w:after="40" w:before="0" w:line="259" w:lineRule="auto"/>
            </w:pPr>
            <w:r>
              <w:rPr>
                <w:rFonts w:ascii="Calibri" w:hAnsi="Calibri"/>
                <w:b w:val="0"/>
                <w:i w:val="0"/>
                <w:color w:val="212121"/>
                <w:sz w:val="16"/>
              </w:rPr>
              <w:t>Obesity, hirsutism/acne (PCOS), galactorrhoea, goitre, virilisation</w:t>
            </w:r>
          </w:p>
        </w:tc>
        <w:tc>
          <w:tcPr>
            <w:tcW w:type="dxa" w:w="1036"/>
            <w:vAlign w:val="top"/>
          </w:tcPr>
          <w:p>
            <w:pPr>
              <w:spacing w:after="40" w:before="0" w:line="259" w:lineRule="auto"/>
            </w:pPr>
            <w:r>
              <w:rPr>
                <w:rFonts w:ascii="Calibri" w:hAnsi="Calibri"/>
                <w:b w:val="0"/>
                <w:i w:val="0"/>
                <w:color w:val="212121"/>
                <w:sz w:val="16"/>
              </w:rPr>
              <w:t>Signposts PCOS, hyperprolactinaemia, thyroid disease or hypogonadism</w:t>
            </w:r>
          </w:p>
        </w:tc>
        <w:tc>
          <w:tcPr>
            <w:tcW w:type="dxa" w:w="1036"/>
            <w:vAlign w:val="top"/>
          </w:tcPr>
          <w:p>
            <w:pPr>
              <w:spacing w:after="40" w:before="0" w:line="259" w:lineRule="auto"/>
            </w:pPr>
            <w:r>
              <w:rPr>
                <w:rFonts w:ascii="Calibri" w:hAnsi="Calibri"/>
                <w:b w:val="0"/>
                <w:i w:val="0"/>
                <w:color w:val="212121"/>
                <w:sz w:val="16"/>
              </w:rPr>
              <w:t>Women with endocrine features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Calculate BMI with Asian-Indian cut-offs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Pelvic (speculum &amp; bimanual) examination</w:t>
            </w:r>
          </w:p>
        </w:tc>
        <w:tc>
          <w:tcPr>
            <w:tcW w:type="dxa" w:w="979"/>
            <w:vAlign w:val="top"/>
          </w:tcPr>
          <w:p>
            <w:pPr>
              <w:spacing w:after="40" w:before="0" w:line="259" w:lineRule="auto"/>
            </w:pPr>
            <w:r>
              <w:rPr>
                <w:rFonts w:ascii="Calibri" w:hAnsi="Calibri"/>
                <w:b w:val="0"/>
                <w:i w:val="0"/>
                <w:color w:val="212121"/>
                <w:sz w:val="16"/>
              </w:rPr>
              <w:t>Uterine size/mobility, adnexal masses, nodularity/tenderness, discharge</w:t>
            </w:r>
          </w:p>
        </w:tc>
        <w:tc>
          <w:tcPr>
            <w:tcW w:type="dxa" w:w="950"/>
            <w:vAlign w:val="top"/>
          </w:tcPr>
          <w:p>
            <w:pPr>
              <w:spacing w:after="40" w:before="0" w:line="259" w:lineRule="auto"/>
            </w:pPr>
            <w:r>
              <w:rPr>
                <w:rFonts w:ascii="Calibri" w:hAnsi="Calibri"/>
                <w:b w:val="0"/>
                <w:i w:val="0"/>
                <w:color w:val="212121"/>
                <w:sz w:val="16"/>
              </w:rPr>
              <w:t>Normal-sized mobile uterus, no mass or tenderness</w:t>
            </w:r>
          </w:p>
        </w:tc>
        <w:tc>
          <w:tcPr>
            <w:tcW w:type="dxa" w:w="950"/>
            <w:vAlign w:val="top"/>
          </w:tcPr>
          <w:p>
            <w:pPr>
              <w:spacing w:after="40" w:before="0" w:line="259" w:lineRule="auto"/>
            </w:pPr>
            <w:r>
              <w:rPr>
                <w:rFonts w:ascii="Calibri" w:hAnsi="Calibri"/>
                <w:b w:val="0"/>
                <w:i w:val="0"/>
                <w:color w:val="212121"/>
                <w:sz w:val="16"/>
              </w:rPr>
              <w:t>Fibroid uterus, fixed retroverted uterus, adnexal mass, uterosacral nodularity, cervical-motion tenderness/discharge</w:t>
            </w:r>
          </w:p>
        </w:tc>
        <w:tc>
          <w:tcPr>
            <w:tcW w:type="dxa" w:w="1036"/>
            <w:vAlign w:val="top"/>
          </w:tcPr>
          <w:p>
            <w:pPr>
              <w:spacing w:after="40" w:before="0" w:line="259" w:lineRule="auto"/>
            </w:pPr>
            <w:r>
              <w:rPr>
                <w:rFonts w:ascii="Calibri" w:hAnsi="Calibri"/>
                <w:b w:val="0"/>
                <w:i w:val="0"/>
                <w:color w:val="212121"/>
                <w:sz w:val="16"/>
              </w:rPr>
              <w:t>Detects fibroids, endometriosis, adnexal pathology and active pelvic infection</w:t>
            </w:r>
          </w:p>
        </w:tc>
        <w:tc>
          <w:tcPr>
            <w:tcW w:type="dxa" w:w="1036"/>
            <w:vAlign w:val="top"/>
          </w:tcPr>
          <w:p>
            <w:pPr>
              <w:spacing w:after="40" w:before="0" w:line="259" w:lineRule="auto"/>
            </w:pPr>
            <w:r>
              <w:rPr>
                <w:rFonts w:ascii="Calibri" w:hAnsi="Calibri"/>
                <w:b w:val="0"/>
                <w:i w:val="0"/>
                <w:color w:val="212121"/>
                <w:sz w:val="16"/>
              </w:rPr>
              <w:t>All infertile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Nodular fixed uterus suggests endometriosis; tenderness/discharge suggests PID</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Inability to conceive after ≥ 12 months of regular unprotected intercourse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defining feature of infertility (≥ 6 months if the woman is ≥ 35); infertility is often otherwise 'silent', with the failure to conceive the only complaint.</w:t>
            </w:r>
          </w:p>
        </w:tc>
      </w:tr>
      <w:tr>
        <w:trPr>
          <w:cantSplit/>
        </w:trPr>
        <w:tc>
          <w:tcPr>
            <w:tcW w:type="dxa" w:w="2304"/>
            <w:vAlign w:val="top"/>
          </w:tcPr>
          <w:p>
            <w:pPr>
              <w:spacing w:after="40" w:before="0" w:line="259" w:lineRule="auto"/>
            </w:pPr>
            <w:r>
              <w:rPr>
                <w:rFonts w:ascii="Calibri" w:hAnsi="Calibri"/>
                <w:b/>
                <w:i w:val="0"/>
                <w:color w:val="212121"/>
                <w:sz w:val="19"/>
              </w:rPr>
              <w:t>Irregular, infrequent or absent menstrual periods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Oligomenorrhoea or amenorrhoea signals an ovulatory disorder such as PCOS, hypothalamic anovulation or premature ovarian insufficiency.</w:t>
            </w:r>
          </w:p>
        </w:tc>
      </w:tr>
      <w:tr>
        <w:trPr>
          <w:cantSplit/>
        </w:trPr>
        <w:tc>
          <w:tcPr>
            <w:tcW w:type="dxa" w:w="2304"/>
            <w:vAlign w:val="top"/>
          </w:tcPr>
          <w:p>
            <w:pPr>
              <w:spacing w:after="40" w:before="0" w:line="259" w:lineRule="auto"/>
            </w:pPr>
            <w:r>
              <w:rPr>
                <w:rFonts w:ascii="Calibri" w:hAnsi="Calibri"/>
                <w:b/>
                <w:i w:val="0"/>
                <w:color w:val="212121"/>
                <w:sz w:val="19"/>
              </w:rPr>
              <w:t>Absent premenstrual/ovulatory symptoms (no molimina)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Lack of the usual cyclical breast tenderness, mid-cycle mucus or mild cramping can indicate anovulatory cycles.</w:t>
            </w:r>
          </w:p>
        </w:tc>
      </w:tr>
      <w:tr>
        <w:trPr>
          <w:cantSplit/>
        </w:trPr>
        <w:tc>
          <w:tcPr>
            <w:tcW w:type="dxa" w:w="2304"/>
            <w:vAlign w:val="top"/>
          </w:tcPr>
          <w:p>
            <w:pPr>
              <w:spacing w:after="40" w:before="0" w:line="259" w:lineRule="auto"/>
            </w:pPr>
            <w:r>
              <w:rPr>
                <w:rFonts w:ascii="Calibri" w:hAnsi="Calibri"/>
                <w:b/>
                <w:i w:val="0"/>
                <w:color w:val="212121"/>
                <w:sz w:val="19"/>
              </w:rPr>
              <w:t>Painful periods (dysmenorrhoea)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severe dysmenorrhoea is characteristic of endometriosis and adenomyosis, common causes of infertility.</w:t>
            </w:r>
          </w:p>
        </w:tc>
      </w:tr>
      <w:tr>
        <w:trPr>
          <w:cantSplit/>
        </w:trPr>
        <w:tc>
          <w:tcPr>
            <w:tcW w:type="dxa" w:w="2304"/>
            <w:vAlign w:val="top"/>
          </w:tcPr>
          <w:p>
            <w:pPr>
              <w:spacing w:after="40" w:before="0" w:line="259" w:lineRule="auto"/>
            </w:pPr>
            <w:r>
              <w:rPr>
                <w:rFonts w:ascii="Calibri" w:hAnsi="Calibri"/>
                <w:b/>
                <w:i w:val="0"/>
                <w:color w:val="212121"/>
                <w:sz w:val="19"/>
              </w:rPr>
              <w:t>Heavy or abnormal menstrual bleeding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Menorrhagia may point to uterine fibroids, adenomyosis or endometrial pathology affecting implantation.</w:t>
            </w:r>
          </w:p>
        </w:tc>
      </w:tr>
      <w:tr>
        <w:trPr>
          <w:cantSplit/>
        </w:trPr>
        <w:tc>
          <w:tcPr>
            <w:tcW w:type="dxa" w:w="2304"/>
            <w:vAlign w:val="top"/>
          </w:tcPr>
          <w:p>
            <w:pPr>
              <w:spacing w:after="40" w:before="0" w:line="259" w:lineRule="auto"/>
            </w:pPr>
            <w:r>
              <w:rPr>
                <w:rFonts w:ascii="Calibri" w:hAnsi="Calibri"/>
                <w:b/>
                <w:i w:val="0"/>
                <w:color w:val="212121"/>
                <w:sz w:val="19"/>
              </w:rPr>
              <w:t>Scanty menstrual flow / hypomenorrhoea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Very light or shortening periods can reflect endometrial (including tuberculous) damage or intrauterine adhesions (Asherman syndrome).</w:t>
            </w:r>
          </w:p>
        </w:tc>
      </w:tr>
      <w:tr>
        <w:trPr>
          <w:cantSplit/>
        </w:trPr>
        <w:tc>
          <w:tcPr>
            <w:tcW w:type="dxa" w:w="2304"/>
            <w:vAlign w:val="top"/>
          </w:tcPr>
          <w:p>
            <w:pPr>
              <w:spacing w:after="40" w:before="0" w:line="259" w:lineRule="auto"/>
            </w:pPr>
            <w:r>
              <w:rPr>
                <w:rFonts w:ascii="Calibri" w:hAnsi="Calibri"/>
                <w:b/>
                <w:i w:val="0"/>
                <w:color w:val="212121"/>
                <w:sz w:val="19"/>
              </w:rPr>
              <w:t>Deep pain during intercourse (dyspareunia) &amp; chronic pelvic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 endometriosis, pelvic adhesions or chronic pelvic inflammatory disease.</w:t>
            </w:r>
          </w:p>
        </w:tc>
      </w:tr>
      <w:tr>
        <w:trPr>
          <w:cantSplit/>
        </w:trPr>
        <w:tc>
          <w:tcPr>
            <w:tcW w:type="dxa" w:w="2304"/>
            <w:vAlign w:val="top"/>
          </w:tcPr>
          <w:p>
            <w:pPr>
              <w:spacing w:after="40" w:before="0" w:line="259" w:lineRule="auto"/>
            </w:pPr>
            <w:r>
              <w:rPr>
                <w:rFonts w:ascii="Calibri" w:hAnsi="Calibri"/>
                <w:b/>
                <w:i w:val="0"/>
                <w:color w:val="212121"/>
                <w:sz w:val="19"/>
              </w:rPr>
              <w:t>Excess facial/body hair, acne, oily skin (hyperandrogenism)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Features of PCOS, the leading ovulatory cause of infertility.</w:t>
            </w:r>
          </w:p>
        </w:tc>
      </w:tr>
      <w:tr>
        <w:trPr>
          <w:cantSplit/>
        </w:trPr>
        <w:tc>
          <w:tcPr>
            <w:tcW w:type="dxa" w:w="2304"/>
            <w:vAlign w:val="top"/>
          </w:tcPr>
          <w:p>
            <w:pPr>
              <w:spacing w:after="40" w:before="0" w:line="259" w:lineRule="auto"/>
            </w:pPr>
            <w:r>
              <w:rPr>
                <w:rFonts w:ascii="Calibri" w:hAnsi="Calibri"/>
                <w:b/>
                <w:i w:val="0"/>
                <w:color w:val="212121"/>
                <w:sz w:val="19"/>
              </w:rPr>
              <w:t>Milky nipple discharge (galactorrhoea)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Indicates hyperprolactinaemia, a treatable cause of anovulation.</w:t>
            </w:r>
          </w:p>
        </w:tc>
      </w:tr>
      <w:tr>
        <w:trPr>
          <w:cantSplit/>
        </w:trPr>
        <w:tc>
          <w:tcPr>
            <w:tcW w:type="dxa" w:w="2304"/>
            <w:vAlign w:val="top"/>
          </w:tcPr>
          <w:p>
            <w:pPr>
              <w:spacing w:after="40" w:before="0" w:line="259" w:lineRule="auto"/>
            </w:pPr>
            <w:r>
              <w:rPr>
                <w:rFonts w:ascii="Calibri" w:hAnsi="Calibri"/>
                <w:b/>
                <w:i w:val="0"/>
                <w:color w:val="212121"/>
                <w:sz w:val="19"/>
              </w:rPr>
              <w:t>Symptoms of thyroid disease (weight change, fatigue, cold/heat intolerance)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Hypo- or hyperthyroidism disturbs ovulation and menstrual regularity.</w:t>
            </w:r>
          </w:p>
        </w:tc>
      </w:tr>
      <w:tr>
        <w:trPr>
          <w:cantSplit/>
        </w:trPr>
        <w:tc>
          <w:tcPr>
            <w:tcW w:type="dxa" w:w="2304"/>
            <w:vAlign w:val="top"/>
          </w:tcPr>
          <w:p>
            <w:pPr>
              <w:spacing w:after="40" w:before="0" w:line="259" w:lineRule="auto"/>
            </w:pPr>
            <w:r>
              <w:rPr>
                <w:rFonts w:ascii="Calibri" w:hAnsi="Calibri"/>
                <w:b/>
                <w:i w:val="0"/>
                <w:color w:val="212121"/>
                <w:sz w:val="19"/>
              </w:rPr>
              <w:t>Hot flushes, night sweats and vaginal dryness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Vasomotor and hypo-oestrogenic symptoms in a young woman suggest premature ovarian insufficiency.</w:t>
            </w:r>
          </w:p>
        </w:tc>
      </w:tr>
      <w:tr>
        <w:trPr>
          <w:cantSplit/>
        </w:trPr>
        <w:tc>
          <w:tcPr>
            <w:tcW w:type="dxa" w:w="2304"/>
            <w:vAlign w:val="top"/>
          </w:tcPr>
          <w:p>
            <w:pPr>
              <w:spacing w:after="40" w:before="0" w:line="259" w:lineRule="auto"/>
            </w:pPr>
            <w:r>
              <w:rPr>
                <w:rFonts w:ascii="Calibri" w:hAnsi="Calibri"/>
                <w:b/>
                <w:i w:val="0"/>
                <w:color w:val="212121"/>
                <w:sz w:val="19"/>
              </w:rPr>
              <w:t>Psychological distress, anxiety and low mood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Distress, marital strain and social stigma frequently accompany infertility, especially in Indian settings, and can both result from and worsen the problem.</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Raised BMI / central obesity (Asian-Indian cut-offs)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Common in PCOS-related anovulatory infertility; even modest weight loss can restore ovulation.</w:t>
            </w:r>
          </w:p>
        </w:tc>
      </w:tr>
      <w:tr>
        <w:trPr>
          <w:cantSplit/>
        </w:trPr>
        <w:tc>
          <w:tcPr>
            <w:tcW w:type="dxa" w:w="3456"/>
            <w:vAlign w:val="top"/>
          </w:tcPr>
          <w:p>
            <w:pPr>
              <w:spacing w:after="40" w:before="0" w:line="259" w:lineRule="auto"/>
            </w:pPr>
            <w:r>
              <w:rPr>
                <w:rFonts w:ascii="Calibri" w:hAnsi="Calibri"/>
                <w:b/>
                <w:i w:val="0"/>
                <w:color w:val="212121"/>
                <w:sz w:val="19"/>
              </w:rPr>
              <w:t>Hirsutism (raised Ferriman-Gallwey score) and acne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Clinical hyperandrogenism supporting a diagnosis of PCOS.</w:t>
            </w:r>
          </w:p>
        </w:tc>
      </w:tr>
      <w:tr>
        <w:trPr>
          <w:cantSplit/>
        </w:trPr>
        <w:tc>
          <w:tcPr>
            <w:tcW w:type="dxa" w:w="3456"/>
            <w:vAlign w:val="top"/>
          </w:tcPr>
          <w:p>
            <w:pPr>
              <w:spacing w:after="40" w:before="0" w:line="259" w:lineRule="auto"/>
            </w:pPr>
            <w:r>
              <w:rPr>
                <w:rFonts w:ascii="Calibri" w:hAnsi="Calibri"/>
                <w:b/>
                <w:i w:val="0"/>
                <w:color w:val="212121"/>
                <w:sz w:val="19"/>
              </w:rPr>
              <w:t>Acanthosis nigricans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Velvety neck/axillary hyperpigmentation marking the insulin resistance underlying PCOS.</w:t>
            </w:r>
          </w:p>
        </w:tc>
      </w:tr>
      <w:tr>
        <w:trPr>
          <w:cantSplit/>
        </w:trPr>
        <w:tc>
          <w:tcPr>
            <w:tcW w:type="dxa" w:w="3456"/>
            <w:vAlign w:val="top"/>
          </w:tcPr>
          <w:p>
            <w:pPr>
              <w:spacing w:after="40" w:before="0" w:line="259" w:lineRule="auto"/>
            </w:pPr>
            <w:r>
              <w:rPr>
                <w:rFonts w:ascii="Calibri" w:hAnsi="Calibri"/>
                <w:b/>
                <w:i w:val="0"/>
                <w:color w:val="212121"/>
                <w:sz w:val="19"/>
              </w:rPr>
              <w:t>Galactorrhoea on breast examination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Expressible milky discharge suggesting hyperprolactinaemia.</w:t>
            </w:r>
          </w:p>
        </w:tc>
      </w:tr>
      <w:tr>
        <w:trPr>
          <w:cantSplit/>
        </w:trPr>
        <w:tc>
          <w:tcPr>
            <w:tcW w:type="dxa" w:w="3456"/>
            <w:vAlign w:val="top"/>
          </w:tcPr>
          <w:p>
            <w:pPr>
              <w:spacing w:after="40" w:before="0" w:line="259" w:lineRule="auto"/>
            </w:pPr>
            <w:r>
              <w:rPr>
                <w:rFonts w:ascii="Calibri" w:hAnsi="Calibri"/>
                <w:b/>
                <w:i w:val="0"/>
                <w:color w:val="212121"/>
                <w:sz w:val="19"/>
              </w:rPr>
              <w:t>Thyroid enlargement / goitre or thyroid signs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Points to thyroid dysfunction as a correctable cause of anovulation.</w:t>
            </w:r>
          </w:p>
        </w:tc>
      </w:tr>
      <w:tr>
        <w:trPr>
          <w:cantSplit/>
        </w:trPr>
        <w:tc>
          <w:tcPr>
            <w:tcW w:type="dxa" w:w="3456"/>
            <w:vAlign w:val="top"/>
          </w:tcPr>
          <w:p>
            <w:pPr>
              <w:spacing w:after="40" w:before="0" w:line="259" w:lineRule="auto"/>
            </w:pPr>
            <w:r>
              <w:rPr>
                <w:rFonts w:ascii="Calibri" w:hAnsi="Calibri"/>
                <w:b/>
                <w:i w:val="0"/>
                <w:color w:val="212121"/>
                <w:sz w:val="19"/>
              </w:rPr>
              <w:t>Fixed, retroverted uterus with uterosacral nodularity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Bimanual findings characteristic of endometriosis with pelvic adhesions.</w:t>
            </w:r>
          </w:p>
        </w:tc>
      </w:tr>
      <w:tr>
        <w:trPr>
          <w:cantSplit/>
        </w:trPr>
        <w:tc>
          <w:tcPr>
            <w:tcW w:type="dxa" w:w="3456"/>
            <w:vAlign w:val="top"/>
          </w:tcPr>
          <w:p>
            <w:pPr>
              <w:spacing w:after="40" w:before="0" w:line="259" w:lineRule="auto"/>
            </w:pPr>
            <w:r>
              <w:rPr>
                <w:rFonts w:ascii="Calibri" w:hAnsi="Calibri"/>
                <w:b/>
                <w:i w:val="0"/>
                <w:color w:val="212121"/>
                <w:sz w:val="19"/>
              </w:rPr>
              <w:t>Enlarged, irregular ('bulky/fibroid') uterus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uterine leiomyomas, which can impair implantation, especially when submucosal.</w:t>
            </w:r>
          </w:p>
        </w:tc>
      </w:tr>
      <w:tr>
        <w:trPr>
          <w:cantSplit/>
        </w:trPr>
        <w:tc>
          <w:tcPr>
            <w:tcW w:type="dxa" w:w="3456"/>
            <w:vAlign w:val="top"/>
          </w:tcPr>
          <w:p>
            <w:pPr>
              <w:spacing w:after="40" w:before="0" w:line="259" w:lineRule="auto"/>
            </w:pPr>
            <w:r>
              <w:rPr>
                <w:rFonts w:ascii="Calibri" w:hAnsi="Calibri"/>
                <w:b/>
                <w:i w:val="0"/>
                <w:color w:val="212121"/>
                <w:sz w:val="19"/>
              </w:rPr>
              <w:t>Adnexal mass or 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May indicate endometrioma, hydrosalpinx or tubo-ovarian pathology.</w:t>
            </w:r>
          </w:p>
        </w:tc>
      </w:tr>
      <w:tr>
        <w:trPr>
          <w:cantSplit/>
        </w:trPr>
        <w:tc>
          <w:tcPr>
            <w:tcW w:type="dxa" w:w="3456"/>
            <w:vAlign w:val="top"/>
          </w:tcPr>
          <w:p>
            <w:pPr>
              <w:spacing w:after="40" w:before="0" w:line="259" w:lineRule="auto"/>
            </w:pPr>
            <w:r>
              <w:rPr>
                <w:rFonts w:ascii="Calibri" w:hAnsi="Calibri"/>
                <w:b/>
                <w:i w:val="0"/>
                <w:color w:val="212121"/>
                <w:sz w:val="19"/>
              </w:rPr>
              <w:t>Cervical-motion tenderness / abnormal cervical discharge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active pelvic inflammatory disease or reproductive-tract infection.</w:t>
            </w:r>
          </w:p>
        </w:tc>
      </w:tr>
      <w:tr>
        <w:trPr>
          <w:cantSplit/>
        </w:trPr>
        <w:tc>
          <w:tcPr>
            <w:tcW w:type="dxa" w:w="3456"/>
            <w:vAlign w:val="top"/>
          </w:tcPr>
          <w:p>
            <w:pPr>
              <w:spacing w:after="40" w:before="0" w:line="259" w:lineRule="auto"/>
            </w:pPr>
            <w:r>
              <w:rPr>
                <w:rFonts w:ascii="Calibri" w:hAnsi="Calibri"/>
                <w:b/>
                <w:i w:val="0"/>
                <w:color w:val="212121"/>
                <w:sz w:val="19"/>
              </w:rPr>
              <w:t>Low BMI / poorly developed secondary sexual characteristics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 hypothalamic (WHO Group I) anovulation or hypogonadism.</w:t>
            </w:r>
          </w:p>
        </w:tc>
      </w:tr>
      <w:tr>
        <w:trPr>
          <w:cantSplit/>
        </w:trPr>
        <w:tc>
          <w:tcPr>
            <w:tcW w:type="dxa" w:w="3456"/>
            <w:vAlign w:val="top"/>
          </w:tcPr>
          <w:p>
            <w:pPr>
              <w:spacing w:after="40" w:before="0" w:line="259" w:lineRule="auto"/>
            </w:pPr>
            <w:r>
              <w:rPr>
                <w:rFonts w:ascii="Calibri" w:hAnsi="Calibri"/>
                <w:b/>
                <w:i w:val="0"/>
                <w:color w:val="212121"/>
                <w:sz w:val="19"/>
              </w:rPr>
              <w:t>Turner stigmata (short stature, webbed neck, widely spaced nipples)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Point to a chromosomal cause (Turner syndrome) of ovarian dysgenesis and primary infertility.</w:t>
            </w:r>
          </w:p>
        </w:tc>
      </w:tr>
      <w:tr>
        <w:trPr>
          <w:cantSplit/>
        </w:trPr>
        <w:tc>
          <w:tcPr>
            <w:tcW w:type="dxa" w:w="3456"/>
            <w:vAlign w:val="top"/>
          </w:tcPr>
          <w:p>
            <w:pPr>
              <w:spacing w:after="40" w:before="0" w:line="259" w:lineRule="auto"/>
            </w:pPr>
            <w:r>
              <w:rPr>
                <w:rFonts w:ascii="Calibri" w:hAnsi="Calibri"/>
                <w:b/>
                <w:i w:val="0"/>
                <w:color w:val="212121"/>
                <w:sz w:val="19"/>
              </w:rPr>
              <w:t>Signs of virilisation (clitoromegaly, deep voice, temporal balding)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 a marked androgen excess (androgen-secreting tumour or CAH) rather than simple PCOS.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failure to conceive / involuntary childlessness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of the underlying cause — worsening tubal damage and adhesions from ongoing genital TB or pelvic infection, and advancing endometriosis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Age-related decline in ovarian reserve while cause-directed treatment is pursued, narrowing the fertility window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early pregnancy loss where implantation does occur (e.g. uterine or endometrial factor)</w:t>
            </w:r>
          </w:p>
        </w:tc>
        <w:tc>
          <w:tcPr>
            <w:tcW w:type="dxa" w:w="2980"/>
            <w:vAlign w:val="top"/>
          </w:tcPr>
          <w:p>
            <w:pPr>
              <w:spacing w:after="40" w:before="0" w:line="259" w:lineRule="auto"/>
            </w:pPr>
            <w:r>
              <w:rPr>
                <w:rFonts w:ascii="Calibri" w:hAnsi="Calibri"/>
                <w:b w:val="0"/>
                <w:i w:val="0"/>
                <w:color w:val="212121"/>
                <w:sz w:val="19"/>
              </w:rPr>
              <w:t>Direct consequences of the reproductive-tract disorder and of time spent seeking conception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Ectopic (tubal) pregnancy — markedly increased with tubal-factor infertility and after tubal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Ovarian hyperstimulation syndrome (OHSS) from ovulation induction / IVF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Multiple pregnancy and its obstetric risks after ovulation induction or multiple-embryo transfer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Miscarriage, and procedure-related complications of laparoscopy, hysteroscopy or oocyte retrieval (bleeding, infection, injury)</w:t>
            </w:r>
          </w:p>
        </w:tc>
        <w:tc>
          <w:tcPr>
            <w:tcW w:type="dxa" w:w="2980"/>
            <w:vAlign w:val="top"/>
          </w:tcPr>
          <w:p>
            <w:pPr>
              <w:spacing w:after="40" w:before="0" w:line="259" w:lineRule="auto"/>
            </w:pPr>
            <w:r>
              <w:rPr>
                <w:rFonts w:ascii="Calibri" w:hAnsi="Calibri"/>
                <w:b w:val="0"/>
                <w:i w:val="0"/>
                <w:color w:val="212121"/>
                <w:sz w:val="19"/>
              </w:rPr>
              <w:t>Complications arising from the disease process and from the treatments used to achieve pregnancy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morbidity — anxiety, depression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Marital discord, separation/divorce, intimate-partner violence and social ostracism (a heavy, gendered burden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Financial hardship and debt from repeated, largely out-of-pocket assisted-reproduction cycles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irreversible childlessness when treatment is unsuccessful or unaffordable</w:t>
            </w:r>
          </w:p>
        </w:tc>
        <w:tc>
          <w:tcPr>
            <w:tcW w:type="dxa" w:w="2980"/>
            <w:vAlign w:val="top"/>
          </w:tcPr>
          <w:p>
            <w:pPr>
              <w:spacing w:after="40" w:before="0" w:line="259" w:lineRule="auto"/>
            </w:pPr>
            <w:r>
              <w:rPr>
                <w:rFonts w:ascii="Calibri" w:hAnsi="Calibri"/>
                <w:b w:val="0"/>
                <w:i w:val="0"/>
                <w:color w:val="212121"/>
                <w:sz w:val="19"/>
              </w:rPr>
              <w:t>Long-term psychosocial, relational and economic consequences, amplified by stigma and cost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leading cause of anovulatory infertility; hyperandrogenism and insulin resistance disrupt ovulation and cluster with obesity and metabolic disease.</w:t>
            </w:r>
          </w:p>
          <w:p>
            <w:pPr>
              <w:spacing w:after="40" w:before="0" w:line="259" w:lineRule="auto"/>
            </w:pPr>
            <w:r>
              <w:rPr>
                <w:rFonts w:ascii="Calibri" w:hAnsi="Calibri"/>
                <w:b/>
                <w:i w:val="0"/>
                <w:color w:val="212121"/>
                <w:sz w:val="19"/>
              </w:rPr>
              <w:t>~11% of Indian women (pooled)</w:t>
            </w:r>
          </w:p>
        </w:tc>
      </w:tr>
      <w:tr>
        <w:trPr>
          <w:cantSplit/>
        </w:trPr>
        <w:tc>
          <w:tcPr>
            <w:tcW w:type="dxa" w:w="2232"/>
            <w:vAlign w:val="top"/>
          </w:tcPr>
          <w:p>
            <w:pPr>
              <w:spacing w:after="40" w:before="0" w:line="259" w:lineRule="auto"/>
            </w:pPr>
            <w:r>
              <w:rPr>
                <w:rFonts w:ascii="Calibri" w:hAnsi="Calibri"/>
                <w:b/>
                <w:i w:val="0"/>
                <w:color w:val="212121"/>
                <w:sz w:val="19"/>
              </w:rPr>
              <w:t>Female genital / pelvic tuberculosis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major Indian cause of tubal-factor infertility; damages the fallopian tubes in almost all cases and scars the endometrium, keeping conception rates low even after treatment.</w:t>
            </w:r>
          </w:p>
          <w:p>
            <w:pPr>
              <w:spacing w:after="40" w:before="0" w:line="259" w:lineRule="auto"/>
            </w:pPr>
            <w:r>
              <w:rPr>
                <w:rFonts w:ascii="Calibri" w:hAnsi="Calibri"/>
                <w:b/>
                <w:i w:val="0"/>
                <w:color w:val="212121"/>
                <w:sz w:val="19"/>
              </w:rPr>
              <w:t>Definite in ~44% at laparoscopy (one series)</w:t>
            </w:r>
          </w:p>
        </w:tc>
      </w:tr>
      <w:tr>
        <w:trPr>
          <w:cantSplit/>
        </w:trPr>
        <w:tc>
          <w:tcPr>
            <w:tcW w:type="dxa" w:w="2232"/>
            <w:vAlign w:val="top"/>
          </w:tcPr>
          <w:p>
            <w:pPr>
              <w:spacing w:after="40" w:before="0" w:line="259" w:lineRule="auto"/>
            </w:pPr>
            <w:r>
              <w:rPr>
                <w:rFonts w:ascii="Calibri" w:hAnsi="Calibri"/>
                <w:b/>
                <w:i w:val="0"/>
                <w:color w:val="212121"/>
                <w:sz w:val="19"/>
              </w:rPr>
              <w:t>Endometriosis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Causes pelvic inflammation, adhesions and impaired oocyte/embryo quality; over-represented among infertile women and frequently found only at laparoscopy.</w:t>
            </w:r>
          </w:p>
          <w:p>
            <w:pPr>
              <w:spacing w:after="40" w:before="0" w:line="259" w:lineRule="auto"/>
            </w:pPr>
            <w:r>
              <w:rPr>
                <w:rFonts w:ascii="Calibri" w:hAnsi="Calibri"/>
                <w:b/>
                <w:i w:val="0"/>
                <w:color w:val="212121"/>
                <w:sz w:val="19"/>
              </w:rPr>
              <w:t>~55% of infertile women (Indian laparoscopic series)</w:t>
            </w:r>
          </w:p>
        </w:tc>
      </w:tr>
      <w:tr>
        <w:trPr>
          <w:cantSplit/>
        </w:trPr>
        <w:tc>
          <w:tcPr>
            <w:tcW w:type="dxa" w:w="2232"/>
            <w:vAlign w:val="top"/>
          </w:tcPr>
          <w:p>
            <w:pPr>
              <w:spacing w:after="40" w:before="0" w:line="259" w:lineRule="auto"/>
            </w:pPr>
            <w:r>
              <w:rPr>
                <w:rFonts w:ascii="Calibri" w:hAnsi="Calibri"/>
                <w:b/>
                <w:i w:val="0"/>
                <w:color w:val="212121"/>
                <w:sz w:val="19"/>
              </w:rPr>
              <w:t>Pelvic inflammatory disease / STIs (chlamydia, gonorrhoea)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Ascending infection scars and blocks the tubes and raises ectopic-pregnancy risk; a leading preventable cause of tubal-factor infertility.</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common, correctable endocrine cause of anovulation and menstrual disturbance; screening and treating it can restore fertility, and it must be optimised before and during pregnancy.</w:t>
            </w:r>
          </w:p>
        </w:tc>
      </w:tr>
      <w:tr>
        <w:trPr>
          <w:cantSplit/>
        </w:trPr>
        <w:tc>
          <w:tcPr>
            <w:tcW w:type="dxa" w:w="2232"/>
            <w:vAlign w:val="top"/>
          </w:tcPr>
          <w:p>
            <w:pPr>
              <w:spacing w:after="40" w:before="0" w:line="259" w:lineRule="auto"/>
            </w:pPr>
            <w:r>
              <w:rPr>
                <w:rFonts w:ascii="Calibri" w:hAnsi="Calibri"/>
                <w:b/>
                <w:i w:val="0"/>
                <w:color w:val="212121"/>
                <w:sz w:val="19"/>
              </w:rPr>
              <w:t>Hyperprolactinaemia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Elevated prolactin suppresses GnRH and causes anovulation and galactorrhoea; found in a high proportion of infertile women and treatable with dopamine agonists.</w:t>
            </w:r>
          </w:p>
          <w:p>
            <w:pPr>
              <w:spacing w:after="40" w:before="0" w:line="259" w:lineRule="auto"/>
            </w:pPr>
            <w:r>
              <w:rPr>
                <w:rFonts w:ascii="Calibri" w:hAnsi="Calibri"/>
                <w:b/>
                <w:i w:val="0"/>
                <w:color w:val="212121"/>
                <w:sz w:val="19"/>
              </w:rPr>
              <w:t>41% of infertile women (Indian study)</w:t>
            </w:r>
          </w:p>
        </w:tc>
      </w:tr>
      <w:tr>
        <w:trPr>
          <w:cantSplit/>
        </w:trPr>
        <w:tc>
          <w:tcPr>
            <w:tcW w:type="dxa" w:w="2232"/>
            <w:vAlign w:val="top"/>
          </w:tcPr>
          <w:p>
            <w:pPr>
              <w:spacing w:after="40" w:before="0" w:line="259" w:lineRule="auto"/>
            </w:pPr>
            <w:r>
              <w:rPr>
                <w:rFonts w:ascii="Calibri" w:hAnsi="Calibri"/>
                <w:b/>
                <w:i w:val="0"/>
                <w:color w:val="212121"/>
                <w:sz w:val="19"/>
              </w:rPr>
              <w:t>Uterine leiomyomas (fibroids)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Submucosal and cavity-distorting fibroids impair implantation and are a common coexisting gynaecological condition affecting fertility and its management.</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Aggravates insulin resistance and anovulation, lowers response to treatment and increases miscarriage; weight reduction improves ovulation and outcomes.</w:t>
            </w:r>
          </w:p>
        </w:tc>
      </w:tr>
      <w:tr>
        <w:trPr>
          <w:cantSplit/>
        </w:trPr>
        <w:tc>
          <w:tcPr>
            <w:tcW w:type="dxa" w:w="2232"/>
            <w:vAlign w:val="top"/>
          </w:tcPr>
          <w:p>
            <w:pPr>
              <w:spacing w:after="40" w:before="0" w:line="259" w:lineRule="auto"/>
            </w:pPr>
            <w:r>
              <w:rPr>
                <w:rFonts w:ascii="Calibri" w:hAnsi="Calibri"/>
                <w:b/>
                <w:i w:val="0"/>
                <w:color w:val="212121"/>
                <w:sz w:val="19"/>
              </w:rPr>
              <w:t>Type 2 diabetes / insulin resistance &amp; metabolic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 the insulin-resistance pathway of PCOS and coexist frequently, affecting ovulation, pregnancy risk and long-term health.</w:t>
            </w:r>
          </w:p>
        </w:tc>
      </w:tr>
      <w:tr>
        <w:trPr>
          <w:cantSplit/>
        </w:trPr>
        <w:tc>
          <w:tcPr>
            <w:tcW w:type="dxa" w:w="2232"/>
            <w:vAlign w:val="top"/>
          </w:tcPr>
          <w:p>
            <w:pPr>
              <w:spacing w:after="40" w:before="0" w:line="259" w:lineRule="auto"/>
            </w:pPr>
            <w:r>
              <w:rPr>
                <w:rFonts w:ascii="Calibri" w:hAnsi="Calibri"/>
                <w:b/>
                <w:i w:val="0"/>
                <w:color w:val="212121"/>
                <w:sz w:val="19"/>
              </w:rPr>
              <w:t>Premature ovarian insufficiency / diminished ovarian reserve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Early depletion of the follicle pool (genetic, autoimmune, iatrogenic or age-related) causes hypo-oestrogenic infertility and shapes treatment urgency and options.</w:t>
            </w:r>
          </w:p>
        </w:tc>
      </w:tr>
      <w:tr>
        <w:trPr>
          <w:cantSplit/>
        </w:trPr>
        <w:tc>
          <w:tcPr>
            <w:tcW w:type="dxa" w:w="2232"/>
            <w:vAlign w:val="top"/>
          </w:tcPr>
          <w:p>
            <w:pPr>
              <w:spacing w:after="40" w:before="0" w:line="259" w:lineRule="auto"/>
            </w:pPr>
            <w:r>
              <w:rPr>
                <w:rFonts w:ascii="Calibri" w:hAnsi="Calibri"/>
                <w:b/>
                <w:i w:val="0"/>
                <w:color w:val="212121"/>
                <w:sz w:val="19"/>
              </w:rPr>
              <w:t>Asherman syndrome (intrauterine adhesions)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Post-curettage, post-infective or tuberculous endometrial adhesions cause hypomenorrhoea and implantation failure; often a consequence of prior uterine intervention.</w:t>
            </w:r>
          </w:p>
        </w:tc>
      </w:tr>
      <w:tr>
        <w:trPr>
          <w:cantSplit/>
        </w:trPr>
        <w:tc>
          <w:tcPr>
            <w:tcW w:type="dxa" w:w="2232"/>
            <w:vAlign w:val="top"/>
          </w:tcPr>
          <w:p>
            <w:pPr>
              <w:spacing w:after="40" w:before="0" w:line="259" w:lineRule="auto"/>
            </w:pPr>
            <w:r>
              <w:rPr>
                <w:rFonts w:ascii="Calibri" w:hAnsi="Calibri"/>
                <w:b/>
                <w:i w:val="0"/>
                <w:color w:val="212121"/>
                <w:sz w:val="19"/>
              </w:rPr>
              <w:t>Ectopic pregnancy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Tubal damage that causes infertility also predisposes to implantation in the tube; a recognised complication when pregnancy is achieved with tubal-factor disease.</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Bidirectionally linked with infertility — distress and stigma both result from and can worsen the condition and reduce treatment adherence.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infertility is a shared, couple-level condition — both partners should be evaluated together, and it is not automatically the woman's 'fault'.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evaluation after 12 months of trying (or after 6 months if the woman is ≥ 35 or has irregular periods, prior pelvic infection/TB, or pelvic surgery) rather than delaying for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age is the strongest non-modifiable factor — female fertility falls markedly after 35 and steeply after 40 — and plan childbearing or fertility assessment accordingly.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tubal-factor infertility by practising safer sex, promptly treating reproductive-tract and sexually transmitted infections, and ensuring safe delivery and abortion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genital tuberculosis is a common, treatable Indian cause of tubal infertility — report menstrual changes, pelvic pain or TB contact for early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stigma of childlessness with accurate information and support, and know that many causes (PCOS, thyroid/prolactin problems, some tubal and uterine disease) are treatable.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 trying to conceive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 35 / with irregular cycles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underserved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prior PID/TB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married couples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and maintain a healthy weight using Asian-Indian BMI targets (18.5–22.9) — even a 5–10% weight loss can restore ovulation in overweight/PCOS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with some resistance training to improve insulin sensitivity and ovulatory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excessive, very high-volume exercise combined with low body weight, which can cause hypothalamic anovulation.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underweight women, aim to reach a healthy weight to re-establish regular ovulation.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women / intense exercisers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'fertility-supportive' diet — whole grains/millets, pulses, vegetables, fruit, nuts and healthy fats — and limit refined carbohydrate, sugary drinks and trans fats.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common Indian deficiencies: treat iron-deficiency anaemia and vitamin-D deficiency, and start periconceptional folic acid.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low-glycaemic foods and distribute carbohydrate through the day, particularly in PCOS and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through diet as well as activity, as weight normalisation directly improves ovulation.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PCOS/anovulation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or vitamin-D-deficient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regular sleep to support normal LH/FSH secretion and ovulation.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Minimise chronic night-shift and rotating-shift work where possible, as circadian disruption is linked to menstrual and ovulatory irregularity.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sleep–wake times and good sleep hygiene, particularly during fertility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irregular cycles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under chronic stress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 cigarettes, bidis and smokeless tobacco — which accelerate ovarian ageing, damage the tubes and lower natural and IVF conception rates.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is also linked to reduced 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cessation support (brief advice, counselling, quitlines and pharmacotherapy where appropriate) as part of fertility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Frame quitting as time-critical, because tobacco-related loss of ovarian reserve is not reversible.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smoke or use smokeless tobacco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exposed to second-hand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ART</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Minimise alcohol while trying to conceive, as heavy or frequent intake reduces fecundability and disturbs ovulation.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from alcohol completely once pregnancy is possible or confirmed, given the risk to the fetus.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and tobacco together, as they compound reproductive harm.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trying to conceive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alcohol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multiple lifestyle risks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and treat the anxiety, depression and relationship strain that commonly accompany infertility, with clear, hopeful information about treatable causes.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and psychological support to both partners, and screen for depression that can reduce adherence to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social stigma of childlessness — especially the gendered blame and violence faced by Indian women — and involve partners and families supportively.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Signpost to support groups and, where needed, structured stress-reduction and mental-health services alongside fertility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Women/couples with infertility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awaiting or undergoing ART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facing stigma or partner violence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pre-existing depression/anxiety</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infertility" TargetMode="External"/><Relationship Id="rId10" Type="http://schemas.openxmlformats.org/officeDocument/2006/relationships/hyperlink" Target="https://pubmed.ncbi.nlm.nih.gov/38045508/" TargetMode="External"/><Relationship Id="rId11" Type="http://schemas.openxmlformats.org/officeDocument/2006/relationships/hyperlink" Target="https://pubmed.ncbi.nlm.nih.gov/28862174/" TargetMode="External"/><Relationship Id="rId12" Type="http://schemas.openxmlformats.org/officeDocument/2006/relationships/hyperlink" Target="https://pubmed.ncbi.nlm.nih.gov/17489647/" TargetMode="External"/><Relationship Id="rId13" Type="http://schemas.openxmlformats.org/officeDocument/2006/relationships/hyperlink" Target="https://pubmed.ncbi.nlm.nih.gov/37672315/" TargetMode="External"/><Relationship Id="rId14" Type="http://schemas.openxmlformats.org/officeDocument/2006/relationships/hyperlink" Target="https://pubmed.ncbi.nlm.nih.gov/36628015/" TargetMode="External"/><Relationship Id="rId15" Type="http://schemas.openxmlformats.org/officeDocument/2006/relationships/hyperlink" Target="https://pubmed.ncbi.nlm.nih.gov/37202937/" TargetMode="External"/><Relationship Id="rId16" Type="http://schemas.openxmlformats.org/officeDocument/2006/relationships/hyperlink" Target="https://pubmed.ncbi.nlm.nih.gov/28546669/" TargetMode="External"/><Relationship Id="rId17" Type="http://schemas.openxmlformats.org/officeDocument/2006/relationships/hyperlink" Target="https://pubmed.ncbi.nlm.nih.gov/239264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