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Genitourinary Syndrome of Menopause</w:t>
      </w:r>
    </w:p>
    <w:p>
      <w:pPr>
        <w:spacing w:before="0" w:after="160"/>
      </w:pPr>
      <w:r>
        <w:rPr>
          <w:rFonts w:ascii="Calibri" w:hAnsi="Calibri"/>
          <w:b/>
          <w:i w:val="0"/>
          <w:color w:val="212121"/>
          <w:sz w:val="22"/>
        </w:rPr>
        <w:t xml:space="preserve">AKA </w:t>
      </w:r>
      <w:r>
        <w:rPr>
          <w:rFonts w:ascii="Calibri" w:hAnsi="Calibri"/>
          <w:b w:val="0"/>
          <w:i w:val="0"/>
          <w:color w:val="212121"/>
          <w:sz w:val="22"/>
        </w:rPr>
        <w:t>i.e., GSM, Vulvovaginal atrophy (VVA), Atrophic vaginitis, Urogenital atrophy, Vaginal atrophy, Menopausal vaginal dryness</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Genitourinary syndrome of menopause (GSM) is a chronic, progressive collection of genital, sexual and urinary symptoms and signs caused by the decline in estrogen and other sex steroids at menopause, involving the labia majora/minora, clitoris, vestibule/introitus, vagina, urethra and bladder. The term was introduced in 2014 by the International Society for the Study of Women's Sexual Health (ISSWSH) and The North American Menopause Society (NAMS) to replace the narrower and less accurate terms “vulvovaginal atrophy” and “atrophic vaginitis.” Unlike vasomotor symptoms (hot flashes), which typically improve over time, GSM does not resolve spontaneously and worsens progressively without treatment. Symptoms must be bothersome and not better explained by another diagnosis.</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GSM is highly prevalent yet markedly under-recognised and undertreated in India. In the multicentre Indian Midlife Registry (n=1781 women aged &gt;40), GSM prevalence was 48.5%, with lower urinary tract symptoms (38.2%) and vaginal dryness (26.4%) most common and a Vaginal Health Index ≤15 in 42.1%. In a Central-India study of symptomatic postmenopausal women, vaginal dryness affected 77% and vulvovaginal atrophy (VHI &lt;15) was documented in 79%. Global estimates range from 27% to 84% of postmenopausal women, of whom only a minority seek or receive treatment. Because the mean age at natural menopause in India is about 46.6 years—some 4–5 years earlier than in Caucasian women—Indian women may spend a longer proportion of life exposed to the hypoestrogenic state that drives GSM.</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GSM is primarily a clinical diagnosis based on characteristic bothersome symptoms together with supportive examination findings, after excluding infection, dermatoses and malignancy. Laboratory tests are not required to diagnose GSM but help exclude mimics. Suggestive criteria include: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at least two bothersome genitourinary or sexual symptoms (e.g., vaginal dryness, dyspareunia, burning/irritation, dysuria, urinary urgency, or recurrent urinary tract infections) not better explained by another condition;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objective genital signs of hypoestrogenism on examination — pale, thin, dry mucosa with loss of rugae, tissue friability, petechiae, and introital/vaginal narrowing;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elevated vaginal pH &gt; 5.0 (normal premenopausal 3.5–4.5), reflecting loss of lactobacilli and rising dysbiosis;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low Vaginal Health Index (VHI ≤ 15), scoring elasticity, fluid volume, pH, epithelial integrity and moisture;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Vaginal Maturation Index showing a shift toward parabasal/intermediate cells with fewer superficial cells (reduced estrogen effect);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exclusion of infective vaginitis (candidiasis, bacterial vaginosis, trichomoniasis) and of urinary tract infection by wet mount, urinalysis and culture where symptoms warrant.</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GSM has no single universal staging system; in practice it is characterised by symptom domain, objective severity, and the underlying cause of estrogen deficiency:</w:t>
      </w:r>
    </w:p>
    <w:p>
      <w:pPr>
        <w:spacing w:before="0" w:after="80"/>
      </w:pPr>
      <w:r>
        <w:rPr>
          <w:rFonts w:ascii="Calibri" w:hAnsi="Calibri"/>
          <w:b w:val="0"/>
          <w:i w:val="0"/>
          <w:color w:val="212121"/>
          <w:sz w:val="21"/>
        </w:rPr>
        <w:t>(1) By symptom domain — genital (dryness, burning, irritation), sexual (loss of lubrication, dyspareunia, postcoital bleeding, impaired arousal/function) and urinary (urgency, frequency, dysuria, recurrent UTI, incontinence);</w:t>
      </w:r>
    </w:p>
    <w:p>
      <w:pPr>
        <w:spacing w:before="0" w:after="80"/>
      </w:pPr>
      <w:r>
        <w:rPr>
          <w:rFonts w:ascii="Calibri" w:hAnsi="Calibri"/>
          <w:b w:val="0"/>
          <w:i w:val="0"/>
          <w:color w:val="212121"/>
          <w:sz w:val="21"/>
        </w:rPr>
        <w:t>(2) By objective severity — mild, moderate or severe, graded using the Vaginal Health Index (VHI), Vaginal Maturation Index and validated symptom-bothersomeness scales;</w:t>
      </w:r>
    </w:p>
    <w:p>
      <w:pPr>
        <w:spacing w:before="0" w:after="80"/>
      </w:pPr>
      <w:r>
        <w:rPr>
          <w:rFonts w:ascii="Calibri" w:hAnsi="Calibri"/>
          <w:b w:val="0"/>
          <w:i w:val="0"/>
          <w:color w:val="212121"/>
          <w:sz w:val="21"/>
        </w:rPr>
        <w:t>(3) By cause of hypoestrogenism — natural (spontaneous) menopause; induced/iatrogenic menopause (bilateral oophorectomy, chemotherapy, pelvic radiotherapy, aromatase inhibitors or anti-estrogen breast-cancer therapy, GnRH agonists); and premature ovarian insufficiency (&lt; 40 years);</w:t>
      </w:r>
    </w:p>
    <w:p>
      <w:pPr>
        <w:spacing w:before="0" w:after="80"/>
      </w:pPr>
      <w:r>
        <w:rPr>
          <w:rFonts w:ascii="Calibri" w:hAnsi="Calibri"/>
          <w:b w:val="0"/>
          <w:i w:val="0"/>
          <w:color w:val="212121"/>
          <w:sz w:val="21"/>
        </w:rPr>
        <w:t>(4) By stage of reproductive ageing (STRAW+10) — symptoms may begin in late perimenopause but prevalence and severity rise progressively through early and late postmenopause.</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Estrogen (and androgen) deficiency: The primary driver; the ~95% fall in estrogen at menopause thins the urogenital epithelium and reduces blood flow, collagen, elastin, glycogen and secretions.</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Loss of lactobacilli and rising vaginal pH: Glycogen depletion reduces lactobacilli, raising vaginal pH above 5.0 and promoting dysbiosis, irritation and susceptibility to infection.</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Reduced urogenital blood flow and connective-tissue change: Diminished vascularity and collagen cause tissue fragility, loss of rugae, and vaginal/introital shortening and narrowing.</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Ageing and prolonged hypoestrogenic exposure: With rising life expectancy Indian women may spend up to a third of life postmenopausal, allowing cumulative, progressive atrophy.</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Iatrogenic/induced anti-estrogen states: Oophorectomy, chemotherapy, pelvic radiotherapy, aromatase inhibitors, tamoxifen and GnRH agonists precipitate abrupt or severe GSM.</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Reduced sexual activity: Less coital and vascular stimulation accelerates atrophy and introital narrowing (“use it or lose it”).</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Smoking: Anti-estrogenic effects, earlier menopause and impaired urogenital perfusion accelerate atrophic change.</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Postmenopausal women (≥ 45–50 years)</w:t>
            </w:r>
          </w:p>
        </w:tc>
        <w:tc>
          <w:tcPr>
            <w:tcW w:type="dxa" w:w="4276"/>
            <w:vAlign w:val="top"/>
          </w:tcPr>
          <w:p>
            <w:pPr>
              <w:spacing w:after="60" w:line="259" w:lineRule="auto"/>
            </w:pPr>
            <w:r>
              <w:rPr>
                <w:rFonts w:ascii="Calibri" w:hAnsi="Calibri"/>
                <w:b w:val="0"/>
                <w:i w:val="0"/>
                <w:color w:val="212121"/>
                <w:sz w:val="19"/>
              </w:rPr>
              <w:t>GSM is overwhelmingly a condition of the postmenopausal, hypoestrogenic state; prevalence and severity rise with the number of years since the final menstrual period as atrophic change accumulates.</w:t>
            </w:r>
          </w:p>
          <w:p>
            <w:pPr>
              <w:spacing w:after="40" w:before="60" w:line="259" w:lineRule="auto"/>
            </w:pPr>
            <w:r>
              <w:rPr>
                <w:rFonts w:ascii="Calibri" w:hAnsi="Calibri"/>
                <w:b w:val="0"/>
                <w:i w:val="0"/>
                <w:color w:val="212121"/>
                <w:sz w:val="19"/>
              </w:rPr>
              <w:t>In a Central-India study of symptomatic postmenopausal women (45–75 y), the largest group presenting with GSM symptoms were aged 56–60 years (34%), and 79% had a Vaginal Health Index &lt; 15 (vulvovaginal atrophy).</w:t>
            </w:r>
          </w:p>
          <w:p>
            <w:pPr>
              <w:spacing w:after="40" w:line="252" w:lineRule="auto"/>
            </w:pPr>
            <w:hyperlink r:id="rId9">
              <w:r>
                <w:rPr>
                  <w:rFonts w:ascii="Calibri" w:hAnsi="Calibri" w:cs="Calibri"/>
                  <w:sz w:val="18"/>
                  <w:color w:val="1155CC"/>
                  <w:u w:val="single"/>
                </w:rPr>
                <w:t xml:space="preserve">pmc.ncbi.nlm.nih.gov/PMC10961929 — Central India VVA/GSM study</w:t>
              </w:r>
            </w:hyperlink>
          </w:p>
          <w:p>
            <w:pPr>
              <w:spacing w:before="60" w:after="40"/>
            </w:pPr>
            <w:r>
              <w:rPr>
                <w:rFonts w:ascii="Calibri" w:hAnsi="Calibri"/>
                <w:b w:val="0"/>
                <w:i w:val="0"/>
                <w:color w:val="5A5A5A"/>
                <w:sz w:val="18"/>
              </w:rPr>
              <w:t>#menopause  #hypoestrogenism  #vulvovaginalatrophy  #yearssincemenopause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women (≥ 65–70 years)</w:t>
            </w:r>
          </w:p>
        </w:tc>
        <w:tc>
          <w:tcPr>
            <w:tcW w:type="dxa" w:w="4276"/>
            <w:vAlign w:val="top"/>
          </w:tcPr>
          <w:p>
            <w:pPr>
              <w:spacing w:after="60" w:line="259" w:lineRule="auto"/>
            </w:pPr>
            <w:r>
              <w:rPr>
                <w:rFonts w:ascii="Calibri" w:hAnsi="Calibri"/>
                <w:b w:val="0"/>
                <w:i w:val="0"/>
                <w:color w:val="212121"/>
                <w:sz w:val="19"/>
              </w:rPr>
              <w:t>The oldest women have the longest hypoestrogenic exposure, the most severe atrophy and the highest rates of recurrent UTI and incontinence, yet are least likely to raise or receive treatment for symptoms.</w:t>
            </w:r>
          </w:p>
          <w:p>
            <w:pPr>
              <w:spacing w:after="40" w:before="60" w:line="259" w:lineRule="auto"/>
            </w:pPr>
            <w:r>
              <w:rPr>
                <w:rFonts w:ascii="Calibri" w:hAnsi="Calibri"/>
                <w:b w:val="0"/>
                <w:i w:val="0"/>
                <w:color w:val="212121"/>
                <w:sz w:val="19"/>
              </w:rPr>
              <w:t>In the Indian Midlife Registry, age ≥ 70 years and late postmenopause were independently associated with significantly higher odds of GSM.</w:t>
            </w:r>
          </w:p>
          <w:p>
            <w:pPr>
              <w:spacing w:after="40" w:line="252" w:lineRule="auto"/>
            </w:pPr>
            <w:hyperlink r:id="rId10">
              <w:r>
                <w:rPr>
                  <w:rFonts w:ascii="Calibri" w:hAnsi="Calibri" w:cs="Calibri"/>
                  <w:sz w:val="18"/>
                  <w:color w:val="1155CC"/>
                  <w:u w:val="single"/>
                </w:rPr>
                <w:t xml:space="preserve">pubmed.ncbi.nlm.nih.gov/40397455 — Indian Midlife Registry</w:t>
              </w:r>
            </w:hyperlink>
          </w:p>
          <w:p>
            <w:pPr>
              <w:spacing w:before="60" w:after="40"/>
            </w:pPr>
            <w:r>
              <w:rPr>
                <w:rFonts w:ascii="Calibri" w:hAnsi="Calibri"/>
                <w:b w:val="0"/>
                <w:i w:val="0"/>
                <w:color w:val="5A5A5A"/>
                <w:sz w:val="18"/>
              </w:rPr>
              <w:t>#elderly  #severeGSM  #recurrentUTI  #undertreated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Women (female-specific, estrogen-dependent tissues)</w:t>
            </w:r>
          </w:p>
        </w:tc>
        <w:tc>
          <w:tcPr>
            <w:tcW w:type="dxa" w:w="4276"/>
            <w:vAlign w:val="top"/>
          </w:tcPr>
          <w:p>
            <w:pPr>
              <w:spacing w:after="60" w:line="259" w:lineRule="auto"/>
            </w:pPr>
            <w:r>
              <w:rPr>
                <w:rFonts w:ascii="Calibri" w:hAnsi="Calibri"/>
                <w:b w:val="0"/>
                <w:i w:val="0"/>
                <w:color w:val="212121"/>
                <w:sz w:val="19"/>
              </w:rPr>
              <w:t>GSM is defined by estrogen-dependent female urogenital tissues (vulva, vagina, urethra, bladder trigone); every woman reaching natural or induced menopause is at risk, making it one of the most common conditions of midlife women.</w:t>
            </w:r>
          </w:p>
          <w:p>
            <w:pPr>
              <w:spacing w:after="40" w:before="60" w:line="259" w:lineRule="auto"/>
            </w:pPr>
            <w:r>
              <w:rPr>
                <w:rFonts w:ascii="Calibri" w:hAnsi="Calibri"/>
                <w:b w:val="0"/>
                <w:i w:val="0"/>
                <w:color w:val="212121"/>
                <w:sz w:val="19"/>
              </w:rPr>
              <w:t>GSM was diagnosed in 48.5% of 1781 Indian women aged &gt;40 attending outpatient clinics in the multicentre Indian Midlife Registry.</w:t>
            </w:r>
          </w:p>
          <w:p>
            <w:pPr>
              <w:spacing w:after="40" w:line="252" w:lineRule="auto"/>
            </w:pPr>
            <w:hyperlink r:id="rId10">
              <w:r>
                <w:rPr>
                  <w:rFonts w:ascii="Calibri" w:hAnsi="Calibri" w:cs="Calibri"/>
                  <w:sz w:val="18"/>
                  <w:color w:val="1155CC"/>
                  <w:u w:val="single"/>
                </w:rPr>
                <w:t xml:space="preserve">pubmed.ncbi.nlm.nih.gov/40397455 — Indian Midlife Registry</w:t>
              </w:r>
            </w:hyperlink>
          </w:p>
          <w:p>
            <w:pPr>
              <w:spacing w:before="60" w:after="40"/>
            </w:pPr>
            <w:r>
              <w:rPr>
                <w:rFonts w:ascii="Calibri" w:hAnsi="Calibri"/>
                <w:b w:val="0"/>
                <w:i w:val="0"/>
                <w:color w:val="5A5A5A"/>
                <w:sz w:val="18"/>
              </w:rPr>
              <w:t>#womenshealth  #midlife  #estrogenreceptor  #urogenital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Low-education, low-income and unskilled working women</w:t>
            </w:r>
          </w:p>
        </w:tc>
        <w:tc>
          <w:tcPr>
            <w:tcW w:type="dxa" w:w="4276"/>
            <w:vAlign w:val="top"/>
          </w:tcPr>
          <w:p>
            <w:pPr>
              <w:spacing w:after="60" w:line="259" w:lineRule="auto"/>
            </w:pPr>
            <w:r>
              <w:rPr>
                <w:rFonts w:ascii="Calibri" w:hAnsi="Calibri"/>
                <w:b w:val="0"/>
                <w:i w:val="0"/>
                <w:color w:val="212121"/>
                <w:sz w:val="19"/>
              </w:rPr>
              <w:t>Limited awareness, cultural taboo around vaginal and sexual health, and poor access to care leave symptoms unrecognised and untreated; the physical symptom burden is heaviest in women in demanding, low-autonomy jobs.</w:t>
            </w:r>
          </w:p>
          <w:p>
            <w:pPr>
              <w:spacing w:after="40" w:before="60" w:line="259" w:lineRule="auto"/>
            </w:pPr>
            <w:r>
              <w:rPr>
                <w:rFonts w:ascii="Calibri" w:hAnsi="Calibri"/>
                <w:b w:val="0"/>
                <w:i w:val="0"/>
                <w:color w:val="212121"/>
                <w:sz w:val="19"/>
              </w:rPr>
              <w:t>Low education was associated with higher odds of GSM in the Indian Midlife Registry; among employed women in southern India, 73.2% reported moderate-to-severe menopausal symptoms, with the greatest burden in unskilled workers.</w:t>
            </w:r>
          </w:p>
          <w:p>
            <w:pPr>
              <w:spacing w:after="40" w:line="252" w:lineRule="auto"/>
            </w:pPr>
            <w:hyperlink r:id="rId11">
              <w:r>
                <w:rPr>
                  <w:rFonts w:ascii="Calibri" w:hAnsi="Calibri" w:cs="Calibri"/>
                  <w:sz w:val="18"/>
                  <w:color w:val="1155CC"/>
                  <w:u w:val="single"/>
                </w:rPr>
                <w:t xml:space="preserve">pmc.ncbi.nlm.nih.gov/PMC13057290 — employed women, S India</w:t>
              </w:r>
            </w:hyperlink>
          </w:p>
          <w:p>
            <w:pPr>
              <w:spacing w:before="60" w:after="40"/>
            </w:pPr>
            <w:r>
              <w:rPr>
                <w:rFonts w:ascii="Calibri" w:hAnsi="Calibri"/>
                <w:b w:val="0"/>
                <w:i w:val="0"/>
                <w:color w:val="5A5A5A"/>
                <w:sz w:val="18"/>
              </w:rPr>
              <w:t>#healthliteracy  #taboo  #accesstocare  #occupationalhealth</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Indian / South Asian women</w:t>
            </w:r>
          </w:p>
        </w:tc>
        <w:tc>
          <w:tcPr>
            <w:tcW w:type="dxa" w:w="4276"/>
            <w:vAlign w:val="top"/>
          </w:tcPr>
          <w:p>
            <w:pPr>
              <w:spacing w:after="60" w:line="259" w:lineRule="auto"/>
            </w:pPr>
            <w:r>
              <w:rPr>
                <w:rFonts w:ascii="Calibri" w:hAnsi="Calibri"/>
                <w:b w:val="0"/>
                <w:i w:val="0"/>
                <w:color w:val="212121"/>
                <w:sz w:val="19"/>
              </w:rPr>
              <w:t>Indian women reach menopause earlier than Western women, so the hypoestrogenic drive to GSM begins sooner and is sustained for longer; sociocultural silence around genital symptoms further delays diagnosis.</w:t>
            </w:r>
          </w:p>
          <w:p>
            <w:pPr>
              <w:spacing w:after="40" w:before="60" w:line="259" w:lineRule="auto"/>
            </w:pPr>
            <w:r>
              <w:rPr>
                <w:rFonts w:ascii="Calibri" w:hAnsi="Calibri"/>
                <w:b w:val="0"/>
                <w:i w:val="0"/>
                <w:color w:val="212121"/>
                <w:sz w:val="19"/>
              </w:rPr>
              <w:t>The estimated mean age at natural menopause in India is about 46.6 years — roughly 4–5 years earlier than the ~51 years typical of Caucasian women.</w:t>
            </w:r>
          </w:p>
          <w:p>
            <w:pPr>
              <w:spacing w:after="40" w:line="252" w:lineRule="auto"/>
            </w:pPr>
            <w:hyperlink r:id="rId12">
              <w:r>
                <w:rPr>
                  <w:rFonts w:ascii="Calibri" w:hAnsi="Calibri" w:cs="Calibri"/>
                  <w:sz w:val="18"/>
                  <w:color w:val="1155CC"/>
                  <w:u w:val="single"/>
                </w:rPr>
                <w:t xml:space="preserve">pmc.ncbi.nlm.nih.gov/PMC12948155 — IMS 2026 guidelines</w:t>
              </w:r>
            </w:hyperlink>
          </w:p>
          <w:p>
            <w:pPr>
              <w:spacing w:before="60" w:after="40"/>
            </w:pPr>
            <w:r>
              <w:rPr>
                <w:rFonts w:ascii="Calibri" w:hAnsi="Calibri"/>
                <w:b w:val="0"/>
                <w:i w:val="0"/>
                <w:color w:val="5A5A5A"/>
                <w:sz w:val="18"/>
              </w:rPr>
              <w:t>#India  #earlymenopause  #SouthAsian  #culturaltaboo</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Environmental exposure / region</w:t>
            </w:r>
          </w:p>
        </w:tc>
        <w:tc>
          <w:tcPr>
            <w:tcW w:type="dxa" w:w="2160"/>
            <w:vAlign w:val="top"/>
          </w:tcPr>
          <w:p>
            <w:pPr>
              <w:spacing w:after="40" w:before="0" w:line="259" w:lineRule="auto"/>
            </w:pPr>
            <w:r>
              <w:rPr>
                <w:rFonts w:ascii="Calibri" w:hAnsi="Calibri"/>
                <w:b w:val="0"/>
                <w:i w:val="0"/>
                <w:color w:val="212121"/>
                <w:sz w:val="19"/>
              </w:rPr>
              <w:t>Women in high-pollution and poor-groundwater areas (esp. northern India)</w:t>
            </w:r>
          </w:p>
        </w:tc>
        <w:tc>
          <w:tcPr>
            <w:tcW w:type="dxa" w:w="4276"/>
            <w:vAlign w:val="top"/>
          </w:tcPr>
          <w:p>
            <w:pPr>
              <w:spacing w:after="60" w:line="259" w:lineRule="auto"/>
            </w:pPr>
            <w:r>
              <w:rPr>
                <w:rFonts w:ascii="Calibri" w:hAnsi="Calibri"/>
                <w:b w:val="0"/>
                <w:i w:val="0"/>
                <w:color w:val="212121"/>
                <w:sz w:val="19"/>
              </w:rPr>
              <w:t>Environmental exposures that hasten ovarian ageing shift menopause earlier, bringing forward the onset of GSM; these effects are more marked in heavily polluted regions of India.</w:t>
            </w:r>
          </w:p>
          <w:p>
            <w:pPr>
              <w:spacing w:after="40" w:before="60" w:line="259" w:lineRule="auto"/>
            </w:pPr>
            <w:r>
              <w:rPr>
                <w:rFonts w:ascii="Calibri" w:hAnsi="Calibri"/>
                <w:b w:val="0"/>
                <w:i w:val="0"/>
                <w:color w:val="212121"/>
                <w:sz w:val="19"/>
              </w:rPr>
              <w:t>Using National Family Health Survey (2019–21) data, PM2.5 above 40 µg/m³ was linked to earlier menopause (HR 1.23) with stronger patterns in northern India, and elevated groundwater arsenic (HR 1.14) and fluoride (HR 1.12) were also associated with earlier menopause.</w:t>
            </w:r>
          </w:p>
          <w:p>
            <w:pPr>
              <w:spacing w:after="40" w:line="252" w:lineRule="auto"/>
            </w:pPr>
            <w:hyperlink r:id="rId13">
              <w:r>
                <w:rPr>
                  <w:rFonts w:ascii="Calibri" w:hAnsi="Calibri" w:cs="Calibri"/>
                  <w:sz w:val="18"/>
                  <w:color w:val="1155CC"/>
                  <w:u w:val="single"/>
                </w:rPr>
                <w:t xml:space="preserve">pubmed.ncbi.nlm.nih.gov/42020772 — NFHS + environment study</w:t>
              </w:r>
            </w:hyperlink>
          </w:p>
          <w:p>
            <w:pPr>
              <w:spacing w:before="60" w:after="40"/>
            </w:pPr>
            <w:r>
              <w:rPr>
                <w:rFonts w:ascii="Calibri" w:hAnsi="Calibri"/>
                <w:b w:val="0"/>
                <w:i w:val="0"/>
                <w:color w:val="5A5A5A"/>
                <w:sz w:val="18"/>
              </w:rPr>
              <w:t>#airpollution  #PM25  #groundwater  #ovarianageing</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Sexual inactivity</w:t>
            </w:r>
          </w:p>
        </w:tc>
        <w:tc>
          <w:tcPr>
            <w:tcW w:type="dxa" w:w="2160"/>
            <w:vAlign w:val="top"/>
          </w:tcPr>
          <w:p>
            <w:pPr>
              <w:spacing w:after="40" w:before="0" w:line="259" w:lineRule="auto"/>
            </w:pPr>
            <w:r>
              <w:rPr>
                <w:rFonts w:ascii="Calibri" w:hAnsi="Calibri"/>
                <w:b w:val="0"/>
                <w:i w:val="0"/>
                <w:color w:val="212121"/>
                <w:sz w:val="19"/>
              </w:rPr>
              <w:t>Sexually abstinent / infrequently active postmenopausal women</w:t>
            </w:r>
          </w:p>
        </w:tc>
        <w:tc>
          <w:tcPr>
            <w:tcW w:type="dxa" w:w="4276"/>
            <w:vAlign w:val="top"/>
          </w:tcPr>
          <w:p>
            <w:pPr>
              <w:spacing w:after="60" w:line="259" w:lineRule="auto"/>
            </w:pPr>
            <w:r>
              <w:rPr>
                <w:rFonts w:ascii="Calibri" w:hAnsi="Calibri"/>
                <w:b w:val="0"/>
                <w:i w:val="0"/>
                <w:color w:val="212121"/>
                <w:sz w:val="19"/>
              </w:rPr>
              <w:t>Regular coital and non-coital activity maintains urogenital blood flow and vaginal calibre; prolonged abstinence accelerates atrophy, dryness and introital narrowing, worsening subsequent dyspareunia.</w:t>
            </w:r>
          </w:p>
          <w:p>
            <w:pPr>
              <w:spacing w:after="40" w:before="60" w:line="259" w:lineRule="auto"/>
            </w:pPr>
            <w:r>
              <w:rPr>
                <w:rFonts w:ascii="Calibri" w:hAnsi="Calibri"/>
                <w:b w:val="0"/>
                <w:i w:val="0"/>
                <w:color w:val="212121"/>
                <w:sz w:val="19"/>
              </w:rPr>
              <w:t>Continued sexual activity, alongside vaginal moisturisers and lubricants, is endorsed as first-line non-hormonal management of GSM.</w:t>
            </w:r>
          </w:p>
          <w:p>
            <w:pPr>
              <w:spacing w:after="40" w:line="252" w:lineRule="auto"/>
            </w:pPr>
            <w:hyperlink r:id="rId14">
              <w:r>
                <w:rPr>
                  <w:rFonts w:ascii="Calibri" w:hAnsi="Calibri" w:cs="Calibri"/>
                  <w:sz w:val="18"/>
                  <w:color w:val="1155CC"/>
                  <w:u w:val="single"/>
                </w:rPr>
                <w:t xml:space="preserve">ncbi.nlm.nih.gov/books/NBK559297 — StatPearls GSM</w:t>
              </w:r>
            </w:hyperlink>
          </w:p>
          <w:p>
            <w:pPr>
              <w:spacing w:before="60" w:after="40"/>
            </w:pPr>
            <w:r>
              <w:rPr>
                <w:rFonts w:ascii="Calibri" w:hAnsi="Calibri"/>
                <w:b w:val="0"/>
                <w:i w:val="0"/>
                <w:color w:val="5A5A5A"/>
                <w:sz w:val="18"/>
              </w:rPr>
              <w:t>#useitorloseit  #introitalnarrowing  #dyspareunia  #bloodflow</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Current cigarette / bidi smokers</w:t>
            </w:r>
          </w:p>
        </w:tc>
        <w:tc>
          <w:tcPr>
            <w:tcW w:type="dxa" w:w="4276"/>
            <w:vAlign w:val="top"/>
          </w:tcPr>
          <w:p>
            <w:pPr>
              <w:spacing w:after="60" w:line="259" w:lineRule="auto"/>
            </w:pPr>
            <w:r>
              <w:rPr>
                <w:rFonts w:ascii="Calibri" w:hAnsi="Calibri"/>
                <w:b w:val="0"/>
                <w:i w:val="0"/>
                <w:color w:val="212121"/>
                <w:sz w:val="19"/>
              </w:rPr>
              <w:t>Tobacco is anti-estrogenic, brings menopause forward and impairs urogenital microcirculation, accelerating atrophic change and mucosal fragility.</w:t>
            </w:r>
          </w:p>
          <w:p>
            <w:pPr>
              <w:spacing w:after="40" w:before="60" w:line="259" w:lineRule="auto"/>
            </w:pPr>
            <w:r>
              <w:rPr>
                <w:rFonts w:ascii="Calibri" w:hAnsi="Calibri"/>
                <w:b w:val="0"/>
                <w:i w:val="0"/>
                <w:color w:val="212121"/>
                <w:sz w:val="19"/>
              </w:rPr>
              <w:t>Smoking is an established modifiable determinant of earlier menopause and reduced tissue estrogen effect; cessation is advised to slow atrophic progression.</w:t>
            </w:r>
          </w:p>
          <w:p>
            <w:pPr>
              <w:spacing w:before="60" w:after="40"/>
            </w:pPr>
            <w:r>
              <w:rPr>
                <w:rFonts w:ascii="Calibri" w:hAnsi="Calibri"/>
                <w:b w:val="0"/>
                <w:i w:val="0"/>
                <w:color w:val="5A5A5A"/>
                <w:sz w:val="18"/>
              </w:rPr>
              <w:t>#smoking  #antiestrogen  #earlymenopause  #microvascular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Regular / heavy alcohol users</w:t>
            </w:r>
          </w:p>
        </w:tc>
        <w:tc>
          <w:tcPr>
            <w:tcW w:type="dxa" w:w="4276"/>
            <w:vAlign w:val="top"/>
          </w:tcPr>
          <w:p>
            <w:pPr>
              <w:spacing w:after="60" w:line="259" w:lineRule="auto"/>
            </w:pPr>
            <w:r>
              <w:rPr>
                <w:rFonts w:ascii="Calibri" w:hAnsi="Calibri"/>
                <w:b w:val="0"/>
                <w:i w:val="0"/>
                <w:color w:val="212121"/>
                <w:sz w:val="19"/>
              </w:rPr>
              <w:t>Excess alcohol promotes systemic dehydration and mucosal drying, contributes to bladder irritation, and is linked to reduced sexual function, all of which aggravate GSM symptoms.</w:t>
            </w:r>
          </w:p>
          <w:p>
            <w:pPr>
              <w:spacing w:after="40" w:before="60" w:line="259" w:lineRule="auto"/>
            </w:pPr>
            <w:r>
              <w:rPr>
                <w:rFonts w:ascii="Calibri" w:hAnsi="Calibri"/>
                <w:b w:val="0"/>
                <w:i w:val="0"/>
                <w:color w:val="212121"/>
                <w:sz w:val="19"/>
              </w:rPr>
              <w:t>Alcohol reduction is recommended to limit mucosal drying and urinary irritative symptoms in symptomatic women.</w:t>
            </w:r>
          </w:p>
          <w:p>
            <w:pPr>
              <w:spacing w:before="60" w:after="40"/>
            </w:pPr>
            <w:r>
              <w:rPr>
                <w:rFonts w:ascii="Calibri" w:hAnsi="Calibri"/>
                <w:b w:val="0"/>
                <w:i w:val="0"/>
                <w:color w:val="5A5A5A"/>
                <w:sz w:val="18"/>
              </w:rPr>
              <w:t>#alcohol  #dehydration  #bladderirritant  #sexualdysfunction</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Overweight / obese</w:t>
            </w:r>
          </w:p>
        </w:tc>
        <w:tc>
          <w:tcPr>
            <w:tcW w:type="dxa" w:w="2160"/>
            <w:vAlign w:val="top"/>
          </w:tcPr>
          <w:p>
            <w:pPr>
              <w:spacing w:after="40" w:before="0" w:line="259" w:lineRule="auto"/>
            </w:pPr>
            <w:r>
              <w:rPr>
                <w:rFonts w:ascii="Calibri" w:hAnsi="Calibri"/>
                <w:b w:val="0"/>
                <w:i w:val="0"/>
                <w:color w:val="212121"/>
                <w:sz w:val="19"/>
              </w:rPr>
              <w:t>Overweight and obese postmenopausal women (Asian-Indian cut-offs)</w:t>
            </w:r>
          </w:p>
        </w:tc>
        <w:tc>
          <w:tcPr>
            <w:tcW w:type="dxa" w:w="4276"/>
            <w:vAlign w:val="top"/>
          </w:tcPr>
          <w:p>
            <w:pPr>
              <w:spacing w:after="60" w:line="259" w:lineRule="auto"/>
            </w:pPr>
            <w:r>
              <w:rPr>
                <w:rFonts w:ascii="Calibri" w:hAnsi="Calibri"/>
                <w:b w:val="0"/>
                <w:i w:val="0"/>
                <w:color w:val="212121"/>
                <w:sz w:val="19"/>
              </w:rPr>
              <w:t>Excess adiposity worsens urinary incontinence and predisposes to vulvovaginal candidiasis and intertrigo, amplifying the urinary and genital symptom burden of GSM, and often coexists with diabetes.</w:t>
            </w:r>
          </w:p>
          <w:p>
            <w:pPr>
              <w:spacing w:after="40" w:before="60" w:line="259" w:lineRule="auto"/>
            </w:pPr>
            <w:r>
              <w:rPr>
                <w:rFonts w:ascii="Calibri" w:hAnsi="Calibri"/>
                <w:b w:val="0"/>
                <w:i w:val="0"/>
                <w:color w:val="212121"/>
                <w:sz w:val="19"/>
              </w:rPr>
              <w:t>The prevalence of obesity in Indian adults is about 24–28%; Asian-Indian thresholds define overweight at BMI ≥ 23 and obesity at ≥ 25 kg/m².</w:t>
            </w:r>
          </w:p>
          <w:p>
            <w:pPr>
              <w:spacing w:after="40" w:line="252" w:lineRule="auto"/>
            </w:pPr>
            <w:hyperlink r:id="rId12">
              <w:r>
                <w:rPr>
                  <w:rFonts w:ascii="Calibri" w:hAnsi="Calibri" w:cs="Calibri"/>
                  <w:sz w:val="18"/>
                  <w:color w:val="1155CC"/>
                  <w:u w:val="single"/>
                </w:rPr>
                <w:t xml:space="preserve">pmc.ncbi.nlm.nih.gov/PMC12948155 — IMS 2026 guidelines</w:t>
              </w:r>
            </w:hyperlink>
          </w:p>
          <w:p>
            <w:pPr>
              <w:spacing w:before="60" w:after="40"/>
            </w:pPr>
            <w:r>
              <w:rPr>
                <w:rFonts w:ascii="Calibri" w:hAnsi="Calibri"/>
                <w:b w:val="0"/>
                <w:i w:val="0"/>
                <w:color w:val="5A5A5A"/>
                <w:sz w:val="18"/>
              </w:rPr>
              <w:t>#obesity  #incontinence  #candidiasis  #AsianBMI</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Dietary preference / hydration</w:t>
            </w:r>
          </w:p>
        </w:tc>
        <w:tc>
          <w:tcPr>
            <w:tcW w:type="dxa" w:w="2160"/>
            <w:vAlign w:val="top"/>
          </w:tcPr>
          <w:p>
            <w:pPr>
              <w:spacing w:after="40" w:before="0" w:line="259" w:lineRule="auto"/>
            </w:pPr>
            <w:r>
              <w:rPr>
                <w:rFonts w:ascii="Calibri" w:hAnsi="Calibri"/>
                <w:b w:val="0"/>
                <w:i w:val="0"/>
                <w:color w:val="212121"/>
                <w:sz w:val="19"/>
              </w:rPr>
              <w:t>Low-hydration, low-phytoestrogen, high-glycaemic diets</w:t>
            </w:r>
          </w:p>
        </w:tc>
        <w:tc>
          <w:tcPr>
            <w:tcW w:type="dxa" w:w="4276"/>
            <w:vAlign w:val="top"/>
          </w:tcPr>
          <w:p>
            <w:pPr>
              <w:spacing w:after="60" w:line="259" w:lineRule="auto"/>
            </w:pPr>
            <w:r>
              <w:rPr>
                <w:rFonts w:ascii="Calibri" w:hAnsi="Calibri"/>
                <w:b w:val="0"/>
                <w:i w:val="0"/>
                <w:color w:val="212121"/>
                <w:sz w:val="19"/>
              </w:rPr>
              <w:t>Inadequate fluid intake concentrates urine and worsens dysuria; diets low in phytoestrogen-rich foods (e.g., soy, legumes) and high in refined carbohydrate that promote dysglycaemia may indirectly aggravate genitourinary symptoms.</w:t>
            </w:r>
          </w:p>
          <w:p>
            <w:pPr>
              <w:spacing w:after="40" w:before="60" w:line="259" w:lineRule="auto"/>
            </w:pPr>
            <w:r>
              <w:rPr>
                <w:rFonts w:ascii="Calibri" w:hAnsi="Calibri"/>
                <w:b w:val="0"/>
                <w:i w:val="0"/>
                <w:color w:val="212121"/>
                <w:sz w:val="19"/>
              </w:rPr>
              <w:t>Adequate hydration and glycaemic control are advised as supportive measures; direct dietary-prevention evidence for GSM is limited, so these remain general clinical recommendations.</w:t>
            </w:r>
          </w:p>
          <w:p>
            <w:pPr>
              <w:spacing w:before="60" w:after="40"/>
            </w:pPr>
            <w:r>
              <w:rPr>
                <w:rFonts w:ascii="Calibri" w:hAnsi="Calibri"/>
                <w:b w:val="0"/>
                <w:i w:val="0"/>
                <w:color w:val="5A5A5A"/>
                <w:sz w:val="18"/>
              </w:rPr>
              <w:t>#hydration  #phytoestrogens  #glycaemiccontrol  #diet</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Family history of early menopause / premature ovarian insufficiency</w:t>
            </w:r>
          </w:p>
        </w:tc>
        <w:tc>
          <w:tcPr>
            <w:tcW w:type="dxa" w:w="4276"/>
            <w:vAlign w:val="top"/>
          </w:tcPr>
          <w:p>
            <w:pPr>
              <w:spacing w:after="60" w:line="259" w:lineRule="auto"/>
            </w:pPr>
            <w:r>
              <w:rPr>
                <w:rFonts w:ascii="Calibri" w:hAnsi="Calibri"/>
                <w:b w:val="0"/>
                <w:i w:val="0"/>
                <w:color w:val="212121"/>
                <w:sz w:val="19"/>
              </w:rPr>
              <w:t>Genetically determined early menopause or premature ovarian insufficiency causes estrogen loss years ahead of the norm, bringing on GSM at a younger age and for a longer duration.</w:t>
            </w:r>
          </w:p>
          <w:p>
            <w:pPr>
              <w:spacing w:after="40" w:before="60" w:line="259" w:lineRule="auto"/>
            </w:pPr>
            <w:r>
              <w:rPr>
                <w:rFonts w:ascii="Calibri" w:hAnsi="Calibri"/>
                <w:b w:val="0"/>
                <w:i w:val="0"/>
                <w:color w:val="212121"/>
                <w:sz w:val="19"/>
              </w:rPr>
              <w:t>Premature ovarian insufficiency affects up to ~3% of women; population-based Indian NFHS data indicate early menopause in about 8–16% of women.</w:t>
            </w:r>
          </w:p>
          <w:p>
            <w:pPr>
              <w:spacing w:after="40" w:line="252" w:lineRule="auto"/>
            </w:pPr>
            <w:hyperlink r:id="rId15">
              <w:r>
                <w:rPr>
                  <w:rFonts w:ascii="Calibri" w:hAnsi="Calibri" w:cs="Calibri"/>
                  <w:sz w:val="18"/>
                  <w:color w:val="1155CC"/>
                  <w:u w:val="single"/>
                </w:rPr>
                <w:t xml:space="preserve">pmc.ncbi.nlm.nih.gov/PMC12897635 — POI review</w:t>
              </w:r>
            </w:hyperlink>
          </w:p>
          <w:p>
            <w:pPr>
              <w:spacing w:before="60" w:after="40"/>
            </w:pPr>
            <w:r>
              <w:rPr>
                <w:rFonts w:ascii="Calibri" w:hAnsi="Calibri"/>
                <w:b w:val="0"/>
                <w:i w:val="0"/>
                <w:color w:val="5A5A5A"/>
                <w:sz w:val="18"/>
              </w:rPr>
              <w:t>#POI  #earlymenopause  #familyhistory  #ovarianreserve</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Breast cancer on anti-estrogen therapy</w:t>
            </w:r>
          </w:p>
        </w:tc>
        <w:tc>
          <w:tcPr>
            <w:tcW w:type="dxa" w:w="2160"/>
            <w:vAlign w:val="top"/>
          </w:tcPr>
          <w:p>
            <w:pPr>
              <w:spacing w:after="40" w:before="0" w:line="259" w:lineRule="auto"/>
            </w:pPr>
            <w:r>
              <w:rPr>
                <w:rFonts w:ascii="Calibri" w:hAnsi="Calibri"/>
                <w:b w:val="0"/>
                <w:i w:val="0"/>
                <w:color w:val="212121"/>
                <w:sz w:val="19"/>
              </w:rPr>
              <w:t>Breast-cancer survivors on aromatase inhibitors / tamoxifen</w:t>
            </w:r>
          </w:p>
        </w:tc>
        <w:tc>
          <w:tcPr>
            <w:tcW w:type="dxa" w:w="4276"/>
            <w:vAlign w:val="top"/>
          </w:tcPr>
          <w:p>
            <w:pPr>
              <w:spacing w:after="60" w:line="259" w:lineRule="auto"/>
            </w:pPr>
            <w:r>
              <w:rPr>
                <w:rFonts w:ascii="Calibri" w:hAnsi="Calibri"/>
                <w:b w:val="0"/>
                <w:i w:val="0"/>
                <w:color w:val="212121"/>
                <w:sz w:val="19"/>
              </w:rPr>
              <w:t>Endocrine therapy produces profound iatrogenic hypoestrogenism and often severe, early GSM; management is complicated because systemic and even local estrogen are relatively restricted in this group.</w:t>
            </w:r>
          </w:p>
          <w:p>
            <w:pPr>
              <w:spacing w:after="40" w:before="60" w:line="259" w:lineRule="auto"/>
            </w:pPr>
            <w:r>
              <w:rPr>
                <w:rFonts w:ascii="Calibri" w:hAnsi="Calibri"/>
                <w:b w:val="0"/>
                <w:i w:val="0"/>
                <w:color w:val="212121"/>
                <w:sz w:val="19"/>
              </w:rPr>
              <w:t>Estrogen deprivation from adjuvant endocrine therapy frequently causes distressing genitourinary symptoms that remain under-addressed and can threaten adherence to life-prolonging breast-cancer treatment.</w:t>
            </w:r>
          </w:p>
          <w:p>
            <w:pPr>
              <w:spacing w:after="40" w:line="252" w:lineRule="auto"/>
            </w:pPr>
            <w:hyperlink r:id="rId16">
              <w:r>
                <w:rPr>
                  <w:rFonts w:ascii="Calibri" w:hAnsi="Calibri" w:cs="Calibri"/>
                  <w:sz w:val="18"/>
                  <w:color w:val="1155CC"/>
                  <w:u w:val="single"/>
                </w:rPr>
                <w:t xml:space="preserve">pmc.ncbi.nlm.nih.gov/PMC12254641 — vaginal health in BC survivors</w:t>
              </w:r>
            </w:hyperlink>
          </w:p>
          <w:p>
            <w:pPr>
              <w:spacing w:before="60" w:after="40"/>
            </w:pPr>
            <w:r>
              <w:rPr>
                <w:rFonts w:ascii="Calibri" w:hAnsi="Calibri"/>
                <w:b w:val="0"/>
                <w:i w:val="0"/>
                <w:color w:val="5A5A5A"/>
                <w:sz w:val="18"/>
              </w:rPr>
              <w:t>#breastcancer  #aromataseinhibitor  #iatrogenicGSM  #treatmentadherence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Surgical / induced menopause</w:t>
            </w:r>
          </w:p>
        </w:tc>
        <w:tc>
          <w:tcPr>
            <w:tcW w:type="dxa" w:w="2160"/>
            <w:vAlign w:val="top"/>
          </w:tcPr>
          <w:p>
            <w:pPr>
              <w:spacing w:after="40" w:before="0" w:line="259" w:lineRule="auto"/>
            </w:pPr>
            <w:r>
              <w:rPr>
                <w:rFonts w:ascii="Calibri" w:hAnsi="Calibri"/>
                <w:b w:val="0"/>
                <w:i w:val="0"/>
                <w:color w:val="212121"/>
                <w:sz w:val="19"/>
              </w:rPr>
              <w:t>Women after bilateral oophorectomy, chemotherapy or pelvic radiotherapy</w:t>
            </w:r>
          </w:p>
        </w:tc>
        <w:tc>
          <w:tcPr>
            <w:tcW w:type="dxa" w:w="4276"/>
            <w:vAlign w:val="top"/>
          </w:tcPr>
          <w:p>
            <w:pPr>
              <w:spacing w:after="60" w:line="259" w:lineRule="auto"/>
            </w:pPr>
            <w:r>
              <w:rPr>
                <w:rFonts w:ascii="Calibri" w:hAnsi="Calibri"/>
                <w:b w:val="0"/>
                <w:i w:val="0"/>
                <w:color w:val="212121"/>
                <w:sz w:val="19"/>
              </w:rPr>
              <w:t>Abrupt loss of ovarian estrogen (rather than a gradual decline) produces rapid, often severe GSM; pelvic radiotherapy additionally causes fibrosis and vaginal stenosis.</w:t>
            </w:r>
          </w:p>
          <w:p>
            <w:pPr>
              <w:spacing w:after="40" w:before="60" w:line="259" w:lineRule="auto"/>
            </w:pPr>
            <w:r>
              <w:rPr>
                <w:rFonts w:ascii="Calibri" w:hAnsi="Calibri"/>
                <w:b w:val="0"/>
                <w:i w:val="0"/>
                <w:color w:val="212121"/>
                <w:sz w:val="19"/>
              </w:rPr>
              <w:t>Induced/iatrogenic menopause is a recognised cause of early and severe GSM requiring proactive counselling and management.</w:t>
            </w:r>
          </w:p>
          <w:p>
            <w:pPr>
              <w:spacing w:after="40" w:line="252" w:lineRule="auto"/>
            </w:pPr>
            <w:hyperlink r:id="rId17">
              <w:r>
                <w:rPr>
                  <w:rFonts w:ascii="Calibri" w:hAnsi="Calibri" w:cs="Calibri"/>
                  <w:sz w:val="18"/>
                  <w:color w:val="1155CC"/>
                  <w:u w:val="single"/>
                </w:rPr>
                <w:t xml:space="preserve">pmc.ncbi.nlm.nih.gov/PMC13026044 — GSM management review</w:t>
              </w:r>
            </w:hyperlink>
          </w:p>
          <w:p>
            <w:pPr>
              <w:spacing w:before="60" w:after="40"/>
            </w:pPr>
            <w:r>
              <w:rPr>
                <w:rFonts w:ascii="Calibri" w:hAnsi="Calibri"/>
                <w:b w:val="0"/>
                <w:i w:val="0"/>
                <w:color w:val="5A5A5A"/>
                <w:sz w:val="18"/>
              </w:rPr>
              <w:t>#surgicalmenopause  #oophorectomy  #pelvicRT  #vaginalstenosis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Diabetes mellitus</w:t>
            </w:r>
          </w:p>
        </w:tc>
        <w:tc>
          <w:tcPr>
            <w:tcW w:type="dxa" w:w="2160"/>
            <w:vAlign w:val="top"/>
          </w:tcPr>
          <w:p>
            <w:pPr>
              <w:spacing w:after="40" w:before="0" w:line="259" w:lineRule="auto"/>
            </w:pPr>
            <w:r>
              <w:rPr>
                <w:rFonts w:ascii="Calibri" w:hAnsi="Calibri"/>
                <w:b w:val="0"/>
                <w:i w:val="0"/>
                <w:color w:val="212121"/>
                <w:sz w:val="19"/>
              </w:rPr>
              <w:t>Women with type 2 diabetes mellitus</w:t>
            </w:r>
          </w:p>
        </w:tc>
        <w:tc>
          <w:tcPr>
            <w:tcW w:type="dxa" w:w="4276"/>
            <w:vAlign w:val="top"/>
          </w:tcPr>
          <w:p>
            <w:pPr>
              <w:spacing w:after="60" w:line="259" w:lineRule="auto"/>
            </w:pPr>
            <w:r>
              <w:rPr>
                <w:rFonts w:ascii="Calibri" w:hAnsi="Calibri"/>
                <w:b w:val="0"/>
                <w:i w:val="0"/>
                <w:color w:val="212121"/>
                <w:sz w:val="19"/>
              </w:rPr>
              <w:t>Hyperglycaemia, microvascular disease and neuropathy impair urogenital tissue health and immunity, increasing vulvovaginal candidiasis, recurrent UTIs and sexual dysfunction that compound GSM.</w:t>
            </w:r>
          </w:p>
          <w:p>
            <w:pPr>
              <w:spacing w:after="40" w:before="60" w:line="259" w:lineRule="auto"/>
            </w:pPr>
            <w:r>
              <w:rPr>
                <w:rFonts w:ascii="Calibri" w:hAnsi="Calibri"/>
                <w:b w:val="0"/>
                <w:i w:val="0"/>
                <w:color w:val="212121"/>
                <w:sz w:val="19"/>
              </w:rPr>
              <w:t>Diabetes is a recognised risk factor for recurrent UTI in postmenopausal women; in India, diabetes prevalence rises to nearly 20% among adults aged 45 and above.</w:t>
            </w:r>
          </w:p>
          <w:p>
            <w:pPr>
              <w:spacing w:after="40" w:line="252" w:lineRule="auto"/>
            </w:pPr>
            <w:hyperlink r:id="rId18">
              <w:r>
                <w:rPr>
                  <w:rFonts w:ascii="Calibri" w:hAnsi="Calibri" w:cs="Calibri"/>
                  <w:sz w:val="18"/>
                  <w:color w:val="1155CC"/>
                  <w:u w:val="single"/>
                </w:rPr>
                <w:t xml:space="preserve">pmc.ncbi.nlm.nih.gov/PMC12798405 — rUTI risk factors review</w:t>
              </w:r>
            </w:hyperlink>
          </w:p>
          <w:p>
            <w:pPr>
              <w:spacing w:before="60" w:after="40"/>
            </w:pPr>
            <w:r>
              <w:rPr>
                <w:rFonts w:ascii="Calibri" w:hAnsi="Calibri"/>
                <w:b w:val="0"/>
                <w:i w:val="0"/>
                <w:color w:val="5A5A5A"/>
                <w:sz w:val="18"/>
              </w:rPr>
              <w:t>#diabetes  #candidiasis  #recurrentUTI  #microvascular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Recurrent urinary tract infection</w:t>
            </w:r>
          </w:p>
        </w:tc>
        <w:tc>
          <w:tcPr>
            <w:tcW w:type="dxa" w:w="2160"/>
            <w:vAlign w:val="top"/>
          </w:tcPr>
          <w:p>
            <w:pPr>
              <w:spacing w:after="40" w:before="0" w:line="259" w:lineRule="auto"/>
            </w:pPr>
            <w:r>
              <w:rPr>
                <w:rFonts w:ascii="Calibri" w:hAnsi="Calibri"/>
                <w:b w:val="0"/>
                <w:i w:val="0"/>
                <w:color w:val="212121"/>
                <w:sz w:val="19"/>
              </w:rPr>
              <w:t>Postmenopausal women with recurrent UTIs / LUTS</w:t>
            </w:r>
          </w:p>
        </w:tc>
        <w:tc>
          <w:tcPr>
            <w:tcW w:type="dxa" w:w="4276"/>
            <w:vAlign w:val="top"/>
          </w:tcPr>
          <w:p>
            <w:pPr>
              <w:spacing w:after="60" w:line="259" w:lineRule="auto"/>
            </w:pPr>
            <w:r>
              <w:rPr>
                <w:rFonts w:ascii="Calibri" w:hAnsi="Calibri"/>
                <w:b w:val="0"/>
                <w:i w:val="0"/>
                <w:color w:val="212121"/>
                <w:sz w:val="19"/>
              </w:rPr>
              <w:t>Estrogen loss thins the urethral/bladder epithelium and depletes protective lactobacilli, predisposing to recurrent infection; this relationship is bidirectional with GSM and improves with vaginal estrogen.</w:t>
            </w:r>
          </w:p>
          <w:p>
            <w:pPr>
              <w:spacing w:after="40" w:before="60" w:line="259" w:lineRule="auto"/>
            </w:pPr>
            <w:r>
              <w:rPr>
                <w:rFonts w:ascii="Calibri" w:hAnsi="Calibri"/>
                <w:b w:val="0"/>
                <w:i w:val="0"/>
                <w:color w:val="212121"/>
                <w:sz w:val="19"/>
              </w:rPr>
              <w:t>Recurrent UTI (≥2 in 6 months or ≥3 in 12 months) has an annual recurrence rate of about 14–25% in women, and peri-/postmenopausal status is a key risk factor.</w:t>
            </w:r>
          </w:p>
          <w:p>
            <w:pPr>
              <w:spacing w:after="40" w:line="252" w:lineRule="auto"/>
            </w:pPr>
            <w:hyperlink r:id="rId19">
              <w:r>
                <w:rPr>
                  <w:rFonts w:ascii="Calibri" w:hAnsi="Calibri" w:cs="Calibri"/>
                  <w:sz w:val="18"/>
                  <w:color w:val="1155CC"/>
                  <w:u w:val="single"/>
                </w:rPr>
                <w:t xml:space="preserve">pubmed.ncbi.nlm.nih.gov/42301870 — recurrent UTI in women</w:t>
              </w:r>
            </w:hyperlink>
          </w:p>
          <w:p>
            <w:pPr>
              <w:spacing w:before="60" w:after="40"/>
            </w:pPr>
            <w:r>
              <w:rPr>
                <w:rFonts w:ascii="Calibri" w:hAnsi="Calibri"/>
                <w:b w:val="0"/>
                <w:i w:val="0"/>
                <w:color w:val="5A5A5A"/>
                <w:sz w:val="18"/>
              </w:rPr>
              <w:t>#recurrentUTI  #LUTS  #dysbiosis  #vaginalestrogen</w:t>
            </w:r>
          </w:p>
        </w:tc>
      </w:tr>
      <w:tr>
        <w:trPr>
          <w:cantSplit/>
        </w:trPr>
        <w:tc>
          <w:tcPr>
            <w:tcW w:type="dxa" w:w="1512"/>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Hygiene practices</w:t>
            </w:r>
          </w:p>
        </w:tc>
        <w:tc>
          <w:tcPr>
            <w:tcW w:type="dxa" w:w="2160"/>
            <w:vAlign w:val="top"/>
          </w:tcPr>
          <w:p>
            <w:pPr>
              <w:spacing w:after="40" w:before="0" w:line="259" w:lineRule="auto"/>
            </w:pPr>
            <w:r>
              <w:rPr>
                <w:rFonts w:ascii="Calibri" w:hAnsi="Calibri"/>
                <w:b w:val="0"/>
                <w:i w:val="0"/>
                <w:color w:val="212121"/>
                <w:sz w:val="19"/>
              </w:rPr>
              <w:t>Users of douches, harsh soaps and tight synthetic clothing</w:t>
            </w:r>
          </w:p>
        </w:tc>
        <w:tc>
          <w:tcPr>
            <w:tcW w:type="dxa" w:w="4276"/>
            <w:vAlign w:val="top"/>
          </w:tcPr>
          <w:p>
            <w:pPr>
              <w:spacing w:after="60" w:line="259" w:lineRule="auto"/>
            </w:pPr>
            <w:r>
              <w:rPr>
                <w:rFonts w:ascii="Calibri" w:hAnsi="Calibri"/>
                <w:b w:val="0"/>
                <w:i w:val="0"/>
                <w:color w:val="212121"/>
                <w:sz w:val="19"/>
              </w:rPr>
              <w:t>Vaginal douching and harsh/perfumed cleansers disrupt the already fragile microbiome and pH of atrophic tissue, while tight synthetic clothing traps moisture and heat, provoking irritation and infection.</w:t>
            </w:r>
          </w:p>
          <w:p>
            <w:pPr>
              <w:spacing w:after="40" w:before="60" w:line="259" w:lineRule="auto"/>
            </w:pPr>
            <w:r>
              <w:rPr>
                <w:rFonts w:ascii="Calibri" w:hAnsi="Calibri"/>
                <w:b w:val="0"/>
                <w:i w:val="0"/>
                <w:color w:val="212121"/>
                <w:sz w:val="19"/>
              </w:rPr>
              <w:t>Avoidance of douching and irritant products, with gentle vulvar care and regular vaginal moisturisers, is advised as part of first-line GSM care.</w:t>
            </w:r>
          </w:p>
          <w:p>
            <w:pPr>
              <w:spacing w:after="40" w:line="252" w:lineRule="auto"/>
            </w:pPr>
            <w:hyperlink r:id="rId14">
              <w:r>
                <w:rPr>
                  <w:rFonts w:ascii="Calibri" w:hAnsi="Calibri" w:cs="Calibri"/>
                  <w:sz w:val="18"/>
                  <w:color w:val="1155CC"/>
                  <w:u w:val="single"/>
                </w:rPr>
                <w:t xml:space="preserve">ncbi.nlm.nih.gov/books/NBK559297 — StatPearls GSM</w:t>
              </w:r>
            </w:hyperlink>
          </w:p>
          <w:p>
            <w:pPr>
              <w:spacing w:before="60" w:after="40"/>
            </w:pPr>
            <w:r>
              <w:rPr>
                <w:rFonts w:ascii="Calibri" w:hAnsi="Calibri"/>
                <w:b w:val="0"/>
                <w:i w:val="0"/>
                <w:color w:val="5A5A5A"/>
                <w:sz w:val="18"/>
              </w:rPr>
              <w:t>#douching  #irritants  #microbiome  #vulvarcare</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Regular activity and pelvic-floor muscle training support urogenital perfusion, continence and sexual function; sedentary behaviour and obesity worsen urinary incontinence and the overall symptom burden.</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Adequate hydration, phytoestrogen-containing foods (soy, legumes) and good glycaemic control may modestly support mucosal health, though direct evidence for dietary prevention of GSM is limited.</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Insomnia and sleep problems were independently associated with higher odds of GSM in the Indian Midlife Registry, and nocturia from urinary symptoms further fragments sleep in a bidirectional loop.</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Smoking is anti-estrogenic, brings menopause forward and impairs urogenital microcirculation, providing a strong biological rationale for accelerated atrophy; cessation is advised.</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Excess alcohol promotes mucosal drying, bladder irritation and sexual dysfunction, but direct evidence linking alcohol to GSM severity is limited.</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Depression, anxiety and sexual distress commonly accompany GSM, reduce libido and care-seeking, and interact bidirectionally with dyspareunia and impaired quality of life.</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Adequate hydration supports mucosal moisture and dilutes urine, easing dysuria, but a direct preventive effect on atrophy is not established.</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Caffeine is a bladder irritant that can worsen urinary urgency and frequency, though it has no effect on the underlying atrophic process.</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Douching, harsh/perfumed cleansers and tight synthetic clothing disrupt the vaginal microbiome and irritate atrophic tissue; gentle care and moisturisers reduce symptoms.</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Intercourse without adequate lubrication, iatrogenic anti-estrogen therapy (aromatase inhibitors, oophorectomy, pelvic radiotherapy, GnRH agonists) and superimposed infection precipitate or acutely worsen symptoms.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Moderate-to-vigorous activity (min/week)</w:t>
            </w:r>
          </w:p>
        </w:tc>
        <w:tc>
          <w:tcPr>
            <w:tcW w:type="dxa" w:w="1655"/>
            <w:vAlign w:val="top"/>
          </w:tcPr>
          <w:p>
            <w:pPr>
              <w:spacing w:after="40" w:before="0" w:line="259" w:lineRule="auto"/>
            </w:pPr>
            <w:r>
              <w:rPr>
                <w:rFonts w:ascii="Calibri" w:hAnsi="Calibri"/>
                <w:b w:val="0"/>
                <w:i w:val="0"/>
                <w:color w:val="212121"/>
                <w:sz w:val="19"/>
              </w:rPr>
              <w:t>Postmenopausal women</w:t>
            </w:r>
          </w:p>
        </w:tc>
        <w:tc>
          <w:tcPr>
            <w:tcW w:type="dxa" w:w="1512"/>
            <w:vAlign w:val="top"/>
          </w:tcPr>
          <w:p>
            <w:pPr>
              <w:spacing w:after="40" w:before="0" w:line="259" w:lineRule="auto"/>
            </w:pPr>
            <w:r>
              <w:rPr>
                <w:rFonts w:ascii="Calibri" w:hAnsi="Calibri"/>
                <w:b w:val="0"/>
                <w:i w:val="0"/>
                <w:color w:val="212121"/>
                <w:sz w:val="19"/>
              </w:rPr>
              <w:t>≥ 150 min/week</w:t>
            </w:r>
          </w:p>
        </w:tc>
        <w:tc>
          <w:tcPr>
            <w:tcW w:type="dxa" w:w="1512"/>
            <w:vAlign w:val="top"/>
          </w:tcPr>
          <w:p>
            <w:pPr>
              <w:spacing w:after="40" w:before="0" w:line="259" w:lineRule="auto"/>
            </w:pPr>
            <w:r>
              <w:rPr>
                <w:rFonts w:ascii="Calibri" w:hAnsi="Calibri"/>
                <w:b w:val="0"/>
                <w:i w:val="0"/>
                <w:color w:val="212121"/>
                <w:sz w:val="19"/>
              </w:rPr>
              <w:t>&lt; 150 min/week</w:t>
            </w:r>
          </w:p>
        </w:tc>
        <w:tc>
          <w:tcPr>
            <w:tcW w:type="dxa" w:w="1468"/>
            <w:vAlign w:val="top"/>
          </w:tcPr>
          <w:p>
            <w:pPr>
              <w:spacing w:after="40" w:before="0" w:line="259" w:lineRule="auto"/>
            </w:pPr>
            <w:r>
              <w:rPr>
                <w:rFonts w:ascii="Calibri" w:hAnsi="Calibri"/>
                <w:b w:val="0"/>
                <w:i w:val="0"/>
                <w:color w:val="212121"/>
                <w:sz w:val="19"/>
              </w:rPr>
              <w:t>Inactivity and obesity worsen incontinence and QoL</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Pelvic-floor muscle training (Kegels)</w:t>
            </w:r>
          </w:p>
        </w:tc>
        <w:tc>
          <w:tcPr>
            <w:tcW w:type="dxa" w:w="1655"/>
            <w:vAlign w:val="top"/>
          </w:tcPr>
          <w:p>
            <w:pPr>
              <w:spacing w:after="40" w:before="0" w:line="259" w:lineRule="auto"/>
            </w:pPr>
            <w:r>
              <w:rPr>
                <w:rFonts w:ascii="Calibri" w:hAnsi="Calibri"/>
                <w:b w:val="0"/>
                <w:i w:val="0"/>
                <w:color w:val="212121"/>
                <w:sz w:val="19"/>
              </w:rPr>
              <w:t>Women with LUTS / incontinence</w:t>
            </w:r>
          </w:p>
        </w:tc>
        <w:tc>
          <w:tcPr>
            <w:tcW w:type="dxa" w:w="1512"/>
            <w:vAlign w:val="top"/>
          </w:tcPr>
          <w:p>
            <w:pPr>
              <w:spacing w:after="40" w:before="0" w:line="259" w:lineRule="auto"/>
            </w:pPr>
            <w:r>
              <w:rPr>
                <w:rFonts w:ascii="Calibri" w:hAnsi="Calibri"/>
                <w:b w:val="0"/>
                <w:i w:val="0"/>
                <w:color w:val="212121"/>
                <w:sz w:val="19"/>
              </w:rPr>
              <w:t>3 sets/day, most days</w:t>
            </w:r>
          </w:p>
        </w:tc>
        <w:tc>
          <w:tcPr>
            <w:tcW w:type="dxa" w:w="1512"/>
            <w:vAlign w:val="top"/>
          </w:tcPr>
          <w:p>
            <w:pPr>
              <w:spacing w:after="40" w:before="0" w:line="259" w:lineRule="auto"/>
            </w:pPr>
            <w:r>
              <w:rPr>
                <w:rFonts w:ascii="Calibri" w:hAnsi="Calibri"/>
                <w:b w:val="0"/>
                <w:i w:val="0"/>
                <w:color w:val="212121"/>
                <w:sz w:val="19"/>
              </w:rPr>
              <w:t>None performed</w:t>
            </w:r>
          </w:p>
        </w:tc>
        <w:tc>
          <w:tcPr>
            <w:tcW w:type="dxa" w:w="1468"/>
            <w:vAlign w:val="top"/>
          </w:tcPr>
          <w:p>
            <w:pPr>
              <w:spacing w:after="40" w:before="0" w:line="259" w:lineRule="auto"/>
            </w:pPr>
            <w:r>
              <w:rPr>
                <w:rFonts w:ascii="Calibri" w:hAnsi="Calibri"/>
                <w:b w:val="0"/>
                <w:i w:val="0"/>
                <w:color w:val="212121"/>
                <w:sz w:val="19"/>
              </w:rPr>
              <w:t>Improves urinary symptoms and sexual function</w:t>
            </w:r>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Body Mass Index (Asian-Indian)</w:t>
            </w:r>
          </w:p>
        </w:tc>
        <w:tc>
          <w:tcPr>
            <w:tcW w:type="dxa" w:w="1655"/>
            <w:vAlign w:val="top"/>
          </w:tcPr>
          <w:p>
            <w:pPr>
              <w:spacing w:after="40" w:before="0" w:line="259" w:lineRule="auto"/>
            </w:pPr>
            <w:r>
              <w:rPr>
                <w:rFonts w:ascii="Calibri" w:hAnsi="Calibri"/>
                <w:b w:val="0"/>
                <w:i w:val="0"/>
                <w:color w:val="212121"/>
                <w:sz w:val="19"/>
              </w:rPr>
              <w:t>Postmenopausal women</w:t>
            </w:r>
          </w:p>
        </w:tc>
        <w:tc>
          <w:tcPr>
            <w:tcW w:type="dxa" w:w="1512"/>
            <w:vAlign w:val="top"/>
          </w:tcPr>
          <w:p>
            <w:pPr>
              <w:spacing w:after="40" w:before="0" w:line="259" w:lineRule="auto"/>
            </w:pPr>
            <w:r>
              <w:rPr>
                <w:rFonts w:ascii="Calibri" w:hAnsi="Calibri"/>
                <w:b w:val="0"/>
                <w:i w:val="0"/>
                <w:color w:val="212121"/>
                <w:sz w:val="19"/>
              </w:rPr>
              <w:t>18.5–22.9 kg/m²</w:t>
            </w:r>
          </w:p>
        </w:tc>
        <w:tc>
          <w:tcPr>
            <w:tcW w:type="dxa" w:w="1512"/>
            <w:vAlign w:val="top"/>
          </w:tcPr>
          <w:p>
            <w:pPr>
              <w:spacing w:after="40" w:before="0" w:line="259" w:lineRule="auto"/>
            </w:pPr>
            <w:r>
              <w:rPr>
                <w:rFonts w:ascii="Calibri" w:hAnsi="Calibri"/>
                <w:b w:val="0"/>
                <w:i w:val="0"/>
                <w:color w:val="212121"/>
                <w:sz w:val="19"/>
              </w:rPr>
              <w:t>≥ 23 (overweight); ≥ 25 (obesity)</w:t>
            </w:r>
          </w:p>
        </w:tc>
        <w:tc>
          <w:tcPr>
            <w:tcW w:type="dxa" w:w="1468"/>
            <w:vAlign w:val="top"/>
          </w:tcPr>
          <w:p>
            <w:pPr>
              <w:spacing w:after="60" w:line="259" w:lineRule="auto"/>
            </w:pPr>
            <w:r>
              <w:rPr>
                <w:rFonts w:ascii="Calibri" w:hAnsi="Calibri"/>
                <w:b w:val="0"/>
                <w:i w:val="0"/>
                <w:color w:val="212121"/>
                <w:sz w:val="19"/>
              </w:rPr>
              <w:t>Higher BMI worsens incontinence and infection risk</w:t>
            </w:r>
          </w:p>
          <w:p>
            <w:pPr>
              <w:spacing w:after="40" w:line="252" w:lineRule="auto"/>
            </w:pPr>
            <w:hyperlink r:id="rId12">
              <w:r>
                <w:rPr>
                  <w:rFonts w:ascii="Calibri" w:hAnsi="Calibri" w:cs="Calibri"/>
                  <w:sz w:val="18"/>
                  <w:color w:val="1155CC"/>
                  <w:u w:val="single"/>
                </w:rPr>
                <w:t xml:space="preserve">https://pmc.ncbi.nlm.nih.gov/articles/PMC12948155/</w:t>
              </w:r>
            </w:hyperlink>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 / quality</w:t>
            </w:r>
          </w:p>
        </w:tc>
        <w:tc>
          <w:tcPr>
            <w:tcW w:type="dxa" w:w="1655"/>
            <w:vAlign w:val="top"/>
          </w:tcPr>
          <w:p>
            <w:pPr>
              <w:spacing w:after="40" w:before="0" w:line="259" w:lineRule="auto"/>
            </w:pPr>
            <w:r>
              <w:rPr>
                <w:rFonts w:ascii="Calibri" w:hAnsi="Calibri"/>
                <w:b w:val="0"/>
                <w:i w:val="0"/>
                <w:color w:val="212121"/>
                <w:sz w:val="19"/>
              </w:rPr>
              <w:t>Midlife &amp; postmenopausal women</w:t>
            </w:r>
          </w:p>
        </w:tc>
        <w:tc>
          <w:tcPr>
            <w:tcW w:type="dxa" w:w="1512"/>
            <w:vAlign w:val="top"/>
          </w:tcPr>
          <w:p>
            <w:pPr>
              <w:spacing w:after="40" w:before="0" w:line="259" w:lineRule="auto"/>
            </w:pPr>
            <w:r>
              <w:rPr>
                <w:rFonts w:ascii="Calibri" w:hAnsi="Calibri"/>
                <w:b w:val="0"/>
                <w:i w:val="0"/>
                <w:color w:val="212121"/>
                <w:sz w:val="19"/>
              </w:rPr>
              <w:t>7–8 h, good quality</w:t>
            </w:r>
          </w:p>
        </w:tc>
        <w:tc>
          <w:tcPr>
            <w:tcW w:type="dxa" w:w="1512"/>
            <w:vAlign w:val="top"/>
          </w:tcPr>
          <w:p>
            <w:pPr>
              <w:spacing w:after="40" w:before="0" w:line="259" w:lineRule="auto"/>
            </w:pPr>
            <w:r>
              <w:rPr>
                <w:rFonts w:ascii="Calibri" w:hAnsi="Calibri"/>
                <w:b w:val="0"/>
                <w:i w:val="0"/>
                <w:color w:val="212121"/>
                <w:sz w:val="19"/>
              </w:rPr>
              <w:t>&lt; 6 h or chronic insomnia</w:t>
            </w:r>
          </w:p>
        </w:tc>
        <w:tc>
          <w:tcPr>
            <w:tcW w:type="dxa" w:w="1468"/>
            <w:vAlign w:val="top"/>
          </w:tcPr>
          <w:p>
            <w:pPr>
              <w:spacing w:after="60" w:line="259" w:lineRule="auto"/>
            </w:pPr>
            <w:r>
              <w:rPr>
                <w:rFonts w:ascii="Calibri" w:hAnsi="Calibri"/>
                <w:b w:val="0"/>
                <w:i w:val="0"/>
                <w:color w:val="212121"/>
                <w:sz w:val="19"/>
              </w:rPr>
              <w:t>Insomnia independently linked to higher GSM odds</w:t>
            </w:r>
          </w:p>
          <w:p>
            <w:pPr>
              <w:spacing w:after="40" w:line="252" w:lineRule="auto"/>
            </w:pPr>
            <w:hyperlink r:id="rId10">
              <w:r>
                <w:rPr>
                  <w:rFonts w:ascii="Calibri" w:hAnsi="Calibri" w:cs="Calibri"/>
                  <w:sz w:val="18"/>
                  <w:color w:val="1155CC"/>
                  <w:u w:val="single"/>
                </w:rPr>
                <w:t xml:space="preserve">https://pubmed.ncbi.nlm.nih.gov/40397455/</w:t>
              </w:r>
            </w:hyperlink>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Cigarettes/bidis per day</w:t>
            </w:r>
          </w:p>
        </w:tc>
        <w:tc>
          <w:tcPr>
            <w:tcW w:type="dxa" w:w="1655"/>
            <w:vAlign w:val="top"/>
          </w:tcPr>
          <w:p>
            <w:pPr>
              <w:spacing w:after="40" w:before="0" w:line="259" w:lineRule="auto"/>
            </w:pPr>
            <w:r>
              <w:rPr>
                <w:rFonts w:ascii="Calibri" w:hAnsi="Calibri"/>
                <w:b w:val="0"/>
                <w:i w:val="0"/>
                <w:color w:val="212121"/>
                <w:sz w:val="19"/>
              </w:rPr>
              <w:t>All women</w:t>
            </w:r>
          </w:p>
        </w:tc>
        <w:tc>
          <w:tcPr>
            <w:tcW w:type="dxa" w:w="1512"/>
            <w:vAlign w:val="top"/>
          </w:tcPr>
          <w:p>
            <w:pPr>
              <w:spacing w:after="40" w:before="0" w:line="259" w:lineRule="auto"/>
            </w:pPr>
            <w:r>
              <w:rPr>
                <w:rFonts w:ascii="Calibri" w:hAnsi="Calibri"/>
                <w:b w:val="0"/>
                <w:i w:val="0"/>
                <w:color w:val="212121"/>
                <w:sz w:val="19"/>
              </w:rPr>
              <w:t>0/day</w:t>
            </w:r>
          </w:p>
        </w:tc>
        <w:tc>
          <w:tcPr>
            <w:tcW w:type="dxa" w:w="1512"/>
            <w:vAlign w:val="top"/>
          </w:tcPr>
          <w:p>
            <w:pPr>
              <w:spacing w:after="40" w:before="0" w:line="259" w:lineRule="auto"/>
            </w:pPr>
            <w:r>
              <w:rPr>
                <w:rFonts w:ascii="Calibri" w:hAnsi="Calibri"/>
                <w:b w:val="0"/>
                <w:i w:val="0"/>
                <w:color w:val="212121"/>
                <w:sz w:val="19"/>
              </w:rPr>
              <w:t>≥ 1/day</w:t>
            </w:r>
          </w:p>
        </w:tc>
        <w:tc>
          <w:tcPr>
            <w:tcW w:type="dxa" w:w="1468"/>
            <w:vAlign w:val="top"/>
          </w:tcPr>
          <w:p>
            <w:pPr>
              <w:spacing w:after="40" w:before="0" w:line="259" w:lineRule="auto"/>
            </w:pPr>
            <w:r>
              <w:rPr>
                <w:rFonts w:ascii="Calibri" w:hAnsi="Calibri"/>
                <w:b w:val="0"/>
                <w:i w:val="0"/>
                <w:color w:val="212121"/>
                <w:sz w:val="19"/>
              </w:rPr>
              <w:t>Any smoking accelerates atrophy and earlier menopause</w:t>
            </w:r>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Standard drinks per week</w:t>
            </w:r>
          </w:p>
        </w:tc>
        <w:tc>
          <w:tcPr>
            <w:tcW w:type="dxa" w:w="1655"/>
            <w:vAlign w:val="top"/>
          </w:tcPr>
          <w:p>
            <w:pPr>
              <w:spacing w:after="40" w:before="0" w:line="259" w:lineRule="auto"/>
            </w:pPr>
            <w:r>
              <w:rPr>
                <w:rFonts w:ascii="Calibri" w:hAnsi="Calibri"/>
                <w:b w:val="0"/>
                <w:i w:val="0"/>
                <w:color w:val="212121"/>
                <w:sz w:val="19"/>
              </w:rPr>
              <w:t>Adult women</w:t>
            </w:r>
          </w:p>
        </w:tc>
        <w:tc>
          <w:tcPr>
            <w:tcW w:type="dxa" w:w="1512"/>
            <w:vAlign w:val="top"/>
          </w:tcPr>
          <w:p>
            <w:pPr>
              <w:spacing w:after="40" w:before="0" w:line="259" w:lineRule="auto"/>
            </w:pPr>
            <w:r>
              <w:rPr>
                <w:rFonts w:ascii="Calibri" w:hAnsi="Calibri"/>
                <w:b w:val="0"/>
                <w:i w:val="0"/>
                <w:color w:val="212121"/>
                <w:sz w:val="19"/>
              </w:rPr>
              <w:t>≤ 7/week</w:t>
            </w:r>
          </w:p>
        </w:tc>
        <w:tc>
          <w:tcPr>
            <w:tcW w:type="dxa" w:w="1512"/>
            <w:vAlign w:val="top"/>
          </w:tcPr>
          <w:p>
            <w:pPr>
              <w:spacing w:after="40" w:before="0" w:line="259" w:lineRule="auto"/>
            </w:pPr>
            <w:r>
              <w:rPr>
                <w:rFonts w:ascii="Calibri" w:hAnsi="Calibri"/>
                <w:b w:val="0"/>
                <w:i w:val="0"/>
                <w:color w:val="212121"/>
                <w:sz w:val="19"/>
              </w:rPr>
              <w:t>&gt; 7/week</w:t>
            </w:r>
          </w:p>
        </w:tc>
        <w:tc>
          <w:tcPr>
            <w:tcW w:type="dxa" w:w="1468"/>
            <w:vAlign w:val="top"/>
          </w:tcPr>
          <w:p>
            <w:pPr>
              <w:spacing w:after="40" w:before="0" w:line="259" w:lineRule="auto"/>
            </w:pPr>
            <w:r>
              <w:rPr>
                <w:rFonts w:ascii="Calibri" w:hAnsi="Calibri"/>
                <w:b w:val="0"/>
                <w:i w:val="0"/>
                <w:color w:val="212121"/>
                <w:sz w:val="19"/>
              </w:rPr>
              <w:t>Excess worsens mucosal drying and bladder irritation</w:t>
            </w:r>
          </w:p>
        </w:tc>
      </w:tr>
      <w:tr>
        <w:trPr>
          <w:cantSplit/>
        </w:trPr>
        <w:tc>
          <w:tcPr>
            <w:tcW w:type="dxa" w:w="1512"/>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Daily fluid intake</w:t>
            </w:r>
          </w:p>
        </w:tc>
        <w:tc>
          <w:tcPr>
            <w:tcW w:type="dxa" w:w="1655"/>
            <w:vAlign w:val="top"/>
          </w:tcPr>
          <w:p>
            <w:pPr>
              <w:spacing w:after="40" w:before="0" w:line="259" w:lineRule="auto"/>
            </w:pPr>
            <w:r>
              <w:rPr>
                <w:rFonts w:ascii="Calibri" w:hAnsi="Calibri"/>
                <w:b w:val="0"/>
                <w:i w:val="0"/>
                <w:color w:val="212121"/>
                <w:sz w:val="19"/>
              </w:rPr>
              <w:t>Postmenopausal women</w:t>
            </w:r>
          </w:p>
        </w:tc>
        <w:tc>
          <w:tcPr>
            <w:tcW w:type="dxa" w:w="1512"/>
            <w:vAlign w:val="top"/>
          </w:tcPr>
          <w:p>
            <w:pPr>
              <w:spacing w:after="40" w:before="0" w:line="259" w:lineRule="auto"/>
            </w:pPr>
            <w:r>
              <w:rPr>
                <w:rFonts w:ascii="Calibri" w:hAnsi="Calibri"/>
                <w:b w:val="0"/>
                <w:i w:val="0"/>
                <w:color w:val="212121"/>
                <w:sz w:val="19"/>
              </w:rPr>
              <w:t>~2–2.5 L/day</w:t>
            </w:r>
          </w:p>
        </w:tc>
        <w:tc>
          <w:tcPr>
            <w:tcW w:type="dxa" w:w="1512"/>
            <w:vAlign w:val="top"/>
          </w:tcPr>
          <w:p>
            <w:pPr>
              <w:spacing w:after="40" w:before="0" w:line="259" w:lineRule="auto"/>
            </w:pPr>
            <w:r>
              <w:rPr>
                <w:rFonts w:ascii="Calibri" w:hAnsi="Calibri"/>
                <w:b w:val="0"/>
                <w:i w:val="0"/>
                <w:color w:val="212121"/>
                <w:sz w:val="19"/>
              </w:rPr>
              <w:t>&lt; 1.5 L/day</w:t>
            </w:r>
          </w:p>
        </w:tc>
        <w:tc>
          <w:tcPr>
            <w:tcW w:type="dxa" w:w="1468"/>
            <w:vAlign w:val="top"/>
          </w:tcPr>
          <w:p>
            <w:pPr>
              <w:spacing w:after="40" w:before="0" w:line="259" w:lineRule="auto"/>
            </w:pPr>
            <w:r>
              <w:rPr>
                <w:rFonts w:ascii="Calibri" w:hAnsi="Calibri"/>
                <w:b w:val="0"/>
                <w:i w:val="0"/>
                <w:color w:val="212121"/>
                <w:sz w:val="19"/>
              </w:rPr>
              <w:t>Low intake concentrates urine and aggravates dysuria</w:t>
            </w:r>
          </w:p>
        </w:tc>
      </w:tr>
      <w:tr>
        <w:trPr>
          <w:cantSplit/>
        </w:trPr>
        <w:tc>
          <w:tcPr>
            <w:tcW w:type="dxa" w:w="1512"/>
            <w:vAlign w:val="center"/>
          </w:tcPr>
          <w:p>
            <w:pPr>
              <w:spacing w:after="40"/>
            </w:pPr>
            <w:r>
              <w:rPr>
                <w:rFonts w:ascii="Calibri" w:hAnsi="Calibri"/>
                <w:b w:val="0"/>
                <w:i w:val="0"/>
                <w:color w:val="212121"/>
                <w:sz w:val="19"/>
              </w:rPr>
              <w:t>Caffeine</w:t>
            </w:r>
          </w:p>
        </w:tc>
        <w:tc>
          <w:tcPr>
            <w:tcW w:type="dxa" w:w="1944"/>
            <w:vAlign w:val="top"/>
          </w:tcPr>
          <w:p>
            <w:pPr>
              <w:spacing w:after="40" w:before="0" w:line="259" w:lineRule="auto"/>
            </w:pPr>
            <w:r>
              <w:rPr>
                <w:rFonts w:ascii="Calibri" w:hAnsi="Calibri"/>
                <w:b w:val="0"/>
                <w:i w:val="0"/>
                <w:color w:val="212121"/>
                <w:sz w:val="19"/>
              </w:rPr>
              <w:t>Caffeine intake</w:t>
            </w:r>
          </w:p>
        </w:tc>
        <w:tc>
          <w:tcPr>
            <w:tcW w:type="dxa" w:w="1655"/>
            <w:vAlign w:val="top"/>
          </w:tcPr>
          <w:p>
            <w:pPr>
              <w:spacing w:after="40" w:before="0" w:line="259" w:lineRule="auto"/>
            </w:pPr>
            <w:r>
              <w:rPr>
                <w:rFonts w:ascii="Calibri" w:hAnsi="Calibri"/>
                <w:b w:val="0"/>
                <w:i w:val="0"/>
                <w:color w:val="212121"/>
                <w:sz w:val="19"/>
              </w:rPr>
              <w:t>Women with urinary urgency</w:t>
            </w:r>
          </w:p>
        </w:tc>
        <w:tc>
          <w:tcPr>
            <w:tcW w:type="dxa" w:w="1512"/>
            <w:vAlign w:val="top"/>
          </w:tcPr>
          <w:p>
            <w:pPr>
              <w:spacing w:after="40" w:before="0" w:line="259" w:lineRule="auto"/>
            </w:pPr>
            <w:r>
              <w:rPr>
                <w:rFonts w:ascii="Calibri" w:hAnsi="Calibri"/>
                <w:b w:val="0"/>
                <w:i w:val="0"/>
                <w:color w:val="212121"/>
                <w:sz w:val="19"/>
              </w:rPr>
              <w:t>≤ 200–300 mg/day</w:t>
            </w:r>
          </w:p>
        </w:tc>
        <w:tc>
          <w:tcPr>
            <w:tcW w:type="dxa" w:w="1512"/>
            <w:vAlign w:val="top"/>
          </w:tcPr>
          <w:p>
            <w:pPr>
              <w:spacing w:after="40" w:before="0" w:line="259" w:lineRule="auto"/>
            </w:pPr>
            <w:r>
              <w:rPr>
                <w:rFonts w:ascii="Calibri" w:hAnsi="Calibri"/>
                <w:b w:val="0"/>
                <w:i w:val="0"/>
                <w:color w:val="212121"/>
                <w:sz w:val="19"/>
              </w:rPr>
              <w:t>&gt; 400 mg/day</w:t>
            </w:r>
          </w:p>
        </w:tc>
        <w:tc>
          <w:tcPr>
            <w:tcW w:type="dxa" w:w="1468"/>
            <w:vAlign w:val="top"/>
          </w:tcPr>
          <w:p>
            <w:pPr>
              <w:spacing w:after="40" w:before="0" w:line="259" w:lineRule="auto"/>
            </w:pPr>
            <w:r>
              <w:rPr>
                <w:rFonts w:ascii="Calibri" w:hAnsi="Calibri"/>
                <w:b w:val="0"/>
                <w:i w:val="0"/>
                <w:color w:val="212121"/>
                <w:sz w:val="19"/>
              </w:rPr>
              <w:t>Bladder irritant worsening urgency/frequency</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Vaginal pH</w:t>
            </w:r>
          </w:p>
        </w:tc>
        <w:tc>
          <w:tcPr>
            <w:tcW w:type="dxa" w:w="1655"/>
            <w:vAlign w:val="top"/>
          </w:tcPr>
          <w:p>
            <w:pPr>
              <w:spacing w:after="40" w:before="0" w:line="259" w:lineRule="auto"/>
            </w:pPr>
            <w:r>
              <w:rPr>
                <w:rFonts w:ascii="Calibri" w:hAnsi="Calibri"/>
                <w:b w:val="0"/>
                <w:i w:val="0"/>
                <w:color w:val="212121"/>
                <w:sz w:val="19"/>
              </w:rPr>
              <w:t>Postmenopausal women</w:t>
            </w:r>
          </w:p>
        </w:tc>
        <w:tc>
          <w:tcPr>
            <w:tcW w:type="dxa" w:w="1512"/>
            <w:vAlign w:val="top"/>
          </w:tcPr>
          <w:p>
            <w:pPr>
              <w:spacing w:after="40" w:before="0" w:line="259" w:lineRule="auto"/>
            </w:pPr>
            <w:r>
              <w:rPr>
                <w:rFonts w:ascii="Calibri" w:hAnsi="Calibri"/>
                <w:b w:val="0"/>
                <w:i w:val="0"/>
                <w:color w:val="212121"/>
                <w:sz w:val="19"/>
              </w:rPr>
              <w:t>3.5–4.5</w:t>
            </w:r>
          </w:p>
        </w:tc>
        <w:tc>
          <w:tcPr>
            <w:tcW w:type="dxa" w:w="1512"/>
            <w:vAlign w:val="top"/>
          </w:tcPr>
          <w:p>
            <w:pPr>
              <w:spacing w:after="40" w:before="0" w:line="259" w:lineRule="auto"/>
            </w:pPr>
            <w:r>
              <w:rPr>
                <w:rFonts w:ascii="Calibri" w:hAnsi="Calibri"/>
                <w:b w:val="0"/>
                <w:i w:val="0"/>
                <w:color w:val="212121"/>
                <w:sz w:val="19"/>
              </w:rPr>
              <w:t>&gt; 5.0</w:t>
            </w:r>
          </w:p>
        </w:tc>
        <w:tc>
          <w:tcPr>
            <w:tcW w:type="dxa" w:w="1468"/>
            <w:vAlign w:val="top"/>
          </w:tcPr>
          <w:p>
            <w:pPr>
              <w:spacing w:after="60" w:line="259" w:lineRule="auto"/>
            </w:pPr>
            <w:r>
              <w:rPr>
                <w:rFonts w:ascii="Calibri" w:hAnsi="Calibri"/>
                <w:b w:val="0"/>
                <w:i w:val="0"/>
                <w:color w:val="212121"/>
                <w:sz w:val="19"/>
              </w:rPr>
              <w:t>Rising pH marks loss of lactobacilli and atrophy</w:t>
            </w:r>
          </w:p>
          <w:p>
            <w:pPr>
              <w:spacing w:after="40" w:line="252" w:lineRule="auto"/>
            </w:pPr>
            <w:hyperlink r:id="rId14">
              <w:r>
                <w:rPr>
                  <w:rFonts w:ascii="Calibri" w:hAnsi="Calibri" w:cs="Calibri"/>
                  <w:sz w:val="18"/>
                  <w:color w:val="1155CC"/>
                  <w:u w:val="single"/>
                </w:rPr>
                <w:t xml:space="preserve">https://www.ncbi.nlm.nih.gov/books/NBK559297/</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Vaginal Health Index (VHI)</w:t>
            </w:r>
          </w:p>
        </w:tc>
        <w:tc>
          <w:tcPr>
            <w:tcW w:type="dxa" w:w="1655"/>
            <w:vAlign w:val="top"/>
          </w:tcPr>
          <w:p>
            <w:pPr>
              <w:spacing w:after="40" w:before="0" w:line="259" w:lineRule="auto"/>
            </w:pPr>
            <w:r>
              <w:rPr>
                <w:rFonts w:ascii="Calibri" w:hAnsi="Calibri"/>
                <w:b w:val="0"/>
                <w:i w:val="0"/>
                <w:color w:val="212121"/>
                <w:sz w:val="19"/>
              </w:rPr>
              <w:t>Symptomatic postmenopausal women</w:t>
            </w:r>
          </w:p>
        </w:tc>
        <w:tc>
          <w:tcPr>
            <w:tcW w:type="dxa" w:w="1512"/>
            <w:vAlign w:val="top"/>
          </w:tcPr>
          <w:p>
            <w:pPr>
              <w:spacing w:after="40" w:before="0" w:line="259" w:lineRule="auto"/>
            </w:pPr>
            <w:r>
              <w:rPr>
                <w:rFonts w:ascii="Calibri" w:hAnsi="Calibri"/>
                <w:b w:val="0"/>
                <w:i w:val="0"/>
                <w:color w:val="212121"/>
                <w:sz w:val="19"/>
              </w:rPr>
              <w:t>&gt; 15</w:t>
            </w:r>
          </w:p>
        </w:tc>
        <w:tc>
          <w:tcPr>
            <w:tcW w:type="dxa" w:w="1512"/>
            <w:vAlign w:val="top"/>
          </w:tcPr>
          <w:p>
            <w:pPr>
              <w:spacing w:after="40" w:before="0" w:line="259" w:lineRule="auto"/>
            </w:pPr>
            <w:r>
              <w:rPr>
                <w:rFonts w:ascii="Calibri" w:hAnsi="Calibri"/>
                <w:b w:val="0"/>
                <w:i w:val="0"/>
                <w:color w:val="212121"/>
                <w:sz w:val="19"/>
              </w:rPr>
              <w:t>≤ 15</w:t>
            </w:r>
          </w:p>
        </w:tc>
        <w:tc>
          <w:tcPr>
            <w:tcW w:type="dxa" w:w="1468"/>
            <w:vAlign w:val="top"/>
          </w:tcPr>
          <w:p>
            <w:pPr>
              <w:spacing w:after="60" w:line="259" w:lineRule="auto"/>
            </w:pPr>
            <w:r>
              <w:rPr>
                <w:rFonts w:ascii="Calibri" w:hAnsi="Calibri"/>
                <w:b w:val="0"/>
                <w:i w:val="0"/>
                <w:color w:val="212121"/>
                <w:sz w:val="19"/>
              </w:rPr>
              <w:t>Objective threshold for vulvovaginal atrophy</w:t>
            </w:r>
          </w:p>
          <w:p>
            <w:pPr>
              <w:spacing w:after="40" w:line="252" w:lineRule="auto"/>
            </w:pPr>
            <w:hyperlink r:id="rId10">
              <w:r>
                <w:rPr>
                  <w:rFonts w:ascii="Calibri" w:hAnsi="Calibri" w:cs="Calibri"/>
                  <w:sz w:val="18"/>
                  <w:color w:val="1155CC"/>
                  <w:u w:val="single"/>
                </w:rPr>
                <w:t xml:space="preserve">https://pubmed.ncbi.nlm.nih.gov/40397455/</w:t>
              </w:r>
            </w:hyperlink>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Vaginal douching frequency</w:t>
            </w:r>
          </w:p>
        </w:tc>
        <w:tc>
          <w:tcPr>
            <w:tcW w:type="dxa" w:w="1655"/>
            <w:vAlign w:val="top"/>
          </w:tcPr>
          <w:p>
            <w:pPr>
              <w:spacing w:after="40" w:before="0" w:line="259" w:lineRule="auto"/>
            </w:pPr>
            <w:r>
              <w:rPr>
                <w:rFonts w:ascii="Calibri" w:hAnsi="Calibri"/>
                <w:b w:val="0"/>
                <w:i w:val="0"/>
                <w:color w:val="212121"/>
                <w:sz w:val="19"/>
              </w:rPr>
              <w:t>All women</w:t>
            </w:r>
          </w:p>
        </w:tc>
        <w:tc>
          <w:tcPr>
            <w:tcW w:type="dxa" w:w="1512"/>
            <w:vAlign w:val="top"/>
          </w:tcPr>
          <w:p>
            <w:pPr>
              <w:spacing w:after="40" w:before="0" w:line="259" w:lineRule="auto"/>
            </w:pPr>
            <w:r>
              <w:rPr>
                <w:rFonts w:ascii="Calibri" w:hAnsi="Calibri"/>
                <w:b w:val="0"/>
                <w:i w:val="0"/>
                <w:color w:val="212121"/>
                <w:sz w:val="19"/>
              </w:rPr>
              <w:t>0 (none)</w:t>
            </w:r>
          </w:p>
        </w:tc>
        <w:tc>
          <w:tcPr>
            <w:tcW w:type="dxa" w:w="1512"/>
            <w:vAlign w:val="top"/>
          </w:tcPr>
          <w:p>
            <w:pPr>
              <w:spacing w:after="40" w:before="0" w:line="259" w:lineRule="auto"/>
            </w:pPr>
            <w:r>
              <w:rPr>
                <w:rFonts w:ascii="Calibri" w:hAnsi="Calibri"/>
                <w:b w:val="0"/>
                <w:i w:val="0"/>
                <w:color w:val="212121"/>
                <w:sz w:val="19"/>
              </w:rPr>
              <w:t>Any regular douching</w:t>
            </w:r>
          </w:p>
        </w:tc>
        <w:tc>
          <w:tcPr>
            <w:tcW w:type="dxa" w:w="1468"/>
            <w:vAlign w:val="top"/>
          </w:tcPr>
          <w:p>
            <w:pPr>
              <w:spacing w:after="40" w:before="0" w:line="259" w:lineRule="auto"/>
            </w:pPr>
            <w:r>
              <w:rPr>
                <w:rFonts w:ascii="Calibri" w:hAnsi="Calibri"/>
                <w:b w:val="0"/>
                <w:i w:val="0"/>
                <w:color w:val="212121"/>
                <w:sz w:val="19"/>
              </w:rPr>
              <w:t>Disrupts microbiome and pH of atrophic tissue</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Sexual activity / lubricant use</w:t>
            </w:r>
          </w:p>
        </w:tc>
        <w:tc>
          <w:tcPr>
            <w:tcW w:type="dxa" w:w="1655"/>
            <w:vAlign w:val="top"/>
          </w:tcPr>
          <w:p>
            <w:pPr>
              <w:spacing w:after="40" w:before="0" w:line="259" w:lineRule="auto"/>
            </w:pPr>
            <w:r>
              <w:rPr>
                <w:rFonts w:ascii="Calibri" w:hAnsi="Calibri"/>
                <w:b w:val="0"/>
                <w:i w:val="0"/>
                <w:color w:val="212121"/>
                <w:sz w:val="19"/>
              </w:rPr>
              <w:t>Sexually active women</w:t>
            </w:r>
          </w:p>
        </w:tc>
        <w:tc>
          <w:tcPr>
            <w:tcW w:type="dxa" w:w="1512"/>
            <w:vAlign w:val="top"/>
          </w:tcPr>
          <w:p>
            <w:pPr>
              <w:spacing w:after="40" w:before="0" w:line="259" w:lineRule="auto"/>
            </w:pPr>
            <w:r>
              <w:rPr>
                <w:rFonts w:ascii="Calibri" w:hAnsi="Calibri"/>
                <w:b w:val="0"/>
                <w:i w:val="0"/>
                <w:color w:val="212121"/>
                <w:sz w:val="19"/>
              </w:rPr>
              <w:t>Regular activity with lubricant</w:t>
            </w:r>
          </w:p>
        </w:tc>
        <w:tc>
          <w:tcPr>
            <w:tcW w:type="dxa" w:w="1512"/>
            <w:vAlign w:val="top"/>
          </w:tcPr>
          <w:p>
            <w:pPr>
              <w:spacing w:after="40" w:before="0" w:line="259" w:lineRule="auto"/>
            </w:pPr>
            <w:r>
              <w:rPr>
                <w:rFonts w:ascii="Calibri" w:hAnsi="Calibri"/>
                <w:b w:val="0"/>
                <w:i w:val="0"/>
                <w:color w:val="212121"/>
                <w:sz w:val="19"/>
              </w:rPr>
              <w:t>Prolonged abstinence or intercourse without lubricant</w:t>
            </w:r>
          </w:p>
        </w:tc>
        <w:tc>
          <w:tcPr>
            <w:tcW w:type="dxa" w:w="1468"/>
            <w:vAlign w:val="top"/>
          </w:tcPr>
          <w:p>
            <w:pPr>
              <w:spacing w:after="60" w:line="259" w:lineRule="auto"/>
            </w:pPr>
            <w:r>
              <w:rPr>
                <w:rFonts w:ascii="Calibri" w:hAnsi="Calibri"/>
                <w:b w:val="0"/>
                <w:i w:val="0"/>
                <w:color w:val="212121"/>
                <w:sz w:val="19"/>
              </w:rPr>
              <w:t>Maintains vaginal calibre and blood flow</w:t>
            </w:r>
          </w:p>
          <w:p>
            <w:pPr>
              <w:spacing w:after="40" w:line="252" w:lineRule="auto"/>
            </w:pPr>
            <w:hyperlink r:id="rId14">
              <w:r>
                <w:rPr>
                  <w:rFonts w:ascii="Calibri" w:hAnsi="Calibri" w:cs="Calibri"/>
                  <w:sz w:val="18"/>
                  <w:color w:val="1155CC"/>
                  <w:u w:val="single"/>
                </w:rPr>
                <w:t xml:space="preserve">https://www.ncbi.nlm.nih.gov/books/NBK559297/</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Point-of-care</w:t>
            </w:r>
          </w:p>
        </w:tc>
        <w:tc>
          <w:tcPr>
            <w:tcW w:type="dxa" w:w="1036"/>
            <w:vAlign w:val="top"/>
          </w:tcPr>
          <w:p>
            <w:pPr>
              <w:spacing w:after="40" w:before="0" w:line="259" w:lineRule="auto"/>
            </w:pPr>
            <w:r>
              <w:rPr>
                <w:rFonts w:ascii="Calibri" w:hAnsi="Calibri"/>
                <w:b w:val="0"/>
                <w:i w:val="0"/>
                <w:color w:val="212121"/>
                <w:sz w:val="16"/>
              </w:rPr>
              <w:t>Vaginal pH</w:t>
            </w:r>
          </w:p>
        </w:tc>
        <w:tc>
          <w:tcPr>
            <w:tcW w:type="dxa" w:w="892"/>
            <w:vAlign w:val="top"/>
          </w:tcPr>
          <w:p>
            <w:pPr>
              <w:spacing w:after="40" w:before="0" w:line="259" w:lineRule="auto"/>
            </w:pPr>
            <w:r>
              <w:rPr>
                <w:rFonts w:ascii="Calibri" w:hAnsi="Calibri"/>
                <w:b w:val="0"/>
                <w:i w:val="0"/>
                <w:color w:val="212121"/>
                <w:sz w:val="16"/>
              </w:rPr>
              <w:t>Vaginal pH strip</w:t>
            </w:r>
          </w:p>
        </w:tc>
        <w:tc>
          <w:tcPr>
            <w:tcW w:type="dxa" w:w="950"/>
            <w:vAlign w:val="top"/>
          </w:tcPr>
          <w:p>
            <w:pPr>
              <w:spacing w:after="40" w:before="0" w:line="259" w:lineRule="auto"/>
            </w:pPr>
            <w:r>
              <w:rPr>
                <w:rFonts w:ascii="Calibri" w:hAnsi="Calibri"/>
                <w:b w:val="0"/>
                <w:i w:val="0"/>
                <w:color w:val="212121"/>
                <w:sz w:val="16"/>
              </w:rPr>
              <w:t>3.5–4.5</w:t>
            </w:r>
          </w:p>
        </w:tc>
        <w:tc>
          <w:tcPr>
            <w:tcW w:type="dxa" w:w="950"/>
            <w:vAlign w:val="top"/>
          </w:tcPr>
          <w:p>
            <w:pPr>
              <w:spacing w:after="40" w:before="0" w:line="259" w:lineRule="auto"/>
            </w:pPr>
            <w:r>
              <w:rPr>
                <w:rFonts w:ascii="Calibri" w:hAnsi="Calibri"/>
                <w:b w:val="0"/>
                <w:i w:val="0"/>
                <w:color w:val="212121"/>
                <w:sz w:val="16"/>
              </w:rPr>
              <w:t>&gt; 5.0</w:t>
            </w:r>
          </w:p>
        </w:tc>
        <w:tc>
          <w:tcPr>
            <w:tcW w:type="dxa" w:w="1036"/>
            <w:vAlign w:val="top"/>
          </w:tcPr>
          <w:p>
            <w:pPr>
              <w:spacing w:after="40" w:before="0" w:line="259" w:lineRule="auto"/>
            </w:pPr>
            <w:r>
              <w:rPr>
                <w:rFonts w:ascii="Calibri" w:hAnsi="Calibri"/>
                <w:b w:val="0"/>
                <w:i w:val="0"/>
                <w:color w:val="212121"/>
                <w:sz w:val="16"/>
              </w:rPr>
              <w:t>Rising pH reflects lactobacillus loss and estrogen deficiency</w:t>
            </w:r>
          </w:p>
        </w:tc>
        <w:tc>
          <w:tcPr>
            <w:tcW w:type="dxa" w:w="1036"/>
            <w:vAlign w:val="top"/>
          </w:tcPr>
          <w:p>
            <w:pPr>
              <w:spacing w:after="40" w:before="0" w:line="259" w:lineRule="auto"/>
            </w:pPr>
            <w:r>
              <w:rPr>
                <w:rFonts w:ascii="Calibri" w:hAnsi="Calibri"/>
                <w:b w:val="0"/>
                <w:i w:val="0"/>
                <w:color w:val="212121"/>
                <w:sz w:val="16"/>
              </w:rPr>
              <w:t>Postmenopausal women with genital symptoms</w:t>
            </w:r>
          </w:p>
        </w:tc>
        <w:tc>
          <w:tcPr>
            <w:tcW w:type="dxa" w:w="720"/>
            <w:vAlign w:val="top"/>
          </w:tcPr>
          <w:p>
            <w:pPr>
              <w:spacing w:after="40" w:before="0" w:line="259" w:lineRule="auto"/>
            </w:pPr>
            <w:r>
              <w:rPr>
                <w:rFonts w:ascii="Calibri" w:hAnsi="Calibri"/>
                <w:b w:val="0"/>
                <w:i w:val="0"/>
                <w:color w:val="212121"/>
                <w:sz w:val="16"/>
              </w:rPr>
              <w:t>Provoking factors; Hygiene</w:t>
            </w:r>
          </w:p>
        </w:tc>
        <w:tc>
          <w:tcPr>
            <w:tcW w:type="dxa" w:w="720"/>
            <w:vAlign w:val="top"/>
          </w:tcPr>
          <w:p>
            <w:pPr>
              <w:spacing w:after="40" w:before="0" w:line="259" w:lineRule="auto"/>
            </w:pPr>
            <w:r>
              <w:rPr>
                <w:rFonts w:ascii="Calibri" w:hAnsi="Calibri"/>
                <w:b w:val="0"/>
                <w:i w:val="0"/>
                <w:color w:val="212121"/>
                <w:sz w:val="16"/>
              </w:rPr>
              <w:t>Screening/Supportive</w:t>
            </w:r>
          </w:p>
        </w:tc>
        <w:tc>
          <w:tcPr>
            <w:tcW w:type="dxa" w:w="720"/>
            <w:vAlign w:val="top"/>
          </w:tcPr>
          <w:p>
            <w:pPr>
              <w:spacing w:after="40" w:before="0" w:line="259" w:lineRule="auto"/>
            </w:pPr>
            <w:r>
              <w:rPr>
                <w:rFonts w:ascii="Calibri" w:hAnsi="Calibri"/>
                <w:b w:val="0"/>
                <w:i w:val="0"/>
                <w:color w:val="212121"/>
                <w:sz w:val="16"/>
              </w:rPr>
              <w:t>Confounded by semen, blood, infection or lubricants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Cytology</w:t>
            </w:r>
          </w:p>
        </w:tc>
        <w:tc>
          <w:tcPr>
            <w:tcW w:type="dxa" w:w="1036"/>
            <w:vAlign w:val="top"/>
          </w:tcPr>
          <w:p>
            <w:pPr>
              <w:spacing w:after="40" w:before="0" w:line="259" w:lineRule="auto"/>
            </w:pPr>
            <w:r>
              <w:rPr>
                <w:rFonts w:ascii="Calibri" w:hAnsi="Calibri"/>
                <w:b w:val="0"/>
                <w:i w:val="0"/>
                <w:color w:val="212121"/>
                <w:sz w:val="16"/>
              </w:rPr>
              <w:t>Vaginal Maturation Index</w:t>
            </w:r>
          </w:p>
        </w:tc>
        <w:tc>
          <w:tcPr>
            <w:tcW w:type="dxa" w:w="892"/>
            <w:vAlign w:val="top"/>
          </w:tcPr>
          <w:p>
            <w:pPr>
              <w:spacing w:after="40" w:before="0" w:line="259" w:lineRule="auto"/>
            </w:pPr>
            <w:r>
              <w:rPr>
                <w:rFonts w:ascii="Calibri" w:hAnsi="Calibri"/>
                <w:b w:val="0"/>
                <w:i w:val="0"/>
                <w:color w:val="212121"/>
                <w:sz w:val="16"/>
              </w:rPr>
              <w:t>Vaginal cytology smear</w:t>
            </w:r>
          </w:p>
        </w:tc>
        <w:tc>
          <w:tcPr>
            <w:tcW w:type="dxa" w:w="950"/>
            <w:vAlign w:val="top"/>
          </w:tcPr>
          <w:p>
            <w:pPr>
              <w:spacing w:after="40" w:before="0" w:line="259" w:lineRule="auto"/>
            </w:pPr>
            <w:r>
              <w:rPr>
                <w:rFonts w:ascii="Calibri" w:hAnsi="Calibri"/>
                <w:b w:val="0"/>
                <w:i w:val="0"/>
                <w:color w:val="212121"/>
                <w:sz w:val="16"/>
              </w:rPr>
              <w:t>Predominant superficial cells</w:t>
            </w:r>
          </w:p>
        </w:tc>
        <w:tc>
          <w:tcPr>
            <w:tcW w:type="dxa" w:w="950"/>
            <w:vAlign w:val="top"/>
          </w:tcPr>
          <w:p>
            <w:pPr>
              <w:spacing w:after="40" w:before="0" w:line="259" w:lineRule="auto"/>
            </w:pPr>
            <w:r>
              <w:rPr>
                <w:rFonts w:ascii="Calibri" w:hAnsi="Calibri"/>
                <w:b w:val="0"/>
                <w:i w:val="0"/>
                <w:color w:val="212121"/>
                <w:sz w:val="16"/>
              </w:rPr>
              <w:t>Shift to parabasal/intermediate cells</w:t>
            </w:r>
          </w:p>
        </w:tc>
        <w:tc>
          <w:tcPr>
            <w:tcW w:type="dxa" w:w="1036"/>
            <w:vAlign w:val="top"/>
          </w:tcPr>
          <w:p>
            <w:pPr>
              <w:spacing w:after="40" w:before="0" w:line="259" w:lineRule="auto"/>
            </w:pPr>
            <w:r>
              <w:rPr>
                <w:rFonts w:ascii="Calibri" w:hAnsi="Calibri"/>
                <w:b w:val="0"/>
                <w:i w:val="0"/>
                <w:color w:val="212121"/>
                <w:sz w:val="16"/>
              </w:rPr>
              <w:t>Quantifies estrogen effect on vaginal epithelium</w:t>
            </w:r>
          </w:p>
        </w:tc>
        <w:tc>
          <w:tcPr>
            <w:tcW w:type="dxa" w:w="1036"/>
            <w:vAlign w:val="top"/>
          </w:tcPr>
          <w:p>
            <w:pPr>
              <w:spacing w:after="40" w:before="0" w:line="259" w:lineRule="auto"/>
            </w:pPr>
            <w:r>
              <w:rPr>
                <w:rFonts w:ascii="Calibri" w:hAnsi="Calibri"/>
                <w:b w:val="0"/>
                <w:i w:val="0"/>
                <w:color w:val="212121"/>
                <w:sz w:val="16"/>
              </w:rPr>
              <w:t>Diagnostic uncertainty, research</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Not required for routine clinical diagnosis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w:t>
            </w:r>
          </w:p>
        </w:tc>
        <w:tc>
          <w:tcPr>
            <w:tcW w:type="dxa" w:w="1036"/>
            <w:vAlign w:val="top"/>
          </w:tcPr>
          <w:p>
            <w:pPr>
              <w:spacing w:after="40" w:before="0" w:line="259" w:lineRule="auto"/>
            </w:pPr>
            <w:r>
              <w:rPr>
                <w:rFonts w:ascii="Calibri" w:hAnsi="Calibri"/>
                <w:b w:val="0"/>
                <w:i w:val="0"/>
                <w:color w:val="212121"/>
                <w:sz w:val="16"/>
              </w:rPr>
              <w:t>Urinalysis &amp; urine culture</w:t>
            </w:r>
          </w:p>
        </w:tc>
        <w:tc>
          <w:tcPr>
            <w:tcW w:type="dxa" w:w="892"/>
            <w:vAlign w:val="top"/>
          </w:tcPr>
          <w:p>
            <w:pPr>
              <w:spacing w:after="40" w:before="0" w:line="259" w:lineRule="auto"/>
            </w:pPr>
            <w:r>
              <w:rPr>
                <w:rFonts w:ascii="Calibri" w:hAnsi="Calibri"/>
                <w:b w:val="0"/>
                <w:i w:val="0"/>
                <w:color w:val="212121"/>
                <w:sz w:val="16"/>
              </w:rPr>
              <w:t>Midstream urine</w:t>
            </w:r>
          </w:p>
        </w:tc>
        <w:tc>
          <w:tcPr>
            <w:tcW w:type="dxa" w:w="950"/>
            <w:vAlign w:val="top"/>
          </w:tcPr>
          <w:p>
            <w:pPr>
              <w:spacing w:after="40" w:before="0" w:line="259" w:lineRule="auto"/>
            </w:pPr>
            <w:r>
              <w:rPr>
                <w:rFonts w:ascii="Calibri" w:hAnsi="Calibri"/>
                <w:b w:val="0"/>
                <w:i w:val="0"/>
                <w:color w:val="212121"/>
                <w:sz w:val="16"/>
              </w:rPr>
              <w:t>No significant growth</w:t>
            </w:r>
          </w:p>
        </w:tc>
        <w:tc>
          <w:tcPr>
            <w:tcW w:type="dxa" w:w="950"/>
            <w:vAlign w:val="top"/>
          </w:tcPr>
          <w:p>
            <w:pPr>
              <w:spacing w:after="40" w:before="0" w:line="259" w:lineRule="auto"/>
            </w:pPr>
            <w:r>
              <w:rPr>
                <w:rFonts w:ascii="Calibri" w:hAnsi="Calibri"/>
                <w:b w:val="0"/>
                <w:i w:val="0"/>
                <w:color w:val="212121"/>
                <w:sz w:val="16"/>
              </w:rPr>
              <w:t>≥ 10^5 CFU/mL uropathogen with pyuria</w:t>
            </w:r>
          </w:p>
        </w:tc>
        <w:tc>
          <w:tcPr>
            <w:tcW w:type="dxa" w:w="1036"/>
            <w:vAlign w:val="top"/>
          </w:tcPr>
          <w:p>
            <w:pPr>
              <w:spacing w:after="40" w:before="0" w:line="259" w:lineRule="auto"/>
            </w:pPr>
            <w:r>
              <w:rPr>
                <w:rFonts w:ascii="Calibri" w:hAnsi="Calibri"/>
                <w:b w:val="0"/>
                <w:i w:val="0"/>
                <w:color w:val="212121"/>
                <w:sz w:val="16"/>
              </w:rPr>
              <w:t>Confirms/excludes UTI in women with dysuria or recurrent infection</w:t>
            </w:r>
          </w:p>
        </w:tc>
        <w:tc>
          <w:tcPr>
            <w:tcW w:type="dxa" w:w="1036"/>
            <w:vAlign w:val="top"/>
          </w:tcPr>
          <w:p>
            <w:pPr>
              <w:spacing w:after="40" w:before="0" w:line="259" w:lineRule="auto"/>
            </w:pPr>
            <w:r>
              <w:rPr>
                <w:rFonts w:ascii="Calibri" w:hAnsi="Calibri"/>
                <w:b w:val="0"/>
                <w:i w:val="0"/>
                <w:color w:val="212121"/>
                <w:sz w:val="16"/>
              </w:rPr>
              <w:t>Women with dysuria, urgency, recurrent UTI</w:t>
            </w:r>
          </w:p>
        </w:tc>
        <w:tc>
          <w:tcPr>
            <w:tcW w:type="dxa" w:w="720"/>
            <w:vAlign w:val="top"/>
          </w:tcPr>
          <w:p>
            <w:pPr>
              <w:spacing w:after="40" w:before="0" w:line="259" w:lineRule="auto"/>
            </w:pPr>
            <w:r>
              <w:rPr>
                <w:rFonts w:ascii="Calibri" w:hAnsi="Calibri"/>
                <w:b w:val="0"/>
                <w:i w:val="0"/>
                <w:color w:val="212121"/>
                <w:sz w:val="16"/>
              </w:rPr>
              <w:t>Water; Hygiene</w:t>
            </w:r>
          </w:p>
        </w:tc>
        <w:tc>
          <w:tcPr>
            <w:tcW w:type="dxa" w:w="720"/>
            <w:vAlign w:val="top"/>
          </w:tcPr>
          <w:p>
            <w:pPr>
              <w:spacing w:after="40" w:before="0" w:line="259" w:lineRule="auto"/>
            </w:pPr>
            <w:r>
              <w:rPr>
                <w:rFonts w:ascii="Calibri" w:hAnsi="Calibri"/>
                <w:b w:val="0"/>
                <w:i w:val="0"/>
                <w:color w:val="212121"/>
                <w:sz w:val="16"/>
              </w:rPr>
              <w:t>Exclusionary</w:t>
            </w:r>
          </w:p>
        </w:tc>
        <w:tc>
          <w:tcPr>
            <w:tcW w:type="dxa" w:w="720"/>
            <w:vAlign w:val="top"/>
          </w:tcPr>
          <w:p>
            <w:pPr>
              <w:spacing w:after="40" w:before="0" w:line="259" w:lineRule="auto"/>
            </w:pPr>
            <w:r>
              <w:rPr>
                <w:rFonts w:ascii="Calibri" w:hAnsi="Calibri"/>
                <w:b w:val="0"/>
                <w:i w:val="0"/>
                <w:color w:val="212121"/>
                <w:sz w:val="16"/>
              </w:rPr>
              <w:t>Distinguishes UTI from atrophic dysuria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w:t>
            </w:r>
          </w:p>
        </w:tc>
        <w:tc>
          <w:tcPr>
            <w:tcW w:type="dxa" w:w="1036"/>
            <w:vAlign w:val="top"/>
          </w:tcPr>
          <w:p>
            <w:pPr>
              <w:spacing w:after="40" w:before="0" w:line="259" w:lineRule="auto"/>
            </w:pPr>
            <w:r>
              <w:rPr>
                <w:rFonts w:ascii="Calibri" w:hAnsi="Calibri"/>
                <w:b w:val="0"/>
                <w:i w:val="0"/>
                <w:color w:val="212121"/>
                <w:sz w:val="16"/>
              </w:rPr>
              <w:t>Vaginal wet mount / infection screen</w:t>
            </w:r>
          </w:p>
        </w:tc>
        <w:tc>
          <w:tcPr>
            <w:tcW w:type="dxa" w:w="892"/>
            <w:vAlign w:val="top"/>
          </w:tcPr>
          <w:p>
            <w:pPr>
              <w:spacing w:after="40" w:before="0" w:line="259" w:lineRule="auto"/>
            </w:pPr>
            <w:r>
              <w:rPr>
                <w:rFonts w:ascii="Calibri" w:hAnsi="Calibri"/>
                <w:b w:val="0"/>
                <w:i w:val="0"/>
                <w:color w:val="212121"/>
                <w:sz w:val="16"/>
              </w:rPr>
              <w:t>Vaginal swab</w:t>
            </w:r>
          </w:p>
        </w:tc>
        <w:tc>
          <w:tcPr>
            <w:tcW w:type="dxa" w:w="950"/>
            <w:vAlign w:val="top"/>
          </w:tcPr>
          <w:p>
            <w:pPr>
              <w:spacing w:after="40" w:before="0" w:line="259" w:lineRule="auto"/>
            </w:pPr>
            <w:r>
              <w:rPr>
                <w:rFonts w:ascii="Calibri" w:hAnsi="Calibri"/>
                <w:b w:val="0"/>
                <w:i w:val="0"/>
                <w:color w:val="212121"/>
                <w:sz w:val="16"/>
              </w:rPr>
              <w:t>Lactobacilli, no pathogens</w:t>
            </w:r>
          </w:p>
        </w:tc>
        <w:tc>
          <w:tcPr>
            <w:tcW w:type="dxa" w:w="950"/>
            <w:vAlign w:val="top"/>
          </w:tcPr>
          <w:p>
            <w:pPr>
              <w:spacing w:after="40" w:before="0" w:line="259" w:lineRule="auto"/>
            </w:pPr>
            <w:r>
              <w:rPr>
                <w:rFonts w:ascii="Calibri" w:hAnsi="Calibri"/>
                <w:b w:val="0"/>
                <w:i w:val="0"/>
                <w:color w:val="212121"/>
                <w:sz w:val="16"/>
              </w:rPr>
              <w:t>Hyphae, clue cells or trichomonads</w:t>
            </w:r>
          </w:p>
        </w:tc>
        <w:tc>
          <w:tcPr>
            <w:tcW w:type="dxa" w:w="1036"/>
            <w:vAlign w:val="top"/>
          </w:tcPr>
          <w:p>
            <w:pPr>
              <w:spacing w:after="40" w:before="0" w:line="259" w:lineRule="auto"/>
            </w:pPr>
            <w:r>
              <w:rPr>
                <w:rFonts w:ascii="Calibri" w:hAnsi="Calibri"/>
                <w:b w:val="0"/>
                <w:i w:val="0"/>
                <w:color w:val="212121"/>
                <w:sz w:val="16"/>
              </w:rPr>
              <w:t>Excludes candidiasis, bacterial vaginosis and trichomoniasis mimicking GSM</w:t>
            </w:r>
          </w:p>
        </w:tc>
        <w:tc>
          <w:tcPr>
            <w:tcW w:type="dxa" w:w="1036"/>
            <w:vAlign w:val="top"/>
          </w:tcPr>
          <w:p>
            <w:pPr>
              <w:spacing w:after="40" w:before="0" w:line="259" w:lineRule="auto"/>
            </w:pPr>
            <w:r>
              <w:rPr>
                <w:rFonts w:ascii="Calibri" w:hAnsi="Calibri"/>
                <w:b w:val="0"/>
                <w:i w:val="0"/>
                <w:color w:val="212121"/>
                <w:sz w:val="16"/>
              </w:rPr>
              <w:t>Women with discharge or irritation</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Exclusionary</w:t>
            </w:r>
          </w:p>
        </w:tc>
        <w:tc>
          <w:tcPr>
            <w:tcW w:type="dxa" w:w="720"/>
            <w:vAlign w:val="top"/>
          </w:tcPr>
          <w:p>
            <w:pPr>
              <w:spacing w:after="40" w:before="0" w:line="259" w:lineRule="auto"/>
            </w:pPr>
            <w:r>
              <w:rPr>
                <w:rFonts w:ascii="Calibri" w:hAnsi="Calibri"/>
                <w:b w:val="0"/>
                <w:i w:val="0"/>
                <w:color w:val="212121"/>
                <w:sz w:val="16"/>
              </w:rPr>
              <w:t>Atrophy and infection may coexist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Hormonal</w:t>
            </w:r>
          </w:p>
        </w:tc>
        <w:tc>
          <w:tcPr>
            <w:tcW w:type="dxa" w:w="1036"/>
            <w:vAlign w:val="top"/>
          </w:tcPr>
          <w:p>
            <w:pPr>
              <w:spacing w:after="40" w:before="0" w:line="259" w:lineRule="auto"/>
            </w:pPr>
            <w:r>
              <w:rPr>
                <w:rFonts w:ascii="Calibri" w:hAnsi="Calibri"/>
                <w:b w:val="0"/>
                <w:i w:val="0"/>
                <w:color w:val="212121"/>
                <w:sz w:val="16"/>
              </w:rPr>
              <w:t>Serum FSH / estradiol</w:t>
            </w:r>
          </w:p>
        </w:tc>
        <w:tc>
          <w:tcPr>
            <w:tcW w:type="dxa" w:w="892"/>
            <w:vAlign w:val="top"/>
          </w:tcPr>
          <w:p>
            <w:pPr>
              <w:spacing w:after="40" w:before="0" w:line="259" w:lineRule="auto"/>
            </w:pPr>
            <w:r>
              <w:rPr>
                <w:rFonts w:ascii="Calibri" w:hAnsi="Calibri"/>
                <w:b w:val="0"/>
                <w:i w:val="0"/>
                <w:color w:val="212121"/>
                <w:sz w:val="16"/>
              </w:rPr>
              <w:t>Blood assay</w:t>
            </w:r>
          </w:p>
        </w:tc>
        <w:tc>
          <w:tcPr>
            <w:tcW w:type="dxa" w:w="950"/>
            <w:vAlign w:val="top"/>
          </w:tcPr>
          <w:p>
            <w:pPr>
              <w:spacing w:after="40" w:before="0" w:line="259" w:lineRule="auto"/>
            </w:pPr>
            <w:r>
              <w:rPr>
                <w:rFonts w:ascii="Calibri" w:hAnsi="Calibri"/>
                <w:b w:val="0"/>
                <w:i w:val="0"/>
                <w:color w:val="212121"/>
                <w:sz w:val="16"/>
              </w:rPr>
              <w:t>Premenopausal range</w:t>
            </w:r>
          </w:p>
        </w:tc>
        <w:tc>
          <w:tcPr>
            <w:tcW w:type="dxa" w:w="950"/>
            <w:vAlign w:val="top"/>
          </w:tcPr>
          <w:p>
            <w:pPr>
              <w:spacing w:after="40" w:before="0" w:line="259" w:lineRule="auto"/>
            </w:pPr>
            <w:r>
              <w:rPr>
                <w:rFonts w:ascii="Calibri" w:hAnsi="Calibri"/>
                <w:b w:val="0"/>
                <w:i w:val="0"/>
                <w:color w:val="212121"/>
                <w:sz w:val="16"/>
              </w:rPr>
              <w:t>FSH elevated, estradiol low</w:t>
            </w:r>
          </w:p>
        </w:tc>
        <w:tc>
          <w:tcPr>
            <w:tcW w:type="dxa" w:w="1036"/>
            <w:vAlign w:val="top"/>
          </w:tcPr>
          <w:p>
            <w:pPr>
              <w:spacing w:after="40" w:before="0" w:line="259" w:lineRule="auto"/>
            </w:pPr>
            <w:r>
              <w:rPr>
                <w:rFonts w:ascii="Calibri" w:hAnsi="Calibri"/>
                <w:b w:val="0"/>
                <w:i w:val="0"/>
                <w:color w:val="212121"/>
                <w:sz w:val="16"/>
              </w:rPr>
              <w:t>Confirms hypoestrogenic/menopausal status when in doubt</w:t>
            </w:r>
          </w:p>
        </w:tc>
        <w:tc>
          <w:tcPr>
            <w:tcW w:type="dxa" w:w="1036"/>
            <w:vAlign w:val="top"/>
          </w:tcPr>
          <w:p>
            <w:pPr>
              <w:spacing w:after="40" w:before="0" w:line="259" w:lineRule="auto"/>
            </w:pPr>
            <w:r>
              <w:rPr>
                <w:rFonts w:ascii="Calibri" w:hAnsi="Calibri"/>
                <w:b w:val="0"/>
                <w:i w:val="0"/>
                <w:color w:val="212121"/>
                <w:sz w:val="16"/>
              </w:rPr>
              <w:t>Younger women, suspected POI or induced menopause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Not needed to diagnose GSM in clearly postmenopausal women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Fasting glucose / HbA1c</w:t>
            </w:r>
          </w:p>
        </w:tc>
        <w:tc>
          <w:tcPr>
            <w:tcW w:type="dxa" w:w="892"/>
            <w:vAlign w:val="top"/>
          </w:tcPr>
          <w:p>
            <w:pPr>
              <w:spacing w:after="40" w:before="0" w:line="259" w:lineRule="auto"/>
            </w:pPr>
            <w:r>
              <w:rPr>
                <w:rFonts w:ascii="Calibri" w:hAnsi="Calibri"/>
                <w:b w:val="0"/>
                <w:i w:val="0"/>
                <w:color w:val="212121"/>
                <w:sz w:val="16"/>
              </w:rPr>
              <w:t>Blood glucose test</w:t>
            </w:r>
          </w:p>
        </w:tc>
        <w:tc>
          <w:tcPr>
            <w:tcW w:type="dxa" w:w="950"/>
            <w:vAlign w:val="top"/>
          </w:tcPr>
          <w:p>
            <w:pPr>
              <w:spacing w:after="40" w:before="0" w:line="259" w:lineRule="auto"/>
            </w:pPr>
            <w:r>
              <w:rPr>
                <w:rFonts w:ascii="Calibri" w:hAnsi="Calibri"/>
                <w:b w:val="0"/>
                <w:i w:val="0"/>
                <w:color w:val="212121"/>
                <w:sz w:val="16"/>
              </w:rPr>
              <w:t>HbA1c &lt; 5.7%</w:t>
            </w:r>
          </w:p>
        </w:tc>
        <w:tc>
          <w:tcPr>
            <w:tcW w:type="dxa" w:w="950"/>
            <w:vAlign w:val="top"/>
          </w:tcPr>
          <w:p>
            <w:pPr>
              <w:spacing w:after="40" w:before="0" w:line="259" w:lineRule="auto"/>
            </w:pPr>
            <w:r>
              <w:rPr>
                <w:rFonts w:ascii="Calibri" w:hAnsi="Calibri"/>
                <w:b w:val="0"/>
                <w:i w:val="0"/>
                <w:color w:val="212121"/>
                <w:sz w:val="16"/>
              </w:rPr>
              <w:t>HbA1c ≥ 6.5%</w:t>
            </w:r>
          </w:p>
        </w:tc>
        <w:tc>
          <w:tcPr>
            <w:tcW w:type="dxa" w:w="1036"/>
            <w:vAlign w:val="top"/>
          </w:tcPr>
          <w:p>
            <w:pPr>
              <w:spacing w:after="40" w:before="0" w:line="259" w:lineRule="auto"/>
            </w:pPr>
            <w:r>
              <w:rPr>
                <w:rFonts w:ascii="Calibri" w:hAnsi="Calibri"/>
                <w:b w:val="0"/>
                <w:i w:val="0"/>
                <w:color w:val="212121"/>
                <w:sz w:val="16"/>
              </w:rPr>
              <w:t>Screens for diabetes that worsens candidiasis, recurrent UTI and sexual dysfunction</w:t>
            </w:r>
          </w:p>
        </w:tc>
        <w:tc>
          <w:tcPr>
            <w:tcW w:type="dxa" w:w="1036"/>
            <w:vAlign w:val="top"/>
          </w:tcPr>
          <w:p>
            <w:pPr>
              <w:spacing w:after="40" w:before="0" w:line="259" w:lineRule="auto"/>
            </w:pPr>
            <w:r>
              <w:rPr>
                <w:rFonts w:ascii="Calibri" w:hAnsi="Calibri"/>
                <w:b w:val="0"/>
                <w:i w:val="0"/>
                <w:color w:val="212121"/>
                <w:sz w:val="16"/>
              </w:rPr>
              <w:t>Women with recurrent infections or obesity</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Comorbidity that amplifies GSM burden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Cyto/histology</w:t>
            </w:r>
          </w:p>
        </w:tc>
        <w:tc>
          <w:tcPr>
            <w:tcW w:type="dxa" w:w="1036"/>
            <w:vAlign w:val="top"/>
          </w:tcPr>
          <w:p>
            <w:pPr>
              <w:spacing w:after="40" w:before="0" w:line="259" w:lineRule="auto"/>
            </w:pPr>
            <w:r>
              <w:rPr>
                <w:rFonts w:ascii="Calibri" w:hAnsi="Calibri"/>
                <w:b w:val="0"/>
                <w:i w:val="0"/>
                <w:color w:val="212121"/>
                <w:sz w:val="16"/>
              </w:rPr>
              <w:t>Cervical cytology (Pap) ± biopsy</w:t>
            </w:r>
          </w:p>
        </w:tc>
        <w:tc>
          <w:tcPr>
            <w:tcW w:type="dxa" w:w="892"/>
            <w:vAlign w:val="top"/>
          </w:tcPr>
          <w:p>
            <w:pPr>
              <w:spacing w:after="40" w:before="0" w:line="259" w:lineRule="auto"/>
            </w:pPr>
            <w:r>
              <w:rPr>
                <w:rFonts w:ascii="Calibri" w:hAnsi="Calibri"/>
                <w:b w:val="0"/>
                <w:i w:val="0"/>
                <w:color w:val="212121"/>
                <w:sz w:val="16"/>
              </w:rPr>
              <w:t>Speculum sampling</w:t>
            </w:r>
          </w:p>
        </w:tc>
        <w:tc>
          <w:tcPr>
            <w:tcW w:type="dxa" w:w="950"/>
            <w:vAlign w:val="top"/>
          </w:tcPr>
          <w:p>
            <w:pPr>
              <w:spacing w:after="40" w:before="0" w:line="259" w:lineRule="auto"/>
            </w:pPr>
            <w:r>
              <w:rPr>
                <w:rFonts w:ascii="Calibri" w:hAnsi="Calibri"/>
                <w:b w:val="0"/>
                <w:i w:val="0"/>
                <w:color w:val="212121"/>
                <w:sz w:val="16"/>
              </w:rPr>
              <w:t>No malignancy</w:t>
            </w:r>
          </w:p>
        </w:tc>
        <w:tc>
          <w:tcPr>
            <w:tcW w:type="dxa" w:w="950"/>
            <w:vAlign w:val="top"/>
          </w:tcPr>
          <w:p>
            <w:pPr>
              <w:spacing w:after="40" w:before="0" w:line="259" w:lineRule="auto"/>
            </w:pPr>
            <w:r>
              <w:rPr>
                <w:rFonts w:ascii="Calibri" w:hAnsi="Calibri"/>
                <w:b w:val="0"/>
                <w:i w:val="0"/>
                <w:color w:val="212121"/>
                <w:sz w:val="16"/>
              </w:rPr>
              <w:t>Atypia/malignancy</w:t>
            </w:r>
          </w:p>
        </w:tc>
        <w:tc>
          <w:tcPr>
            <w:tcW w:type="dxa" w:w="1036"/>
            <w:vAlign w:val="top"/>
          </w:tcPr>
          <w:p>
            <w:pPr>
              <w:spacing w:after="40" w:before="0" w:line="259" w:lineRule="auto"/>
            </w:pPr>
            <w:r>
              <w:rPr>
                <w:rFonts w:ascii="Calibri" w:hAnsi="Calibri"/>
                <w:b w:val="0"/>
                <w:i w:val="0"/>
                <w:color w:val="212121"/>
                <w:sz w:val="16"/>
              </w:rPr>
              <w:t>Evaluates postmenopausal bleeding and excludes cervical/vaginal malignancy before attributing bleeding to atrophy</w:t>
            </w:r>
          </w:p>
        </w:tc>
        <w:tc>
          <w:tcPr>
            <w:tcW w:type="dxa" w:w="1036"/>
            <w:vAlign w:val="top"/>
          </w:tcPr>
          <w:p>
            <w:pPr>
              <w:spacing w:after="40" w:before="0" w:line="259" w:lineRule="auto"/>
            </w:pPr>
            <w:r>
              <w:rPr>
                <w:rFonts w:ascii="Calibri" w:hAnsi="Calibri"/>
                <w:b w:val="0"/>
                <w:i w:val="0"/>
                <w:color w:val="212121"/>
                <w:sz w:val="16"/>
              </w:rPr>
              <w:t>Women with postcoital or postmenopausal bleeding</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Exclusionary</w:t>
            </w:r>
          </w:p>
        </w:tc>
        <w:tc>
          <w:tcPr>
            <w:tcW w:type="dxa" w:w="720"/>
            <w:vAlign w:val="top"/>
          </w:tcPr>
          <w:p>
            <w:pPr>
              <w:spacing w:after="40" w:before="0" w:line="259" w:lineRule="auto"/>
            </w:pPr>
            <w:r>
              <w:rPr>
                <w:rFonts w:ascii="Calibri" w:hAnsi="Calibri"/>
                <w:b w:val="0"/>
                <w:i w:val="0"/>
                <w:color w:val="212121"/>
                <w:sz w:val="16"/>
              </w:rPr>
              <w:t>Bleeding must not be assumed atrophic without work-up</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Vaginal dryness, burning, irritation</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One or more bothersome genital symptoms</w:t>
            </w:r>
          </w:p>
        </w:tc>
        <w:tc>
          <w:tcPr>
            <w:tcW w:type="dxa" w:w="1036"/>
            <w:vAlign w:val="top"/>
          </w:tcPr>
          <w:p>
            <w:pPr>
              <w:spacing w:after="40" w:before="0" w:line="259" w:lineRule="auto"/>
            </w:pPr>
            <w:r>
              <w:rPr>
                <w:rFonts w:ascii="Calibri" w:hAnsi="Calibri"/>
                <w:b w:val="0"/>
                <w:i w:val="0"/>
                <w:color w:val="212121"/>
                <w:sz w:val="16"/>
              </w:rPr>
              <w:t>Cardinal genital domain of GSM</w:t>
            </w:r>
          </w:p>
        </w:tc>
        <w:tc>
          <w:tcPr>
            <w:tcW w:type="dxa" w:w="1036"/>
            <w:vAlign w:val="top"/>
          </w:tcPr>
          <w:p>
            <w:pPr>
              <w:spacing w:after="40" w:before="0" w:line="259" w:lineRule="auto"/>
            </w:pPr>
            <w:r>
              <w:rPr>
                <w:rFonts w:ascii="Calibri" w:hAnsi="Calibri"/>
                <w:b w:val="0"/>
                <w:i w:val="0"/>
                <w:color w:val="212121"/>
                <w:sz w:val="16"/>
              </w:rPr>
              <w:t>Postmenopausal and perimenopausal women</w:t>
            </w:r>
          </w:p>
        </w:tc>
        <w:tc>
          <w:tcPr>
            <w:tcW w:type="dxa" w:w="720"/>
            <w:vAlign w:val="top"/>
          </w:tcPr>
          <w:p>
            <w:pPr>
              <w:spacing w:after="40" w:before="0" w:line="259" w:lineRule="auto"/>
            </w:pPr>
            <w:r>
              <w:rPr>
                <w:rFonts w:ascii="Calibri" w:hAnsi="Calibri"/>
                <w:b w:val="0"/>
                <w:i w:val="0"/>
                <w:color w:val="212121"/>
                <w:sz w:val="16"/>
              </w:rPr>
              <w:t>Hygiene; 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Often under-reported due to embarrassment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Sexual history</w:t>
            </w:r>
          </w:p>
        </w:tc>
        <w:tc>
          <w:tcPr>
            <w:tcW w:type="dxa" w:w="979"/>
            <w:vAlign w:val="top"/>
          </w:tcPr>
          <w:p>
            <w:pPr>
              <w:spacing w:after="40" w:before="0" w:line="259" w:lineRule="auto"/>
            </w:pPr>
            <w:r>
              <w:rPr>
                <w:rFonts w:ascii="Calibri" w:hAnsi="Calibri"/>
                <w:b w:val="0"/>
                <w:i w:val="0"/>
                <w:color w:val="212121"/>
                <w:sz w:val="16"/>
              </w:rPr>
              <w:t>Dyspareunia, poor lubrication, postcoital bleeding, low libido</w:t>
            </w:r>
          </w:p>
        </w:tc>
        <w:tc>
          <w:tcPr>
            <w:tcW w:type="dxa" w:w="950"/>
            <w:vAlign w:val="top"/>
          </w:tcPr>
          <w:p>
            <w:pPr>
              <w:spacing w:after="40" w:before="0" w:line="259" w:lineRule="auto"/>
            </w:pPr>
            <w:r>
              <w:rPr>
                <w:rFonts w:ascii="Calibri" w:hAnsi="Calibri"/>
                <w:b w:val="0"/>
                <w:i w:val="0"/>
                <w:color w:val="212121"/>
                <w:sz w:val="16"/>
              </w:rPr>
              <w:t>No sexual symptoms</w:t>
            </w:r>
          </w:p>
        </w:tc>
        <w:tc>
          <w:tcPr>
            <w:tcW w:type="dxa" w:w="950"/>
            <w:vAlign w:val="top"/>
          </w:tcPr>
          <w:p>
            <w:pPr>
              <w:spacing w:after="40" w:before="0" w:line="259" w:lineRule="auto"/>
            </w:pPr>
            <w:r>
              <w:rPr>
                <w:rFonts w:ascii="Calibri" w:hAnsi="Calibri"/>
                <w:b w:val="0"/>
                <w:i w:val="0"/>
                <w:color w:val="212121"/>
                <w:sz w:val="16"/>
              </w:rPr>
              <w:t>Painful or avoided intercourse, reduced desire</w:t>
            </w:r>
          </w:p>
        </w:tc>
        <w:tc>
          <w:tcPr>
            <w:tcW w:type="dxa" w:w="1036"/>
            <w:vAlign w:val="top"/>
          </w:tcPr>
          <w:p>
            <w:pPr>
              <w:spacing w:after="40" w:before="0" w:line="259" w:lineRule="auto"/>
            </w:pPr>
            <w:r>
              <w:rPr>
                <w:rFonts w:ascii="Calibri" w:hAnsi="Calibri"/>
                <w:b w:val="0"/>
                <w:i w:val="0"/>
                <w:color w:val="212121"/>
                <w:sz w:val="16"/>
              </w:rPr>
              <w:t>Sexual domain of GSM and its relationship impact</w:t>
            </w:r>
          </w:p>
        </w:tc>
        <w:tc>
          <w:tcPr>
            <w:tcW w:type="dxa" w:w="1036"/>
            <w:vAlign w:val="top"/>
          </w:tcPr>
          <w:p>
            <w:pPr>
              <w:spacing w:after="40" w:before="0" w:line="259" w:lineRule="auto"/>
            </w:pPr>
            <w:r>
              <w:rPr>
                <w:rFonts w:ascii="Calibri" w:hAnsi="Calibri"/>
                <w:b w:val="0"/>
                <w:i w:val="0"/>
                <w:color w:val="212121"/>
                <w:sz w:val="16"/>
              </w:rPr>
              <w:t>Sexually active midlife women</w:t>
            </w:r>
          </w:p>
        </w:tc>
        <w:tc>
          <w:tcPr>
            <w:tcW w:type="dxa" w:w="720"/>
            <w:vAlign w:val="top"/>
          </w:tcPr>
          <w:p>
            <w:pPr>
              <w:spacing w:after="40" w:before="0" w:line="259" w:lineRule="auto"/>
            </w:pPr>
            <w:r>
              <w:rPr>
                <w:rFonts w:ascii="Calibri" w:hAnsi="Calibri"/>
                <w:b w:val="0"/>
                <w:i w:val="0"/>
                <w:color w:val="212121"/>
                <w:sz w:val="16"/>
              </w:rPr>
              <w:t>Provoking factors; Mental health</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Ask sensitively and privately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Urinary history</w:t>
            </w:r>
          </w:p>
        </w:tc>
        <w:tc>
          <w:tcPr>
            <w:tcW w:type="dxa" w:w="979"/>
            <w:vAlign w:val="top"/>
          </w:tcPr>
          <w:p>
            <w:pPr>
              <w:spacing w:after="40" w:before="0" w:line="259" w:lineRule="auto"/>
            </w:pPr>
            <w:r>
              <w:rPr>
                <w:rFonts w:ascii="Calibri" w:hAnsi="Calibri"/>
                <w:b w:val="0"/>
                <w:i w:val="0"/>
                <w:color w:val="212121"/>
                <w:sz w:val="16"/>
              </w:rPr>
              <w:t>Urgency, frequency, dysuria, recurrent UTI, incontinence, nocturia</w:t>
            </w:r>
          </w:p>
        </w:tc>
        <w:tc>
          <w:tcPr>
            <w:tcW w:type="dxa" w:w="950"/>
            <w:vAlign w:val="top"/>
          </w:tcPr>
          <w:p>
            <w:pPr>
              <w:spacing w:after="40" w:before="0" w:line="259" w:lineRule="auto"/>
            </w:pPr>
            <w:r>
              <w:rPr>
                <w:rFonts w:ascii="Calibri" w:hAnsi="Calibri"/>
                <w:b w:val="0"/>
                <w:i w:val="0"/>
                <w:color w:val="212121"/>
                <w:sz w:val="16"/>
              </w:rPr>
              <w:t>No urinary symptoms</w:t>
            </w:r>
          </w:p>
        </w:tc>
        <w:tc>
          <w:tcPr>
            <w:tcW w:type="dxa" w:w="950"/>
            <w:vAlign w:val="top"/>
          </w:tcPr>
          <w:p>
            <w:pPr>
              <w:spacing w:after="40" w:before="0" w:line="259" w:lineRule="auto"/>
            </w:pPr>
            <w:r>
              <w:rPr>
                <w:rFonts w:ascii="Calibri" w:hAnsi="Calibri"/>
                <w:b w:val="0"/>
                <w:i w:val="0"/>
                <w:color w:val="212121"/>
                <w:sz w:val="16"/>
              </w:rPr>
              <w:t>Any lower urinary tract symptom</w:t>
            </w:r>
          </w:p>
        </w:tc>
        <w:tc>
          <w:tcPr>
            <w:tcW w:type="dxa" w:w="1036"/>
            <w:vAlign w:val="top"/>
          </w:tcPr>
          <w:p>
            <w:pPr>
              <w:spacing w:after="40" w:before="0" w:line="259" w:lineRule="auto"/>
            </w:pPr>
            <w:r>
              <w:rPr>
                <w:rFonts w:ascii="Calibri" w:hAnsi="Calibri"/>
                <w:b w:val="0"/>
                <w:i w:val="0"/>
                <w:color w:val="212121"/>
                <w:sz w:val="16"/>
              </w:rPr>
              <w:t>Urinary domain of GSM; prompts UTI exclusion</w:t>
            </w:r>
          </w:p>
        </w:tc>
        <w:tc>
          <w:tcPr>
            <w:tcW w:type="dxa" w:w="1036"/>
            <w:vAlign w:val="top"/>
          </w:tcPr>
          <w:p>
            <w:pPr>
              <w:spacing w:after="40" w:before="0" w:line="259" w:lineRule="auto"/>
            </w:pPr>
            <w:r>
              <w:rPr>
                <w:rFonts w:ascii="Calibri" w:hAnsi="Calibri"/>
                <w:b w:val="0"/>
                <w:i w:val="0"/>
                <w:color w:val="212121"/>
                <w:sz w:val="16"/>
              </w:rPr>
              <w:t>Postmenopausal women, recurrent-UTI patients</w:t>
            </w:r>
          </w:p>
        </w:tc>
        <w:tc>
          <w:tcPr>
            <w:tcW w:type="dxa" w:w="720"/>
            <w:vAlign w:val="top"/>
          </w:tcPr>
          <w:p>
            <w:pPr>
              <w:spacing w:after="40" w:before="0" w:line="259" w:lineRule="auto"/>
            </w:pPr>
            <w:r>
              <w:rPr>
                <w:rFonts w:ascii="Calibri" w:hAnsi="Calibri"/>
                <w:b w:val="0"/>
                <w:i w:val="0"/>
                <w:color w:val="212121"/>
                <w:sz w:val="16"/>
              </w:rPr>
              <w:t>Water; Caffeine</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LUTS is the most common presenting domain in Indian data</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Menopause &amp; iatrogenic history</w:t>
            </w:r>
          </w:p>
        </w:tc>
        <w:tc>
          <w:tcPr>
            <w:tcW w:type="dxa" w:w="979"/>
            <w:vAlign w:val="top"/>
          </w:tcPr>
          <w:p>
            <w:pPr>
              <w:spacing w:after="40" w:before="0" w:line="259" w:lineRule="auto"/>
            </w:pPr>
            <w:r>
              <w:rPr>
                <w:rFonts w:ascii="Calibri" w:hAnsi="Calibri"/>
                <w:b w:val="0"/>
                <w:i w:val="0"/>
                <w:color w:val="212121"/>
                <w:sz w:val="16"/>
              </w:rPr>
              <w:t>LMP, years since menopause, oophorectomy, chemo/RT, aromatase inhibitors</w:t>
            </w:r>
          </w:p>
        </w:tc>
        <w:tc>
          <w:tcPr>
            <w:tcW w:type="dxa" w:w="950"/>
            <w:vAlign w:val="top"/>
          </w:tcPr>
          <w:p>
            <w:pPr>
              <w:spacing w:after="40" w:before="0" w:line="259" w:lineRule="auto"/>
            </w:pPr>
            <w:r>
              <w:rPr>
                <w:rFonts w:ascii="Calibri" w:hAnsi="Calibri"/>
                <w:b w:val="0"/>
                <w:i w:val="0"/>
                <w:color w:val="212121"/>
                <w:sz w:val="16"/>
              </w:rPr>
              <w:t>Premenopausal, no anti-estrogen therapy</w:t>
            </w:r>
          </w:p>
        </w:tc>
        <w:tc>
          <w:tcPr>
            <w:tcW w:type="dxa" w:w="950"/>
            <w:vAlign w:val="top"/>
          </w:tcPr>
          <w:p>
            <w:pPr>
              <w:spacing w:after="40" w:before="0" w:line="259" w:lineRule="auto"/>
            </w:pPr>
            <w:r>
              <w:rPr>
                <w:rFonts w:ascii="Calibri" w:hAnsi="Calibri"/>
                <w:b w:val="0"/>
                <w:i w:val="0"/>
                <w:color w:val="212121"/>
                <w:sz w:val="16"/>
              </w:rPr>
              <w:t>Postmenopausal or induced hypoestrogenism</w:t>
            </w:r>
          </w:p>
        </w:tc>
        <w:tc>
          <w:tcPr>
            <w:tcW w:type="dxa" w:w="1036"/>
            <w:vAlign w:val="top"/>
          </w:tcPr>
          <w:p>
            <w:pPr>
              <w:spacing w:after="40" w:before="0" w:line="259" w:lineRule="auto"/>
            </w:pPr>
            <w:r>
              <w:rPr>
                <w:rFonts w:ascii="Calibri" w:hAnsi="Calibri"/>
                <w:b w:val="0"/>
                <w:i w:val="0"/>
                <w:color w:val="212121"/>
                <w:sz w:val="16"/>
              </w:rPr>
              <w:t>Establishes cause and severity risk</w:t>
            </w:r>
          </w:p>
        </w:tc>
        <w:tc>
          <w:tcPr>
            <w:tcW w:type="dxa" w:w="1036"/>
            <w:vAlign w:val="top"/>
          </w:tcPr>
          <w:p>
            <w:pPr>
              <w:spacing w:after="40" w:before="0" w:line="259" w:lineRule="auto"/>
            </w:pPr>
            <w:r>
              <w:rPr>
                <w:rFonts w:ascii="Calibri" w:hAnsi="Calibri"/>
                <w:b w:val="0"/>
                <w:i w:val="0"/>
                <w:color w:val="212121"/>
                <w:sz w:val="16"/>
              </w:rPr>
              <w:t>All women being assessed for GSM</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Induced menopause predicts earlier, more severe GSM</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External genital inspection</w:t>
            </w:r>
          </w:p>
        </w:tc>
        <w:tc>
          <w:tcPr>
            <w:tcW w:type="dxa" w:w="979"/>
            <w:vAlign w:val="top"/>
          </w:tcPr>
          <w:p>
            <w:pPr>
              <w:spacing w:after="40" w:before="0" w:line="259" w:lineRule="auto"/>
            </w:pPr>
            <w:r>
              <w:rPr>
                <w:rFonts w:ascii="Calibri" w:hAnsi="Calibri"/>
                <w:b w:val="0"/>
                <w:i w:val="0"/>
                <w:color w:val="212121"/>
                <w:sz w:val="16"/>
              </w:rPr>
              <w:t>Labial atrophy, pallor, loss of labia minora, thin vulvar skin</w:t>
            </w:r>
          </w:p>
        </w:tc>
        <w:tc>
          <w:tcPr>
            <w:tcW w:type="dxa" w:w="950"/>
            <w:vAlign w:val="top"/>
          </w:tcPr>
          <w:p>
            <w:pPr>
              <w:spacing w:after="40" w:before="0" w:line="259" w:lineRule="auto"/>
            </w:pPr>
            <w:r>
              <w:rPr>
                <w:rFonts w:ascii="Calibri" w:hAnsi="Calibri"/>
                <w:b w:val="0"/>
                <w:i w:val="0"/>
                <w:color w:val="212121"/>
                <w:sz w:val="16"/>
              </w:rPr>
              <w:t>Well-estrogenised vulva</w:t>
            </w:r>
          </w:p>
        </w:tc>
        <w:tc>
          <w:tcPr>
            <w:tcW w:type="dxa" w:w="950"/>
            <w:vAlign w:val="top"/>
          </w:tcPr>
          <w:p>
            <w:pPr>
              <w:spacing w:after="40" w:before="0" w:line="259" w:lineRule="auto"/>
            </w:pPr>
            <w:r>
              <w:rPr>
                <w:rFonts w:ascii="Calibri" w:hAnsi="Calibri"/>
                <w:b w:val="0"/>
                <w:i w:val="0"/>
                <w:color w:val="212121"/>
                <w:sz w:val="16"/>
              </w:rPr>
              <w:t>Atrophic, pale, resorbed labia</w:t>
            </w:r>
          </w:p>
        </w:tc>
        <w:tc>
          <w:tcPr>
            <w:tcW w:type="dxa" w:w="1036"/>
            <w:vAlign w:val="top"/>
          </w:tcPr>
          <w:p>
            <w:pPr>
              <w:spacing w:after="40" w:before="0" w:line="259" w:lineRule="auto"/>
            </w:pPr>
            <w:r>
              <w:rPr>
                <w:rFonts w:ascii="Calibri" w:hAnsi="Calibri"/>
                <w:b w:val="0"/>
                <w:i w:val="0"/>
                <w:color w:val="212121"/>
                <w:sz w:val="16"/>
              </w:rPr>
              <w:t>Visible signs of vulvar hypoestrogenism</w:t>
            </w:r>
          </w:p>
        </w:tc>
        <w:tc>
          <w:tcPr>
            <w:tcW w:type="dxa" w:w="1036"/>
            <w:vAlign w:val="top"/>
          </w:tcPr>
          <w:p>
            <w:pPr>
              <w:spacing w:after="40" w:before="0" w:line="259" w:lineRule="auto"/>
            </w:pPr>
            <w:r>
              <w:rPr>
                <w:rFonts w:ascii="Calibri" w:hAnsi="Calibri"/>
                <w:b w:val="0"/>
                <w:i w:val="0"/>
                <w:color w:val="212121"/>
                <w:sz w:val="16"/>
              </w:rPr>
              <w:t>Postmenopausal women</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Inspect for dermatoses (e.g., lichen sclerosus) as mimics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Speculum / vaginal examination</w:t>
            </w:r>
          </w:p>
        </w:tc>
        <w:tc>
          <w:tcPr>
            <w:tcW w:type="dxa" w:w="979"/>
            <w:vAlign w:val="top"/>
          </w:tcPr>
          <w:p>
            <w:pPr>
              <w:spacing w:after="40" w:before="0" w:line="259" w:lineRule="auto"/>
            </w:pPr>
            <w:r>
              <w:rPr>
                <w:rFonts w:ascii="Calibri" w:hAnsi="Calibri"/>
                <w:b w:val="0"/>
                <w:i w:val="0"/>
                <w:color w:val="212121"/>
                <w:sz w:val="16"/>
              </w:rPr>
              <w:t>Pale thin mucosa, loss of rugae, petechiae, friability, narrowing, discharge</w:t>
            </w:r>
          </w:p>
        </w:tc>
        <w:tc>
          <w:tcPr>
            <w:tcW w:type="dxa" w:w="950"/>
            <w:vAlign w:val="top"/>
          </w:tcPr>
          <w:p>
            <w:pPr>
              <w:spacing w:after="40" w:before="0" w:line="259" w:lineRule="auto"/>
            </w:pPr>
            <w:r>
              <w:rPr>
                <w:rFonts w:ascii="Calibri" w:hAnsi="Calibri"/>
                <w:b w:val="0"/>
                <w:i w:val="0"/>
                <w:color w:val="212121"/>
                <w:sz w:val="16"/>
              </w:rPr>
              <w:t>Rugated, moist, elastic vagina</w:t>
            </w:r>
          </w:p>
        </w:tc>
        <w:tc>
          <w:tcPr>
            <w:tcW w:type="dxa" w:w="950"/>
            <w:vAlign w:val="top"/>
          </w:tcPr>
          <w:p>
            <w:pPr>
              <w:spacing w:after="40" w:before="0" w:line="259" w:lineRule="auto"/>
            </w:pPr>
            <w:r>
              <w:rPr>
                <w:rFonts w:ascii="Calibri" w:hAnsi="Calibri"/>
                <w:b w:val="0"/>
                <w:i w:val="0"/>
                <w:color w:val="212121"/>
                <w:sz w:val="16"/>
              </w:rPr>
              <w:t>Smooth, dry, friable, narrowed vagina</w:t>
            </w:r>
          </w:p>
        </w:tc>
        <w:tc>
          <w:tcPr>
            <w:tcW w:type="dxa" w:w="1036"/>
            <w:vAlign w:val="top"/>
          </w:tcPr>
          <w:p>
            <w:pPr>
              <w:spacing w:after="40" w:before="0" w:line="259" w:lineRule="auto"/>
            </w:pPr>
            <w:r>
              <w:rPr>
                <w:rFonts w:ascii="Calibri" w:hAnsi="Calibri"/>
                <w:b w:val="0"/>
                <w:i w:val="0"/>
                <w:color w:val="212121"/>
                <w:sz w:val="16"/>
              </w:rPr>
              <w:t>Objective vaginal signs of atrophy</w:t>
            </w:r>
          </w:p>
        </w:tc>
        <w:tc>
          <w:tcPr>
            <w:tcW w:type="dxa" w:w="1036"/>
            <w:vAlign w:val="top"/>
          </w:tcPr>
          <w:p>
            <w:pPr>
              <w:spacing w:after="40" w:before="0" w:line="259" w:lineRule="auto"/>
            </w:pPr>
            <w:r>
              <w:rPr>
                <w:rFonts w:ascii="Calibri" w:hAnsi="Calibri"/>
                <w:b w:val="0"/>
                <w:i w:val="0"/>
                <w:color w:val="212121"/>
                <w:sz w:val="16"/>
              </w:rPr>
              <w:t>Symptomatic postmenopausal women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Use smallest speculum and lubricant; examination may be painful</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Vaginal Health Index scoring</w:t>
            </w:r>
          </w:p>
        </w:tc>
        <w:tc>
          <w:tcPr>
            <w:tcW w:type="dxa" w:w="979"/>
            <w:vAlign w:val="top"/>
          </w:tcPr>
          <w:p>
            <w:pPr>
              <w:spacing w:after="40" w:before="0" w:line="259" w:lineRule="auto"/>
            </w:pPr>
            <w:r>
              <w:rPr>
                <w:rFonts w:ascii="Calibri" w:hAnsi="Calibri"/>
                <w:b w:val="0"/>
                <w:i w:val="0"/>
                <w:color w:val="212121"/>
                <w:sz w:val="16"/>
              </w:rPr>
              <w:t>Elasticity, fluid, pH, epithelial integrity, moisture</w:t>
            </w:r>
          </w:p>
        </w:tc>
        <w:tc>
          <w:tcPr>
            <w:tcW w:type="dxa" w:w="950"/>
            <w:vAlign w:val="top"/>
          </w:tcPr>
          <w:p>
            <w:pPr>
              <w:spacing w:after="40" w:before="0" w:line="259" w:lineRule="auto"/>
            </w:pPr>
            <w:r>
              <w:rPr>
                <w:rFonts w:ascii="Calibri" w:hAnsi="Calibri"/>
                <w:b w:val="0"/>
                <w:i w:val="0"/>
                <w:color w:val="212121"/>
                <w:sz w:val="16"/>
              </w:rPr>
              <w:t>VHI &gt; 15</w:t>
            </w:r>
          </w:p>
        </w:tc>
        <w:tc>
          <w:tcPr>
            <w:tcW w:type="dxa" w:w="950"/>
            <w:vAlign w:val="top"/>
          </w:tcPr>
          <w:p>
            <w:pPr>
              <w:spacing w:after="40" w:before="0" w:line="259" w:lineRule="auto"/>
            </w:pPr>
            <w:r>
              <w:rPr>
                <w:rFonts w:ascii="Calibri" w:hAnsi="Calibri"/>
                <w:b w:val="0"/>
                <w:i w:val="0"/>
                <w:color w:val="212121"/>
                <w:sz w:val="16"/>
              </w:rPr>
              <w:t>VHI ≤ 15</w:t>
            </w:r>
          </w:p>
        </w:tc>
        <w:tc>
          <w:tcPr>
            <w:tcW w:type="dxa" w:w="1036"/>
            <w:vAlign w:val="top"/>
          </w:tcPr>
          <w:p>
            <w:pPr>
              <w:spacing w:after="40" w:before="0" w:line="259" w:lineRule="auto"/>
            </w:pPr>
            <w:r>
              <w:rPr>
                <w:rFonts w:ascii="Calibri" w:hAnsi="Calibri"/>
                <w:b w:val="0"/>
                <w:i w:val="0"/>
                <w:color w:val="212121"/>
                <w:sz w:val="16"/>
              </w:rPr>
              <w:t>Standardised objective grading of atrophy</w:t>
            </w:r>
          </w:p>
        </w:tc>
        <w:tc>
          <w:tcPr>
            <w:tcW w:type="dxa" w:w="1036"/>
            <w:vAlign w:val="top"/>
          </w:tcPr>
          <w:p>
            <w:pPr>
              <w:spacing w:after="40" w:before="0" w:line="259" w:lineRule="auto"/>
            </w:pPr>
            <w:r>
              <w:rPr>
                <w:rFonts w:ascii="Calibri" w:hAnsi="Calibri"/>
                <w:b w:val="0"/>
                <w:i w:val="0"/>
                <w:color w:val="212121"/>
                <w:sz w:val="16"/>
              </w:rPr>
              <w:t>Clinical and research assessment</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Correlates with symptom severity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Pelvic floor &amp; prolapse assessment</w:t>
            </w:r>
          </w:p>
        </w:tc>
        <w:tc>
          <w:tcPr>
            <w:tcW w:type="dxa" w:w="979"/>
            <w:vAlign w:val="top"/>
          </w:tcPr>
          <w:p>
            <w:pPr>
              <w:spacing w:after="40" w:before="0" w:line="259" w:lineRule="auto"/>
            </w:pPr>
            <w:r>
              <w:rPr>
                <w:rFonts w:ascii="Calibri" w:hAnsi="Calibri"/>
                <w:b w:val="0"/>
                <w:i w:val="0"/>
                <w:color w:val="212121"/>
                <w:sz w:val="16"/>
              </w:rPr>
              <w:t>Pelvic organ prolapse, pelvic floor tone</w:t>
            </w:r>
          </w:p>
        </w:tc>
        <w:tc>
          <w:tcPr>
            <w:tcW w:type="dxa" w:w="950"/>
            <w:vAlign w:val="top"/>
          </w:tcPr>
          <w:p>
            <w:pPr>
              <w:spacing w:after="40" w:before="0" w:line="259" w:lineRule="auto"/>
            </w:pPr>
            <w:r>
              <w:rPr>
                <w:rFonts w:ascii="Calibri" w:hAnsi="Calibri"/>
                <w:b w:val="0"/>
                <w:i w:val="0"/>
                <w:color w:val="212121"/>
                <w:sz w:val="16"/>
              </w:rPr>
              <w:t>No prolapse, good tone</w:t>
            </w:r>
          </w:p>
        </w:tc>
        <w:tc>
          <w:tcPr>
            <w:tcW w:type="dxa" w:w="950"/>
            <w:vAlign w:val="top"/>
          </w:tcPr>
          <w:p>
            <w:pPr>
              <w:spacing w:after="40" w:before="0" w:line="259" w:lineRule="auto"/>
            </w:pPr>
            <w:r>
              <w:rPr>
                <w:rFonts w:ascii="Calibri" w:hAnsi="Calibri"/>
                <w:b w:val="0"/>
                <w:i w:val="0"/>
                <w:color w:val="212121"/>
                <w:sz w:val="16"/>
              </w:rPr>
              <w:t>Cystocele/prolapse, weak pelvic floor</w:t>
            </w:r>
          </w:p>
        </w:tc>
        <w:tc>
          <w:tcPr>
            <w:tcW w:type="dxa" w:w="1036"/>
            <w:vAlign w:val="top"/>
          </w:tcPr>
          <w:p>
            <w:pPr>
              <w:spacing w:after="40" w:before="0" w:line="259" w:lineRule="auto"/>
            </w:pPr>
            <w:r>
              <w:rPr>
                <w:rFonts w:ascii="Calibri" w:hAnsi="Calibri"/>
                <w:b w:val="0"/>
                <w:i w:val="0"/>
                <w:color w:val="212121"/>
                <w:sz w:val="16"/>
              </w:rPr>
              <w:t>Identifies coexisting pelvic floor disorders influencing management</w:t>
            </w:r>
          </w:p>
        </w:tc>
        <w:tc>
          <w:tcPr>
            <w:tcW w:type="dxa" w:w="1036"/>
            <w:vAlign w:val="top"/>
          </w:tcPr>
          <w:p>
            <w:pPr>
              <w:spacing w:after="40" w:before="0" w:line="259" w:lineRule="auto"/>
            </w:pPr>
            <w:r>
              <w:rPr>
                <w:rFonts w:ascii="Calibri" w:hAnsi="Calibri"/>
                <w:b w:val="0"/>
                <w:i w:val="0"/>
                <w:color w:val="212121"/>
                <w:sz w:val="16"/>
              </w:rPr>
              <w:t>Women with incontinence or bulge symptoms</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Clinical management</w:t>
            </w:r>
          </w:p>
        </w:tc>
        <w:tc>
          <w:tcPr>
            <w:tcW w:type="dxa" w:w="720"/>
            <w:vAlign w:val="top"/>
          </w:tcPr>
          <w:p>
            <w:pPr>
              <w:spacing w:after="40" w:before="0" w:line="259" w:lineRule="auto"/>
            </w:pPr>
            <w:r>
              <w:rPr>
                <w:rFonts w:ascii="Calibri" w:hAnsi="Calibri"/>
                <w:b w:val="0"/>
                <w:i w:val="0"/>
                <w:color w:val="212121"/>
                <w:sz w:val="16"/>
              </w:rPr>
              <w:t>Guides pelvic-floor therapy referral</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Vaginal dryness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hallmark symptom; reported by up to ~77% of symptomatic postmenopausal women in Indian data, due to reduced secretions and thin epithelium.</w:t>
            </w:r>
          </w:p>
        </w:tc>
      </w:tr>
      <w:tr>
        <w:trPr>
          <w:cantSplit/>
        </w:trPr>
        <w:tc>
          <w:tcPr>
            <w:tcW w:type="dxa" w:w="2304"/>
            <w:vAlign w:val="top"/>
          </w:tcPr>
          <w:p>
            <w:pPr>
              <w:spacing w:after="40" w:before="0" w:line="259" w:lineRule="auto"/>
            </w:pPr>
            <w:r>
              <w:rPr>
                <w:rFonts w:ascii="Calibri" w:hAnsi="Calibri"/>
                <w:b/>
                <w:i w:val="0"/>
                <w:color w:val="212121"/>
                <w:sz w:val="19"/>
              </w:rPr>
              <w:t>Dyspareunia (painful intercourse)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Friable, poorly lubricated, narrowed tissue makes penetration painful and can lead to avoidance of intimacy.</w:t>
            </w:r>
          </w:p>
        </w:tc>
      </w:tr>
      <w:tr>
        <w:trPr>
          <w:cantSplit/>
        </w:trPr>
        <w:tc>
          <w:tcPr>
            <w:tcW w:type="dxa" w:w="2304"/>
            <w:vAlign w:val="top"/>
          </w:tcPr>
          <w:p>
            <w:pPr>
              <w:spacing w:after="40" w:before="0" w:line="259" w:lineRule="auto"/>
            </w:pPr>
            <w:r>
              <w:rPr>
                <w:rFonts w:ascii="Calibri" w:hAnsi="Calibri"/>
                <w:b/>
                <w:i w:val="0"/>
                <w:color w:val="212121"/>
                <w:sz w:val="19"/>
              </w:rPr>
              <w:t>Vulvovaginal burning, irritation or itching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Chronic discomfort from thin, inflamed, easily irritated mucosa.</w:t>
            </w:r>
          </w:p>
        </w:tc>
      </w:tr>
      <w:tr>
        <w:trPr>
          <w:cantSplit/>
        </w:trPr>
        <w:tc>
          <w:tcPr>
            <w:tcW w:type="dxa" w:w="2304"/>
            <w:vAlign w:val="top"/>
          </w:tcPr>
          <w:p>
            <w:pPr>
              <w:spacing w:after="40" w:before="0" w:line="259" w:lineRule="auto"/>
            </w:pPr>
            <w:r>
              <w:rPr>
                <w:rFonts w:ascii="Calibri" w:hAnsi="Calibri"/>
                <w:b/>
                <w:i w:val="0"/>
                <w:color w:val="212121"/>
                <w:sz w:val="19"/>
              </w:rPr>
              <w:t>Loss of lubrication during arousal</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Reduced vaginal transudate and blood flow impair natural lubrication with sexual stimulation.</w:t>
            </w:r>
          </w:p>
        </w:tc>
      </w:tr>
      <w:tr>
        <w:trPr>
          <w:cantSplit/>
        </w:trPr>
        <w:tc>
          <w:tcPr>
            <w:tcW w:type="dxa" w:w="2304"/>
            <w:vAlign w:val="top"/>
          </w:tcPr>
          <w:p>
            <w:pPr>
              <w:spacing w:after="40" w:before="0" w:line="259" w:lineRule="auto"/>
            </w:pPr>
            <w:r>
              <w:rPr>
                <w:rFonts w:ascii="Calibri" w:hAnsi="Calibri"/>
                <w:b/>
                <w:i w:val="0"/>
                <w:color w:val="212121"/>
                <w:sz w:val="19"/>
              </w:rPr>
              <w:t>Urinary urgency and frequency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Atrophy of the estrogen-sensitive urethra and bladder trigone; urinary symptoms are the most common domain in Indian registry data.</w:t>
            </w:r>
          </w:p>
        </w:tc>
      </w:tr>
      <w:tr>
        <w:trPr>
          <w:cantSplit/>
        </w:trPr>
        <w:tc>
          <w:tcPr>
            <w:tcW w:type="dxa" w:w="2304"/>
            <w:vAlign w:val="top"/>
          </w:tcPr>
          <w:p>
            <w:pPr>
              <w:spacing w:after="40" w:before="0" w:line="259" w:lineRule="auto"/>
            </w:pPr>
            <w:r>
              <w:rPr>
                <w:rFonts w:ascii="Calibri" w:hAnsi="Calibri"/>
                <w:b/>
                <w:i w:val="0"/>
                <w:color w:val="212121"/>
                <w:sz w:val="19"/>
              </w:rPr>
              <w:t>Dysuria (burning on urination)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Thin urethral epithelium causes burning even without infection; UTI must still be excluded.</w:t>
            </w:r>
          </w:p>
        </w:tc>
      </w:tr>
      <w:tr>
        <w:trPr>
          <w:cantSplit/>
        </w:trPr>
        <w:tc>
          <w:tcPr>
            <w:tcW w:type="dxa" w:w="2304"/>
            <w:vAlign w:val="top"/>
          </w:tcPr>
          <w:p>
            <w:pPr>
              <w:spacing w:after="40" w:before="0" w:line="259" w:lineRule="auto"/>
            </w:pPr>
            <w:r>
              <w:rPr>
                <w:rFonts w:ascii="Calibri" w:hAnsi="Calibri"/>
                <w:b/>
                <w:i w:val="0"/>
                <w:color w:val="212121"/>
                <w:sz w:val="19"/>
              </w:rPr>
              <w:t>Recurrent urinary tract infections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Loss of protective lactobacilli and rising pH predispose to repeated infections that improve with vaginal estrogen.</w:t>
            </w:r>
          </w:p>
        </w:tc>
      </w:tr>
      <w:tr>
        <w:trPr>
          <w:cantSplit/>
        </w:trPr>
        <w:tc>
          <w:tcPr>
            <w:tcW w:type="dxa" w:w="2304"/>
            <w:vAlign w:val="top"/>
          </w:tcPr>
          <w:p>
            <w:pPr>
              <w:spacing w:after="40" w:before="0" w:line="259" w:lineRule="auto"/>
            </w:pPr>
            <w:r>
              <w:rPr>
                <w:rFonts w:ascii="Calibri" w:hAnsi="Calibri"/>
                <w:b/>
                <w:i w:val="0"/>
                <w:color w:val="212121"/>
                <w:sz w:val="19"/>
              </w:rPr>
              <w:t>Decreased libido / sexual dysfunction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Driven by dyspareunia, dryness and reduced arousal, often compounded by relationship and mood effects.</w:t>
            </w:r>
          </w:p>
        </w:tc>
      </w:tr>
      <w:tr>
        <w:trPr>
          <w:cantSplit/>
        </w:trPr>
        <w:tc>
          <w:tcPr>
            <w:tcW w:type="dxa" w:w="2304"/>
            <w:vAlign w:val="top"/>
          </w:tcPr>
          <w:p>
            <w:pPr>
              <w:spacing w:after="40" w:before="0" w:line="259" w:lineRule="auto"/>
            </w:pPr>
            <w:r>
              <w:rPr>
                <w:rFonts w:ascii="Calibri" w:hAnsi="Calibri"/>
                <w:b/>
                <w:i w:val="0"/>
                <w:color w:val="212121"/>
                <w:sz w:val="19"/>
              </w:rPr>
              <w:t>Vaginal discharge (thin, watery or yellow)</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Atrophic or inflammatory discharge; reported by a large minority and requires exclusion of infection.</w:t>
            </w:r>
          </w:p>
        </w:tc>
      </w:tr>
      <w:tr>
        <w:trPr>
          <w:cantSplit/>
        </w:trPr>
        <w:tc>
          <w:tcPr>
            <w:tcW w:type="dxa" w:w="2304"/>
            <w:vAlign w:val="top"/>
          </w:tcPr>
          <w:p>
            <w:pPr>
              <w:spacing w:after="40" w:before="0" w:line="259" w:lineRule="auto"/>
            </w:pPr>
            <w:r>
              <w:rPr>
                <w:rFonts w:ascii="Calibri" w:hAnsi="Calibri"/>
                <w:b/>
                <w:i w:val="0"/>
                <w:color w:val="212121"/>
                <w:sz w:val="19"/>
              </w:rPr>
              <w:t>Postcoital bleeding or spotting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Fragile, friable epithelium bleeds on contact; always exclude malignancy in postmenopausal bleeding.</w:t>
            </w:r>
          </w:p>
        </w:tc>
      </w:tr>
      <w:tr>
        <w:trPr>
          <w:cantSplit/>
        </w:trPr>
        <w:tc>
          <w:tcPr>
            <w:tcW w:type="dxa" w:w="2304"/>
            <w:vAlign w:val="top"/>
          </w:tcPr>
          <w:p>
            <w:pPr>
              <w:spacing w:after="40" w:before="0" w:line="259" w:lineRule="auto"/>
            </w:pPr>
            <w:r>
              <w:rPr>
                <w:rFonts w:ascii="Calibri" w:hAnsi="Calibri"/>
                <w:b/>
                <w:i w:val="0"/>
                <w:color w:val="212121"/>
                <w:sz w:val="19"/>
              </w:rPr>
              <w:t>Urinary incontinence (urge or stress)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Weakened, atrophic urethral support contributes to leakage, worsened by obesity and pelvic floor weakness.</w:t>
            </w:r>
          </w:p>
        </w:tc>
      </w:tr>
      <w:tr>
        <w:trPr>
          <w:cantSplit/>
        </w:trPr>
        <w:tc>
          <w:tcPr>
            <w:tcW w:type="dxa" w:w="2304"/>
            <w:vAlign w:val="top"/>
          </w:tcPr>
          <w:p>
            <w:pPr>
              <w:spacing w:after="40" w:before="0" w:line="259" w:lineRule="auto"/>
            </w:pPr>
            <w:r>
              <w:rPr>
                <w:rFonts w:ascii="Calibri" w:hAnsi="Calibri"/>
                <w:b/>
                <w:i w:val="0"/>
                <w:color w:val="212121"/>
                <w:sz w:val="19"/>
              </w:rPr>
              <w:t>Vaginal/pelvic pressure or introital tightness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Introital narrowing and reduced elasticity cause a sensation of tightness or pressure.</w:t>
            </w:r>
          </w:p>
        </w:tc>
      </w:tr>
      <w:tr>
        <w:trPr>
          <w:cantSplit/>
        </w:trPr>
        <w:tc>
          <w:tcPr>
            <w:tcW w:type="dxa" w:w="2304"/>
            <w:vAlign w:val="top"/>
          </w:tcPr>
          <w:p>
            <w:pPr>
              <w:spacing w:after="40" w:before="0" w:line="259" w:lineRule="auto"/>
            </w:pPr>
            <w:r>
              <w:rPr>
                <w:rFonts w:ascii="Calibri" w:hAnsi="Calibri"/>
                <w:b/>
                <w:i w:val="0"/>
                <w:color w:val="212121"/>
                <w:sz w:val="19"/>
              </w:rPr>
              <w:t>Nocturia</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Nighttime voiding that fragments sleep and interacts bidirectionally with insomnia.</w:t>
            </w:r>
          </w:p>
        </w:tc>
      </w:tr>
      <w:tr>
        <w:trPr>
          <w:cantSplit/>
        </w:trPr>
        <w:tc>
          <w:tcPr>
            <w:tcW w:type="dxa" w:w="2304"/>
            <w:vAlign w:val="top"/>
          </w:tcPr>
          <w:p>
            <w:pPr>
              <w:spacing w:after="40" w:before="0" w:line="259" w:lineRule="auto"/>
            </w:pPr>
            <w:r>
              <w:rPr>
                <w:rFonts w:ascii="Calibri" w:hAnsi="Calibri"/>
                <w:b/>
                <w:i w:val="0"/>
                <w:color w:val="212121"/>
                <w:sz w:val="19"/>
              </w:rPr>
              <w:t>Vulvar/vestibular pain at rest (vestibulodynia)</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Persistent provoked or unprovoked vulvar pain in severe or long-standing atrophy.</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Pale, thin, dry vaginal and vulvar mucosa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Classic visual sign of hypoestrogenism on inspection and speculum examination.</w:t>
            </w:r>
          </w:p>
        </w:tc>
      </w:tr>
      <w:tr>
        <w:trPr>
          <w:cantSplit/>
        </w:trPr>
        <w:tc>
          <w:tcPr>
            <w:tcW w:type="dxa" w:w="3456"/>
            <w:vAlign w:val="top"/>
          </w:tcPr>
          <w:p>
            <w:pPr>
              <w:spacing w:after="40" w:before="0" w:line="259" w:lineRule="auto"/>
            </w:pPr>
            <w:r>
              <w:rPr>
                <w:rFonts w:ascii="Calibri" w:hAnsi="Calibri"/>
                <w:b/>
                <w:i w:val="0"/>
                <w:color w:val="212121"/>
                <w:sz w:val="19"/>
              </w:rPr>
              <w:t>Loss of vaginal rugae (smooth vaginal walls)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Flattening of the normal rugal folds reflects epithelial thinning.</w:t>
            </w:r>
          </w:p>
        </w:tc>
      </w:tr>
      <w:tr>
        <w:trPr>
          <w:cantSplit/>
        </w:trPr>
        <w:tc>
          <w:tcPr>
            <w:tcW w:type="dxa" w:w="3456"/>
            <w:vAlign w:val="top"/>
          </w:tcPr>
          <w:p>
            <w:pPr>
              <w:spacing w:after="40" w:before="0" w:line="259" w:lineRule="auto"/>
            </w:pPr>
            <w:r>
              <w:rPr>
                <w:rFonts w:ascii="Calibri" w:hAnsi="Calibri"/>
                <w:b/>
                <w:i w:val="0"/>
                <w:color w:val="212121"/>
                <w:sz w:val="19"/>
              </w:rPr>
              <w:t>Elevated vaginal pH &gt; 5.0</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Objective marker of lactobacillus loss and estrogen deficiency.</w:t>
            </w:r>
          </w:p>
        </w:tc>
      </w:tr>
      <w:tr>
        <w:trPr>
          <w:cantSplit/>
        </w:trPr>
        <w:tc>
          <w:tcPr>
            <w:tcW w:type="dxa" w:w="3456"/>
            <w:vAlign w:val="top"/>
          </w:tcPr>
          <w:p>
            <w:pPr>
              <w:spacing w:after="40" w:before="0" w:line="259" w:lineRule="auto"/>
            </w:pPr>
            <w:r>
              <w:rPr>
                <w:rFonts w:ascii="Calibri" w:hAnsi="Calibri"/>
                <w:b/>
                <w:i w:val="0"/>
                <w:color w:val="212121"/>
                <w:sz w:val="19"/>
              </w:rPr>
              <w:t>Loss of labial fullness / resorption of labia minora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Vulvar atrophy with diminished labial tissue and thinning skin.</w:t>
            </w:r>
          </w:p>
        </w:tc>
      </w:tr>
      <w:tr>
        <w:trPr>
          <w:cantSplit/>
        </w:trPr>
        <w:tc>
          <w:tcPr>
            <w:tcW w:type="dxa" w:w="3456"/>
            <w:vAlign w:val="top"/>
          </w:tcPr>
          <w:p>
            <w:pPr>
              <w:spacing w:after="40" w:before="0" w:line="259" w:lineRule="auto"/>
            </w:pPr>
            <w:r>
              <w:rPr>
                <w:rFonts w:ascii="Calibri" w:hAnsi="Calibri"/>
                <w:b/>
                <w:i w:val="0"/>
                <w:color w:val="212121"/>
                <w:sz w:val="19"/>
              </w:rPr>
              <w:t>Petechiae, friability and contact bleeding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Fragile epithelium bleeds readily on gentle contact during examination.</w:t>
            </w:r>
          </w:p>
        </w:tc>
      </w:tr>
      <w:tr>
        <w:trPr>
          <w:cantSplit/>
        </w:trPr>
        <w:tc>
          <w:tcPr>
            <w:tcW w:type="dxa" w:w="3456"/>
            <w:vAlign w:val="top"/>
          </w:tcPr>
          <w:p>
            <w:pPr>
              <w:spacing w:after="40" w:before="0" w:line="259" w:lineRule="auto"/>
            </w:pPr>
            <w:r>
              <w:rPr>
                <w:rFonts w:ascii="Calibri" w:hAnsi="Calibri"/>
                <w:b/>
                <w:i w:val="0"/>
                <w:color w:val="212121"/>
                <w:sz w:val="19"/>
              </w:rPr>
              <w:t>Reduced vaginal elasticity and moisture (VHI ≤ 15)</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Low Vaginal Health Index score confirms objective atrophy.</w:t>
            </w:r>
          </w:p>
        </w:tc>
      </w:tr>
      <w:tr>
        <w:trPr>
          <w:cantSplit/>
        </w:trPr>
        <w:tc>
          <w:tcPr>
            <w:tcW w:type="dxa" w:w="3456"/>
            <w:vAlign w:val="top"/>
          </w:tcPr>
          <w:p>
            <w:pPr>
              <w:spacing w:after="40" w:before="0" w:line="259" w:lineRule="auto"/>
            </w:pPr>
            <w:r>
              <w:rPr>
                <w:rFonts w:ascii="Calibri" w:hAnsi="Calibri"/>
                <w:b/>
                <w:i w:val="0"/>
                <w:color w:val="212121"/>
                <w:sz w:val="19"/>
              </w:rPr>
              <w:t>Introital and vaginal narrowing / shortening</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Loss of calibre and length, most marked after pelvic radiotherapy or prolonged abstinence.</w:t>
            </w:r>
          </w:p>
        </w:tc>
      </w:tr>
      <w:tr>
        <w:trPr>
          <w:cantSplit/>
        </w:trPr>
        <w:tc>
          <w:tcPr>
            <w:tcW w:type="dxa" w:w="3456"/>
            <w:vAlign w:val="top"/>
          </w:tcPr>
          <w:p>
            <w:pPr>
              <w:spacing w:after="40" w:before="0" w:line="259" w:lineRule="auto"/>
            </w:pPr>
            <w:r>
              <w:rPr>
                <w:rFonts w:ascii="Calibri" w:hAnsi="Calibri"/>
                <w:b/>
                <w:i w:val="0"/>
                <w:color w:val="212121"/>
                <w:sz w:val="19"/>
              </w:rPr>
              <w:t>Urethral caruncle or urethral eversion/prominence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Atrophic protrusion of distal urethral mucosa at the meatus.</w:t>
            </w:r>
          </w:p>
        </w:tc>
      </w:tr>
      <w:tr>
        <w:trPr>
          <w:cantSplit/>
        </w:trPr>
        <w:tc>
          <w:tcPr>
            <w:tcW w:type="dxa" w:w="3456"/>
            <w:vAlign w:val="top"/>
          </w:tcPr>
          <w:p>
            <w:pPr>
              <w:spacing w:after="40" w:before="0" w:line="259" w:lineRule="auto"/>
            </w:pPr>
            <w:r>
              <w:rPr>
                <w:rFonts w:ascii="Calibri" w:hAnsi="Calibri"/>
                <w:b/>
                <w:i w:val="0"/>
                <w:color w:val="212121"/>
                <w:sz w:val="19"/>
              </w:rPr>
              <w:t>Vaginal fissures and loss of hymenal remnants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Tissue fragility producing small fissures and smoothing of landmarks.</w:t>
            </w:r>
          </w:p>
        </w:tc>
      </w:tr>
      <w:tr>
        <w:trPr>
          <w:cantSplit/>
        </w:trPr>
        <w:tc>
          <w:tcPr>
            <w:tcW w:type="dxa" w:w="3456"/>
            <w:vAlign w:val="top"/>
          </w:tcPr>
          <w:p>
            <w:pPr>
              <w:spacing w:after="40" w:before="0" w:line="259" w:lineRule="auto"/>
            </w:pPr>
            <w:r>
              <w:rPr>
                <w:rFonts w:ascii="Calibri" w:hAnsi="Calibri"/>
                <w:b/>
                <w:i w:val="0"/>
                <w:color w:val="212121"/>
                <w:sz w:val="19"/>
              </w:rPr>
              <w:t>Pelvic organ prolapse / cystocele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Frequently coexists due to shared connective-tissue and estrogen loss.</w:t>
            </w:r>
          </w:p>
        </w:tc>
      </w:tr>
      <w:tr>
        <w:trPr>
          <w:cantSplit/>
        </w:trPr>
        <w:tc>
          <w:tcPr>
            <w:tcW w:type="dxa" w:w="3456"/>
            <w:vAlign w:val="top"/>
          </w:tcPr>
          <w:p>
            <w:pPr>
              <w:spacing w:after="40" w:before="0" w:line="259" w:lineRule="auto"/>
            </w:pPr>
            <w:r>
              <w:rPr>
                <w:rFonts w:ascii="Calibri" w:hAnsi="Calibri"/>
                <w:b/>
                <w:i w:val="0"/>
                <w:color w:val="212121"/>
                <w:sz w:val="19"/>
              </w:rPr>
              <w:t>Diminished pubic hair and thin, shiny vulvar skin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General cutaneous marker of long-standing hypoestrogenism.</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vaginal dryness and dyspareunia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lower urinary tract infections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Urinary urgency, frequency and incontinence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Vaginal fissures, friability and contact bleeding</w:t>
            </w:r>
          </w:p>
        </w:tc>
        <w:tc>
          <w:tcPr>
            <w:tcW w:type="dxa" w:w="2980"/>
            <w:vAlign w:val="top"/>
          </w:tcPr>
          <w:p>
            <w:pPr>
              <w:spacing w:after="40" w:before="0" w:line="259" w:lineRule="auto"/>
            </w:pPr>
            <w:r>
              <w:rPr>
                <w:rFonts w:ascii="Calibri" w:hAnsi="Calibri"/>
                <w:b w:val="0"/>
                <w:i w:val="0"/>
                <w:color w:val="212121"/>
                <w:sz w:val="19"/>
              </w:rPr>
              <w:t>Direct consequences of progressive urogenital atrophy and loss of the protective vaginal microbiome</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Female sexual dysfunction and relationship/partner distress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Vaginal stenosis and narrowing (especially after pelvic radiotherapy)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Ascending infection / pyelonephritis from recurrent UTI</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Superimposed vulvovaginal candidiasis and bacterial vaginosis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Depression, anxiety and impaired quality of life</w:t>
            </w:r>
          </w:p>
        </w:tc>
        <w:tc>
          <w:tcPr>
            <w:tcW w:type="dxa" w:w="2980"/>
            <w:vAlign w:val="top"/>
          </w:tcPr>
          <w:p>
            <w:pPr>
              <w:spacing w:after="40" w:before="0" w:line="259" w:lineRule="auto"/>
            </w:pPr>
            <w:r>
              <w:rPr>
                <w:rFonts w:ascii="Calibri" w:hAnsi="Calibri"/>
                <w:b w:val="0"/>
                <w:i w:val="0"/>
                <w:color w:val="212121"/>
                <w:sz w:val="19"/>
              </w:rPr>
              <w:t>Result from persistent symptoms, tissue remodelling and the psychosocial impact of untreated GSM</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Severe vaginal stenosis precluding intercourse or pelvic examination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Urosepsis from recurrent UTI, particularly in frail elderly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Non-adherence to or discontinuation of adjuvant endocrine breast-cancer therapy because of intolerable GSM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social withdrawal, loss of intimacy and reduced well-being</w:t>
            </w:r>
          </w:p>
        </w:tc>
        <w:tc>
          <w:tcPr>
            <w:tcW w:type="dxa" w:w="2980"/>
            <w:vAlign w:val="top"/>
          </w:tcPr>
          <w:p>
            <w:pPr>
              <w:spacing w:after="40" w:before="0" w:line="259" w:lineRule="auto"/>
            </w:pPr>
            <w:r>
              <w:rPr>
                <w:rFonts w:ascii="Calibri" w:hAnsi="Calibri"/>
                <w:b w:val="0"/>
                <w:i w:val="0"/>
                <w:color w:val="212121"/>
                <w:sz w:val="19"/>
              </w:rPr>
              <w:t>Disabling, hard-to-reverse outcomes of long-standing, untreated or under-treated disease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Recurrent urinary tract infections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Treatment Interaction</w:t>
            </w:r>
          </w:p>
        </w:tc>
        <w:tc>
          <w:tcPr>
            <w:tcW w:type="dxa" w:w="4852"/>
            <w:vAlign w:val="top"/>
          </w:tcPr>
          <w:p>
            <w:pPr>
              <w:spacing w:after="40" w:before="0" w:line="259" w:lineRule="auto"/>
            </w:pPr>
            <w:r>
              <w:rPr>
                <w:rFonts w:ascii="Calibri" w:hAnsi="Calibri"/>
                <w:b w:val="0"/>
                <w:i w:val="0"/>
                <w:color w:val="212121"/>
                <w:sz w:val="19"/>
              </w:rPr>
              <w:t>Hypoestrogenic urethral/bladder thinning and vaginal dysbiosis predispose to recurrent infection; vaginal estrogen restores the epithelium and lactobacillus-dominant flora and reduces recurrence.</w:t>
            </w:r>
          </w:p>
          <w:p>
            <w:pPr>
              <w:spacing w:after="40" w:before="0" w:line="259" w:lineRule="auto"/>
            </w:pPr>
            <w:r>
              <w:rPr>
                <w:rFonts w:ascii="Calibri" w:hAnsi="Calibri"/>
                <w:b/>
                <w:i w:val="0"/>
                <w:color w:val="212121"/>
                <w:sz w:val="19"/>
              </w:rPr>
              <w:t>Annual recurrence ~14–25%</w:t>
            </w:r>
          </w:p>
        </w:tc>
      </w:tr>
      <w:tr>
        <w:trPr>
          <w:cantSplit/>
        </w:trPr>
        <w:tc>
          <w:tcPr>
            <w:tcW w:type="dxa" w:w="2232"/>
            <w:vAlign w:val="top"/>
          </w:tcPr>
          <w:p>
            <w:pPr>
              <w:spacing w:after="40" w:before="0" w:line="259" w:lineRule="auto"/>
            </w:pPr>
            <w:r>
              <w:rPr>
                <w:rFonts w:ascii="Calibri" w:hAnsi="Calibri"/>
                <w:b/>
                <w:i w:val="0"/>
                <w:color w:val="212121"/>
                <w:sz w:val="19"/>
              </w:rPr>
              <w:t>Urinary incontinence &amp; pelvic floor disorders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Overactive bladder, urgency/stress incontinence and prolapse share the estrogen-dependent, connective-tissue basis of GSM and complicate its management.</w:t>
            </w:r>
          </w:p>
        </w:tc>
      </w:tr>
      <w:tr>
        <w:trPr>
          <w:cantSplit/>
        </w:trPr>
        <w:tc>
          <w:tcPr>
            <w:tcW w:type="dxa" w:w="2232"/>
            <w:vAlign w:val="top"/>
          </w:tcPr>
          <w:p>
            <w:pPr>
              <w:spacing w:after="40" w:before="0" w:line="259" w:lineRule="auto"/>
            </w:pPr>
            <w:r>
              <w:rPr>
                <w:rFonts w:ascii="Calibri" w:hAnsi="Calibri"/>
                <w:b/>
                <w:i w:val="0"/>
                <w:color w:val="212121"/>
                <w:sz w:val="19"/>
              </w:rPr>
              <w:t>Vulvovaginal candidiasis / bacterial vaginosis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Altered pH and disrupted microbiome of atrophic tissue predispose to secondary infection that mimics and aggravates GSM.</w:t>
            </w:r>
          </w:p>
        </w:tc>
      </w:tr>
      <w:tr>
        <w:trPr>
          <w:cantSplit/>
        </w:trPr>
        <w:tc>
          <w:tcPr>
            <w:tcW w:type="dxa" w:w="2232"/>
            <w:vAlign w:val="top"/>
          </w:tcPr>
          <w:p>
            <w:pPr>
              <w:spacing w:after="40" w:before="0" w:line="259" w:lineRule="auto"/>
            </w:pPr>
            <w:r>
              <w:rPr>
                <w:rFonts w:ascii="Calibri" w:hAnsi="Calibri"/>
                <w:b/>
                <w:i w:val="0"/>
                <w:color w:val="212121"/>
                <w:sz w:val="19"/>
              </w:rPr>
              <w:t>Breast cancer (on aromatase inhibitors / tamoxifen)</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Adjuvant endocrine therapy causes profound iatrogenic hypoestrogenism and severe GSM, while restricting estrogen options—directly affecting both conditions' management and treatment adherence.</w:t>
            </w:r>
          </w:p>
        </w:tc>
      </w:tr>
      <w:tr>
        <w:trPr>
          <w:cantSplit/>
        </w:trPr>
        <w:tc>
          <w:tcPr>
            <w:tcW w:type="dxa" w:w="2232"/>
            <w:vAlign w:val="top"/>
          </w:tcPr>
          <w:p>
            <w:pPr>
              <w:spacing w:after="40" w:before="0" w:line="259" w:lineRule="auto"/>
            </w:pPr>
            <w:r>
              <w:rPr>
                <w:rFonts w:ascii="Calibri" w:hAnsi="Calibri"/>
                <w:b/>
                <w:i w:val="0"/>
                <w:color w:val="212121"/>
                <w:sz w:val="19"/>
              </w:rPr>
              <w:t>Type 2 diabetes mellitus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Hyperglycaemia, microvascular disease and immune impairment worsen candidiasis, recurrent UTI and sexual dysfunction; diabetes and GSM interact to amplify genitourinary morbidity.</w:t>
            </w:r>
          </w:p>
          <w:p>
            <w:pPr>
              <w:spacing w:after="40" w:before="0" w:line="259" w:lineRule="auto"/>
            </w:pPr>
            <w:r>
              <w:rPr>
                <w:rFonts w:ascii="Calibri" w:hAnsi="Calibri"/>
                <w:b/>
                <w:i w:val="0"/>
                <w:color w:val="212121"/>
                <w:sz w:val="19"/>
              </w:rPr>
              <w:t>~20% of Indian adults ≥45 y</w:t>
            </w:r>
          </w:p>
        </w:tc>
      </w:tr>
      <w:tr>
        <w:trPr>
          <w:cantSplit/>
        </w:trPr>
        <w:tc>
          <w:tcPr>
            <w:tcW w:type="dxa" w:w="2232"/>
            <w:vAlign w:val="top"/>
          </w:tcPr>
          <w:p>
            <w:pPr>
              <w:spacing w:after="40" w:before="0" w:line="259" w:lineRule="auto"/>
            </w:pPr>
            <w:r>
              <w:rPr>
                <w:rFonts w:ascii="Calibri" w:hAnsi="Calibri"/>
                <w:b/>
                <w:i w:val="0"/>
                <w:color w:val="212121"/>
                <w:sz w:val="19"/>
              </w:rPr>
              <w:t>Female sexual dysfunction / hypoactive sexual desire</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Dyspareunia, dryness and reduced arousal from GSM commonly cause distressing sexual dysfunction, which in turn reduces activity and accelerates atrophy.</w:t>
            </w:r>
          </w:p>
        </w:tc>
      </w:tr>
      <w:tr>
        <w:trPr>
          <w:cantSplit/>
        </w:trPr>
        <w:tc>
          <w:tcPr>
            <w:tcW w:type="dxa" w:w="2232"/>
            <w:vAlign w:val="top"/>
          </w:tcPr>
          <w:p>
            <w:pPr>
              <w:spacing w:after="40" w:before="0" w:line="259" w:lineRule="auto"/>
            </w:pPr>
            <w:r>
              <w:rPr>
                <w:rFonts w:ascii="Calibri" w:hAnsi="Calibri"/>
                <w:b/>
                <w:i w:val="0"/>
                <w:color w:val="212121"/>
                <w:sz w:val="19"/>
              </w:rPr>
              <w:t>Depression &amp; anxiety</w:t>
            </w:r>
          </w:p>
        </w:tc>
        <w:tc>
          <w:tcPr>
            <w:tcW w:type="dxa" w:w="2520"/>
            <w:vAlign w:val="top"/>
          </w:tcPr>
          <w:p>
            <w:pPr>
              <w:spacing w:after="40" w:before="0" w:line="259" w:lineRule="auto"/>
            </w:pPr>
            <w:r>
              <w:rPr>
                <w:rFonts w:ascii="Calibri" w:hAnsi="Calibri"/>
                <w:b w:val="0"/>
                <w:i w:val="0"/>
                <w:color w:val="212121"/>
                <w:sz w:val="18"/>
              </w:rPr>
              <w:t>Bidirectional Association</w:t>
            </w:r>
          </w:p>
        </w:tc>
        <w:tc>
          <w:tcPr>
            <w:tcW w:type="dxa" w:w="4852"/>
            <w:vAlign w:val="top"/>
          </w:tcPr>
          <w:p>
            <w:pPr>
              <w:spacing w:after="40" w:before="0" w:line="259" w:lineRule="auto"/>
            </w:pPr>
            <w:r>
              <w:rPr>
                <w:rFonts w:ascii="Calibri" w:hAnsi="Calibri"/>
                <w:b w:val="0"/>
                <w:i w:val="0"/>
                <w:color w:val="212121"/>
                <w:sz w:val="19"/>
              </w:rPr>
              <w:t>Mood disorders and GSM interact bidirectionally through sexual distress, poor sleep and reduced quality of life.</w:t>
            </w:r>
          </w:p>
        </w:tc>
      </w:tr>
      <w:tr>
        <w:trPr>
          <w:cantSplit/>
        </w:trPr>
        <w:tc>
          <w:tcPr>
            <w:tcW w:type="dxa" w:w="2232"/>
            <w:vAlign w:val="top"/>
          </w:tcPr>
          <w:p>
            <w:pPr>
              <w:spacing w:after="40" w:before="0" w:line="259" w:lineRule="auto"/>
            </w:pPr>
            <w:r>
              <w:rPr>
                <w:rFonts w:ascii="Calibri" w:hAnsi="Calibri"/>
                <w:b/>
                <w:i w:val="0"/>
                <w:color w:val="212121"/>
                <w:sz w:val="19"/>
              </w:rPr>
              <w:t>Osteoporosis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Both are hallmark hypoestrogenic sequelae of menopause with a shared estrogen-deficiency mechanism; their coexistence signals broader menopausal morbidity in Indian women, whose fragility fractures occur about a decade earlier.</w:t>
            </w:r>
          </w:p>
        </w:tc>
      </w:tr>
      <w:tr>
        <w:trPr>
          <w:cantSplit/>
        </w:trPr>
        <w:tc>
          <w:tcPr>
            <w:tcW w:type="dxa" w:w="2232"/>
            <w:vAlign w:val="top"/>
          </w:tcPr>
          <w:p>
            <w:pPr>
              <w:spacing w:after="40" w:before="0" w:line="259" w:lineRule="auto"/>
            </w:pPr>
            <w:r>
              <w:rPr>
                <w:rFonts w:ascii="Calibri" w:hAnsi="Calibri"/>
                <w:b/>
                <w:i w:val="0"/>
                <w:color w:val="212121"/>
                <w:sz w:val="19"/>
              </w:rPr>
              <w:t>Vasomotor symptoms (hot flashes, night sweats)</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Share the underlying menopausal estrogen decline, though vasomotor symptoms typically remit over time whereas GSM is progressive.</w:t>
            </w:r>
          </w:p>
        </w:tc>
      </w:tr>
      <w:tr>
        <w:trPr>
          <w:cantSplit/>
        </w:trPr>
        <w:tc>
          <w:tcPr>
            <w:tcW w:type="dxa" w:w="2232"/>
            <w:vAlign w:val="top"/>
          </w:tcPr>
          <w:p>
            <w:pPr>
              <w:spacing w:after="40" w:before="0" w:line="259" w:lineRule="auto"/>
            </w:pPr>
            <w:r>
              <w:rPr>
                <w:rFonts w:ascii="Calibri" w:hAnsi="Calibri"/>
                <w:b/>
                <w:i w:val="0"/>
                <w:color w:val="212121"/>
                <w:sz w:val="19"/>
              </w:rPr>
              <w:t>Premature ovarian insufficiency / surgical menopause</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Early or abrupt estrogen loss predisposes to GSM years ahead of the norm and for a longer duration.</w:t>
            </w:r>
          </w:p>
          <w:p>
            <w:pPr>
              <w:spacing w:after="40" w:before="0" w:line="259" w:lineRule="auto"/>
            </w:pPr>
            <w:r>
              <w:rPr>
                <w:rFonts w:ascii="Calibri" w:hAnsi="Calibri"/>
                <w:b/>
                <w:i w:val="0"/>
                <w:color w:val="212121"/>
                <w:sz w:val="19"/>
              </w:rPr>
              <w:t>POI up to ~3%</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Merge w:val="restart"/>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GSM is a common, chronic and progressive but highly treatable condition—not an inevitable, untreatable part of ageing.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Normalise discussion of vaginal and sexual health; raise symptoms with a clinician rather than suffering in silence (only a minority of affected women currently seek care).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early symptoms—dryness, painful intercourse, burning, urinary urgency or recurrent UTIs—and seek timely assessment.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water- or silicone-based lubricants for intercourse and regular long-acting vaginal moisturisers for daily comfort.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vaginal douching, perfumed soaps, antiseptics and tight synthetic underwear that irritate atrophic tissue.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Attend routine midlife/menopause screening, especially if diabetic, on breast-cancer endocrine therapy, or after surgical/induced menopause.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Perimenopausal &amp; postmenopausal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Breast-cancer survivors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recurrent UTIs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Low-awareness/low-literacy groups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First-line: regular vaginal moisturisers plus lubricants for intercourse, and maintenance of sexual activity.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Low-dose local vaginal estrogen (cream, tablet or ring) is highly effective for moderate-to-severe GSM when non-hormonal measures are insufficient.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Consider vaginal DHEA (prasterone) or oral ospemifene (a SERM) as alternatives where locally available and appropriate.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breast-cancer survivors, prioritise non-hormonal therapy first and individualise any hormonal option in shared decision-making with the oncology team.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GSM to preserve continence, prevent recurrent UTIs and support adherence to endocrine cancer therapy; benefits require continued use as symptoms recur on stopping.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moderate-to-severe GSM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Breast-cancer survivors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recurrent UTIs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Postmenopausal women</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restart"/>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Perform pelvic-floor muscle training (Kegels) most days to support continence and sexual 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Undertake ≥ 150 minutes/week of moderate activity to aid weight control and reduce urinary incontinence.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 healthy Asian-Indian BMI (18.5–22.9 kg/m²) to lower incontinence and infection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aerobic activity with resistance/weight-bearing exercise to protect bone in the shared hypoestrogenic state.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Postmenopausal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LUTS or incontinence</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Refer for supervised pelvic-floor physiotherapy for troublesome incontinence or pelvic floor dysfunction.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graded vaginal dilator therapy with moisturiser for introital narrowing or post-radiotherapy stenosis.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Encourage gradual return to comfortable sexual activity with lubricants to maintain vaginal calibre.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incontinence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Post-radiotherapy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introital narrowing</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good hydration (~2–2.5 L/day) to support mucosal moisture and dilute urine, easing dysuria.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phytoestrogen-rich foods (soy, legumes, flaxseed) and a balanced, fibre-rich diet.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Optimise glycaemic control and limit refined carbohydrate to reduce candidiasis and recurrent UTI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bladder irritants—caffeine, very spicy foods and excess alcohol—if urinary urgency is prominent.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Postmenopausal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diabetes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urinary symptoms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consistent sleep hygiene, as insomnia is independently linked to higher odds of GSM.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evening fluids and caffeine to reduce nocturia and sleep fragmentation.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underlying urinary symptoms and vasomotor symptoms that disrupt sleep.</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Midlife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nocturia/insomnia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Postmenopausal women</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to slow atrophic progression, improve urogenital blood flow and avoid earlier menopause.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structured cessation support, counselling and pharmacotherapy where appropriate.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exposure.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Current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early/premature menopause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midlife women</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alcohol to ≤ 7 standard drinks/week to reduce mucosal drying and bladder irritation.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alcohol as a coping strategy for sexual discomfort or low mood.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hydration if alcohol is consumed.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heavy alcohol use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urinary symptoms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Postmenopausal women</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sexual distress openly; offer psychosexual counselling and partner communication support.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depression and anxiety, which interact bidirectionally with GSM.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reassurance and education to reduce shame and improve treatment adherence.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Consider referral to menopause or sexual-health services for complex or refractory cases.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sexual dysfunction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depression/anxiety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Breast-cancer survivors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Postmenopausal women</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mc.ncbi.nlm.nih.gov/articles/PMC10961929/" TargetMode="External"/><Relationship Id="rId10" Type="http://schemas.openxmlformats.org/officeDocument/2006/relationships/hyperlink" Target="https://pubmed.ncbi.nlm.nih.gov/40397455/" TargetMode="External"/><Relationship Id="rId11" Type="http://schemas.openxmlformats.org/officeDocument/2006/relationships/hyperlink" Target="https://pmc.ncbi.nlm.nih.gov/articles/PMC13057290/" TargetMode="External"/><Relationship Id="rId12" Type="http://schemas.openxmlformats.org/officeDocument/2006/relationships/hyperlink" Target="https://pmc.ncbi.nlm.nih.gov/articles/PMC12948155/" TargetMode="External"/><Relationship Id="rId13" Type="http://schemas.openxmlformats.org/officeDocument/2006/relationships/hyperlink" Target="https://pubmed.ncbi.nlm.nih.gov/42020772/" TargetMode="External"/><Relationship Id="rId14" Type="http://schemas.openxmlformats.org/officeDocument/2006/relationships/hyperlink" Target="https://www.ncbi.nlm.nih.gov/books/NBK559297/" TargetMode="External"/><Relationship Id="rId15" Type="http://schemas.openxmlformats.org/officeDocument/2006/relationships/hyperlink" Target="https://pmc.ncbi.nlm.nih.gov/articles/PMC12897635/" TargetMode="External"/><Relationship Id="rId16" Type="http://schemas.openxmlformats.org/officeDocument/2006/relationships/hyperlink" Target="https://pmc.ncbi.nlm.nih.gov/articles/PMC12254641/" TargetMode="External"/><Relationship Id="rId17" Type="http://schemas.openxmlformats.org/officeDocument/2006/relationships/hyperlink" Target="https://pmc.ncbi.nlm.nih.gov/articles/PMC13026044/" TargetMode="External"/><Relationship Id="rId18" Type="http://schemas.openxmlformats.org/officeDocument/2006/relationships/hyperlink" Target="https://pmc.ncbi.nlm.nih.gov/articles/PMC12798405/" TargetMode="External"/><Relationship Id="rId19" Type="http://schemas.openxmlformats.org/officeDocument/2006/relationships/hyperlink" Target="https://pubmed.ncbi.nlm.nih.gov/4230187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