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Pelvic Organ Prolapse</w:t>
      </w:r>
    </w:p>
    <w:p>
      <w:pPr>
        <w:spacing w:before="0" w:after="160"/>
      </w:pPr>
      <w:r>
        <w:rPr>
          <w:rFonts w:ascii="Calibri" w:hAnsi="Calibri"/>
          <w:b/>
          <w:i w:val="0"/>
          <w:color w:val="212121"/>
          <w:sz w:val="22"/>
        </w:rPr>
        <w:t xml:space="preserve">AKA </w:t>
      </w:r>
      <w:r>
        <w:rPr>
          <w:rFonts w:ascii="Calibri" w:hAnsi="Calibri"/>
          <w:b w:val="0"/>
          <w:i w:val="0"/>
          <w:color w:val="212121"/>
          <w:sz w:val="22"/>
        </w:rPr>
        <w:t>i.e., POP, Genital prolapse, Uterovaginal prolapse, Vaginal prolapse; includes Cystocele (anterior/bladder prolapse), Rectocele (posterior/rectal prolapse), Enterocele, Uterine (uterovaginal) prolapse and Vaginal vault prolapse; lay terms: “dropped womb”, “something coming down”, “baacha-daani girna”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Pelvic organ prolapse is the symptomatic descent of one or more pelvic organs — the uterus and cervix, the vaginal apex, the bladder (anterior vaginal wall), the rectum (posterior vaginal wall) or the small bowel — into or through the vaginal canal, caused by weakening or failure of the pelvic floor muscles (levator ani), the endopelvic connective tissue and the uterosacral–cardinal ligament supports. It is a chronic, frequently progressive disorder driven above all by vaginal childbirth, ageing and chronically raised intra-abdominal pressure. Although rarely life-threatening, it typically produces a vaginal “bulge” sensation together with urinary, bowel and sexual dysfunction that markedly reduce quality of life; in its most advanced form (procidentia) the entire uterus and vaginal walls lie outside the introitus.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Pelvic organ prolapse is one of the most common gynaecological conditions of Indian women, and India is described as having “one of the highest rates in the world.” Symptomatic prolapse affects roughly 7–20% of parous women, whereas some degree of descent can be found on examination in about 40–50% of parous women even though only around 3% report a bothersome vaginal bulge. In an Indian study of perimenopausal and menopausal women the prevalence of POP was 4.8%, with 82.7% of cases in the 41–50-year age group; 93.3% were multiparous, 74.7% had delivered at home and 84% were homemakers. Strikingly, nulliparous prolapse still accounts for about 1.5–2% of genital prolapse in India, and the incidence reaches 5–8% even in young women with only one or two children — reflecting early marriage and childbearing, short birth intervals, unsupervised home deliveries, bearing down before full dilatation and early return to heavy manual and agricultural labour.</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Pelvic organ prolapse is a clinical diagnosis based on a symptom of vaginal bulge together with objective demonstration of organ descent on examination, graded by a standardised staging system; investigations are reserved for treatment planning and for excluding coexisting urinary, bowel and pelvic disease. Supportive criteria include: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positive symptom of “something coming down” or a vaginal bulge the woman can see or feel, classically worse on standing, straining, coughing or by the end of the day and relieved on lying down;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objective descent of the anterior wall (bladder), posterior wall (rectum), uterus/cervix or vaginal vault demonstrated on Valsalva or standing strain during Sims speculum and bimanual examination;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staging by the POP-Q (Pelvic Organ Prolapse Quantification) system — the international reference standard — which measures six defined vaginal points relative to the hymen and yields Stage 0 (no prolapse) through Stage 4 (complete eversion/procidentia);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older Baden–Walker halfway grading (Grade 0–4), still widely used in Indian clinics, graded by the leading edge relative to the hymen;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position of the leading edge relative to the hymen — prolapse reaching or passing the hymen (POP-Q Stage ≥ II) is usually the threshold at which symptoms appear;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of pelvic floor muscle strength (e.g., Modified Oxford Scale) and a cough stress test with the prolapse reduced, to detect “occult” (masked) stress urinary incontinence before treatment.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Prolapse is classified by the vaginal compartment involved, the organ that descends, and the stage or severity of descent:</w:t>
      </w:r>
    </w:p>
    <w:p>
      <w:pPr>
        <w:spacing w:before="0" w:after="80"/>
      </w:pPr>
      <w:r>
        <w:rPr>
          <w:rFonts w:ascii="Calibri" w:hAnsi="Calibri"/>
          <w:b w:val="0"/>
          <w:i w:val="0"/>
          <w:color w:val="212121"/>
          <w:sz w:val="21"/>
        </w:rPr>
        <w:t>(1) By compartment / organ — anterior compartment: cystocele (bladder) and urethrocele; posterior compartment: rectocele (rectum) and enterocele (small bowel / pouch of Douglas); apical (central) compartment: uterine (uterovaginal) prolapse and, after hysterectomy, vaginal vault prolapse. Most women have descent in more than one compartment;</w:t>
      </w:r>
    </w:p>
    <w:p>
      <w:pPr>
        <w:spacing w:before="0" w:after="80"/>
      </w:pPr>
      <w:r>
        <w:rPr>
          <w:rFonts w:ascii="Calibri" w:hAnsi="Calibri"/>
          <w:b w:val="0"/>
          <w:i w:val="0"/>
          <w:color w:val="212121"/>
          <w:sz w:val="21"/>
        </w:rPr>
        <w:t>(2) By POP-Q stage — Stage 0: no prolapse; Stage I: leading edge &gt; 1 cm above the hymen; Stage II: leading edge within 1 cm above to 1 cm below the hymen; Stage III: leading edge &gt; 1 cm below the hymen but not complete eversion; Stage IV: complete eversion of the vagina/uterus (procidentia);</w:t>
      </w:r>
    </w:p>
    <w:p>
      <w:pPr>
        <w:spacing w:before="0" w:after="80"/>
      </w:pPr>
      <w:r>
        <w:rPr>
          <w:rFonts w:ascii="Calibri" w:hAnsi="Calibri"/>
          <w:b w:val="0"/>
          <w:i w:val="0"/>
          <w:color w:val="212121"/>
          <w:sz w:val="21"/>
        </w:rPr>
        <w:t>(3) By Baden–Walker (halfway) grade — Grade 0 (normal) to Grade 4 (maximum descent/procidentia), graded relative to the hymen and still commonly recorded in Indian practice;</w:t>
      </w:r>
    </w:p>
    <w:p>
      <w:pPr>
        <w:spacing w:before="0" w:after="80"/>
      </w:pPr>
      <w:r>
        <w:rPr>
          <w:rFonts w:ascii="Calibri" w:hAnsi="Calibri"/>
          <w:b w:val="0"/>
          <w:i w:val="0"/>
          <w:color w:val="212121"/>
          <w:sz w:val="21"/>
        </w:rPr>
        <w:t>(4) By parity / aetiology — parous (obstetric) prolapse, the great majority, versus nulliparous prolapse (about 1.5–2% of Indian cases, often from congenital connective-tissue weakness or chronically raised intra-abdominal pressure); and primary versus recurrent (post-surgical) prolapse.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Vaginal childbirth and high parity: The single strongest risk factor — stretching or avulsion of the levator ani, pudendal nerve injury and tearing of endopelvic fascia during vaginal delivery, amplified by grand multiparity, macrosomia, prolonged second stage and instrumental (forceps) delivery.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Connective-tissue and fascial weakness: Inherited or acquired loss of collagen/elastin quality weakens the uterosacral–cardinal ligament complex and endopelvic fascia, explaining nulliparous and familial prolapse and associations with joint hypermobility and hernias.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Ageing and estrogen deficiency (menopause): Falling estrogen thins and weakens urogenital connective tissue and the pelvic floor, so prevalence and severity rise steeply after menopause.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Chronically raised intra-abdominal pressure: Heavy manual and agricultural labour, head-load carrying, chronic constipation with straining, chronic cough (COPD/smoking) and obesity repeatedly stress the pelvic supports.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Obesity: Excess weight raises intra-abdominal pressure and is linked both to higher prevalence and to prolapse recurrence after surgical repair.</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Iatrogenic / prior pelvic surgery: Previous hysterectomy or continence surgery can disrupt apical support and predispose to later vaginal vault prolapse.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Sociocultural and obstetric practices (India): Early marriage and childbearing, short interbirth intervals, unsupervised home deliveries, bearing down before full cervical dilatation and early resumption of heavy work before pelvic recovery.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Perimenopausal adults (41–50 years)</w:t>
            </w:r>
          </w:p>
        </w:tc>
        <w:tc>
          <w:tcPr>
            <w:tcW w:type="dxa" w:w="4276"/>
            <w:vAlign w:val="top"/>
          </w:tcPr>
          <w:p>
            <w:pPr>
              <w:spacing w:after="60" w:line="259" w:lineRule="auto"/>
            </w:pPr>
            <w:r>
              <w:rPr>
                <w:rFonts w:ascii="Calibri" w:hAnsi="Calibri"/>
                <w:b w:val="0"/>
                <w:i w:val="0"/>
                <w:color w:val="212121"/>
                <w:sz w:val="19"/>
              </w:rPr>
              <w:t>Cumulative obstetric injury, connective-tissue ageing and falling estrogen converge in the perimenopausal years, when most women first present with a symptomatic bulge.</w:t>
            </w:r>
          </w:p>
          <w:p>
            <w:pPr>
              <w:spacing w:after="40" w:before="60" w:line="259" w:lineRule="auto"/>
            </w:pPr>
            <w:r>
              <w:rPr>
                <w:rFonts w:ascii="Calibri" w:hAnsi="Calibri"/>
                <w:b w:val="0"/>
                <w:i w:val="0"/>
                <w:color w:val="212121"/>
                <w:sz w:val="19"/>
              </w:rPr>
              <w:t>In an Indian study, 82.7% of pelvic organ prolapse cases occurred in the 41–50-year age group, and increasing age independently predicted more severe POP stage (OR 7.25; 95% CI 1.95–26.99).</w:t>
            </w:r>
          </w:p>
          <w:p>
            <w:pPr>
              <w:spacing w:after="40" w:line="252" w:lineRule="auto"/>
            </w:pPr>
            <w:hyperlink r:id="rId9">
              <w:r>
                <w:rPr>
                  <w:rFonts w:ascii="Calibri" w:hAnsi="Calibri" w:cs="Calibri"/>
                  <w:sz w:val="18"/>
                  <w:color w:val="1155CC"/>
                  <w:u w:val="single"/>
                </w:rPr>
                <w:t xml:space="preserve">pubmed.ncbi.nlm.nih.gov/35734362 — POP in peri/menopausal Indian women</w:t>
              </w:r>
            </w:hyperlink>
          </w:p>
          <w:p>
            <w:pPr>
              <w:spacing w:before="60" w:after="40"/>
            </w:pPr>
            <w:r>
              <w:rPr>
                <w:rFonts w:ascii="Calibri" w:hAnsi="Calibri"/>
                <w:b w:val="0"/>
                <w:i w:val="0"/>
                <w:color w:val="5A5A5A"/>
                <w:sz w:val="18"/>
              </w:rPr>
              <w:t>#perimenopause  #multiparity  #estrogendecline  #agerisk</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postmenopausal women (≥ 60 years)</w:t>
            </w:r>
          </w:p>
        </w:tc>
        <w:tc>
          <w:tcPr>
            <w:tcW w:type="dxa" w:w="4276"/>
            <w:vAlign w:val="top"/>
          </w:tcPr>
          <w:p>
            <w:pPr>
              <w:spacing w:after="60" w:line="259" w:lineRule="auto"/>
            </w:pPr>
            <w:r>
              <w:rPr>
                <w:rFonts w:ascii="Calibri" w:hAnsi="Calibri"/>
                <w:b w:val="0"/>
                <w:i w:val="0"/>
                <w:color w:val="212121"/>
                <w:sz w:val="19"/>
              </w:rPr>
              <w:t>Long-standing tissue weakness plus post-menopausal estrogen deficiency produce the most advanced descent, including complete procidentia, decubitus ulceration and voiding difficulty.</w:t>
            </w:r>
          </w:p>
          <w:p>
            <w:pPr>
              <w:spacing w:after="40" w:before="60" w:line="259" w:lineRule="auto"/>
            </w:pPr>
            <w:r>
              <w:rPr>
                <w:rFonts w:ascii="Calibri" w:hAnsi="Calibri"/>
                <w:b w:val="0"/>
                <w:i w:val="0"/>
                <w:color w:val="212121"/>
                <w:sz w:val="19"/>
              </w:rPr>
              <w:t>On examination some degree of prolapse is found in 40–50% of parous women, and symptomatic prolapse prevalence peaks at around 5% in women aged 60–69 years.</w:t>
            </w:r>
          </w:p>
          <w:p>
            <w:pPr>
              <w:spacing w:after="40" w:line="252" w:lineRule="auto"/>
            </w:pPr>
            <w:hyperlink r:id="rId10">
              <w:r>
                <w:rPr>
                  <w:rFonts w:ascii="Calibri" w:hAnsi="Calibri" w:cs="Calibri"/>
                  <w:sz w:val="18"/>
                  <w:color w:val="1155CC"/>
                  <w:u w:val="single"/>
                </w:rPr>
                <w:t xml:space="preserve">ncbi.nlm.nih.gov/books/NBK563229 — StatPearls: Pelvic Organ Prolapse</w:t>
              </w:r>
            </w:hyperlink>
          </w:p>
          <w:p>
            <w:pPr>
              <w:spacing w:before="60" w:after="40"/>
            </w:pPr>
            <w:r>
              <w:rPr>
                <w:rFonts w:ascii="Calibri" w:hAnsi="Calibri"/>
                <w:b w:val="0"/>
                <w:i w:val="0"/>
                <w:color w:val="5A5A5A"/>
                <w:sz w:val="18"/>
              </w:rPr>
              <w:t>#elderly  #procidentia  #postmenopausal  #severePOP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(female pelvic anatomy)</w:t>
            </w:r>
          </w:p>
        </w:tc>
        <w:tc>
          <w:tcPr>
            <w:tcW w:type="dxa" w:w="4276"/>
            <w:vAlign w:val="top"/>
          </w:tcPr>
          <w:p>
            <w:pPr>
              <w:spacing w:after="60" w:line="259" w:lineRule="auto"/>
            </w:pPr>
            <w:r>
              <w:rPr>
                <w:rFonts w:ascii="Calibri" w:hAnsi="Calibri"/>
                <w:b w:val="0"/>
                <w:i w:val="0"/>
                <w:color w:val="212121"/>
                <w:sz w:val="19"/>
              </w:rPr>
              <w:t>Prolapse is by definition a disorder of the female pelvic organs and vaginal support; every parous or ageing woman is potentially at risk, making it one of the commonest gynaecological complaints.</w:t>
            </w:r>
          </w:p>
          <w:p>
            <w:pPr>
              <w:spacing w:after="40" w:before="60" w:line="259" w:lineRule="auto"/>
            </w:pPr>
            <w:r>
              <w:rPr>
                <w:rFonts w:ascii="Calibri" w:hAnsi="Calibri"/>
                <w:b w:val="0"/>
                <w:i w:val="0"/>
                <w:color w:val="212121"/>
                <w:sz w:val="19"/>
              </w:rPr>
              <w:t>Physical examination reveals some degree of prolapse in 41–50% of women, although only about 3% report a bothersome vaginal bulge.</w:t>
            </w:r>
          </w:p>
          <w:p>
            <w:pPr>
              <w:spacing w:after="40" w:line="252" w:lineRule="auto"/>
            </w:pPr>
            <w:hyperlink r:id="rId10">
              <w:r>
                <w:rPr>
                  <w:rFonts w:ascii="Calibri" w:hAnsi="Calibri" w:cs="Calibri"/>
                  <w:sz w:val="18"/>
                  <w:color w:val="1155CC"/>
                  <w:u w:val="single"/>
                </w:rPr>
                <w:t xml:space="preserve">ncbi.nlm.nih.gov/books/NBK563229 — StatPearls: Pelvic Organ Prolapse</w:t>
              </w:r>
            </w:hyperlink>
          </w:p>
          <w:p>
            <w:pPr>
              <w:spacing w:before="60" w:after="40"/>
            </w:pPr>
            <w:r>
              <w:rPr>
                <w:rFonts w:ascii="Calibri" w:hAnsi="Calibri"/>
                <w:b w:val="0"/>
                <w:i w:val="0"/>
                <w:color w:val="5A5A5A"/>
                <w:sz w:val="18"/>
              </w:rPr>
              <w:t>#womenshealth  #pelvicfloor  #vaginalsupport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homemakers and manual workers</w:t>
            </w:r>
          </w:p>
        </w:tc>
        <w:tc>
          <w:tcPr>
            <w:tcW w:type="dxa" w:w="4276"/>
            <w:vAlign w:val="top"/>
          </w:tcPr>
          <w:p>
            <w:pPr>
              <w:spacing w:after="60" w:line="259" w:lineRule="auto"/>
            </w:pPr>
            <w:r>
              <w:rPr>
                <w:rFonts w:ascii="Calibri" w:hAnsi="Calibri"/>
                <w:b w:val="0"/>
                <w:i w:val="0"/>
                <w:color w:val="212121"/>
                <w:sz w:val="19"/>
              </w:rPr>
              <w:t>Home deliveries, poor intrapartum care, grand multiparity, heavy household and field labour and early return to work before pelvic recovery cluster in poorer women, who also seek care late.</w:t>
            </w:r>
          </w:p>
          <w:p>
            <w:pPr>
              <w:spacing w:after="40" w:before="60" w:line="259" w:lineRule="auto"/>
            </w:pPr>
            <w:r>
              <w:rPr>
                <w:rFonts w:ascii="Calibri" w:hAnsi="Calibri"/>
                <w:b w:val="0"/>
                <w:i w:val="0"/>
                <w:color w:val="212121"/>
                <w:sz w:val="19"/>
              </w:rPr>
              <w:t>Among Indian women with POP, 84% were homemakers, 86.7% were of lower economic status, 74.7% had home deliveries and 61.3% resumed heavy work early after childbirth.</w:t>
            </w:r>
          </w:p>
          <w:p>
            <w:pPr>
              <w:spacing w:after="40" w:line="252" w:lineRule="auto"/>
            </w:pPr>
            <w:hyperlink r:id="rId9">
              <w:r>
                <w:rPr>
                  <w:rFonts w:ascii="Calibri" w:hAnsi="Calibri" w:cs="Calibri"/>
                  <w:sz w:val="18"/>
                  <w:color w:val="1155CC"/>
                  <w:u w:val="single"/>
                </w:rPr>
                <w:t xml:space="preserve">pubmed.ncbi.nlm.nih.gov/35734362 — POP in peri/menopausal Indian women</w:t>
              </w:r>
            </w:hyperlink>
          </w:p>
          <w:p>
            <w:pPr>
              <w:spacing w:before="60" w:after="40"/>
            </w:pPr>
            <w:r>
              <w:rPr>
                <w:rFonts w:ascii="Calibri" w:hAnsi="Calibri"/>
                <w:b w:val="0"/>
                <w:i w:val="0"/>
                <w:color w:val="5A5A5A"/>
                <w:sz w:val="18"/>
              </w:rPr>
              <w:t>#homedelivery  #manuallabour  #lowSES  #earlyworkresumption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 South Asian women</w:t>
            </w:r>
          </w:p>
        </w:tc>
        <w:tc>
          <w:tcPr>
            <w:tcW w:type="dxa" w:w="4276"/>
            <w:vAlign w:val="top"/>
          </w:tcPr>
          <w:p>
            <w:pPr>
              <w:spacing w:after="60" w:line="259" w:lineRule="auto"/>
            </w:pPr>
            <w:r>
              <w:rPr>
                <w:rFonts w:ascii="Calibri" w:hAnsi="Calibri"/>
                <w:b w:val="0"/>
                <w:i w:val="0"/>
                <w:color w:val="212121"/>
                <w:sz w:val="19"/>
              </w:rPr>
              <w:t>High parity, early childbearing, short birth intervals, home births and lifelong manual labour give India one of the highest prolapse burdens worldwide, including prolapse in young and even nulliparous women.</w:t>
            </w:r>
          </w:p>
          <w:p>
            <w:pPr>
              <w:spacing w:after="40" w:before="60" w:line="259" w:lineRule="auto"/>
            </w:pPr>
            <w:r>
              <w:rPr>
                <w:rFonts w:ascii="Calibri" w:hAnsi="Calibri"/>
                <w:b w:val="0"/>
                <w:i w:val="0"/>
                <w:color w:val="212121"/>
                <w:sz w:val="19"/>
              </w:rPr>
              <w:t>In India nulliparous prolapse constitutes about 1.5–2% of genital prolapse, and the incidence is 5–8% in young women with only one or two children — “one of the highest rates in the world.”</w:t>
            </w:r>
          </w:p>
          <w:p>
            <w:pPr>
              <w:spacing w:after="40" w:line="252" w:lineRule="auto"/>
            </w:pPr>
            <w:hyperlink r:id="rId11">
              <w:r>
                <w:rPr>
                  <w:rFonts w:ascii="Calibri" w:hAnsi="Calibri" w:cs="Calibri"/>
                  <w:sz w:val="18"/>
                  <w:color w:val="1155CC"/>
                  <w:u w:val="single"/>
                </w:rPr>
                <w:t xml:space="preserve">pubmed.ncbi.nlm.nih.gov/33814793 — Conservative management of POP: Indian contribution</w:t>
              </w:r>
            </w:hyperlink>
          </w:p>
          <w:p>
            <w:pPr>
              <w:spacing w:before="60" w:after="40"/>
            </w:pPr>
            <w:r>
              <w:rPr>
                <w:rFonts w:ascii="Calibri" w:hAnsi="Calibri"/>
                <w:b w:val="0"/>
                <w:i w:val="0"/>
                <w:color w:val="5A5A5A"/>
                <w:sz w:val="18"/>
              </w:rPr>
              <w:t>#India  #highparity  #nulliparousprolapse  #earlychildbearing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Environment / occupation</w:t>
            </w:r>
          </w:p>
        </w:tc>
        <w:tc>
          <w:tcPr>
            <w:tcW w:type="dxa" w:w="2160"/>
            <w:vAlign w:val="top"/>
          </w:tcPr>
          <w:p>
            <w:pPr>
              <w:spacing w:after="40" w:before="0" w:line="259" w:lineRule="auto"/>
            </w:pPr>
            <w:r>
              <w:rPr>
                <w:rFonts w:ascii="Calibri" w:hAnsi="Calibri"/>
                <w:b w:val="0"/>
                <w:i w:val="0"/>
                <w:color w:val="212121"/>
                <w:sz w:val="19"/>
              </w:rPr>
              <w:t>Rural agricultural and hill-region women</w:t>
            </w:r>
          </w:p>
        </w:tc>
        <w:tc>
          <w:tcPr>
            <w:tcW w:type="dxa" w:w="4276"/>
            <w:vAlign w:val="top"/>
          </w:tcPr>
          <w:p>
            <w:pPr>
              <w:spacing w:after="60" w:line="259" w:lineRule="auto"/>
            </w:pPr>
            <w:r>
              <w:rPr>
                <w:rFonts w:ascii="Calibri" w:hAnsi="Calibri"/>
                <w:b w:val="0"/>
                <w:i w:val="0"/>
                <w:color w:val="212121"/>
                <w:sz w:val="19"/>
              </w:rPr>
              <w:t>Farm labour, prolonged squatting, head- and hip-load carrying and repeated bearing-down postures chronically raise intra-abdominal pressure and load the pelvic floor, while home births are common.</w:t>
            </w:r>
          </w:p>
          <w:p>
            <w:pPr>
              <w:spacing w:after="40" w:before="60" w:line="259" w:lineRule="auto"/>
            </w:pPr>
            <w:r>
              <w:rPr>
                <w:rFonts w:ascii="Calibri" w:hAnsi="Calibri"/>
                <w:b w:val="0"/>
                <w:i w:val="0"/>
                <w:color w:val="212121"/>
                <w:sz w:val="19"/>
              </w:rPr>
              <w:t>A scoping review found that strenuous physical activity increased POP symptoms and reduced pelvic floor support, with symptomatic prolapse reported in 0–23% of highly active/athletic women.</w:t>
            </w:r>
          </w:p>
          <w:p>
            <w:pPr>
              <w:spacing w:after="40" w:line="252" w:lineRule="auto"/>
            </w:pPr>
            <w:hyperlink r:id="rId12">
              <w:r>
                <w:rPr>
                  <w:rFonts w:ascii="Calibri" w:hAnsi="Calibri" w:cs="Calibri"/>
                  <w:sz w:val="18"/>
                  <w:color w:val="1155CC"/>
                  <w:u w:val="single"/>
                </w:rPr>
                <w:t xml:space="preserve">pubmed.ncbi.nlm.nih.gov/36692525 — Strenuous activity, exercise and POP</w:t>
              </w:r>
            </w:hyperlink>
          </w:p>
          <w:p>
            <w:pPr>
              <w:spacing w:before="60" w:after="40"/>
            </w:pPr>
            <w:r>
              <w:rPr>
                <w:rFonts w:ascii="Calibri" w:hAnsi="Calibri"/>
                <w:b w:val="0"/>
                <w:i w:val="0"/>
                <w:color w:val="5A5A5A"/>
                <w:sz w:val="18"/>
              </w:rPr>
              <w:t>#agriculture  #headload  #squatting  #ruralwomen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Heavy lifting / strenuous activity</w:t>
            </w:r>
          </w:p>
        </w:tc>
        <w:tc>
          <w:tcPr>
            <w:tcW w:type="dxa" w:w="2160"/>
            <w:vAlign w:val="top"/>
          </w:tcPr>
          <w:p>
            <w:pPr>
              <w:spacing w:after="40" w:before="0" w:line="259" w:lineRule="auto"/>
            </w:pPr>
            <w:r>
              <w:rPr>
                <w:rFonts w:ascii="Calibri" w:hAnsi="Calibri"/>
                <w:b w:val="0"/>
                <w:i w:val="0"/>
                <w:color w:val="212121"/>
                <w:sz w:val="19"/>
              </w:rPr>
              <w:t>Manual labourers, load-carriers and weightlifting athletes</w:t>
            </w:r>
          </w:p>
        </w:tc>
        <w:tc>
          <w:tcPr>
            <w:tcW w:type="dxa" w:w="4276"/>
            <w:vAlign w:val="top"/>
          </w:tcPr>
          <w:p>
            <w:pPr>
              <w:spacing w:after="60" w:line="259" w:lineRule="auto"/>
            </w:pPr>
            <w:r>
              <w:rPr>
                <w:rFonts w:ascii="Calibri" w:hAnsi="Calibri"/>
                <w:b w:val="0"/>
                <w:i w:val="0"/>
                <w:color w:val="212121"/>
                <w:sz w:val="19"/>
              </w:rPr>
              <w:t>Repetitive heavy lifting and high-impact loading transmit large downward forces to the pelvic floor, increasing symptoms and reducing support, especially where fascial injury already exists.</w:t>
            </w:r>
          </w:p>
          <w:p>
            <w:pPr>
              <w:spacing w:after="40" w:before="60" w:line="259" w:lineRule="auto"/>
            </w:pPr>
            <w:r>
              <w:rPr>
                <w:rFonts w:ascii="Calibri" w:hAnsi="Calibri"/>
                <w:b w:val="0"/>
                <w:i w:val="0"/>
                <w:color w:val="212121"/>
                <w:sz w:val="19"/>
              </w:rPr>
              <w:t>Symptomatic POP was reported in up to 23% of Olympic weightlifters and power-lifters, and strenuous exercise consistently increased prolapse symptoms across studies.</w:t>
            </w:r>
          </w:p>
          <w:p>
            <w:pPr>
              <w:spacing w:after="40" w:line="252" w:lineRule="auto"/>
            </w:pPr>
            <w:hyperlink r:id="rId12">
              <w:r>
                <w:rPr>
                  <w:rFonts w:ascii="Calibri" w:hAnsi="Calibri" w:cs="Calibri"/>
                  <w:sz w:val="18"/>
                  <w:color w:val="1155CC"/>
                  <w:u w:val="single"/>
                </w:rPr>
                <w:t xml:space="preserve">pubmed.ncbi.nlm.nih.gov/36692525 — Strenuous activity, exercise and POP</w:t>
              </w:r>
            </w:hyperlink>
          </w:p>
          <w:p>
            <w:pPr>
              <w:spacing w:before="60" w:after="40"/>
            </w:pPr>
            <w:r>
              <w:rPr>
                <w:rFonts w:ascii="Calibri" w:hAnsi="Calibri"/>
                <w:b w:val="0"/>
                <w:i w:val="0"/>
                <w:color w:val="5A5A5A"/>
                <w:sz w:val="18"/>
              </w:rPr>
              <w:t>#heavylifting  #weightlifting  #intraabdominalpressure  #pelvicfloorload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cigarette / bidi smokers</w:t>
            </w:r>
          </w:p>
        </w:tc>
        <w:tc>
          <w:tcPr>
            <w:tcW w:type="dxa" w:w="4276"/>
            <w:vAlign w:val="top"/>
          </w:tcPr>
          <w:p>
            <w:pPr>
              <w:spacing w:after="60" w:line="259" w:lineRule="auto"/>
            </w:pPr>
            <w:r>
              <w:rPr>
                <w:rFonts w:ascii="Calibri" w:hAnsi="Calibri"/>
                <w:b w:val="0"/>
                <w:i w:val="0"/>
                <w:color w:val="212121"/>
                <w:sz w:val="19"/>
              </w:rPr>
              <w:t>Smoking causes chronic cough that repeatedly spikes intra-abdominal pressure and is anti-estrogenic, degrading pelvic connective-tissue quality and accelerating support failure.</w:t>
            </w:r>
          </w:p>
          <w:p>
            <w:pPr>
              <w:spacing w:after="40" w:before="60" w:line="259" w:lineRule="auto"/>
            </w:pPr>
            <w:r>
              <w:rPr>
                <w:rFonts w:ascii="Calibri" w:hAnsi="Calibri"/>
                <w:b w:val="0"/>
                <w:i w:val="0"/>
                <w:color w:val="212121"/>
                <w:sz w:val="19"/>
              </w:rPr>
              <w:t>Chronic cough from smoking or lung disease is a recognised contributor to raised intra-abdominal pressure and pelvic organ prolapse.</w:t>
            </w:r>
          </w:p>
          <w:p>
            <w:pPr>
              <w:spacing w:after="40" w:line="252" w:lineRule="auto"/>
            </w:pPr>
            <w:hyperlink r:id="rId10">
              <w:r>
                <w:rPr>
                  <w:rFonts w:ascii="Calibri" w:hAnsi="Calibri" w:cs="Calibri"/>
                  <w:sz w:val="18"/>
                  <w:color w:val="1155CC"/>
                  <w:u w:val="single"/>
                </w:rPr>
                <w:t xml:space="preserve">ncbi.nlm.nih.gov/books/NBK563229 — StatPearls: Pelvic Organ Prolapse</w:t>
              </w:r>
            </w:hyperlink>
          </w:p>
          <w:p>
            <w:pPr>
              <w:spacing w:before="60" w:after="40"/>
            </w:pPr>
            <w:r>
              <w:rPr>
                <w:rFonts w:ascii="Calibri" w:hAnsi="Calibri"/>
                <w:b w:val="0"/>
                <w:i w:val="0"/>
                <w:color w:val="5A5A5A"/>
                <w:sz w:val="18"/>
              </w:rPr>
              <w:t>#smoking  #chroniccough  #antiestrogen  #COPD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straining / constipation</w:t>
            </w:r>
          </w:p>
        </w:tc>
        <w:tc>
          <w:tcPr>
            <w:tcW w:type="dxa" w:w="2160"/>
            <w:vAlign w:val="top"/>
          </w:tcPr>
          <w:p>
            <w:pPr>
              <w:spacing w:after="40" w:before="0" w:line="259" w:lineRule="auto"/>
            </w:pPr>
            <w:r>
              <w:rPr>
                <w:rFonts w:ascii="Calibri" w:hAnsi="Calibri"/>
                <w:b w:val="0"/>
                <w:i w:val="0"/>
                <w:color w:val="212121"/>
                <w:sz w:val="19"/>
              </w:rPr>
              <w:t>Women with habitual straining at stool</w:t>
            </w:r>
          </w:p>
        </w:tc>
        <w:tc>
          <w:tcPr>
            <w:tcW w:type="dxa" w:w="4276"/>
            <w:vAlign w:val="top"/>
          </w:tcPr>
          <w:p>
            <w:pPr>
              <w:spacing w:after="60" w:line="259" w:lineRule="auto"/>
            </w:pPr>
            <w:r>
              <w:rPr>
                <w:rFonts w:ascii="Calibri" w:hAnsi="Calibri"/>
                <w:b w:val="0"/>
                <w:i w:val="0"/>
                <w:color w:val="212121"/>
                <w:sz w:val="19"/>
              </w:rPr>
              <w:t>Repeated Valsalva against a closed glottis during defecation stretches and weakens the pelvic floor and pudendal nerves over years, both causing and worsening posterior-compartment prolapse.</w:t>
            </w:r>
          </w:p>
          <w:p>
            <w:pPr>
              <w:spacing w:after="40" w:before="60" w:line="259" w:lineRule="auto"/>
            </w:pPr>
            <w:r>
              <w:rPr>
                <w:rFonts w:ascii="Calibri" w:hAnsi="Calibri"/>
                <w:b w:val="0"/>
                <w:i w:val="0"/>
                <w:color w:val="212121"/>
                <w:sz w:val="19"/>
              </w:rPr>
              <w:t>Chronic constipation with straining and repeated increases in intra-abdominal pressure is an established risk factor for pelvic organ prolapse.</w:t>
            </w:r>
          </w:p>
          <w:p>
            <w:pPr>
              <w:spacing w:after="40" w:line="252" w:lineRule="auto"/>
            </w:pPr>
            <w:hyperlink r:id="rId10">
              <w:r>
                <w:rPr>
                  <w:rFonts w:ascii="Calibri" w:hAnsi="Calibri" w:cs="Calibri"/>
                  <w:sz w:val="18"/>
                  <w:color w:val="1155CC"/>
                  <w:u w:val="single"/>
                </w:rPr>
                <w:t xml:space="preserve">ncbi.nlm.nih.gov/books/NBK563229 — StatPearls: Pelvic Organ Prolapse</w:t>
              </w:r>
            </w:hyperlink>
          </w:p>
          <w:p>
            <w:pPr>
              <w:spacing w:before="60" w:after="40"/>
            </w:pPr>
            <w:r>
              <w:rPr>
                <w:rFonts w:ascii="Calibri" w:hAnsi="Calibri"/>
                <w:b w:val="0"/>
                <w:i w:val="0"/>
                <w:color w:val="5A5A5A"/>
                <w:sz w:val="18"/>
              </w:rPr>
              <w:t>#constipation  #straining  #rectocele  #pudendalnerve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alcohol users</w:t>
            </w:r>
          </w:p>
        </w:tc>
        <w:tc>
          <w:tcPr>
            <w:tcW w:type="dxa" w:w="4276"/>
            <w:vAlign w:val="top"/>
          </w:tcPr>
          <w:p>
            <w:pPr>
              <w:spacing w:after="60" w:line="259" w:lineRule="auto"/>
            </w:pPr>
            <w:r>
              <w:rPr>
                <w:rFonts w:ascii="Calibri" w:hAnsi="Calibri"/>
                <w:b w:val="0"/>
                <w:i w:val="0"/>
                <w:color w:val="212121"/>
                <w:sz w:val="19"/>
              </w:rPr>
              <w:t>Alcohol is not a direct cause of prolapse but contributes to poor nutrition, deconditioning and comorbidity that may aggravate pelvic floor health; evidence for a primary effect is weak.</w:t>
            </w:r>
          </w:p>
          <w:p>
            <w:pPr>
              <w:spacing w:after="40" w:before="60" w:line="259" w:lineRule="auto"/>
            </w:pPr>
            <w:r>
              <w:rPr>
                <w:rFonts w:ascii="Calibri" w:hAnsi="Calibri"/>
                <w:b w:val="0"/>
                <w:i w:val="0"/>
                <w:color w:val="212121"/>
                <w:sz w:val="19"/>
              </w:rPr>
              <w:t>No consistent direct link between alcohol intake and prolapse is established; this remains a general clinical consideration rather than a proven risk factor.</w:t>
            </w:r>
          </w:p>
          <w:p>
            <w:pPr>
              <w:spacing w:before="60" w:after="40"/>
            </w:pPr>
            <w:r>
              <w:rPr>
                <w:rFonts w:ascii="Calibri" w:hAnsi="Calibri"/>
                <w:b w:val="0"/>
                <w:i w:val="0"/>
                <w:color w:val="5A5A5A"/>
                <w:sz w:val="18"/>
              </w:rPr>
              <w:t>#alcohol  #deconditioning  #generalhealth</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Overweight and obese women (Asian-Indian cut-offs)</w:t>
            </w:r>
          </w:p>
        </w:tc>
        <w:tc>
          <w:tcPr>
            <w:tcW w:type="dxa" w:w="4276"/>
            <w:vAlign w:val="top"/>
          </w:tcPr>
          <w:p>
            <w:pPr>
              <w:spacing w:after="60" w:line="259" w:lineRule="auto"/>
            </w:pPr>
            <w:r>
              <w:rPr>
                <w:rFonts w:ascii="Calibri" w:hAnsi="Calibri"/>
                <w:b w:val="0"/>
                <w:i w:val="0"/>
                <w:color w:val="212121"/>
                <w:sz w:val="19"/>
              </w:rPr>
              <w:t>Excess adiposity chronically raises intra-abdominal pressure, promoting prolapse and increasing the risk of recurrence after surgical repair.</w:t>
            </w:r>
          </w:p>
          <w:p>
            <w:pPr>
              <w:spacing w:after="40" w:before="60" w:line="259" w:lineRule="auto"/>
            </w:pPr>
            <w:r>
              <w:rPr>
                <w:rFonts w:ascii="Calibri" w:hAnsi="Calibri"/>
                <w:b w:val="0"/>
                <w:i w:val="0"/>
                <w:color w:val="212121"/>
                <w:sz w:val="19"/>
              </w:rPr>
              <w:t>Elevated BMI/obesity is a recognised risk factor for POP and its recurrence; in India obesity affects roughly 24–28% of adults, with Asian-Indian overweight defined at BMI ≥ 23 and obesity at ≥ 25 kg/m².</w:t>
            </w:r>
          </w:p>
          <w:p>
            <w:pPr>
              <w:spacing w:after="40" w:line="252" w:lineRule="auto"/>
            </w:pPr>
            <w:hyperlink r:id="rId13">
              <w:r>
                <w:rPr>
                  <w:rFonts w:ascii="Calibri" w:hAnsi="Calibri" w:cs="Calibri"/>
                  <w:sz w:val="18"/>
                  <w:color w:val="1155CC"/>
                  <w:u w:val="single"/>
                </w:rPr>
                <w:t xml:space="preserve">pmc.ncbi.nlm.nih.gov/PMC12948155 — IMS 2026 guidelines (Asian-Indian BMI)</w:t>
              </w:r>
            </w:hyperlink>
          </w:p>
          <w:p>
            <w:pPr>
              <w:spacing w:before="60" w:after="40"/>
            </w:pPr>
            <w:r>
              <w:rPr>
                <w:rFonts w:ascii="Calibri" w:hAnsi="Calibri"/>
                <w:b w:val="0"/>
                <w:i w:val="0"/>
                <w:color w:val="5A5A5A"/>
                <w:sz w:val="18"/>
              </w:rPr>
              <w:t>#obesity  #AsianBMI  #recurrence  #intraabdominalpressure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preference / hydration</w:t>
            </w:r>
          </w:p>
        </w:tc>
        <w:tc>
          <w:tcPr>
            <w:tcW w:type="dxa" w:w="2160"/>
            <w:vAlign w:val="top"/>
          </w:tcPr>
          <w:p>
            <w:pPr>
              <w:spacing w:after="40" w:before="0" w:line="259" w:lineRule="auto"/>
            </w:pPr>
            <w:r>
              <w:rPr>
                <w:rFonts w:ascii="Calibri" w:hAnsi="Calibri"/>
                <w:b w:val="0"/>
                <w:i w:val="0"/>
                <w:color w:val="212121"/>
                <w:sz w:val="19"/>
              </w:rPr>
              <w:t>Low-fibre, low-fluid diets</w:t>
            </w:r>
          </w:p>
        </w:tc>
        <w:tc>
          <w:tcPr>
            <w:tcW w:type="dxa" w:w="4276"/>
            <w:vAlign w:val="top"/>
          </w:tcPr>
          <w:p>
            <w:pPr>
              <w:spacing w:after="60" w:line="259" w:lineRule="auto"/>
            </w:pPr>
            <w:r>
              <w:rPr>
                <w:rFonts w:ascii="Calibri" w:hAnsi="Calibri"/>
                <w:b w:val="0"/>
                <w:i w:val="0"/>
                <w:color w:val="212121"/>
                <w:sz w:val="19"/>
              </w:rPr>
              <w:t>Diets poor in fibre and fluids cause constipation and habitual straining, an important modifiable driver of posterior-compartment prolapse and of symptom worsening.</w:t>
            </w:r>
          </w:p>
          <w:p>
            <w:pPr>
              <w:spacing w:after="40" w:before="60" w:line="259" w:lineRule="auto"/>
            </w:pPr>
            <w:r>
              <w:rPr>
                <w:rFonts w:ascii="Calibri" w:hAnsi="Calibri"/>
                <w:b w:val="0"/>
                <w:i w:val="0"/>
                <w:color w:val="212121"/>
                <w:sz w:val="19"/>
              </w:rPr>
              <w:t>Adequate dietary fibre (25–35 g/day) and fluids reduce constipation and straining; direct prolapse-prevention trials are limited, so this is a general clinical recommendation.</w:t>
            </w:r>
          </w:p>
          <w:p>
            <w:pPr>
              <w:spacing w:before="60" w:after="40"/>
            </w:pPr>
            <w:r>
              <w:rPr>
                <w:rFonts w:ascii="Calibri" w:hAnsi="Calibri"/>
                <w:b w:val="0"/>
                <w:i w:val="0"/>
                <w:color w:val="5A5A5A"/>
                <w:sz w:val="18"/>
              </w:rPr>
              <w:t>#lowfibre  #hydration  #constipation  #diet</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connective tissue</w:t>
            </w:r>
          </w:p>
        </w:tc>
        <w:tc>
          <w:tcPr>
            <w:tcW w:type="dxa" w:w="2160"/>
            <w:vAlign w:val="top"/>
          </w:tcPr>
          <w:p>
            <w:pPr>
              <w:spacing w:after="40" w:before="0" w:line="259" w:lineRule="auto"/>
            </w:pPr>
            <w:r>
              <w:rPr>
                <w:rFonts w:ascii="Calibri" w:hAnsi="Calibri"/>
                <w:b w:val="0"/>
                <w:i w:val="0"/>
                <w:color w:val="212121"/>
                <w:sz w:val="19"/>
              </w:rPr>
              <w:t>Women with familial prolapse or connective-tissue disorders</w:t>
            </w:r>
          </w:p>
        </w:tc>
        <w:tc>
          <w:tcPr>
            <w:tcW w:type="dxa" w:w="4276"/>
            <w:vAlign w:val="top"/>
          </w:tcPr>
          <w:p>
            <w:pPr>
              <w:spacing w:after="60" w:line="259" w:lineRule="auto"/>
            </w:pPr>
            <w:r>
              <w:rPr>
                <w:rFonts w:ascii="Calibri" w:hAnsi="Calibri"/>
                <w:b w:val="0"/>
                <w:i w:val="0"/>
                <w:color w:val="212121"/>
                <w:sz w:val="19"/>
              </w:rPr>
              <w:t>Inherited collagen/elastin weakness (including joint hypermobility, Ehlers–Danlos and hernia-prone phenotypes) predisposes to prolapse and helps explain nulliparous and early-onset disease.</w:t>
            </w:r>
          </w:p>
          <w:p>
            <w:pPr>
              <w:spacing w:after="40" w:before="60" w:line="259" w:lineRule="auto"/>
            </w:pPr>
            <w:r>
              <w:rPr>
                <w:rFonts w:ascii="Calibri" w:hAnsi="Calibri"/>
                <w:b w:val="0"/>
                <w:i w:val="0"/>
                <w:color w:val="212121"/>
                <w:sz w:val="19"/>
              </w:rPr>
              <w:t>Congenital connective-tissue weakness underlies a substantial share of nulliparous prolapse, which in India makes up about 1.5–2% of genital prolapse.</w:t>
            </w:r>
          </w:p>
          <w:p>
            <w:pPr>
              <w:spacing w:after="40" w:line="252" w:lineRule="auto"/>
            </w:pPr>
            <w:hyperlink r:id="rId11">
              <w:r>
                <w:rPr>
                  <w:rFonts w:ascii="Calibri" w:hAnsi="Calibri" w:cs="Calibri"/>
                  <w:sz w:val="18"/>
                  <w:color w:val="1155CC"/>
                  <w:u w:val="single"/>
                </w:rPr>
                <w:t xml:space="preserve">pubmed.ncbi.nlm.nih.gov/33814793 — Conservative management of POP: Indian contribution</w:t>
              </w:r>
            </w:hyperlink>
          </w:p>
          <w:p>
            <w:pPr>
              <w:spacing w:before="60" w:after="40"/>
            </w:pPr>
            <w:r>
              <w:rPr>
                <w:rFonts w:ascii="Calibri" w:hAnsi="Calibri"/>
                <w:b w:val="0"/>
                <w:i w:val="0"/>
                <w:color w:val="5A5A5A"/>
                <w:sz w:val="18"/>
              </w:rPr>
              <w:t>#familyhistory  #collagen  #jointhypermobility  #nulliparous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Chronic constipation</w:t>
            </w:r>
          </w:p>
        </w:tc>
        <w:tc>
          <w:tcPr>
            <w:tcW w:type="dxa" w:w="2160"/>
            <w:vAlign w:val="top"/>
          </w:tcPr>
          <w:p>
            <w:pPr>
              <w:spacing w:after="40" w:before="0" w:line="259" w:lineRule="auto"/>
            </w:pPr>
            <w:r>
              <w:rPr>
                <w:rFonts w:ascii="Calibri" w:hAnsi="Calibri"/>
                <w:b w:val="0"/>
                <w:i w:val="0"/>
                <w:color w:val="212121"/>
                <w:sz w:val="19"/>
              </w:rPr>
              <w:t>Patients with long-standing constipation</w:t>
            </w:r>
          </w:p>
        </w:tc>
        <w:tc>
          <w:tcPr>
            <w:tcW w:type="dxa" w:w="4276"/>
            <w:vAlign w:val="top"/>
          </w:tcPr>
          <w:p>
            <w:pPr>
              <w:spacing w:after="60" w:line="259" w:lineRule="auto"/>
            </w:pPr>
            <w:r>
              <w:rPr>
                <w:rFonts w:ascii="Calibri" w:hAnsi="Calibri"/>
                <w:b w:val="0"/>
                <w:i w:val="0"/>
                <w:color w:val="212121"/>
                <w:sz w:val="19"/>
              </w:rPr>
              <w:t>Years of straining injure the levator ani and pudendal nerves and stretch endopelvic fascia, both predisposing to and worsening prolapse, particularly rectocele and enterocele.</w:t>
            </w:r>
          </w:p>
          <w:p>
            <w:pPr>
              <w:spacing w:after="40" w:before="60" w:line="259" w:lineRule="auto"/>
            </w:pPr>
            <w:r>
              <w:rPr>
                <w:rFonts w:ascii="Calibri" w:hAnsi="Calibri"/>
                <w:b w:val="0"/>
                <w:i w:val="0"/>
                <w:color w:val="212121"/>
                <w:sz w:val="19"/>
              </w:rPr>
              <w:t>Chronic constipation and repetitive straining are established, modifiable risk factors for pelvic organ prolapse.</w:t>
            </w:r>
          </w:p>
          <w:p>
            <w:pPr>
              <w:spacing w:after="40" w:line="252" w:lineRule="auto"/>
            </w:pPr>
            <w:hyperlink r:id="rId10">
              <w:r>
                <w:rPr>
                  <w:rFonts w:ascii="Calibri" w:hAnsi="Calibri" w:cs="Calibri"/>
                  <w:sz w:val="18"/>
                  <w:color w:val="1155CC"/>
                  <w:u w:val="single"/>
                </w:rPr>
                <w:t xml:space="preserve">ncbi.nlm.nih.gov/books/NBK563229 — StatPearls: Pelvic Organ Prolapse</w:t>
              </w:r>
            </w:hyperlink>
          </w:p>
          <w:p>
            <w:pPr>
              <w:spacing w:before="60" w:after="40"/>
            </w:pPr>
            <w:r>
              <w:rPr>
                <w:rFonts w:ascii="Calibri" w:hAnsi="Calibri"/>
                <w:b w:val="0"/>
                <w:i w:val="0"/>
                <w:color w:val="5A5A5A"/>
                <w:sz w:val="18"/>
              </w:rPr>
              <w:t>#constipation  #straining  #rectocele  #enterocele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cough / COPD</w:t>
            </w:r>
          </w:p>
        </w:tc>
        <w:tc>
          <w:tcPr>
            <w:tcW w:type="dxa" w:w="2160"/>
            <w:vAlign w:val="top"/>
          </w:tcPr>
          <w:p>
            <w:pPr>
              <w:spacing w:after="40" w:before="0" w:line="259" w:lineRule="auto"/>
            </w:pPr>
            <w:r>
              <w:rPr>
                <w:rFonts w:ascii="Calibri" w:hAnsi="Calibri"/>
                <w:b w:val="0"/>
                <w:i w:val="0"/>
                <w:color w:val="212121"/>
                <w:sz w:val="19"/>
              </w:rPr>
              <w:t>Women with chronic respiratory disease</w:t>
            </w:r>
          </w:p>
        </w:tc>
        <w:tc>
          <w:tcPr>
            <w:tcW w:type="dxa" w:w="4276"/>
            <w:vAlign w:val="top"/>
          </w:tcPr>
          <w:p>
            <w:pPr>
              <w:spacing w:after="60" w:line="259" w:lineRule="auto"/>
            </w:pPr>
            <w:r>
              <w:rPr>
                <w:rFonts w:ascii="Calibri" w:hAnsi="Calibri"/>
                <w:b w:val="0"/>
                <w:i w:val="0"/>
                <w:color w:val="212121"/>
                <w:sz w:val="19"/>
              </w:rPr>
              <w:t>Persistent coughing produces repeated surges of intra-abdominal pressure that fatigue and weaken pelvic supports, contributing to prolapse onset and progression.</w:t>
            </w:r>
          </w:p>
          <w:p>
            <w:pPr>
              <w:spacing w:after="40" w:before="60" w:line="259" w:lineRule="auto"/>
            </w:pPr>
            <w:r>
              <w:rPr>
                <w:rFonts w:ascii="Calibri" w:hAnsi="Calibri"/>
                <w:b w:val="0"/>
                <w:i w:val="0"/>
                <w:color w:val="212121"/>
                <w:sz w:val="19"/>
              </w:rPr>
              <w:t>Chronic cough (from COPD, asthma or smoking) is listed among the intra-abdominal-pressure risk factors for pelvic organ prolapse.</w:t>
            </w:r>
          </w:p>
          <w:p>
            <w:pPr>
              <w:spacing w:after="40" w:line="252" w:lineRule="auto"/>
            </w:pPr>
            <w:hyperlink r:id="rId10">
              <w:r>
                <w:rPr>
                  <w:rFonts w:ascii="Calibri" w:hAnsi="Calibri" w:cs="Calibri"/>
                  <w:sz w:val="18"/>
                  <w:color w:val="1155CC"/>
                  <w:u w:val="single"/>
                </w:rPr>
                <w:t xml:space="preserve">ncbi.nlm.nih.gov/books/NBK563229 — StatPearls: Pelvic Organ Prolapse</w:t>
              </w:r>
            </w:hyperlink>
          </w:p>
          <w:p>
            <w:pPr>
              <w:spacing w:before="60" w:after="40"/>
            </w:pPr>
            <w:r>
              <w:rPr>
                <w:rFonts w:ascii="Calibri" w:hAnsi="Calibri"/>
                <w:b w:val="0"/>
                <w:i w:val="0"/>
                <w:color w:val="5A5A5A"/>
                <w:sz w:val="18"/>
              </w:rPr>
              <w:t>#chroniccough  #COPD  #intraabdominalpressure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Prior hysterectomy / pelvic surgery</w:t>
            </w:r>
          </w:p>
        </w:tc>
        <w:tc>
          <w:tcPr>
            <w:tcW w:type="dxa" w:w="2160"/>
            <w:vAlign w:val="top"/>
          </w:tcPr>
          <w:p>
            <w:pPr>
              <w:spacing w:after="40" w:before="0" w:line="259" w:lineRule="auto"/>
            </w:pPr>
            <w:r>
              <w:rPr>
                <w:rFonts w:ascii="Calibri" w:hAnsi="Calibri"/>
                <w:b w:val="0"/>
                <w:i w:val="0"/>
                <w:color w:val="212121"/>
                <w:sz w:val="19"/>
              </w:rPr>
              <w:t>Women after hysterectomy or continence surgery</w:t>
            </w:r>
          </w:p>
        </w:tc>
        <w:tc>
          <w:tcPr>
            <w:tcW w:type="dxa" w:w="4276"/>
            <w:vAlign w:val="top"/>
          </w:tcPr>
          <w:p>
            <w:pPr>
              <w:spacing w:after="60" w:line="259" w:lineRule="auto"/>
            </w:pPr>
            <w:r>
              <w:rPr>
                <w:rFonts w:ascii="Calibri" w:hAnsi="Calibri"/>
                <w:b w:val="0"/>
                <w:i w:val="0"/>
                <w:color w:val="212121"/>
                <w:sz w:val="19"/>
              </w:rPr>
              <w:t>Removal of the uterus or previous pelvic surgery can disrupt apical support, predisposing to later vaginal vault prolapse and complicating subsequent repair.</w:t>
            </w:r>
          </w:p>
          <w:p>
            <w:pPr>
              <w:spacing w:after="40" w:before="60" w:line="259" w:lineRule="auto"/>
            </w:pPr>
            <w:r>
              <w:rPr>
                <w:rFonts w:ascii="Calibri" w:hAnsi="Calibri"/>
                <w:b w:val="0"/>
                <w:i w:val="0"/>
                <w:color w:val="212121"/>
                <w:sz w:val="19"/>
              </w:rPr>
              <w:t>Prior pelvic surgery and hysterectomy are recognised risk factors, with vault prolapse a characteristic post-hysterectomy form of POP.</w:t>
            </w:r>
          </w:p>
          <w:p>
            <w:pPr>
              <w:spacing w:after="40" w:line="252" w:lineRule="auto"/>
            </w:pPr>
            <w:hyperlink r:id="rId10">
              <w:r>
                <w:rPr>
                  <w:rFonts w:ascii="Calibri" w:hAnsi="Calibri" w:cs="Calibri"/>
                  <w:sz w:val="18"/>
                  <w:color w:val="1155CC"/>
                  <w:u w:val="single"/>
                </w:rPr>
                <w:t xml:space="preserve">ncbi.nlm.nih.gov/books/NBK563229 — StatPearls: Pelvic Organ Prolapse</w:t>
              </w:r>
            </w:hyperlink>
          </w:p>
          <w:p>
            <w:pPr>
              <w:spacing w:before="60" w:after="40"/>
            </w:pPr>
            <w:r>
              <w:rPr>
                <w:rFonts w:ascii="Calibri" w:hAnsi="Calibri"/>
                <w:b w:val="0"/>
                <w:i w:val="0"/>
                <w:color w:val="5A5A5A"/>
                <w:sz w:val="18"/>
              </w:rPr>
              <w:t>#hysterectomy  #vaultprolapse  #apicalsupport  #recurrent</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Repetitive heavy lifting, load-carrying and high-impact/strenuous activity raise intra-abdominal pressure and reduce pelvic floor support (up to 23% symptomatic POP in elite weightlifters); conversely targeted, supervised pelvic floor muscle training reduces symptoms and can improve prolapse by one stage.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Low-fibre, low-fluid diets cause constipation and chronic straining, while energy-dense diets drive obesity; both raise intra-abdominal pressure and are linked to prolapse and to recurrence after repair.</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no established causal role in prolapse; disturbed sleep mostly reflects comorbid nocturia and the psychosocial burden of symptoms rather than driving the descent itself.</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Smoking-related chronic cough repeatedly spikes intra-abdominal pressure and its anti-estrogenic effect degrades pelvic connective tissue, providing a plausible mechanism for accelerated support failure.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consistent direct association between alcohol and prolapse is established; any effect is indirect through nutrition, deconditioning and comorbidity.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Prolapse commonly causes embarrassment, altered body image, sexual difficulty, anxiety and depression, which interact bidirectionally with symptom bother and reduce care-seeking.</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helps prevent constipation-related straining, an indirect benefit; there is no direct effect of fluid intake on pelvic support.</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is a bladder irritant that can worsen coexisting urinary urgency and frequency but has no effect on the prolapse itself.</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Advanced prolapse (procidentia) exposes vaginal/cervical mucosa; good local hygiene and moisturising prevent decubitus ulceration, discharge and secondary infection, whereas poor care promotes them.</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Vaginal childbirth is the initiating insult; prolonged standing, heavy lifting, chronic cough, constipation/straining and Valsalva acutely provoke or worsen descent and symptom bother.</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squatting, head-/hip-load carrying and repeated bearing-down postures increase pelvic floor loading; symptoms characteristically worsen on standing and straining and ease on lying down.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Pelvic floor muscle training (Kegels)</w:t>
            </w:r>
          </w:p>
        </w:tc>
        <w:tc>
          <w:tcPr>
            <w:tcW w:type="dxa" w:w="1655"/>
            <w:vAlign w:val="top"/>
          </w:tcPr>
          <w:p>
            <w:pPr>
              <w:spacing w:after="40" w:before="0" w:line="259" w:lineRule="auto"/>
            </w:pPr>
            <w:r>
              <w:rPr>
                <w:rFonts w:ascii="Calibri" w:hAnsi="Calibri"/>
                <w:b w:val="0"/>
                <w:i w:val="0"/>
                <w:color w:val="212121"/>
                <w:sz w:val="19"/>
              </w:rPr>
              <w:t>Women with POP-Q stage I–III</w:t>
            </w:r>
          </w:p>
        </w:tc>
        <w:tc>
          <w:tcPr>
            <w:tcW w:type="dxa" w:w="1512"/>
            <w:vAlign w:val="top"/>
          </w:tcPr>
          <w:p>
            <w:pPr>
              <w:spacing w:after="40" w:before="0" w:line="259" w:lineRule="auto"/>
            </w:pPr>
            <w:r>
              <w:rPr>
                <w:rFonts w:ascii="Calibri" w:hAnsi="Calibri"/>
                <w:b w:val="0"/>
                <w:i w:val="0"/>
                <w:color w:val="212121"/>
                <w:sz w:val="19"/>
              </w:rPr>
              <w:t>Daily supervised PFMT programme</w:t>
            </w:r>
          </w:p>
        </w:tc>
        <w:tc>
          <w:tcPr>
            <w:tcW w:type="dxa" w:w="1512"/>
            <w:vAlign w:val="top"/>
          </w:tcPr>
          <w:p>
            <w:pPr>
              <w:spacing w:after="40" w:before="0" w:line="259" w:lineRule="auto"/>
            </w:pPr>
            <w:r>
              <w:rPr>
                <w:rFonts w:ascii="Calibri" w:hAnsi="Calibri"/>
                <w:b w:val="0"/>
                <w:i w:val="0"/>
                <w:color w:val="212121"/>
                <w:sz w:val="19"/>
              </w:rPr>
              <w:t>None performed</w:t>
            </w:r>
          </w:p>
        </w:tc>
        <w:tc>
          <w:tcPr>
            <w:tcW w:type="dxa" w:w="1468"/>
            <w:vAlign w:val="top"/>
          </w:tcPr>
          <w:p>
            <w:pPr>
              <w:spacing w:after="60" w:line="259" w:lineRule="auto"/>
            </w:pPr>
            <w:r>
              <w:rPr>
                <w:rFonts w:ascii="Calibri" w:hAnsi="Calibri"/>
                <w:b w:val="0"/>
                <w:i w:val="0"/>
                <w:color w:val="212121"/>
                <w:sz w:val="19"/>
              </w:rPr>
              <w:t>11 RCTs show PFMT reduces symptoms/improves prolapse by one stage</w:t>
            </w:r>
          </w:p>
          <w:p>
            <w:pPr>
              <w:spacing w:after="40" w:line="252" w:lineRule="auto"/>
            </w:pPr>
            <w:hyperlink r:id="rId14">
              <w:r>
                <w:rPr>
                  <w:rFonts w:ascii="Calibri" w:hAnsi="Calibri" w:cs="Calibri"/>
                  <w:sz w:val="18"/>
                  <w:color w:val="1155CC"/>
                  <w:u w:val="single"/>
                </w:rPr>
                <w:t xml:space="preserve">https://pubmed.ncbi.nlm.nih.gov/35980443/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Heavy lifting / load-carrying</w:t>
            </w:r>
          </w:p>
        </w:tc>
        <w:tc>
          <w:tcPr>
            <w:tcW w:type="dxa" w:w="1655"/>
            <w:vAlign w:val="top"/>
          </w:tcPr>
          <w:p>
            <w:pPr>
              <w:spacing w:after="40" w:before="0" w:line="259" w:lineRule="auto"/>
            </w:pPr>
            <w:r>
              <w:rPr>
                <w:rFonts w:ascii="Calibri" w:hAnsi="Calibri"/>
                <w:b w:val="0"/>
                <w:i w:val="0"/>
                <w:color w:val="212121"/>
                <w:sz w:val="19"/>
              </w:rPr>
              <w:t>Manual &amp; agricultural workers</w:t>
            </w:r>
          </w:p>
        </w:tc>
        <w:tc>
          <w:tcPr>
            <w:tcW w:type="dxa" w:w="1512"/>
            <w:vAlign w:val="top"/>
          </w:tcPr>
          <w:p>
            <w:pPr>
              <w:spacing w:after="40" w:before="0" w:line="259" w:lineRule="auto"/>
            </w:pPr>
            <w:r>
              <w:rPr>
                <w:rFonts w:ascii="Calibri" w:hAnsi="Calibri"/>
                <w:b w:val="0"/>
                <w:i w:val="0"/>
                <w:color w:val="212121"/>
                <w:sz w:val="19"/>
              </w:rPr>
              <w:t>Avoid repetitive heavy/overhead lifting; use technique</w:t>
            </w:r>
          </w:p>
        </w:tc>
        <w:tc>
          <w:tcPr>
            <w:tcW w:type="dxa" w:w="1512"/>
            <w:vAlign w:val="top"/>
          </w:tcPr>
          <w:p>
            <w:pPr>
              <w:spacing w:after="40" w:before="0" w:line="259" w:lineRule="auto"/>
            </w:pPr>
            <w:r>
              <w:rPr>
                <w:rFonts w:ascii="Calibri" w:hAnsi="Calibri"/>
                <w:b w:val="0"/>
                <w:i w:val="0"/>
                <w:color w:val="212121"/>
                <w:sz w:val="19"/>
              </w:rPr>
              <w:t>Regular heavy lifting or head-load carrying</w:t>
            </w:r>
          </w:p>
        </w:tc>
        <w:tc>
          <w:tcPr>
            <w:tcW w:type="dxa" w:w="1468"/>
            <w:vAlign w:val="top"/>
          </w:tcPr>
          <w:p>
            <w:pPr>
              <w:spacing w:after="60" w:line="259" w:lineRule="auto"/>
            </w:pPr>
            <w:r>
              <w:rPr>
                <w:rFonts w:ascii="Calibri" w:hAnsi="Calibri"/>
                <w:b w:val="0"/>
                <w:i w:val="0"/>
                <w:color w:val="212121"/>
                <w:sz w:val="19"/>
              </w:rPr>
              <w:t>Strenuous loading reduces pelvic floor support</w:t>
            </w:r>
          </w:p>
          <w:p>
            <w:pPr>
              <w:spacing w:after="40" w:line="252" w:lineRule="auto"/>
            </w:pPr>
            <w:hyperlink r:id="rId12">
              <w:r>
                <w:rPr>
                  <w:rFonts w:ascii="Calibri" w:hAnsi="Calibri" w:cs="Calibri"/>
                  <w:sz w:val="18"/>
                  <w:color w:val="1155CC"/>
                  <w:u w:val="single"/>
                </w:rPr>
                <w:t xml:space="preserve">https://pubmed.ncbi.nlm.nih.gov/36692525/</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(Asian-Indian)</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(obesity)</w:t>
            </w:r>
          </w:p>
        </w:tc>
        <w:tc>
          <w:tcPr>
            <w:tcW w:type="dxa" w:w="1468"/>
            <w:vAlign w:val="top"/>
          </w:tcPr>
          <w:p>
            <w:pPr>
              <w:spacing w:after="60" w:line="259" w:lineRule="auto"/>
            </w:pPr>
            <w:r>
              <w:rPr>
                <w:rFonts w:ascii="Calibri" w:hAnsi="Calibri"/>
                <w:b w:val="0"/>
                <w:i w:val="0"/>
                <w:color w:val="212121"/>
                <w:sz w:val="19"/>
              </w:rPr>
              <w:t>Higher BMI raises intra-abdominal pressure and recurrence risk</w:t>
            </w:r>
          </w:p>
          <w:p>
            <w:pPr>
              <w:spacing w:after="40" w:line="252" w:lineRule="auto"/>
            </w:pPr>
            <w:hyperlink r:id="rId13">
              <w:r>
                <w:rPr>
                  <w:rFonts w:ascii="Calibri" w:hAnsi="Calibri" w:cs="Calibri"/>
                  <w:sz w:val="18"/>
                  <w:color w:val="1155CC"/>
                  <w:u w:val="single"/>
                </w:rPr>
                <w:t xml:space="preserve">https://pmc.ncbi.nlm.nih.gov/articles/PMC12948155/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fibre intake</w:t>
            </w:r>
          </w:p>
        </w:tc>
        <w:tc>
          <w:tcPr>
            <w:tcW w:type="dxa" w:w="1655"/>
            <w:vAlign w:val="top"/>
          </w:tcPr>
          <w:p>
            <w:pPr>
              <w:spacing w:after="40" w:before="0" w:line="259" w:lineRule="auto"/>
            </w:pPr>
            <w:r>
              <w:rPr>
                <w:rFonts w:ascii="Calibri" w:hAnsi="Calibri"/>
                <w:b w:val="0"/>
                <w:i w:val="0"/>
                <w:color w:val="212121"/>
                <w:sz w:val="19"/>
              </w:rPr>
              <w:t>Women prone to constipation</w:t>
            </w:r>
          </w:p>
        </w:tc>
        <w:tc>
          <w:tcPr>
            <w:tcW w:type="dxa" w:w="1512"/>
            <w:vAlign w:val="top"/>
          </w:tcPr>
          <w:p>
            <w:pPr>
              <w:spacing w:after="40" w:before="0" w:line="259" w:lineRule="auto"/>
            </w:pPr>
            <w:r>
              <w:rPr>
                <w:rFonts w:ascii="Calibri" w:hAnsi="Calibri"/>
                <w:b w:val="0"/>
                <w:i w:val="0"/>
                <w:color w:val="212121"/>
                <w:sz w:val="19"/>
              </w:rPr>
              <w:t>25–35 g/day</w:t>
            </w:r>
          </w:p>
        </w:tc>
        <w:tc>
          <w:tcPr>
            <w:tcW w:type="dxa" w:w="1512"/>
            <w:vAlign w:val="top"/>
          </w:tcPr>
          <w:p>
            <w:pPr>
              <w:spacing w:after="40" w:before="0" w:line="259" w:lineRule="auto"/>
            </w:pPr>
            <w:r>
              <w:rPr>
                <w:rFonts w:ascii="Calibri" w:hAnsi="Calibri"/>
                <w:b w:val="0"/>
                <w:i w:val="0"/>
                <w:color w:val="212121"/>
                <w:sz w:val="19"/>
              </w:rPr>
              <w:t>&lt; 20 g/day</w:t>
            </w:r>
          </w:p>
        </w:tc>
        <w:tc>
          <w:tcPr>
            <w:tcW w:type="dxa" w:w="1468"/>
            <w:vAlign w:val="top"/>
          </w:tcPr>
          <w:p>
            <w:pPr>
              <w:spacing w:after="40" w:before="0" w:line="259" w:lineRule="auto"/>
            </w:pPr>
            <w:r>
              <w:rPr>
                <w:rFonts w:ascii="Calibri" w:hAnsi="Calibri"/>
                <w:b w:val="0"/>
                <w:i w:val="0"/>
                <w:color w:val="212121"/>
                <w:sz w:val="19"/>
              </w:rPr>
              <w:t>Low fibre promotes constipation and straining</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~2–2.5 L/day</w:t>
            </w:r>
          </w:p>
        </w:tc>
        <w:tc>
          <w:tcPr>
            <w:tcW w:type="dxa" w:w="1512"/>
            <w:vAlign w:val="top"/>
          </w:tcPr>
          <w:p>
            <w:pPr>
              <w:spacing w:after="40" w:before="0" w:line="259" w:lineRule="auto"/>
            </w:pPr>
            <w:r>
              <w:rPr>
                <w:rFonts w:ascii="Calibri" w:hAnsi="Calibri"/>
                <w:b w:val="0"/>
                <w:i w:val="0"/>
                <w:color w:val="212121"/>
                <w:sz w:val="19"/>
              </w:rPr>
              <w:t>&lt; 1.5 L/day</w:t>
            </w:r>
          </w:p>
        </w:tc>
        <w:tc>
          <w:tcPr>
            <w:tcW w:type="dxa" w:w="1468"/>
            <w:vAlign w:val="top"/>
          </w:tcPr>
          <w:p>
            <w:pPr>
              <w:spacing w:after="40" w:before="0" w:line="259" w:lineRule="auto"/>
            </w:pPr>
            <w:r>
              <w:rPr>
                <w:rFonts w:ascii="Calibri" w:hAnsi="Calibri"/>
                <w:b w:val="0"/>
                <w:i w:val="0"/>
                <w:color w:val="212121"/>
                <w:sz w:val="19"/>
              </w:rPr>
              <w:t>Low intake worsens constipation and straining</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All women</w:t>
            </w:r>
          </w:p>
        </w:tc>
        <w:tc>
          <w:tcPr>
            <w:tcW w:type="dxa" w:w="1512"/>
            <w:vAlign w:val="top"/>
          </w:tcPr>
          <w:p>
            <w:pPr>
              <w:spacing w:after="40" w:before="0" w:line="259" w:lineRule="auto"/>
            </w:pPr>
            <w:r>
              <w:rPr>
                <w:rFonts w:ascii="Calibri" w:hAnsi="Calibri"/>
                <w:b w:val="0"/>
                <w:i w:val="0"/>
                <w:color w:val="212121"/>
                <w:sz w:val="19"/>
              </w:rPr>
              <w:t>0/day</w:t>
            </w:r>
          </w:p>
        </w:tc>
        <w:tc>
          <w:tcPr>
            <w:tcW w:type="dxa" w:w="1512"/>
            <w:vAlign w:val="top"/>
          </w:tcPr>
          <w:p>
            <w:pPr>
              <w:spacing w:after="40" w:before="0" w:line="259" w:lineRule="auto"/>
            </w:pPr>
            <w:r>
              <w:rPr>
                <w:rFonts w:ascii="Calibri" w:hAnsi="Calibri"/>
                <w:b w:val="0"/>
                <w:i w:val="0"/>
                <w:color w:val="212121"/>
                <w:sz w:val="19"/>
              </w:rPr>
              <w:t>≥ 1/day</w:t>
            </w:r>
          </w:p>
        </w:tc>
        <w:tc>
          <w:tcPr>
            <w:tcW w:type="dxa" w:w="1468"/>
            <w:vAlign w:val="top"/>
          </w:tcPr>
          <w:p>
            <w:pPr>
              <w:spacing w:after="40" w:before="0" w:line="259" w:lineRule="auto"/>
            </w:pPr>
            <w:r>
              <w:rPr>
                <w:rFonts w:ascii="Calibri" w:hAnsi="Calibri"/>
                <w:b w:val="0"/>
                <w:i w:val="0"/>
                <w:color w:val="212121"/>
                <w:sz w:val="19"/>
              </w:rPr>
              <w:t>Cough-related pressure surges and anti-estrogen effect</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Vaginal parity (number of deliveries)</w:t>
            </w:r>
          </w:p>
        </w:tc>
        <w:tc>
          <w:tcPr>
            <w:tcW w:type="dxa" w:w="1655"/>
            <w:vAlign w:val="top"/>
          </w:tcPr>
          <w:p>
            <w:pPr>
              <w:spacing w:after="40" w:before="0" w:line="259" w:lineRule="auto"/>
            </w:pPr>
            <w:r>
              <w:rPr>
                <w:rFonts w:ascii="Calibri" w:hAnsi="Calibri"/>
                <w:b w:val="0"/>
                <w:i w:val="0"/>
                <w:color w:val="212121"/>
                <w:sz w:val="19"/>
              </w:rPr>
              <w:t>Parous women</w:t>
            </w:r>
          </w:p>
        </w:tc>
        <w:tc>
          <w:tcPr>
            <w:tcW w:type="dxa" w:w="1512"/>
            <w:vAlign w:val="top"/>
          </w:tcPr>
          <w:p>
            <w:pPr>
              <w:spacing w:after="40" w:before="0" w:line="259" w:lineRule="auto"/>
            </w:pPr>
            <w:r>
              <w:rPr>
                <w:rFonts w:ascii="Calibri" w:hAnsi="Calibri"/>
                <w:b w:val="0"/>
                <w:i w:val="0"/>
                <w:color w:val="212121"/>
                <w:sz w:val="19"/>
              </w:rPr>
              <w:t>≤ 2, spaced, supervised deliveries</w:t>
            </w:r>
          </w:p>
        </w:tc>
        <w:tc>
          <w:tcPr>
            <w:tcW w:type="dxa" w:w="1512"/>
            <w:vAlign w:val="top"/>
          </w:tcPr>
          <w:p>
            <w:pPr>
              <w:spacing w:after="40" w:before="0" w:line="259" w:lineRule="auto"/>
            </w:pPr>
            <w:r>
              <w:rPr>
                <w:rFonts w:ascii="Calibri" w:hAnsi="Calibri"/>
                <w:b w:val="0"/>
                <w:i w:val="0"/>
                <w:color w:val="212121"/>
                <w:sz w:val="19"/>
              </w:rPr>
              <w:t>Grand multiparity (≥ 5) or home delivery</w:t>
            </w:r>
          </w:p>
        </w:tc>
        <w:tc>
          <w:tcPr>
            <w:tcW w:type="dxa" w:w="1468"/>
            <w:vAlign w:val="top"/>
          </w:tcPr>
          <w:p>
            <w:pPr>
              <w:spacing w:after="60" w:line="259" w:lineRule="auto"/>
            </w:pPr>
            <w:r>
              <w:rPr>
                <w:rFonts w:ascii="Calibri" w:hAnsi="Calibri"/>
                <w:b w:val="0"/>
                <w:i w:val="0"/>
                <w:color w:val="212121"/>
                <w:sz w:val="19"/>
              </w:rPr>
              <w:t>Vaginal childbirth is the strongest risk factor</w:t>
            </w:r>
          </w:p>
          <w:p>
            <w:pPr>
              <w:spacing w:after="40" w:line="252" w:lineRule="auto"/>
            </w:pPr>
            <w:hyperlink r:id="rId9">
              <w:r>
                <w:rPr>
                  <w:rFonts w:ascii="Calibri" w:hAnsi="Calibri" w:cs="Calibri"/>
                  <w:sz w:val="18"/>
                  <w:color w:val="1155CC"/>
                  <w:u w:val="single"/>
                </w:rPr>
                <w:t xml:space="preserve">https://pubmed.ncbi.nlm.nih.gov/35734362/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POP-Q stage (leading edge vs hymen)</w:t>
            </w:r>
          </w:p>
        </w:tc>
        <w:tc>
          <w:tcPr>
            <w:tcW w:type="dxa" w:w="1655"/>
            <w:vAlign w:val="top"/>
          </w:tcPr>
          <w:p>
            <w:pPr>
              <w:spacing w:after="40" w:before="0" w:line="259" w:lineRule="auto"/>
            </w:pPr>
            <w:r>
              <w:rPr>
                <w:rFonts w:ascii="Calibri" w:hAnsi="Calibri"/>
                <w:b w:val="0"/>
                <w:i w:val="0"/>
                <w:color w:val="212121"/>
                <w:sz w:val="19"/>
              </w:rPr>
              <w:t>Symptomatic women</w:t>
            </w:r>
          </w:p>
        </w:tc>
        <w:tc>
          <w:tcPr>
            <w:tcW w:type="dxa" w:w="1512"/>
            <w:vAlign w:val="top"/>
          </w:tcPr>
          <w:p>
            <w:pPr>
              <w:spacing w:after="40" w:before="0" w:line="259" w:lineRule="auto"/>
            </w:pPr>
            <w:r>
              <w:rPr>
                <w:rFonts w:ascii="Calibri" w:hAnsi="Calibri"/>
                <w:b w:val="0"/>
                <w:i w:val="0"/>
                <w:color w:val="212121"/>
                <w:sz w:val="19"/>
              </w:rPr>
              <w:t>Stage 0</w:t>
            </w:r>
          </w:p>
        </w:tc>
        <w:tc>
          <w:tcPr>
            <w:tcW w:type="dxa" w:w="1512"/>
            <w:vAlign w:val="top"/>
          </w:tcPr>
          <w:p>
            <w:pPr>
              <w:spacing w:after="40" w:before="0" w:line="259" w:lineRule="auto"/>
            </w:pPr>
            <w:r>
              <w:rPr>
                <w:rFonts w:ascii="Calibri" w:hAnsi="Calibri"/>
                <w:b w:val="0"/>
                <w:i w:val="0"/>
                <w:color w:val="212121"/>
                <w:sz w:val="19"/>
              </w:rPr>
              <w:t>Stage ≥ II (edge at/through hymen)</w:t>
            </w:r>
          </w:p>
        </w:tc>
        <w:tc>
          <w:tcPr>
            <w:tcW w:type="dxa" w:w="1468"/>
            <w:vAlign w:val="top"/>
          </w:tcPr>
          <w:p>
            <w:pPr>
              <w:spacing w:after="60" w:line="259" w:lineRule="auto"/>
            </w:pPr>
            <w:r>
              <w:rPr>
                <w:rFonts w:ascii="Calibri" w:hAnsi="Calibri"/>
                <w:b w:val="0"/>
                <w:i w:val="0"/>
                <w:color w:val="212121"/>
                <w:sz w:val="19"/>
              </w:rPr>
              <w:t>Descent to/beyond the hymen is the symptom threshold</w:t>
            </w:r>
          </w:p>
          <w:p>
            <w:pPr>
              <w:spacing w:after="40" w:line="252" w:lineRule="auto"/>
            </w:pPr>
            <w:hyperlink r:id="rId10">
              <w:r>
                <w:rPr>
                  <w:rFonts w:ascii="Calibri" w:hAnsi="Calibri" w:cs="Calibri"/>
                  <w:sz w:val="18"/>
                  <w:color w:val="1155CC"/>
                  <w:u w:val="single"/>
                </w:rPr>
                <w:t xml:space="preserve">https://www.ncbi.nlm.nih.gov/books/NBK563229/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Post-void residual urine</w:t>
            </w:r>
          </w:p>
        </w:tc>
        <w:tc>
          <w:tcPr>
            <w:tcW w:type="dxa" w:w="1655"/>
            <w:vAlign w:val="top"/>
          </w:tcPr>
          <w:p>
            <w:pPr>
              <w:spacing w:after="40" w:before="0" w:line="259" w:lineRule="auto"/>
            </w:pPr>
            <w:r>
              <w:rPr>
                <w:rFonts w:ascii="Calibri" w:hAnsi="Calibri"/>
                <w:b w:val="0"/>
                <w:i w:val="0"/>
                <w:color w:val="212121"/>
                <w:sz w:val="19"/>
              </w:rPr>
              <w:t>Women with advanced prolapse</w:t>
            </w:r>
          </w:p>
        </w:tc>
        <w:tc>
          <w:tcPr>
            <w:tcW w:type="dxa" w:w="1512"/>
            <w:vAlign w:val="top"/>
          </w:tcPr>
          <w:p>
            <w:pPr>
              <w:spacing w:after="40" w:before="0" w:line="259" w:lineRule="auto"/>
            </w:pPr>
            <w:r>
              <w:rPr>
                <w:rFonts w:ascii="Calibri" w:hAnsi="Calibri"/>
                <w:b w:val="0"/>
                <w:i w:val="0"/>
                <w:color w:val="212121"/>
                <w:sz w:val="19"/>
              </w:rPr>
              <w:t>&lt; 100 mL</w:t>
            </w:r>
          </w:p>
        </w:tc>
        <w:tc>
          <w:tcPr>
            <w:tcW w:type="dxa" w:w="1512"/>
            <w:vAlign w:val="top"/>
          </w:tcPr>
          <w:p>
            <w:pPr>
              <w:spacing w:after="40" w:before="0" w:line="259" w:lineRule="auto"/>
            </w:pPr>
            <w:r>
              <w:rPr>
                <w:rFonts w:ascii="Calibri" w:hAnsi="Calibri"/>
                <w:b w:val="0"/>
                <w:i w:val="0"/>
                <w:color w:val="212121"/>
                <w:sz w:val="19"/>
              </w:rPr>
              <w:t>≥ 150 mL / incomplete emptying</w:t>
            </w:r>
          </w:p>
        </w:tc>
        <w:tc>
          <w:tcPr>
            <w:tcW w:type="dxa" w:w="1468"/>
            <w:vAlign w:val="top"/>
          </w:tcPr>
          <w:p>
            <w:pPr>
              <w:spacing w:after="40" w:before="0" w:line="259" w:lineRule="auto"/>
            </w:pPr>
            <w:r>
              <w:rPr>
                <w:rFonts w:ascii="Calibri" w:hAnsi="Calibri"/>
                <w:b w:val="0"/>
                <w:i w:val="0"/>
                <w:color w:val="212121"/>
                <w:sz w:val="19"/>
              </w:rPr>
              <w:t>Advanced descent kinks the urethra and impairs voiding</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Point-of-care</w:t>
            </w:r>
          </w:p>
        </w:tc>
        <w:tc>
          <w:tcPr>
            <w:tcW w:type="dxa" w:w="1036"/>
            <w:vAlign w:val="top"/>
          </w:tcPr>
          <w:p>
            <w:pPr>
              <w:spacing w:after="40" w:before="0" w:line="259" w:lineRule="auto"/>
            </w:pPr>
            <w:r>
              <w:rPr>
                <w:rFonts w:ascii="Calibri" w:hAnsi="Calibri"/>
                <w:b w:val="0"/>
                <w:i w:val="0"/>
                <w:color w:val="212121"/>
                <w:sz w:val="16"/>
              </w:rPr>
              <w:t>Post-void residual urine</w:t>
            </w:r>
          </w:p>
        </w:tc>
        <w:tc>
          <w:tcPr>
            <w:tcW w:type="dxa" w:w="892"/>
            <w:vAlign w:val="top"/>
          </w:tcPr>
          <w:p>
            <w:pPr>
              <w:spacing w:after="40" w:before="0" w:line="259" w:lineRule="auto"/>
            </w:pPr>
            <w:r>
              <w:rPr>
                <w:rFonts w:ascii="Calibri" w:hAnsi="Calibri"/>
                <w:b w:val="0"/>
                <w:i w:val="0"/>
                <w:color w:val="212121"/>
                <w:sz w:val="16"/>
              </w:rPr>
              <w:t>Bladder ultrasound / catheter</w:t>
            </w:r>
          </w:p>
        </w:tc>
        <w:tc>
          <w:tcPr>
            <w:tcW w:type="dxa" w:w="950"/>
            <w:vAlign w:val="top"/>
          </w:tcPr>
          <w:p>
            <w:pPr>
              <w:spacing w:after="40" w:before="0" w:line="259" w:lineRule="auto"/>
            </w:pPr>
            <w:r>
              <w:rPr>
                <w:rFonts w:ascii="Calibri" w:hAnsi="Calibri"/>
                <w:b w:val="0"/>
                <w:i w:val="0"/>
                <w:color w:val="212121"/>
                <w:sz w:val="16"/>
              </w:rPr>
              <w:t>&lt; 100 mL</w:t>
            </w:r>
          </w:p>
        </w:tc>
        <w:tc>
          <w:tcPr>
            <w:tcW w:type="dxa" w:w="950"/>
            <w:vAlign w:val="top"/>
          </w:tcPr>
          <w:p>
            <w:pPr>
              <w:spacing w:after="40" w:before="0" w:line="259" w:lineRule="auto"/>
            </w:pPr>
            <w:r>
              <w:rPr>
                <w:rFonts w:ascii="Calibri" w:hAnsi="Calibri"/>
                <w:b w:val="0"/>
                <w:i w:val="0"/>
                <w:color w:val="212121"/>
                <w:sz w:val="16"/>
              </w:rPr>
              <w:t>≥ 150 mL</w:t>
            </w:r>
          </w:p>
        </w:tc>
        <w:tc>
          <w:tcPr>
            <w:tcW w:type="dxa" w:w="1036"/>
            <w:vAlign w:val="top"/>
          </w:tcPr>
          <w:p>
            <w:pPr>
              <w:spacing w:after="40" w:before="0" w:line="259" w:lineRule="auto"/>
            </w:pPr>
            <w:r>
              <w:rPr>
                <w:rFonts w:ascii="Calibri" w:hAnsi="Calibri"/>
                <w:b w:val="0"/>
                <w:i w:val="0"/>
                <w:color w:val="212121"/>
                <w:sz w:val="16"/>
              </w:rPr>
              <w:t>Elevated residual signals outflow obstruction from advanced prolapse</w:t>
            </w:r>
          </w:p>
        </w:tc>
        <w:tc>
          <w:tcPr>
            <w:tcW w:type="dxa" w:w="1036"/>
            <w:vAlign w:val="top"/>
          </w:tcPr>
          <w:p>
            <w:pPr>
              <w:spacing w:after="40" w:before="0" w:line="259" w:lineRule="auto"/>
            </w:pPr>
            <w:r>
              <w:rPr>
                <w:rFonts w:ascii="Calibri" w:hAnsi="Calibri"/>
                <w:b w:val="0"/>
                <w:i w:val="0"/>
                <w:color w:val="212121"/>
                <w:sz w:val="16"/>
              </w:rPr>
              <w:t>Women with cystocele or procidentia, voiding difficulty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Persistent retention risks upper-tract damage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Urinalysis &amp; urine culture</w:t>
            </w:r>
          </w:p>
        </w:tc>
        <w:tc>
          <w:tcPr>
            <w:tcW w:type="dxa" w:w="892"/>
            <w:vAlign w:val="top"/>
          </w:tcPr>
          <w:p>
            <w:pPr>
              <w:spacing w:after="40" w:before="0" w:line="259" w:lineRule="auto"/>
            </w:pPr>
            <w:r>
              <w:rPr>
                <w:rFonts w:ascii="Calibri" w:hAnsi="Calibri"/>
                <w:b w:val="0"/>
                <w:i w:val="0"/>
                <w:color w:val="212121"/>
                <w:sz w:val="16"/>
              </w:rPr>
              <w:t>Midstream urine</w:t>
            </w:r>
          </w:p>
        </w:tc>
        <w:tc>
          <w:tcPr>
            <w:tcW w:type="dxa" w:w="950"/>
            <w:vAlign w:val="top"/>
          </w:tcPr>
          <w:p>
            <w:pPr>
              <w:spacing w:after="40" w:before="0" w:line="259" w:lineRule="auto"/>
            </w:pPr>
            <w:r>
              <w:rPr>
                <w:rFonts w:ascii="Calibri" w:hAnsi="Calibri"/>
                <w:b w:val="0"/>
                <w:i w:val="0"/>
                <w:color w:val="212121"/>
                <w:sz w:val="16"/>
              </w:rPr>
              <w:t>No significant growth</w:t>
            </w:r>
          </w:p>
        </w:tc>
        <w:tc>
          <w:tcPr>
            <w:tcW w:type="dxa" w:w="950"/>
            <w:vAlign w:val="top"/>
          </w:tcPr>
          <w:p>
            <w:pPr>
              <w:spacing w:after="40" w:before="0" w:line="259" w:lineRule="auto"/>
            </w:pPr>
            <w:r>
              <w:rPr>
                <w:rFonts w:ascii="Calibri" w:hAnsi="Calibri"/>
                <w:b w:val="0"/>
                <w:i w:val="0"/>
                <w:color w:val="212121"/>
                <w:sz w:val="16"/>
              </w:rPr>
              <w:t>≥ 10^5 CFU/mL uropathogen with pyuria</w:t>
            </w:r>
          </w:p>
        </w:tc>
        <w:tc>
          <w:tcPr>
            <w:tcW w:type="dxa" w:w="1036"/>
            <w:vAlign w:val="top"/>
          </w:tcPr>
          <w:p>
            <w:pPr>
              <w:spacing w:after="40" w:before="0" w:line="259" w:lineRule="auto"/>
            </w:pPr>
            <w:r>
              <w:rPr>
                <w:rFonts w:ascii="Calibri" w:hAnsi="Calibri"/>
                <w:b w:val="0"/>
                <w:i w:val="0"/>
                <w:color w:val="212121"/>
                <w:sz w:val="16"/>
              </w:rPr>
              <w:t>Confirms/excludes UTI, which recurs with incomplete emptying</w:t>
            </w:r>
          </w:p>
        </w:tc>
        <w:tc>
          <w:tcPr>
            <w:tcW w:type="dxa" w:w="1036"/>
            <w:vAlign w:val="top"/>
          </w:tcPr>
          <w:p>
            <w:pPr>
              <w:spacing w:after="40" w:before="0" w:line="259" w:lineRule="auto"/>
            </w:pPr>
            <w:r>
              <w:rPr>
                <w:rFonts w:ascii="Calibri" w:hAnsi="Calibri"/>
                <w:b w:val="0"/>
                <w:i w:val="0"/>
                <w:color w:val="212121"/>
                <w:sz w:val="16"/>
              </w:rPr>
              <w:t>Women with dysuria, recurrent UTI, retention</w:t>
            </w:r>
          </w:p>
        </w:tc>
        <w:tc>
          <w:tcPr>
            <w:tcW w:type="dxa" w:w="720"/>
            <w:vAlign w:val="top"/>
          </w:tcPr>
          <w:p>
            <w:pPr>
              <w:spacing w:after="40" w:before="0" w:line="259" w:lineRule="auto"/>
            </w:pPr>
            <w:r>
              <w:rPr>
                <w:rFonts w:ascii="Calibri" w:hAnsi="Calibri"/>
                <w:b w:val="0"/>
                <w:i w:val="0"/>
                <w:color w:val="212121"/>
                <w:sz w:val="16"/>
              </w:rPr>
              <w:t>Water; Hygiene</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Treat infection before elective surgery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Biochemical/Imaging</w:t>
            </w:r>
          </w:p>
        </w:tc>
        <w:tc>
          <w:tcPr>
            <w:tcW w:type="dxa" w:w="1036"/>
            <w:vAlign w:val="top"/>
          </w:tcPr>
          <w:p>
            <w:pPr>
              <w:spacing w:after="40" w:before="0" w:line="259" w:lineRule="auto"/>
            </w:pPr>
            <w:r>
              <w:rPr>
                <w:rFonts w:ascii="Calibri" w:hAnsi="Calibri"/>
                <w:b w:val="0"/>
                <w:i w:val="0"/>
                <w:color w:val="212121"/>
                <w:sz w:val="16"/>
              </w:rPr>
              <w:t>Serum creatinine + renal ultrasound</w:t>
            </w:r>
          </w:p>
        </w:tc>
        <w:tc>
          <w:tcPr>
            <w:tcW w:type="dxa" w:w="892"/>
            <w:vAlign w:val="top"/>
          </w:tcPr>
          <w:p>
            <w:pPr>
              <w:spacing w:after="40" w:before="0" w:line="259" w:lineRule="auto"/>
            </w:pPr>
            <w:r>
              <w:rPr>
                <w:rFonts w:ascii="Calibri" w:hAnsi="Calibri"/>
                <w:b w:val="0"/>
                <w:i w:val="0"/>
                <w:color w:val="212121"/>
                <w:sz w:val="16"/>
              </w:rPr>
              <w:t>Renal function &amp; KUB ultrasound</w:t>
            </w:r>
          </w:p>
        </w:tc>
        <w:tc>
          <w:tcPr>
            <w:tcW w:type="dxa" w:w="950"/>
            <w:vAlign w:val="top"/>
          </w:tcPr>
          <w:p>
            <w:pPr>
              <w:spacing w:after="40" w:before="0" w:line="259" w:lineRule="auto"/>
            </w:pPr>
            <w:r>
              <w:rPr>
                <w:rFonts w:ascii="Calibri" w:hAnsi="Calibri"/>
                <w:b w:val="0"/>
                <w:i w:val="0"/>
                <w:color w:val="212121"/>
                <w:sz w:val="16"/>
              </w:rPr>
              <w:t>Normal creatinine; no hydronephrosis</w:t>
            </w:r>
          </w:p>
        </w:tc>
        <w:tc>
          <w:tcPr>
            <w:tcW w:type="dxa" w:w="950"/>
            <w:vAlign w:val="top"/>
          </w:tcPr>
          <w:p>
            <w:pPr>
              <w:spacing w:after="40" w:before="0" w:line="259" w:lineRule="auto"/>
            </w:pPr>
            <w:r>
              <w:rPr>
                <w:rFonts w:ascii="Calibri" w:hAnsi="Calibri"/>
                <w:b w:val="0"/>
                <w:i w:val="0"/>
                <w:color w:val="212121"/>
                <w:sz w:val="16"/>
              </w:rPr>
              <w:t>Raised creatinine; hydroureter/hydronephrosis</w:t>
            </w:r>
          </w:p>
        </w:tc>
        <w:tc>
          <w:tcPr>
            <w:tcW w:type="dxa" w:w="1036"/>
            <w:vAlign w:val="top"/>
          </w:tcPr>
          <w:p>
            <w:pPr>
              <w:spacing w:after="40" w:before="0" w:line="259" w:lineRule="auto"/>
            </w:pPr>
            <w:r>
              <w:rPr>
                <w:rFonts w:ascii="Calibri" w:hAnsi="Calibri"/>
                <w:b w:val="0"/>
                <w:i w:val="0"/>
                <w:color w:val="212121"/>
                <w:sz w:val="16"/>
              </w:rPr>
              <w:t>Long-standing procidentia can kink the ureters and cause obstructive uropathy</w:t>
            </w:r>
          </w:p>
        </w:tc>
        <w:tc>
          <w:tcPr>
            <w:tcW w:type="dxa" w:w="1036"/>
            <w:vAlign w:val="top"/>
          </w:tcPr>
          <w:p>
            <w:pPr>
              <w:spacing w:after="40" w:before="0" w:line="259" w:lineRule="auto"/>
            </w:pPr>
            <w:r>
              <w:rPr>
                <w:rFonts w:ascii="Calibri" w:hAnsi="Calibri"/>
                <w:b w:val="0"/>
                <w:i w:val="0"/>
                <w:color w:val="212121"/>
                <w:sz w:val="16"/>
              </w:rPr>
              <w:t>Complete procidentia, long-standing severe POP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Reversible if prolapse reduced early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Functional</w:t>
            </w:r>
          </w:p>
        </w:tc>
        <w:tc>
          <w:tcPr>
            <w:tcW w:type="dxa" w:w="1036"/>
            <w:vAlign w:val="top"/>
          </w:tcPr>
          <w:p>
            <w:pPr>
              <w:spacing w:after="40" w:before="0" w:line="259" w:lineRule="auto"/>
            </w:pPr>
            <w:r>
              <w:rPr>
                <w:rFonts w:ascii="Calibri" w:hAnsi="Calibri"/>
                <w:b w:val="0"/>
                <w:i w:val="0"/>
                <w:color w:val="212121"/>
                <w:sz w:val="16"/>
              </w:rPr>
              <w:t>Urodynamic study</w:t>
            </w:r>
          </w:p>
        </w:tc>
        <w:tc>
          <w:tcPr>
            <w:tcW w:type="dxa" w:w="892"/>
            <w:vAlign w:val="top"/>
          </w:tcPr>
          <w:p>
            <w:pPr>
              <w:spacing w:after="40" w:before="0" w:line="259" w:lineRule="auto"/>
            </w:pPr>
            <w:r>
              <w:rPr>
                <w:rFonts w:ascii="Calibri" w:hAnsi="Calibri"/>
                <w:b w:val="0"/>
                <w:i w:val="0"/>
                <w:color w:val="212121"/>
                <w:sz w:val="16"/>
              </w:rPr>
              <w:t>Multichannel urodynamics</w:t>
            </w:r>
          </w:p>
        </w:tc>
        <w:tc>
          <w:tcPr>
            <w:tcW w:type="dxa" w:w="950"/>
            <w:vAlign w:val="top"/>
          </w:tcPr>
          <w:p>
            <w:pPr>
              <w:spacing w:after="40" w:before="0" w:line="259" w:lineRule="auto"/>
            </w:pPr>
            <w:r>
              <w:rPr>
                <w:rFonts w:ascii="Calibri" w:hAnsi="Calibri"/>
                <w:b w:val="0"/>
                <w:i w:val="0"/>
                <w:color w:val="212121"/>
                <w:sz w:val="16"/>
              </w:rPr>
              <w:t>Stable bladder, no leak on reduction</w:t>
            </w:r>
          </w:p>
        </w:tc>
        <w:tc>
          <w:tcPr>
            <w:tcW w:type="dxa" w:w="950"/>
            <w:vAlign w:val="top"/>
          </w:tcPr>
          <w:p>
            <w:pPr>
              <w:spacing w:after="40" w:before="0" w:line="259" w:lineRule="auto"/>
            </w:pPr>
            <w:r>
              <w:rPr>
                <w:rFonts w:ascii="Calibri" w:hAnsi="Calibri"/>
                <w:b w:val="0"/>
                <w:i w:val="0"/>
                <w:color w:val="212121"/>
                <w:sz w:val="16"/>
              </w:rPr>
              <w:t>Occult/overt stress incontinence or detrusor overactivity</w:t>
            </w:r>
          </w:p>
        </w:tc>
        <w:tc>
          <w:tcPr>
            <w:tcW w:type="dxa" w:w="1036"/>
            <w:vAlign w:val="top"/>
          </w:tcPr>
          <w:p>
            <w:pPr>
              <w:spacing w:after="40" w:before="0" w:line="259" w:lineRule="auto"/>
            </w:pPr>
            <w:r>
              <w:rPr>
                <w:rFonts w:ascii="Calibri" w:hAnsi="Calibri"/>
                <w:b w:val="0"/>
                <w:i w:val="0"/>
                <w:color w:val="212121"/>
                <w:sz w:val="16"/>
              </w:rPr>
              <w:t>Unmasks occult stress incontinence when the prolapse is reduced, guiding a concomitant continence procedure</w:t>
            </w:r>
          </w:p>
        </w:tc>
        <w:tc>
          <w:tcPr>
            <w:tcW w:type="dxa" w:w="1036"/>
            <w:vAlign w:val="top"/>
          </w:tcPr>
          <w:p>
            <w:pPr>
              <w:spacing w:after="40" w:before="0" w:line="259" w:lineRule="auto"/>
            </w:pPr>
            <w:r>
              <w:rPr>
                <w:rFonts w:ascii="Calibri" w:hAnsi="Calibri"/>
                <w:b w:val="0"/>
                <w:i w:val="0"/>
                <w:color w:val="212121"/>
                <w:sz w:val="16"/>
              </w:rPr>
              <w:t>Pre-operative women, those with mixed urinary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Pre-operative planning</w:t>
            </w:r>
          </w:p>
        </w:tc>
        <w:tc>
          <w:tcPr>
            <w:tcW w:type="dxa" w:w="720"/>
            <w:vAlign w:val="top"/>
          </w:tcPr>
          <w:p>
            <w:pPr>
              <w:spacing w:after="40" w:before="0" w:line="259" w:lineRule="auto"/>
            </w:pPr>
            <w:r>
              <w:rPr>
                <w:rFonts w:ascii="Calibri" w:hAnsi="Calibri"/>
                <w:b w:val="0"/>
                <w:i w:val="0"/>
                <w:color w:val="212121"/>
                <w:sz w:val="16"/>
              </w:rPr>
              <w:t>Prolapse reduction may reveal hidden leakage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Transvaginal / pelvic ultrasound</w:t>
            </w:r>
          </w:p>
        </w:tc>
        <w:tc>
          <w:tcPr>
            <w:tcW w:type="dxa" w:w="892"/>
            <w:vAlign w:val="top"/>
          </w:tcPr>
          <w:p>
            <w:pPr>
              <w:spacing w:after="40" w:before="0" w:line="259" w:lineRule="auto"/>
            </w:pPr>
            <w:r>
              <w:rPr>
                <w:rFonts w:ascii="Calibri" w:hAnsi="Calibri"/>
                <w:b w:val="0"/>
                <w:i w:val="0"/>
                <w:color w:val="212121"/>
                <w:sz w:val="16"/>
              </w:rPr>
              <w:t>Pelvic ultrasound</w:t>
            </w:r>
          </w:p>
        </w:tc>
        <w:tc>
          <w:tcPr>
            <w:tcW w:type="dxa" w:w="950"/>
            <w:vAlign w:val="top"/>
          </w:tcPr>
          <w:p>
            <w:pPr>
              <w:spacing w:after="40" w:before="0" w:line="259" w:lineRule="auto"/>
            </w:pPr>
            <w:r>
              <w:rPr>
                <w:rFonts w:ascii="Calibri" w:hAnsi="Calibri"/>
                <w:b w:val="0"/>
                <w:i w:val="0"/>
                <w:color w:val="212121"/>
                <w:sz w:val="16"/>
              </w:rPr>
              <w:t>Normal uterus and adnexa</w:t>
            </w:r>
          </w:p>
        </w:tc>
        <w:tc>
          <w:tcPr>
            <w:tcW w:type="dxa" w:w="950"/>
            <w:vAlign w:val="top"/>
          </w:tcPr>
          <w:p>
            <w:pPr>
              <w:spacing w:after="40" w:before="0" w:line="259" w:lineRule="auto"/>
            </w:pPr>
            <w:r>
              <w:rPr>
                <w:rFonts w:ascii="Calibri" w:hAnsi="Calibri"/>
                <w:b w:val="0"/>
                <w:i w:val="0"/>
                <w:color w:val="212121"/>
                <w:sz w:val="16"/>
              </w:rPr>
              <w:t>Fibroids, adnexal mass, endometrial thickening</w:t>
            </w:r>
          </w:p>
        </w:tc>
        <w:tc>
          <w:tcPr>
            <w:tcW w:type="dxa" w:w="1036"/>
            <w:vAlign w:val="top"/>
          </w:tcPr>
          <w:p>
            <w:pPr>
              <w:spacing w:after="40" w:before="0" w:line="259" w:lineRule="auto"/>
            </w:pPr>
            <w:r>
              <w:rPr>
                <w:rFonts w:ascii="Calibri" w:hAnsi="Calibri"/>
                <w:b w:val="0"/>
                <w:i w:val="0"/>
                <w:color w:val="212121"/>
                <w:sz w:val="16"/>
              </w:rPr>
              <w:t>Excludes pelvic mass or uterine pathology before hysterectomy or pessary</w:t>
            </w:r>
          </w:p>
        </w:tc>
        <w:tc>
          <w:tcPr>
            <w:tcW w:type="dxa" w:w="1036"/>
            <w:vAlign w:val="top"/>
          </w:tcPr>
          <w:p>
            <w:pPr>
              <w:spacing w:after="40" w:before="0" w:line="259" w:lineRule="auto"/>
            </w:pPr>
            <w:r>
              <w:rPr>
                <w:rFonts w:ascii="Calibri" w:hAnsi="Calibri"/>
                <w:b w:val="0"/>
                <w:i w:val="0"/>
                <w:color w:val="212121"/>
                <w:sz w:val="16"/>
              </w:rPr>
              <w:t>Women with uterine prolapse, abnormal bleeding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adjunct</w:t>
            </w:r>
          </w:p>
        </w:tc>
        <w:tc>
          <w:tcPr>
            <w:tcW w:type="dxa" w:w="720"/>
            <w:vAlign w:val="top"/>
          </w:tcPr>
          <w:p>
            <w:pPr>
              <w:spacing w:after="40" w:before="0" w:line="259" w:lineRule="auto"/>
            </w:pPr>
            <w:r>
              <w:rPr>
                <w:rFonts w:ascii="Calibri" w:hAnsi="Calibri"/>
                <w:b w:val="0"/>
                <w:i w:val="0"/>
                <w:color w:val="212121"/>
                <w:sz w:val="16"/>
              </w:rPr>
              <w:t>Guides choice of surgery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Cytology</w:t>
            </w:r>
          </w:p>
        </w:tc>
        <w:tc>
          <w:tcPr>
            <w:tcW w:type="dxa" w:w="1036"/>
            <w:vAlign w:val="top"/>
          </w:tcPr>
          <w:p>
            <w:pPr>
              <w:spacing w:after="40" w:before="0" w:line="259" w:lineRule="auto"/>
            </w:pPr>
            <w:r>
              <w:rPr>
                <w:rFonts w:ascii="Calibri" w:hAnsi="Calibri"/>
                <w:b w:val="0"/>
                <w:i w:val="0"/>
                <w:color w:val="212121"/>
                <w:sz w:val="16"/>
              </w:rPr>
              <w:t>Cervical cytology (Pap) ± biopsy</w:t>
            </w:r>
          </w:p>
        </w:tc>
        <w:tc>
          <w:tcPr>
            <w:tcW w:type="dxa" w:w="892"/>
            <w:vAlign w:val="top"/>
          </w:tcPr>
          <w:p>
            <w:pPr>
              <w:spacing w:after="40" w:before="0" w:line="259" w:lineRule="auto"/>
            </w:pPr>
            <w:r>
              <w:rPr>
                <w:rFonts w:ascii="Calibri" w:hAnsi="Calibri"/>
                <w:b w:val="0"/>
                <w:i w:val="0"/>
                <w:color w:val="212121"/>
                <w:sz w:val="16"/>
              </w:rPr>
              <w:t>Speculum sampling / biopsy</w:t>
            </w:r>
          </w:p>
        </w:tc>
        <w:tc>
          <w:tcPr>
            <w:tcW w:type="dxa" w:w="950"/>
            <w:vAlign w:val="top"/>
          </w:tcPr>
          <w:p>
            <w:pPr>
              <w:spacing w:after="40" w:before="0" w:line="259" w:lineRule="auto"/>
            </w:pPr>
            <w:r>
              <w:rPr>
                <w:rFonts w:ascii="Calibri" w:hAnsi="Calibri"/>
                <w:b w:val="0"/>
                <w:i w:val="0"/>
                <w:color w:val="212121"/>
                <w:sz w:val="16"/>
              </w:rPr>
              <w:t>No malignancy</w:t>
            </w:r>
          </w:p>
        </w:tc>
        <w:tc>
          <w:tcPr>
            <w:tcW w:type="dxa" w:w="950"/>
            <w:vAlign w:val="top"/>
          </w:tcPr>
          <w:p>
            <w:pPr>
              <w:spacing w:after="40" w:before="0" w:line="259" w:lineRule="auto"/>
            </w:pPr>
            <w:r>
              <w:rPr>
                <w:rFonts w:ascii="Calibri" w:hAnsi="Calibri"/>
                <w:b w:val="0"/>
                <w:i w:val="0"/>
                <w:color w:val="212121"/>
                <w:sz w:val="16"/>
              </w:rPr>
              <w:t>Atypia, keratinisation or malignancy</w:t>
            </w:r>
          </w:p>
        </w:tc>
        <w:tc>
          <w:tcPr>
            <w:tcW w:type="dxa" w:w="1036"/>
            <w:vAlign w:val="top"/>
          </w:tcPr>
          <w:p>
            <w:pPr>
              <w:spacing w:after="40" w:before="0" w:line="259" w:lineRule="auto"/>
            </w:pPr>
            <w:r>
              <w:rPr>
                <w:rFonts w:ascii="Calibri" w:hAnsi="Calibri"/>
                <w:b w:val="0"/>
                <w:i w:val="0"/>
                <w:color w:val="212121"/>
                <w:sz w:val="16"/>
              </w:rPr>
              <w:t>Evaluates decubitus ulcer and keratinised epithelium of procidentia and excludes cervical cancer</w:t>
            </w:r>
          </w:p>
        </w:tc>
        <w:tc>
          <w:tcPr>
            <w:tcW w:type="dxa" w:w="1036"/>
            <w:vAlign w:val="top"/>
          </w:tcPr>
          <w:p>
            <w:pPr>
              <w:spacing w:after="40" w:before="0" w:line="259" w:lineRule="auto"/>
            </w:pPr>
            <w:r>
              <w:rPr>
                <w:rFonts w:ascii="Calibri" w:hAnsi="Calibri"/>
                <w:b w:val="0"/>
                <w:i w:val="0"/>
                <w:color w:val="212121"/>
                <w:sz w:val="16"/>
              </w:rPr>
              <w:t>Women with procidentia and ulceration or discharge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Chronic ulcer must not be assumed benign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Vaginal bulge / “something coming down”</w:t>
            </w:r>
          </w:p>
        </w:tc>
        <w:tc>
          <w:tcPr>
            <w:tcW w:type="dxa" w:w="950"/>
            <w:vAlign w:val="top"/>
          </w:tcPr>
          <w:p>
            <w:pPr>
              <w:spacing w:after="40" w:before="0" w:line="259" w:lineRule="auto"/>
            </w:pPr>
            <w:r>
              <w:rPr>
                <w:rFonts w:ascii="Calibri" w:hAnsi="Calibri"/>
                <w:b w:val="0"/>
                <w:i w:val="0"/>
                <w:color w:val="212121"/>
                <w:sz w:val="16"/>
              </w:rPr>
              <w:t>No bulge</w:t>
            </w:r>
          </w:p>
        </w:tc>
        <w:tc>
          <w:tcPr>
            <w:tcW w:type="dxa" w:w="950"/>
            <w:vAlign w:val="top"/>
          </w:tcPr>
          <w:p>
            <w:pPr>
              <w:spacing w:after="40" w:before="0" w:line="259" w:lineRule="auto"/>
            </w:pPr>
            <w:r>
              <w:rPr>
                <w:rFonts w:ascii="Calibri" w:hAnsi="Calibri"/>
                <w:b w:val="0"/>
                <w:i w:val="0"/>
                <w:color w:val="212121"/>
                <w:sz w:val="16"/>
              </w:rPr>
              <w:t>Visible or palpable bulge, worse on standing/straining</w:t>
            </w:r>
          </w:p>
        </w:tc>
        <w:tc>
          <w:tcPr>
            <w:tcW w:type="dxa" w:w="1036"/>
            <w:vAlign w:val="top"/>
          </w:tcPr>
          <w:p>
            <w:pPr>
              <w:spacing w:after="40" w:before="0" w:line="259" w:lineRule="auto"/>
            </w:pPr>
            <w:r>
              <w:rPr>
                <w:rFonts w:ascii="Calibri" w:hAnsi="Calibri"/>
                <w:b w:val="0"/>
                <w:i w:val="0"/>
                <w:color w:val="212121"/>
                <w:sz w:val="16"/>
              </w:rPr>
              <w:t>Cardinal symptom of prolapse</w:t>
            </w:r>
          </w:p>
        </w:tc>
        <w:tc>
          <w:tcPr>
            <w:tcW w:type="dxa" w:w="1036"/>
            <w:vAlign w:val="top"/>
          </w:tcPr>
          <w:p>
            <w:pPr>
              <w:spacing w:after="40" w:before="0" w:line="259" w:lineRule="auto"/>
            </w:pPr>
            <w:r>
              <w:rPr>
                <w:rFonts w:ascii="Calibri" w:hAnsi="Calibri"/>
                <w:b w:val="0"/>
                <w:i w:val="0"/>
                <w:color w:val="212121"/>
                <w:sz w:val="16"/>
              </w:rPr>
              <w:t>Parous and postmenopausal women</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Often under-reported due to embarrassment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Obstetric history</w:t>
            </w:r>
          </w:p>
        </w:tc>
        <w:tc>
          <w:tcPr>
            <w:tcW w:type="dxa" w:w="979"/>
            <w:vAlign w:val="top"/>
          </w:tcPr>
          <w:p>
            <w:pPr>
              <w:spacing w:after="40" w:before="0" w:line="259" w:lineRule="auto"/>
            </w:pPr>
            <w:r>
              <w:rPr>
                <w:rFonts w:ascii="Calibri" w:hAnsi="Calibri"/>
                <w:b w:val="0"/>
                <w:i w:val="0"/>
                <w:color w:val="212121"/>
                <w:sz w:val="16"/>
              </w:rPr>
              <w:t>Parity, place/mode of delivery, birthweight, prolonged labour</w:t>
            </w:r>
          </w:p>
        </w:tc>
        <w:tc>
          <w:tcPr>
            <w:tcW w:type="dxa" w:w="950"/>
            <w:vAlign w:val="top"/>
          </w:tcPr>
          <w:p>
            <w:pPr>
              <w:spacing w:after="40" w:before="0" w:line="259" w:lineRule="auto"/>
            </w:pPr>
            <w:r>
              <w:rPr>
                <w:rFonts w:ascii="Calibri" w:hAnsi="Calibri"/>
                <w:b w:val="0"/>
                <w:i w:val="0"/>
                <w:color w:val="212121"/>
                <w:sz w:val="16"/>
              </w:rPr>
              <w:t>Low parity, supervised delivery</w:t>
            </w:r>
          </w:p>
        </w:tc>
        <w:tc>
          <w:tcPr>
            <w:tcW w:type="dxa" w:w="950"/>
            <w:vAlign w:val="top"/>
          </w:tcPr>
          <w:p>
            <w:pPr>
              <w:spacing w:after="40" w:before="0" w:line="259" w:lineRule="auto"/>
            </w:pPr>
            <w:r>
              <w:rPr>
                <w:rFonts w:ascii="Calibri" w:hAnsi="Calibri"/>
                <w:b w:val="0"/>
                <w:i w:val="0"/>
                <w:color w:val="212121"/>
                <w:sz w:val="16"/>
              </w:rPr>
              <w:t>Grand multiparity, home/instrumental delivery, macrosomia, early work resumption</w:t>
            </w:r>
          </w:p>
        </w:tc>
        <w:tc>
          <w:tcPr>
            <w:tcW w:type="dxa" w:w="1036"/>
            <w:vAlign w:val="top"/>
          </w:tcPr>
          <w:p>
            <w:pPr>
              <w:spacing w:after="40" w:before="0" w:line="259" w:lineRule="auto"/>
            </w:pPr>
            <w:r>
              <w:rPr>
                <w:rFonts w:ascii="Calibri" w:hAnsi="Calibri"/>
                <w:b w:val="0"/>
                <w:i w:val="0"/>
                <w:color w:val="212121"/>
                <w:sz w:val="16"/>
              </w:rPr>
              <w:t>Establishes the dominant obstetric aetiology</w:t>
            </w:r>
          </w:p>
        </w:tc>
        <w:tc>
          <w:tcPr>
            <w:tcW w:type="dxa" w:w="1036"/>
            <w:vAlign w:val="top"/>
          </w:tcPr>
          <w:p>
            <w:pPr>
              <w:spacing w:after="40" w:before="0" w:line="259" w:lineRule="auto"/>
            </w:pPr>
            <w:r>
              <w:rPr>
                <w:rFonts w:ascii="Calibri" w:hAnsi="Calibri"/>
                <w:b w:val="0"/>
                <w:i w:val="0"/>
                <w:color w:val="212121"/>
                <w:sz w:val="16"/>
              </w:rPr>
              <w:t>All women assessed for POP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counselling and prevention in future pregnancies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Urinary history</w:t>
            </w:r>
          </w:p>
        </w:tc>
        <w:tc>
          <w:tcPr>
            <w:tcW w:type="dxa" w:w="979"/>
            <w:vAlign w:val="top"/>
          </w:tcPr>
          <w:p>
            <w:pPr>
              <w:spacing w:after="40" w:before="0" w:line="259" w:lineRule="auto"/>
            </w:pPr>
            <w:r>
              <w:rPr>
                <w:rFonts w:ascii="Calibri" w:hAnsi="Calibri"/>
                <w:b w:val="0"/>
                <w:i w:val="0"/>
                <w:color w:val="212121"/>
                <w:sz w:val="16"/>
              </w:rPr>
              <w:t>Stress leakage, incomplete emptying, splinting, recurrent UTI</w:t>
            </w:r>
          </w:p>
        </w:tc>
        <w:tc>
          <w:tcPr>
            <w:tcW w:type="dxa" w:w="950"/>
            <w:vAlign w:val="top"/>
          </w:tcPr>
          <w:p>
            <w:pPr>
              <w:spacing w:after="40" w:before="0" w:line="259" w:lineRule="auto"/>
            </w:pPr>
            <w:r>
              <w:rPr>
                <w:rFonts w:ascii="Calibri" w:hAnsi="Calibri"/>
                <w:b w:val="0"/>
                <w:i w:val="0"/>
                <w:color w:val="212121"/>
                <w:sz w:val="16"/>
              </w:rPr>
              <w:t>No urinary symptoms</w:t>
            </w:r>
          </w:p>
        </w:tc>
        <w:tc>
          <w:tcPr>
            <w:tcW w:type="dxa" w:w="950"/>
            <w:vAlign w:val="top"/>
          </w:tcPr>
          <w:p>
            <w:pPr>
              <w:spacing w:after="40" w:before="0" w:line="259" w:lineRule="auto"/>
            </w:pPr>
            <w:r>
              <w:rPr>
                <w:rFonts w:ascii="Calibri" w:hAnsi="Calibri"/>
                <w:b w:val="0"/>
                <w:i w:val="0"/>
                <w:color w:val="212121"/>
                <w:sz w:val="16"/>
              </w:rPr>
              <w:t>Any lower urinary tract symptom or need to reduce bulge to void</w:t>
            </w:r>
          </w:p>
        </w:tc>
        <w:tc>
          <w:tcPr>
            <w:tcW w:type="dxa" w:w="1036"/>
            <w:vAlign w:val="top"/>
          </w:tcPr>
          <w:p>
            <w:pPr>
              <w:spacing w:after="40" w:before="0" w:line="259" w:lineRule="auto"/>
            </w:pPr>
            <w:r>
              <w:rPr>
                <w:rFonts w:ascii="Calibri" w:hAnsi="Calibri"/>
                <w:b w:val="0"/>
                <w:i w:val="0"/>
                <w:color w:val="212121"/>
                <w:sz w:val="16"/>
              </w:rPr>
              <w:t>Defines anterior-compartment and occult-incontinence burden</w:t>
            </w:r>
          </w:p>
        </w:tc>
        <w:tc>
          <w:tcPr>
            <w:tcW w:type="dxa" w:w="1036"/>
            <w:vAlign w:val="top"/>
          </w:tcPr>
          <w:p>
            <w:pPr>
              <w:spacing w:after="40" w:before="0" w:line="259" w:lineRule="auto"/>
            </w:pPr>
            <w:r>
              <w:rPr>
                <w:rFonts w:ascii="Calibri" w:hAnsi="Calibri"/>
                <w:b w:val="0"/>
                <w:i w:val="0"/>
                <w:color w:val="212121"/>
                <w:sz w:val="16"/>
              </w:rPr>
              <w:t>Women with cystocele or apical prolapse</w:t>
            </w:r>
          </w:p>
        </w:tc>
        <w:tc>
          <w:tcPr>
            <w:tcW w:type="dxa" w:w="720"/>
            <w:vAlign w:val="top"/>
          </w:tcPr>
          <w:p>
            <w:pPr>
              <w:spacing w:after="40" w:before="0" w:line="259" w:lineRule="auto"/>
            </w:pPr>
            <w:r>
              <w:rPr>
                <w:rFonts w:ascii="Calibri" w:hAnsi="Calibri"/>
                <w:b w:val="0"/>
                <w:i w:val="0"/>
                <w:color w:val="212121"/>
                <w:sz w:val="16"/>
              </w:rPr>
              <w:t>Water; Caffeine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digital reduction (splinting) to void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Bowel &amp; sexual history</w:t>
            </w:r>
          </w:p>
        </w:tc>
        <w:tc>
          <w:tcPr>
            <w:tcW w:type="dxa" w:w="979"/>
            <w:vAlign w:val="top"/>
          </w:tcPr>
          <w:p>
            <w:pPr>
              <w:spacing w:after="40" w:before="0" w:line="259" w:lineRule="auto"/>
            </w:pPr>
            <w:r>
              <w:rPr>
                <w:rFonts w:ascii="Calibri" w:hAnsi="Calibri"/>
                <w:b w:val="0"/>
                <w:i w:val="0"/>
                <w:color w:val="212121"/>
                <w:sz w:val="16"/>
              </w:rPr>
              <w:t>Straining, splinting to defecate, faecal urgency, dyspareunia</w:t>
            </w:r>
          </w:p>
        </w:tc>
        <w:tc>
          <w:tcPr>
            <w:tcW w:type="dxa" w:w="950"/>
            <w:vAlign w:val="top"/>
          </w:tcPr>
          <w:p>
            <w:pPr>
              <w:spacing w:after="40" w:before="0" w:line="259" w:lineRule="auto"/>
            </w:pPr>
            <w:r>
              <w:rPr>
                <w:rFonts w:ascii="Calibri" w:hAnsi="Calibri"/>
                <w:b w:val="0"/>
                <w:i w:val="0"/>
                <w:color w:val="212121"/>
                <w:sz w:val="16"/>
              </w:rPr>
              <w:t>Normal bowel and sexual function</w:t>
            </w:r>
          </w:p>
        </w:tc>
        <w:tc>
          <w:tcPr>
            <w:tcW w:type="dxa" w:w="950"/>
            <w:vAlign w:val="top"/>
          </w:tcPr>
          <w:p>
            <w:pPr>
              <w:spacing w:after="40" w:before="0" w:line="259" w:lineRule="auto"/>
            </w:pPr>
            <w:r>
              <w:rPr>
                <w:rFonts w:ascii="Calibri" w:hAnsi="Calibri"/>
                <w:b w:val="0"/>
                <w:i w:val="0"/>
                <w:color w:val="212121"/>
                <w:sz w:val="16"/>
              </w:rPr>
              <w:t>Obstructed defecation, need to splint, painful/avoided intercourse</w:t>
            </w:r>
          </w:p>
        </w:tc>
        <w:tc>
          <w:tcPr>
            <w:tcW w:type="dxa" w:w="1036"/>
            <w:vAlign w:val="top"/>
          </w:tcPr>
          <w:p>
            <w:pPr>
              <w:spacing w:after="40" w:before="0" w:line="259" w:lineRule="auto"/>
            </w:pPr>
            <w:r>
              <w:rPr>
                <w:rFonts w:ascii="Calibri" w:hAnsi="Calibri"/>
                <w:b w:val="0"/>
                <w:i w:val="0"/>
                <w:color w:val="212121"/>
                <w:sz w:val="16"/>
              </w:rPr>
              <w:t>Defines posterior-compartment and sexual impact</w:t>
            </w:r>
          </w:p>
        </w:tc>
        <w:tc>
          <w:tcPr>
            <w:tcW w:type="dxa" w:w="1036"/>
            <w:vAlign w:val="top"/>
          </w:tcPr>
          <w:p>
            <w:pPr>
              <w:spacing w:after="40" w:before="0" w:line="259" w:lineRule="auto"/>
            </w:pPr>
            <w:r>
              <w:rPr>
                <w:rFonts w:ascii="Calibri" w:hAnsi="Calibri"/>
                <w:b w:val="0"/>
                <w:i w:val="0"/>
                <w:color w:val="212121"/>
                <w:sz w:val="16"/>
              </w:rPr>
              <w:t>Women with rectocele/enterocele, sexually active women</w:t>
            </w:r>
          </w:p>
        </w:tc>
        <w:tc>
          <w:tcPr>
            <w:tcW w:type="dxa" w:w="720"/>
            <w:vAlign w:val="top"/>
          </w:tcPr>
          <w:p>
            <w:pPr>
              <w:spacing w:after="40" w:before="0" w:line="259" w:lineRule="auto"/>
            </w:pPr>
            <w:r>
              <w:rPr>
                <w:rFonts w:ascii="Calibri" w:hAnsi="Calibri"/>
                <w:b w:val="0"/>
                <w:i w:val="0"/>
                <w:color w:val="212121"/>
                <w:sz w:val="16"/>
              </w:rPr>
              <w:t>Food; 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Splinting to defecate suggests rectocele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Sims speculum examination with Valsalva</w:t>
            </w:r>
          </w:p>
        </w:tc>
        <w:tc>
          <w:tcPr>
            <w:tcW w:type="dxa" w:w="979"/>
            <w:vAlign w:val="top"/>
          </w:tcPr>
          <w:p>
            <w:pPr>
              <w:spacing w:after="40" w:before="0" w:line="259" w:lineRule="auto"/>
            </w:pPr>
            <w:r>
              <w:rPr>
                <w:rFonts w:ascii="Calibri" w:hAnsi="Calibri"/>
                <w:b w:val="0"/>
                <w:i w:val="0"/>
                <w:color w:val="212121"/>
                <w:sz w:val="16"/>
              </w:rPr>
              <w:t>Anterior, posterior, apical wall descent</w:t>
            </w:r>
          </w:p>
        </w:tc>
        <w:tc>
          <w:tcPr>
            <w:tcW w:type="dxa" w:w="950"/>
            <w:vAlign w:val="top"/>
          </w:tcPr>
          <w:p>
            <w:pPr>
              <w:spacing w:after="40" w:before="0" w:line="259" w:lineRule="auto"/>
            </w:pPr>
            <w:r>
              <w:rPr>
                <w:rFonts w:ascii="Calibri" w:hAnsi="Calibri"/>
                <w:b w:val="0"/>
                <w:i w:val="0"/>
                <w:color w:val="212121"/>
                <w:sz w:val="16"/>
              </w:rPr>
              <w:t>No descent on strain</w:t>
            </w:r>
          </w:p>
        </w:tc>
        <w:tc>
          <w:tcPr>
            <w:tcW w:type="dxa" w:w="950"/>
            <w:vAlign w:val="top"/>
          </w:tcPr>
          <w:p>
            <w:pPr>
              <w:spacing w:after="40" w:before="0" w:line="259" w:lineRule="auto"/>
            </w:pPr>
            <w:r>
              <w:rPr>
                <w:rFonts w:ascii="Calibri" w:hAnsi="Calibri"/>
                <w:b w:val="0"/>
                <w:i w:val="0"/>
                <w:color w:val="212121"/>
                <w:sz w:val="16"/>
              </w:rPr>
              <w:t>Cystocele, rectocele, uterine/vault descent</w:t>
            </w:r>
          </w:p>
        </w:tc>
        <w:tc>
          <w:tcPr>
            <w:tcW w:type="dxa" w:w="1036"/>
            <w:vAlign w:val="top"/>
          </w:tcPr>
          <w:p>
            <w:pPr>
              <w:spacing w:after="40" w:before="0" w:line="259" w:lineRule="auto"/>
            </w:pPr>
            <w:r>
              <w:rPr>
                <w:rFonts w:ascii="Calibri" w:hAnsi="Calibri"/>
                <w:b w:val="0"/>
                <w:i w:val="0"/>
                <w:color w:val="212121"/>
                <w:sz w:val="16"/>
              </w:rPr>
              <w:t>Demonstrates and localises prolapse by compartment</w:t>
            </w:r>
          </w:p>
        </w:tc>
        <w:tc>
          <w:tcPr>
            <w:tcW w:type="dxa" w:w="1036"/>
            <w:vAlign w:val="top"/>
          </w:tcPr>
          <w:p>
            <w:pPr>
              <w:spacing w:after="40" w:before="0" w:line="259" w:lineRule="auto"/>
            </w:pPr>
            <w:r>
              <w:rPr>
                <w:rFonts w:ascii="Calibri" w:hAnsi="Calibri"/>
                <w:b w:val="0"/>
                <w:i w:val="0"/>
                <w:color w:val="212121"/>
                <w:sz w:val="16"/>
              </w:rPr>
              <w:t>All symptomatic women</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Examine standing/straining if supine exam under-estimates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POP-Q staging</w:t>
            </w:r>
          </w:p>
        </w:tc>
        <w:tc>
          <w:tcPr>
            <w:tcW w:type="dxa" w:w="979"/>
            <w:vAlign w:val="top"/>
          </w:tcPr>
          <w:p>
            <w:pPr>
              <w:spacing w:after="40" w:before="0" w:line="259" w:lineRule="auto"/>
            </w:pPr>
            <w:r>
              <w:rPr>
                <w:rFonts w:ascii="Calibri" w:hAnsi="Calibri"/>
                <w:b w:val="0"/>
                <w:i w:val="0"/>
                <w:color w:val="212121"/>
                <w:sz w:val="16"/>
              </w:rPr>
              <w:t>Six vaginal points relative to hymen (Aa, Ba, C, D, Ap, Bp; gh, pb, tvl)</w:t>
            </w:r>
          </w:p>
        </w:tc>
        <w:tc>
          <w:tcPr>
            <w:tcW w:type="dxa" w:w="950"/>
            <w:vAlign w:val="top"/>
          </w:tcPr>
          <w:p>
            <w:pPr>
              <w:spacing w:after="40" w:before="0" w:line="259" w:lineRule="auto"/>
            </w:pPr>
            <w:r>
              <w:rPr>
                <w:rFonts w:ascii="Calibri" w:hAnsi="Calibri"/>
                <w:b w:val="0"/>
                <w:i w:val="0"/>
                <w:color w:val="212121"/>
                <w:sz w:val="16"/>
              </w:rPr>
              <w:t>Stage 0</w:t>
            </w:r>
          </w:p>
        </w:tc>
        <w:tc>
          <w:tcPr>
            <w:tcW w:type="dxa" w:w="950"/>
            <w:vAlign w:val="top"/>
          </w:tcPr>
          <w:p>
            <w:pPr>
              <w:spacing w:after="40" w:before="0" w:line="259" w:lineRule="auto"/>
            </w:pPr>
            <w:r>
              <w:rPr>
                <w:rFonts w:ascii="Calibri" w:hAnsi="Calibri"/>
                <w:b w:val="0"/>
                <w:i w:val="0"/>
                <w:color w:val="212121"/>
                <w:sz w:val="16"/>
              </w:rPr>
              <w:t>Stage I–IV</w:t>
            </w:r>
          </w:p>
        </w:tc>
        <w:tc>
          <w:tcPr>
            <w:tcW w:type="dxa" w:w="1036"/>
            <w:vAlign w:val="top"/>
          </w:tcPr>
          <w:p>
            <w:pPr>
              <w:spacing w:after="40" w:before="0" w:line="259" w:lineRule="auto"/>
            </w:pPr>
            <w:r>
              <w:rPr>
                <w:rFonts w:ascii="Calibri" w:hAnsi="Calibri"/>
                <w:b w:val="0"/>
                <w:i w:val="0"/>
                <w:color w:val="212121"/>
                <w:sz w:val="16"/>
              </w:rPr>
              <w:t>Standardised, reproducible grading of severity</w:t>
            </w:r>
          </w:p>
        </w:tc>
        <w:tc>
          <w:tcPr>
            <w:tcW w:type="dxa" w:w="1036"/>
            <w:vAlign w:val="top"/>
          </w:tcPr>
          <w:p>
            <w:pPr>
              <w:spacing w:after="40" w:before="0" w:line="259" w:lineRule="auto"/>
            </w:pPr>
            <w:r>
              <w:rPr>
                <w:rFonts w:ascii="Calibri" w:hAnsi="Calibri"/>
                <w:b w:val="0"/>
                <w:i w:val="0"/>
                <w:color w:val="212121"/>
                <w:sz w:val="16"/>
              </w:rPr>
              <w:t>Clinical and pre-operative assessment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Descent is greater under anaesthesia/traction than in clinic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Pelvic floor &amp; reduction tests</w:t>
            </w:r>
          </w:p>
        </w:tc>
        <w:tc>
          <w:tcPr>
            <w:tcW w:type="dxa" w:w="979"/>
            <w:vAlign w:val="top"/>
          </w:tcPr>
          <w:p>
            <w:pPr>
              <w:spacing w:after="40" w:before="0" w:line="259" w:lineRule="auto"/>
            </w:pPr>
            <w:r>
              <w:rPr>
                <w:rFonts w:ascii="Calibri" w:hAnsi="Calibri"/>
                <w:b w:val="0"/>
                <w:i w:val="0"/>
                <w:color w:val="212121"/>
                <w:sz w:val="16"/>
              </w:rPr>
              <w:t>Oxford muscle strength; cough stress test with prolapse reduced</w:t>
            </w:r>
          </w:p>
        </w:tc>
        <w:tc>
          <w:tcPr>
            <w:tcW w:type="dxa" w:w="950"/>
            <w:vAlign w:val="top"/>
          </w:tcPr>
          <w:p>
            <w:pPr>
              <w:spacing w:after="40" w:before="0" w:line="259" w:lineRule="auto"/>
            </w:pPr>
            <w:r>
              <w:rPr>
                <w:rFonts w:ascii="Calibri" w:hAnsi="Calibri"/>
                <w:b w:val="0"/>
                <w:i w:val="0"/>
                <w:color w:val="212121"/>
                <w:sz w:val="16"/>
              </w:rPr>
              <w:t>Good tone, no leak on reduction</w:t>
            </w:r>
          </w:p>
        </w:tc>
        <w:tc>
          <w:tcPr>
            <w:tcW w:type="dxa" w:w="950"/>
            <w:vAlign w:val="top"/>
          </w:tcPr>
          <w:p>
            <w:pPr>
              <w:spacing w:after="40" w:before="0" w:line="259" w:lineRule="auto"/>
            </w:pPr>
            <w:r>
              <w:rPr>
                <w:rFonts w:ascii="Calibri" w:hAnsi="Calibri"/>
                <w:b w:val="0"/>
                <w:i w:val="0"/>
                <w:color w:val="212121"/>
                <w:sz w:val="16"/>
              </w:rPr>
              <w:t>Weak pelvic floor; leakage on reduction (occult SUI)</w:t>
            </w:r>
          </w:p>
        </w:tc>
        <w:tc>
          <w:tcPr>
            <w:tcW w:type="dxa" w:w="1036"/>
            <w:vAlign w:val="top"/>
          </w:tcPr>
          <w:p>
            <w:pPr>
              <w:spacing w:after="40" w:before="0" w:line="259" w:lineRule="auto"/>
            </w:pPr>
            <w:r>
              <w:rPr>
                <w:rFonts w:ascii="Calibri" w:hAnsi="Calibri"/>
                <w:b w:val="0"/>
                <w:i w:val="0"/>
                <w:color w:val="212121"/>
                <w:sz w:val="16"/>
              </w:rPr>
              <w:t>Assesses muscle strength and unmasks hidden stress incontinence</w:t>
            </w:r>
          </w:p>
        </w:tc>
        <w:tc>
          <w:tcPr>
            <w:tcW w:type="dxa" w:w="1036"/>
            <w:vAlign w:val="top"/>
          </w:tcPr>
          <w:p>
            <w:pPr>
              <w:spacing w:after="40" w:before="0" w:line="259" w:lineRule="auto"/>
            </w:pPr>
            <w:r>
              <w:rPr>
                <w:rFonts w:ascii="Calibri" w:hAnsi="Calibri"/>
                <w:b w:val="0"/>
                <w:i w:val="0"/>
                <w:color w:val="212121"/>
                <w:sz w:val="16"/>
              </w:rPr>
              <w:t>Pre-operative women, those considering PFMT</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Clinical management</w:t>
            </w:r>
          </w:p>
        </w:tc>
        <w:tc>
          <w:tcPr>
            <w:tcW w:type="dxa" w:w="720"/>
            <w:vAlign w:val="top"/>
          </w:tcPr>
          <w:p>
            <w:pPr>
              <w:spacing w:after="40" w:before="0" w:line="259" w:lineRule="auto"/>
            </w:pPr>
            <w:r>
              <w:rPr>
                <w:rFonts w:ascii="Calibri" w:hAnsi="Calibri"/>
                <w:b w:val="0"/>
                <w:i w:val="0"/>
                <w:color w:val="212121"/>
                <w:sz w:val="16"/>
              </w:rPr>
              <w:t>Directs PFMT and concomitant continence surgery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Vaginal bulge / “something coming down”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symptom — a lump the woman sees or feels at or beyond the introitus, worse on straining.</w:t>
            </w:r>
          </w:p>
        </w:tc>
      </w:tr>
      <w:tr>
        <w:trPr>
          <w:cantSplit/>
        </w:trPr>
        <w:tc>
          <w:tcPr>
            <w:tcW w:type="dxa" w:w="2304"/>
            <w:vAlign w:val="top"/>
          </w:tcPr>
          <w:p>
            <w:pPr>
              <w:spacing w:after="40" w:before="0" w:line="259" w:lineRule="auto"/>
            </w:pPr>
            <w:r>
              <w:rPr>
                <w:rFonts w:ascii="Calibri" w:hAnsi="Calibri"/>
                <w:b/>
                <w:i w:val="0"/>
                <w:color w:val="212121"/>
                <w:sz w:val="19"/>
              </w:rPr>
              <w:t>Pelvic heaviness or dragging sensation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downward pulling or fullness in the pelvis/perineum, typically worse as the day goes on.</w:t>
            </w:r>
          </w:p>
        </w:tc>
      </w:tr>
      <w:tr>
        <w:trPr>
          <w:cantSplit/>
        </w:trPr>
        <w:tc>
          <w:tcPr>
            <w:tcW w:type="dxa" w:w="2304"/>
            <w:vAlign w:val="top"/>
          </w:tcPr>
          <w:p>
            <w:pPr>
              <w:spacing w:after="40" w:before="0" w:line="259" w:lineRule="auto"/>
            </w:pPr>
            <w:r>
              <w:rPr>
                <w:rFonts w:ascii="Calibri" w:hAnsi="Calibri"/>
                <w:b/>
                <w:i w:val="0"/>
                <w:color w:val="212121"/>
                <w:sz w:val="19"/>
              </w:rPr>
              <w:t>Symptoms worse on standing/straining, relieved lying down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Posture-dependent pattern reflecting gravity and intra-abdominal pressure on weakened supports.</w:t>
            </w:r>
          </w:p>
        </w:tc>
      </w:tr>
      <w:tr>
        <w:trPr>
          <w:cantSplit/>
        </w:trPr>
        <w:tc>
          <w:tcPr>
            <w:tcW w:type="dxa" w:w="2304"/>
            <w:vAlign w:val="top"/>
          </w:tcPr>
          <w:p>
            <w:pPr>
              <w:spacing w:after="40" w:before="0" w:line="259" w:lineRule="auto"/>
            </w:pPr>
            <w:r>
              <w:rPr>
                <w:rFonts w:ascii="Calibri" w:hAnsi="Calibri"/>
                <w:b/>
                <w:i w:val="0"/>
                <w:color w:val="212121"/>
                <w:sz w:val="19"/>
              </w:rPr>
              <w:t>Stress urinary incontinence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Leakage on cough, laugh or exertion from anterior-compartment and urethral support loss.</w:t>
            </w:r>
          </w:p>
        </w:tc>
      </w:tr>
      <w:tr>
        <w:trPr>
          <w:cantSplit/>
        </w:trPr>
        <w:tc>
          <w:tcPr>
            <w:tcW w:type="dxa" w:w="2304"/>
            <w:vAlign w:val="top"/>
          </w:tcPr>
          <w:p>
            <w:pPr>
              <w:spacing w:after="40" w:before="0" w:line="259" w:lineRule="auto"/>
            </w:pPr>
            <w:r>
              <w:rPr>
                <w:rFonts w:ascii="Calibri" w:hAnsi="Calibri"/>
                <w:b/>
                <w:i w:val="0"/>
                <w:color w:val="212121"/>
                <w:sz w:val="19"/>
              </w:rPr>
              <w:t>Incomplete bladder emptying / splinting to void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cystocele kinks the urethra; women may push the bulge back to empty the bladder.</w:t>
            </w:r>
          </w:p>
        </w:tc>
      </w:tr>
      <w:tr>
        <w:trPr>
          <w:cantSplit/>
        </w:trPr>
        <w:tc>
          <w:tcPr>
            <w:tcW w:type="dxa" w:w="2304"/>
            <w:vAlign w:val="top"/>
          </w:tcPr>
          <w:p>
            <w:pPr>
              <w:spacing w:after="40" w:before="0" w:line="259" w:lineRule="auto"/>
            </w:pPr>
            <w:r>
              <w:rPr>
                <w:rFonts w:ascii="Calibri" w:hAnsi="Calibri"/>
                <w:b/>
                <w:i w:val="0"/>
                <w:color w:val="212121"/>
                <w:sz w:val="19"/>
              </w:rPr>
              <w:t>Urinary urgency and frequency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Irritative bladder symptoms commonly coexist with anterior prolapse.</w:t>
            </w:r>
          </w:p>
        </w:tc>
      </w:tr>
      <w:tr>
        <w:trPr>
          <w:cantSplit/>
        </w:trPr>
        <w:tc>
          <w:tcPr>
            <w:tcW w:type="dxa" w:w="2304"/>
            <w:vAlign w:val="top"/>
          </w:tcPr>
          <w:p>
            <w:pPr>
              <w:spacing w:after="40" w:before="0" w:line="259" w:lineRule="auto"/>
            </w:pPr>
            <w:r>
              <w:rPr>
                <w:rFonts w:ascii="Calibri" w:hAnsi="Calibri"/>
                <w:b/>
                <w:i w:val="0"/>
                <w:color w:val="212121"/>
                <w:sz w:val="19"/>
              </w:rPr>
              <w:t>Obstructed defecation / splinting to defecate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rectocele traps stool; women may press the posterior wall or perineum to pass motion.</w:t>
            </w:r>
          </w:p>
        </w:tc>
      </w:tr>
      <w:tr>
        <w:trPr>
          <w:cantSplit/>
        </w:trPr>
        <w:tc>
          <w:tcPr>
            <w:tcW w:type="dxa" w:w="2304"/>
            <w:vAlign w:val="top"/>
          </w:tcPr>
          <w:p>
            <w:pPr>
              <w:spacing w:after="40" w:before="0" w:line="259" w:lineRule="auto"/>
            </w:pPr>
            <w:r>
              <w:rPr>
                <w:rFonts w:ascii="Calibri" w:hAnsi="Calibri"/>
                <w:b/>
                <w:i w:val="0"/>
                <w:color w:val="212121"/>
                <w:sz w:val="19"/>
              </w:rPr>
              <w:t>Dyspareunia / reduced sexual satisfaction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Bulge, dryness and altered anatomy cause discomfort, avoidance and body-image distress.</w:t>
            </w:r>
          </w:p>
        </w:tc>
      </w:tr>
      <w:tr>
        <w:trPr>
          <w:cantSplit/>
        </w:trPr>
        <w:tc>
          <w:tcPr>
            <w:tcW w:type="dxa" w:w="2304"/>
            <w:vAlign w:val="top"/>
          </w:tcPr>
          <w:p>
            <w:pPr>
              <w:spacing w:after="40" w:before="0" w:line="259" w:lineRule="auto"/>
            </w:pPr>
            <w:r>
              <w:rPr>
                <w:rFonts w:ascii="Calibri" w:hAnsi="Calibri"/>
                <w:b/>
                <w:i w:val="0"/>
                <w:color w:val="212121"/>
                <w:sz w:val="19"/>
              </w:rPr>
              <w:t>Low backache / abdominal dragging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Traction on the uterosacral supports can cause a low, sacral backache relieved by lying down.</w:t>
            </w:r>
          </w:p>
        </w:tc>
      </w:tr>
      <w:tr>
        <w:trPr>
          <w:cantSplit/>
        </w:trPr>
        <w:tc>
          <w:tcPr>
            <w:tcW w:type="dxa" w:w="2304"/>
            <w:vAlign w:val="top"/>
          </w:tcPr>
          <w:p>
            <w:pPr>
              <w:spacing w:after="40" w:before="0" w:line="259" w:lineRule="auto"/>
            </w:pPr>
            <w:r>
              <w:rPr>
                <w:rFonts w:ascii="Calibri" w:hAnsi="Calibri"/>
                <w:b/>
                <w:i w:val="0"/>
                <w:color w:val="212121"/>
                <w:sz w:val="19"/>
              </w:rPr>
              <w:t>Recurrent urinary tract infections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Incomplete emptying and residual urine predispose to repeated infection.</w:t>
            </w:r>
          </w:p>
        </w:tc>
      </w:tr>
      <w:tr>
        <w:trPr>
          <w:cantSplit/>
        </w:trPr>
        <w:tc>
          <w:tcPr>
            <w:tcW w:type="dxa" w:w="2304"/>
            <w:vAlign w:val="top"/>
          </w:tcPr>
          <w:p>
            <w:pPr>
              <w:spacing w:after="40" w:before="0" w:line="259" w:lineRule="auto"/>
            </w:pPr>
            <w:r>
              <w:rPr>
                <w:rFonts w:ascii="Calibri" w:hAnsi="Calibri"/>
                <w:b/>
                <w:i w:val="0"/>
                <w:color w:val="212121"/>
                <w:sz w:val="19"/>
              </w:rPr>
              <w:t>Vaginal discharge, bleeding or spotting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a decubitus ulcer on exposed, keratinised mucosa in advanced procidentia — exclude malignancy.</w:t>
            </w:r>
          </w:p>
        </w:tc>
      </w:tr>
      <w:tr>
        <w:trPr>
          <w:cantSplit/>
        </w:trPr>
        <w:tc>
          <w:tcPr>
            <w:tcW w:type="dxa" w:w="2304"/>
            <w:vAlign w:val="top"/>
          </w:tcPr>
          <w:p>
            <w:pPr>
              <w:spacing w:after="40" w:before="0" w:line="259" w:lineRule="auto"/>
            </w:pPr>
            <w:r>
              <w:rPr>
                <w:rFonts w:ascii="Calibri" w:hAnsi="Calibri"/>
                <w:b/>
                <w:i w:val="0"/>
                <w:color w:val="212121"/>
                <w:sz w:val="19"/>
              </w:rPr>
              <w:t>Urinary retention or renal impairment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Severe procidentia can obstruct the urethra or kink the ureters, threatening the upper tracts.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Visible/palpable vaginal bulge on Valsalva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Descent of a vaginal wall or the cervix to or beyond the hymen on straining.</w:t>
            </w:r>
          </w:p>
        </w:tc>
      </w:tr>
      <w:tr>
        <w:trPr>
          <w:cantSplit/>
        </w:trPr>
        <w:tc>
          <w:tcPr>
            <w:tcW w:type="dxa" w:w="3456"/>
            <w:vAlign w:val="top"/>
          </w:tcPr>
          <w:p>
            <w:pPr>
              <w:spacing w:after="40" w:before="0" w:line="259" w:lineRule="auto"/>
            </w:pPr>
            <w:r>
              <w:rPr>
                <w:rFonts w:ascii="Calibri" w:hAnsi="Calibri"/>
                <w:b/>
                <w:i w:val="0"/>
                <w:color w:val="212121"/>
                <w:sz w:val="19"/>
              </w:rPr>
              <w:t>Cystocele (anterior vaginal wall descent)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Bulging of the bladder against the anterior wall — the commonest compartment.</w:t>
            </w:r>
          </w:p>
        </w:tc>
      </w:tr>
      <w:tr>
        <w:trPr>
          <w:cantSplit/>
        </w:trPr>
        <w:tc>
          <w:tcPr>
            <w:tcW w:type="dxa" w:w="3456"/>
            <w:vAlign w:val="top"/>
          </w:tcPr>
          <w:p>
            <w:pPr>
              <w:spacing w:after="40" w:before="0" w:line="259" w:lineRule="auto"/>
            </w:pPr>
            <w:r>
              <w:rPr>
                <w:rFonts w:ascii="Calibri" w:hAnsi="Calibri"/>
                <w:b/>
                <w:i w:val="0"/>
                <w:color w:val="212121"/>
                <w:sz w:val="19"/>
              </w:rPr>
              <w:t>Rectocele (posterior vaginal wall descent)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Bulging of the rectum against the posterior wall, often with a palpable pocket.</w:t>
            </w:r>
          </w:p>
        </w:tc>
      </w:tr>
      <w:tr>
        <w:trPr>
          <w:cantSplit/>
        </w:trPr>
        <w:tc>
          <w:tcPr>
            <w:tcW w:type="dxa" w:w="3456"/>
            <w:vAlign w:val="top"/>
          </w:tcPr>
          <w:p>
            <w:pPr>
              <w:spacing w:after="40" w:before="0" w:line="259" w:lineRule="auto"/>
            </w:pPr>
            <w:r>
              <w:rPr>
                <w:rFonts w:ascii="Calibri" w:hAnsi="Calibri"/>
                <w:b/>
                <w:i w:val="0"/>
                <w:color w:val="212121"/>
                <w:sz w:val="19"/>
              </w:rPr>
              <w:t>Uterine / cervical descent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cervix descends toward or through the introitus in apical (uterine) prolapse.</w:t>
            </w:r>
          </w:p>
        </w:tc>
      </w:tr>
      <w:tr>
        <w:trPr>
          <w:cantSplit/>
        </w:trPr>
        <w:tc>
          <w:tcPr>
            <w:tcW w:type="dxa" w:w="3456"/>
            <w:vAlign w:val="top"/>
          </w:tcPr>
          <w:p>
            <w:pPr>
              <w:spacing w:after="40" w:before="0" w:line="259" w:lineRule="auto"/>
            </w:pPr>
            <w:r>
              <w:rPr>
                <w:rFonts w:ascii="Calibri" w:hAnsi="Calibri"/>
                <w:b/>
                <w:i w:val="0"/>
                <w:color w:val="212121"/>
                <w:sz w:val="19"/>
              </w:rPr>
              <w:t>Cervical elongation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An abnormally long cervix, characteristic of chronic uterine prolapse.</w:t>
            </w:r>
          </w:p>
        </w:tc>
      </w:tr>
      <w:tr>
        <w:trPr>
          <w:cantSplit/>
        </w:trPr>
        <w:tc>
          <w:tcPr>
            <w:tcW w:type="dxa" w:w="3456"/>
            <w:vAlign w:val="top"/>
          </w:tcPr>
          <w:p>
            <w:pPr>
              <w:spacing w:after="40" w:before="0" w:line="259" w:lineRule="auto"/>
            </w:pPr>
            <w:r>
              <w:rPr>
                <w:rFonts w:ascii="Calibri" w:hAnsi="Calibri"/>
                <w:b/>
                <w:i w:val="0"/>
                <w:color w:val="212121"/>
                <w:sz w:val="19"/>
              </w:rPr>
              <w:t>POP-Q stage ≥ II leading edge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staging with the leading edge at or beyond the hymen on quantification.</w:t>
            </w:r>
          </w:p>
        </w:tc>
      </w:tr>
      <w:tr>
        <w:trPr>
          <w:cantSplit/>
        </w:trPr>
        <w:tc>
          <w:tcPr>
            <w:tcW w:type="dxa" w:w="3456"/>
            <w:vAlign w:val="top"/>
          </w:tcPr>
          <w:p>
            <w:pPr>
              <w:spacing w:after="40" w:before="0" w:line="259" w:lineRule="auto"/>
            </w:pPr>
            <w:r>
              <w:rPr>
                <w:rFonts w:ascii="Calibri" w:hAnsi="Calibri"/>
                <w:b/>
                <w:i w:val="0"/>
                <w:color w:val="212121"/>
                <w:sz w:val="19"/>
              </w:rPr>
              <w:t>Procidentia (complete eversion)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The whole uterus and vaginal walls lie outside the introitus — the most advanced form.</w:t>
            </w:r>
          </w:p>
        </w:tc>
      </w:tr>
      <w:tr>
        <w:trPr>
          <w:cantSplit/>
        </w:trPr>
        <w:tc>
          <w:tcPr>
            <w:tcW w:type="dxa" w:w="3456"/>
            <w:vAlign w:val="top"/>
          </w:tcPr>
          <w:p>
            <w:pPr>
              <w:spacing w:after="40" w:before="0" w:line="259" w:lineRule="auto"/>
            </w:pPr>
            <w:r>
              <w:rPr>
                <w:rFonts w:ascii="Calibri" w:hAnsi="Calibri"/>
                <w:b/>
                <w:i w:val="0"/>
                <w:color w:val="212121"/>
                <w:sz w:val="19"/>
              </w:rPr>
              <w:t>Decubitus ulcer / keratinisation of exposed mucosa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Friction and drying of chronically exposed epithelium cause ulceration and thickening.</w:t>
            </w:r>
          </w:p>
        </w:tc>
      </w:tr>
      <w:tr>
        <w:trPr>
          <w:cantSplit/>
        </w:trPr>
        <w:tc>
          <w:tcPr>
            <w:tcW w:type="dxa" w:w="3456"/>
            <w:vAlign w:val="top"/>
          </w:tcPr>
          <w:p>
            <w:pPr>
              <w:spacing w:after="40" w:before="0" w:line="259" w:lineRule="auto"/>
            </w:pPr>
            <w:r>
              <w:rPr>
                <w:rFonts w:ascii="Calibri" w:hAnsi="Calibri"/>
                <w:b/>
                <w:i w:val="0"/>
                <w:color w:val="212121"/>
                <w:sz w:val="19"/>
              </w:rPr>
              <w:t>Positive cough stress test on reduction (occult SUI)</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Leakage appears when the prolapse is reduced, revealing masked stress incontinence.</w:t>
            </w:r>
          </w:p>
        </w:tc>
      </w:tr>
      <w:tr>
        <w:trPr>
          <w:cantSplit/>
        </w:trPr>
        <w:tc>
          <w:tcPr>
            <w:tcW w:type="dxa" w:w="3456"/>
            <w:vAlign w:val="top"/>
          </w:tcPr>
          <w:p>
            <w:pPr>
              <w:spacing w:after="40" w:before="0" w:line="259" w:lineRule="auto"/>
            </w:pPr>
            <w:r>
              <w:rPr>
                <w:rFonts w:ascii="Calibri" w:hAnsi="Calibri"/>
                <w:b/>
                <w:i w:val="0"/>
                <w:color w:val="212121"/>
                <w:sz w:val="19"/>
              </w:rPr>
              <w:t>Weak pelvic floor on Modified Oxford Scale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Reduced voluntary levator ani contraction on digital assessment.</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vaginal bulge with mechanical discomfort and dragging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Voiding dysfunction with incomplete bladder emptying and splinting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Obstructed defecation requiring digital splinting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Decubitus ulceration and bleeding of exposed vaginal/cervical mucosa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Sexual dysfunction and dyspareunia</w:t>
            </w:r>
          </w:p>
        </w:tc>
        <w:tc>
          <w:tcPr>
            <w:tcW w:type="dxa" w:w="2980"/>
            <w:vAlign w:val="top"/>
          </w:tcPr>
          <w:p>
            <w:pPr>
              <w:spacing w:after="40" w:before="0" w:line="259" w:lineRule="auto"/>
            </w:pPr>
            <w:r>
              <w:rPr>
                <w:rFonts w:ascii="Calibri" w:hAnsi="Calibri"/>
                <w:b w:val="0"/>
                <w:i w:val="0"/>
                <w:color w:val="212121"/>
                <w:sz w:val="19"/>
              </w:rPr>
              <w:t>Direct mechanical consequences of organ descent and exposure of the prolapsed tissue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urinary tract infections from residual urine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Occult and overt stress urinary incontinence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Urinary retention and upper-tract obstruction (hydroureter/hydronephrosis)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Faecal urgency or incontinence and chronic constipation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social withdrawal and impaired quality of life</w:t>
            </w:r>
          </w:p>
        </w:tc>
        <w:tc>
          <w:tcPr>
            <w:tcW w:type="dxa" w:w="2980"/>
            <w:vAlign w:val="top"/>
          </w:tcPr>
          <w:p>
            <w:pPr>
              <w:spacing w:after="40" w:before="0" w:line="259" w:lineRule="auto"/>
            </w:pPr>
            <w:r>
              <w:rPr>
                <w:rFonts w:ascii="Calibri" w:hAnsi="Calibri"/>
                <w:b w:val="0"/>
                <w:i w:val="0"/>
                <w:color w:val="212121"/>
                <w:sz w:val="19"/>
              </w:rPr>
              <w:t>Result from chronic outflow obstruction, pelvic floor injury and the psychosocial burden of symptoms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renal impairment from long-standing ureteric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procidentia with cervical elongation and chronic ulceration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prolapse after surgical repair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Pessary or surgical-mesh complications (erosion, infection, fistula)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ability to work, and lasting sexual and social disability</w:t>
            </w:r>
          </w:p>
        </w:tc>
        <w:tc>
          <w:tcPr>
            <w:tcW w:type="dxa" w:w="2980"/>
            <w:vAlign w:val="top"/>
          </w:tcPr>
          <w:p>
            <w:pPr>
              <w:spacing w:after="40" w:before="0" w:line="259" w:lineRule="auto"/>
            </w:pPr>
            <w:r>
              <w:rPr>
                <w:rFonts w:ascii="Calibri" w:hAnsi="Calibri"/>
                <w:b w:val="0"/>
                <w:i w:val="0"/>
                <w:color w:val="212121"/>
                <w:sz w:val="19"/>
              </w:rPr>
              <w:t>Disabling, hard-to-reverse outcomes of severe, neglected or recurrent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Stress urinary incontinence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Anterior-compartment and urethral support loss shares the pelvic floor mechanism of prolapse; SUI is frequently occult and unmasked when the prolapse is reduced, directly shaping surgical planning.</w:t>
            </w:r>
          </w:p>
        </w:tc>
      </w:tr>
      <w:tr>
        <w:trPr>
          <w:cantSplit/>
        </w:trPr>
        <w:tc>
          <w:tcPr>
            <w:tcW w:type="dxa" w:w="2232"/>
            <w:vAlign w:val="top"/>
          </w:tcPr>
          <w:p>
            <w:pPr>
              <w:spacing w:after="40" w:before="0" w:line="259" w:lineRule="auto"/>
            </w:pPr>
            <w:r>
              <w:rPr>
                <w:rFonts w:ascii="Calibri" w:hAnsi="Calibri"/>
                <w:b/>
                <w:i w:val="0"/>
                <w:color w:val="212121"/>
                <w:sz w:val="19"/>
              </w:rPr>
              <w:t>Overactive bladder / urgency incontinence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Irritative bladder symptoms commonly coexist with anterior prolapse and may persist or resolve after repair, complicating counselling.</w:t>
            </w:r>
          </w:p>
        </w:tc>
      </w:tr>
      <w:tr>
        <w:trPr>
          <w:cantSplit/>
        </w:trPr>
        <w:tc>
          <w:tcPr>
            <w:tcW w:type="dxa" w:w="2232"/>
            <w:vAlign w:val="top"/>
          </w:tcPr>
          <w:p>
            <w:pPr>
              <w:spacing w:after="40" w:before="0" w:line="259" w:lineRule="auto"/>
            </w:pPr>
            <w:r>
              <w:rPr>
                <w:rFonts w:ascii="Calibri" w:hAnsi="Calibri"/>
                <w:b/>
                <w:i w:val="0"/>
                <w:color w:val="212121"/>
                <w:sz w:val="19"/>
              </w:rPr>
              <w:t>Obstructed defecation / chronic constipation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Constipation both causes prolapse (through straining) and results from it (a rectocele trapping stool), a truly bidirectional relationship.</w:t>
            </w:r>
          </w:p>
        </w:tc>
      </w:tr>
      <w:tr>
        <w:trPr>
          <w:cantSplit/>
        </w:trPr>
        <w:tc>
          <w:tcPr>
            <w:tcW w:type="dxa" w:w="2232"/>
            <w:vAlign w:val="top"/>
          </w:tcPr>
          <w:p>
            <w:pPr>
              <w:spacing w:after="40" w:before="0" w:line="259" w:lineRule="auto"/>
            </w:pPr>
            <w:r>
              <w:rPr>
                <w:rFonts w:ascii="Calibri" w:hAnsi="Calibri"/>
                <w:b/>
                <w:i w:val="0"/>
                <w:color w:val="212121"/>
                <w:sz w:val="19"/>
              </w:rPr>
              <w:t>Faecal incontinence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Shared pudendal-nerve and pelvic floor injury from childbirth links posterior prolapse with anal sphincter dysfunction and faecal leakage.</w:t>
            </w:r>
          </w:p>
        </w:tc>
      </w:tr>
      <w:tr>
        <w:trPr>
          <w:cantSplit/>
        </w:trPr>
        <w:tc>
          <w:tcPr>
            <w:tcW w:type="dxa" w:w="2232"/>
            <w:vAlign w:val="top"/>
          </w:tcPr>
          <w:p>
            <w:pPr>
              <w:spacing w:after="40" w:before="0" w:line="259" w:lineRule="auto"/>
            </w:pPr>
            <w:r>
              <w:rPr>
                <w:rFonts w:ascii="Calibri" w:hAnsi="Calibri"/>
                <w:b/>
                <w:i w:val="0"/>
                <w:color w:val="212121"/>
                <w:sz w:val="19"/>
              </w:rPr>
              <w:t>Recurrent urinary tract infection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Incomplete emptying and residual urine from advanced prolapse predispose to repeated infection, which must be treated before surgery.</w:t>
            </w:r>
          </w:p>
        </w:tc>
      </w:tr>
      <w:tr>
        <w:trPr>
          <w:cantSplit/>
        </w:trPr>
        <w:tc>
          <w:tcPr>
            <w:tcW w:type="dxa" w:w="2232"/>
            <w:vAlign w:val="top"/>
          </w:tcPr>
          <w:p>
            <w:pPr>
              <w:spacing w:after="40" w:before="0" w:line="259" w:lineRule="auto"/>
            </w:pPr>
            <w:r>
              <w:rPr>
                <w:rFonts w:ascii="Calibri" w:hAnsi="Calibri"/>
                <w:b/>
                <w:i w:val="0"/>
                <w:color w:val="212121"/>
                <w:sz w:val="19"/>
              </w:rPr>
              <w:t>Obstructive uropathy / hydronephrosis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Complete procidentia can kink the ureters and obstruct urine outflow, risking renal impairment that reverses if the prolapse is reduced early.</w:t>
            </w:r>
          </w:p>
        </w:tc>
      </w:tr>
      <w:tr>
        <w:trPr>
          <w:cantSplit/>
        </w:trPr>
        <w:tc>
          <w:tcPr>
            <w:tcW w:type="dxa" w:w="2232"/>
            <w:vAlign w:val="top"/>
          </w:tcPr>
          <w:p>
            <w:pPr>
              <w:spacing w:after="40" w:before="0" w:line="259" w:lineRule="auto"/>
            </w:pPr>
            <w:r>
              <w:rPr>
                <w:rFonts w:ascii="Calibri" w:hAnsi="Calibri"/>
                <w:b/>
                <w:i w:val="0"/>
                <w:color w:val="212121"/>
                <w:sz w:val="19"/>
              </w:rPr>
              <w:t>Genitourinary syndrome of menopause / vaginal atrophy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Shared post-menopausal estrogen deficiency weakens tissues and worsens both conditions; local vaginal estrogen improves atrophy and supports pessary use and surgical healing.</w:t>
            </w:r>
          </w:p>
        </w:tc>
      </w:tr>
      <w:tr>
        <w:trPr>
          <w:cantSplit/>
        </w:trPr>
        <w:tc>
          <w:tcPr>
            <w:tcW w:type="dxa" w:w="2232"/>
            <w:vAlign w:val="top"/>
          </w:tcPr>
          <w:p>
            <w:pPr>
              <w:spacing w:after="40" w:before="0" w:line="259" w:lineRule="auto"/>
            </w:pPr>
            <w:r>
              <w:rPr>
                <w:rFonts w:ascii="Calibri" w:hAnsi="Calibri"/>
                <w:b/>
                <w:i w:val="0"/>
                <w:color w:val="212121"/>
                <w:sz w:val="19"/>
              </w:rPr>
              <w:t>Female sexual dysfunction / dyspareunia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The bulge, dryness and altered anatomy of prolapse commonly cause painful or avoided intercourse, which in turn drives distress and reduced intimacy.</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Excess weight raises intra-abdominal pressure, predisposing to prolapse and to recurrence after repair, and alters anaesthetic and surgical risk.</w:t>
            </w:r>
          </w:p>
          <w:p>
            <w:pPr>
              <w:spacing w:after="40" w:before="0" w:line="259" w:lineRule="auto"/>
            </w:pPr>
            <w:r>
              <w:rPr>
                <w:rFonts w:ascii="Calibri" w:hAnsi="Calibri"/>
                <w:b/>
                <w:i w:val="0"/>
                <w:color w:val="212121"/>
                <w:sz w:val="19"/>
              </w:rPr>
              <w:t>~24–28% of Indian adults</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Chronic bulge, incontinence and sexual difficulty interact bidirectionally with low mood, body-image distress and social withdrawal.</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prolapse is common and treatable, and that a vaginal bulge, leakage or difficulty passing urine or stool should be reported rather than endured in silence.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obstetric care: prefer supervised institutional delivery, avoid bearing down before full dilatation, and space pregnancies to allow pelvic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Begin postnatal pelvic floor muscle training and avoid heavy lifting and early return to strenuous work after childbirth.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and treat constipation and chronic cough early to avoid chronic straining and pressure surges.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Asian-Indian BMI and stop smoking to protect pelvic connective tissue.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bulge, dragging, splinting to void or defecate — and seek timely gynaecological assessment.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Parous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Postnatal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Rural/manual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Low-awareness groups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First-line for mild–moderate prolapse: supervised pelvic floor muscle training and, where appropriate, a vaginal pessary (ring/Gellhorn) with regular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topical vaginal estrogen in postmenopausal women to improve tissue quality, ease pessary use and aid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Reserve surgery (native-tissue repair, vaginal hysterectomy, sacrospinous/uterosacral fixation, sacrocolpopexy, or the Indian sling and colpocleisis techniques) for symptomatic or advanced prolapse after shared decision-making.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Assess and address occult stress incontinence before or during prolapse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that benefits of conservative therapy require sustained practice and follow-up, as symptoms recur if pelvic floor work stops.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symptomatic POP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Pre-operative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Pessary users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correct pelvic floor muscle training (Kegels) daily, ideally with instruction to ensure correct technique.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repetitive heavy lifting, overhead loading and head-load carrying; use the legs and “knack” (pre-contraction) when lifting.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low-impact activity (walking, cycling, swimming) over high-impact or heavy weightlifting where prolapse risk is high.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general fitness and a healthy weight to lower intra-abdominal pressure.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Postnatal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Manual/agricultural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a supervised pelvic floor muscle training programme — 11 RCTs show it reduces symptoms and can improve prolapse by one stage in POP-Q stage I–III.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PFMT with lifestyle measures (weight loss, constipation and cough control) for best effect.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specialist pelvic floor physiotherapy or biofeedback when self-directed exercises are ineffective.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Fit and teach care of a pessary for women who prefer to avoid or defer surgery, or who are unfit for 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POP-Q I–III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Postnatal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declining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Elderly/unfit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fibre-rich diet (whole grains, millets, pulses, fruit and vegetables, 25–35 g fibre/day) to prevent constipation and straining.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(~2–2.5 L/day) to keep stools soft.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and maintain a healthy Asian-Indian BMI (18.5–22.9 kg/m²) to reduce intra-abdominal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bladder irritants (excess caffeine) if urinary urgency coexists.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prone to constipation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sleep hygiene; treat nocturia and urinary symptoms that fragment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evening fluids and caffeine to reduce night-time voiding.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anxiety and low mood that prolapse symptoms can cause and that disturb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nocturia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symptom distress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eliminate chronic cough-related pressure surges and protect connective-tissue quality.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structured cessation support, counselling and pharmacotherapy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chronic cough and respiratory disease promptly.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COPD/chronic cough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at-risk women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as part of general pelvic and metabolic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as a coping strategy for symptom-related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hydration and nutrition if alcohol is consumed.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heavy alcohol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women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impact of prolapse on body image, intimacy and confidence; offer reassurance and clear information.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interact bidirectionally with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psychosexual counselling and partner communication support for sexual difficulty.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to urogynaecology or pelvic floor services for complex, recurrent or distressing cases.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sexual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severe/recurrent POP</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5734362/" TargetMode="External"/><Relationship Id="rId10" Type="http://schemas.openxmlformats.org/officeDocument/2006/relationships/hyperlink" Target="https://www.ncbi.nlm.nih.gov/books/NBK563229/" TargetMode="External"/><Relationship Id="rId11" Type="http://schemas.openxmlformats.org/officeDocument/2006/relationships/hyperlink" Target="https://pubmed.ncbi.nlm.nih.gov/33814793/" TargetMode="External"/><Relationship Id="rId12" Type="http://schemas.openxmlformats.org/officeDocument/2006/relationships/hyperlink" Target="https://pubmed.ncbi.nlm.nih.gov/36692525/" TargetMode="External"/><Relationship Id="rId13" Type="http://schemas.openxmlformats.org/officeDocument/2006/relationships/hyperlink" Target="https://pmc.ncbi.nlm.nih.gov/articles/PMC12948155/" TargetMode="External"/><Relationship Id="rId14" Type="http://schemas.openxmlformats.org/officeDocument/2006/relationships/hyperlink" Target="https://pubmed.ncbi.nlm.nih.gov/359804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