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Vulvodynia</w:t>
      </w:r>
    </w:p>
    <w:p>
      <w:pPr>
        <w:spacing w:before="0" w:after="160"/>
      </w:pPr>
      <w:r>
        <w:rPr>
          <w:rFonts w:ascii="Calibri" w:hAnsi="Calibri"/>
          <w:b/>
          <w:i w:val="0"/>
          <w:color w:val="212121"/>
          <w:sz w:val="22"/>
        </w:rPr>
        <w:t xml:space="preserve">AKA </w:t>
      </w:r>
      <w:r>
        <w:rPr>
          <w:rFonts w:ascii="Calibri" w:hAnsi="Calibri"/>
          <w:b w:val="0"/>
          <w:i w:val="0"/>
          <w:color w:val="212121"/>
          <w:sz w:val="22"/>
        </w:rPr>
        <w:t>i.e., Vulvar pain syndrome, Vulvar vestibulitis syndrome (older term), Provoked vestibulodynia (PVD), Burning vulva syndrome, Localized/Generalized vulvar dysesthesia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Vulvodynia is chronic vulvar pain or discomfort — typically described as burning, stinging, rawness, soreness or a knife-like ache — lasting at least 3 months, without a clear identifiable cause (such as infection, dermatosis, neoplasia or a specific neurologic disorder) though it may have potential associated factors. The pain may be provoked (by touch, intercourse, tampon insertion, tight clothing or prolonged sitting), spontaneous, or mixed, and either localized to the vestibule (vestibulodynia) or generalized across the vulva. It is best understood as a chronic neuropathic/hypersensitivity pain condition rather than a visible disease, and the vulva often looks entirely normal on examination.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Vulvodynia is common but heavily under-recognized. Population-based studies estimate a lifetime prevalence of about 8%, rising to roughly 10–16% of women reporting chronic unexplained vulvar pain, and this figure stays fairly constant across every decade of life up to about age 70. Provoked vestibulodynia is the commonest form in premenopausal women, seen in an estimated 10–15% of women attending gynaecology clinics. In India the condition is markedly under-diagnosed: stigma around sexual pain and dyspareunia, low awareness among clinicians, and frequent mislabelling as ‘recurrent candidiasis’ or urinary infection mean most affected women are never formally recognized — fewer than half seek care and under 2% of those who do obtain a diagnosis. India’s very large diabetic population also faces an under-appreciated diabetic-neuropathic form of vulvodynia.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Vulvodynia is a clinical diagnosis of exclusion, made only after specific causes of vulvar pain have been ruled out. Diagnosis rests on the history, a targeted examination (including the cotton-swab test) and investigations to exclude mimics: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Vulvar pain (burning, stinging, rawness, soreness or dyspareunia) of at least 3 months’ duration;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 identifiable specific cause on examination or testing — infection (candidiasis, bacterial vaginosis, trichomoniasis, herpes), dermatoses (lichen sclerosus, lichen planus), neoplasia/VIN, and neurologic causes (e.g., pudendal neuralgia) are excluded;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cotton-swab (Q-tip) test — light touch mapping reproduces the pain and localizes it (e.g., focal vestibular tenderness in provoked vestibulodynia) versus generalized involvement;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Friedrich’s criteria for vestibulodynia: (1) severe pain on vestibular touch or attempted vaginal entry, (2) tenderness to pressure localized within the vulvar vestibule, and (3) physical findings limited to vestibular erythema of variable degree;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negatives: normal vaginal pH and microscopy (wet mount) and a negative fungal culture, confirming no active infection is driving the pain.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2015 ISSVD/ISSWSH/IPPS consensus terminology first separates ‘vulvar pain caused by a specific disorder’ from ‘vulvodynia’, then describes vulvodynia along several axes:</w:t>
      </w:r>
    </w:p>
    <w:p>
      <w:pPr>
        <w:spacing w:before="0" w:after="80"/>
      </w:pPr>
      <w:r>
        <w:rPr>
          <w:rFonts w:ascii="Calibri" w:hAnsi="Calibri"/>
          <w:b w:val="0"/>
          <w:i w:val="0"/>
          <w:color w:val="212121"/>
          <w:sz w:val="21"/>
        </w:rPr>
        <w:t>(1) Vulvar pain caused by a specific disorder — infectious (e.g., recurrent candidiasis, herpes), inflammatory (lichen sclerosus, lichen planus), neoplastic (VIN, carcinoma), neurologic (pudendal neuralgia, post-herpetic), trauma, iatrogenic, or hormonal deficiency — this is NOT vulvodynia and must be excluded;</w:t>
      </w:r>
    </w:p>
    <w:p>
      <w:pPr>
        <w:spacing w:before="0" w:after="80"/>
      </w:pPr>
      <w:r>
        <w:rPr>
          <w:rFonts w:ascii="Calibri" w:hAnsi="Calibri"/>
          <w:b w:val="0"/>
          <w:i w:val="0"/>
          <w:color w:val="212121"/>
          <w:sz w:val="21"/>
        </w:rPr>
        <w:t>(2) Vulvodynia — vulvar pain of at least 3 months’ duration without a clear identifiable cause, which may have potential associated factors (musculoskeletal, neurologic, inflammatory, hormonal, genetic, psychosocial and comorbid pain conditions);</w:t>
      </w:r>
    </w:p>
    <w:p>
      <w:pPr>
        <w:spacing w:before="0" w:after="80"/>
      </w:pPr>
      <w:r>
        <w:rPr>
          <w:rFonts w:ascii="Calibri" w:hAnsi="Calibri"/>
          <w:b w:val="0"/>
          <w:i w:val="0"/>
          <w:color w:val="212121"/>
          <w:sz w:val="21"/>
        </w:rPr>
        <w:t>(3) By site: localized (vestibulodynia — pain in the vestibule; clitorodynia — clitoral pain; hemivulvodynia), generalized (whole vulva), or mixed;</w:t>
      </w:r>
    </w:p>
    <w:p>
      <w:pPr>
        <w:spacing w:before="0" w:after="80"/>
      </w:pPr>
      <w:r>
        <w:rPr>
          <w:rFonts w:ascii="Calibri" w:hAnsi="Calibri"/>
          <w:b w:val="0"/>
          <w:i w:val="0"/>
          <w:color w:val="212121"/>
          <w:sz w:val="21"/>
        </w:rPr>
        <w:t>(4) By provocation and course: provoked (contact/insertional), spontaneous, or mixed; onset primary (pain from the first-ever attempted penetration/tampon use) or secondary (developing after a period of pain-free activity); and temporal pattern (intermittent, persistent, constant, immediate or delayed);</w:t>
      </w:r>
    </w:p>
    <w:p>
      <w:pPr>
        <w:spacing w:before="0" w:after="80"/>
      </w:pPr>
      <w:r>
        <w:rPr>
          <w:rFonts w:ascii="Calibri" w:hAnsi="Calibri"/>
          <w:b w:val="0"/>
          <w:i w:val="0"/>
          <w:color w:val="212121"/>
          <w:sz w:val="21"/>
        </w:rPr>
        <w:t>(5) Mechanistic subtypes described for provoked vestibulodynia — neuroproliferative (excess vestibular nerve-fibre density, often congenital or post-inflammatory), hormonally-mediated (linked to combined oral contraceptives or low-estrogen states), and inflammatory.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Peripheral neuroproliferation / sensitization: Increased density and sensitivity of vestibular C-fibre nociceptors lowers the pain threshold, so ordinary light touch is perceived as burning pain (allodynia).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Recurrent infection / inflammation: Repeated vulvovaginal candidiasis and chronic local inflammation are common precipitating events, up-regulating inflammatory mediators and nerve growth factor in the vestibule.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Hormonal factors: Early or prolonged combined oral contraceptive use and low-estrogen states thin and sensitize the vestibular mucosa, producing hormonally-mediated vestibulodynia.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Central sensitization: Amplified central pain processing links vulvodynia to other chronic overlapping pain conditions (fibromyalgia, IBS, interstitial cystitis, TMJ) and explains spontaneous, spreading pain.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 immunologic predisposition: Polymorphisms affecting inflammatory responses (e.g., IL-1 receptor antagonist, mannose-binding lectin) may impair resolution of inflammation and heighten pain susceptibility.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Pelvic floor dysfunction: Reflex hypertonicity and trigger points in the levator ani perpetuate pain and dyspareunia and drive a vicious cycle of guarding.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Psychosocial and fear-avoidance factors: Pre-existing anxiety/depression, pain catastrophizing and hypervigilance bidirectionally amplify and maintain the pain.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Reproductive-age adults (approx. 18–45 yrs)</w:t>
            </w:r>
          </w:p>
        </w:tc>
        <w:tc>
          <w:tcPr>
            <w:tcW w:type="dxa" w:w="4276"/>
            <w:vAlign w:val="top"/>
          </w:tcPr>
          <w:p>
            <w:pPr>
              <w:spacing w:after="60" w:line="259" w:lineRule="auto"/>
            </w:pPr>
            <w:r>
              <w:rPr>
                <w:rFonts w:ascii="Calibri" w:hAnsi="Calibri"/>
                <w:b w:val="0"/>
                <w:i w:val="0"/>
                <w:color w:val="212121"/>
                <w:sz w:val="19"/>
              </w:rPr>
              <w:t>Provoked vestibulodynia, the commonest form, predominantly affects premenopausal women, presenting as entry dyspareunia and pain with tampons or tight clothing during peak sexual and reproductive years.</w:t>
            </w:r>
          </w:p>
          <w:p>
            <w:pPr>
              <w:spacing w:after="40" w:before="60" w:line="259" w:lineRule="auto"/>
            </w:pPr>
            <w:r>
              <w:rPr>
                <w:rFonts w:ascii="Calibri" w:hAnsi="Calibri"/>
                <w:b w:val="0"/>
                <w:i w:val="0"/>
                <w:color w:val="212121"/>
                <w:sz w:val="19"/>
              </w:rPr>
              <w:t>Lifetime prevalence is about 8% and remains roughly constant across all decades up to age 70, indicating substantial burden throughout the reproductive years.</w:t>
            </w:r>
          </w:p>
          <w:p>
            <w:pPr>
              <w:spacing w:after="40" w:line="252" w:lineRule="auto"/>
            </w:pPr>
            <w:hyperlink r:id="rId9">
              <w:r>
                <w:rPr>
                  <w:rFonts w:ascii="Calibri" w:hAnsi="Calibri" w:cs="Calibri"/>
                  <w:sz w:val="18"/>
                  <w:color w:val="1155CC"/>
                  <w:u w:val="single"/>
                </w:rPr>
                <w:t xml:space="preserve">dovepress.com — Int J Womens Health: etiology &amp; management of vulvodynia</w:t>
              </w:r>
            </w:hyperlink>
          </w:p>
          <w:p>
            <w:pPr>
              <w:spacing w:before="60" w:after="40"/>
            </w:pPr>
            <w:r>
              <w:rPr>
                <w:rFonts w:ascii="Calibri" w:hAnsi="Calibri"/>
                <w:b w:val="0"/>
                <w:i w:val="0"/>
                <w:color w:val="5A5A5A"/>
                <w:sz w:val="18"/>
              </w:rPr>
              <w:t>#vulvodynia  #vestibulodynia  #dyspareunia  #reproductiveage  #chronicpelvicpain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Peri- and post-menopausal women</w:t>
            </w:r>
          </w:p>
        </w:tc>
        <w:tc>
          <w:tcPr>
            <w:tcW w:type="dxa" w:w="4276"/>
            <w:vAlign w:val="top"/>
          </w:tcPr>
          <w:p>
            <w:pPr>
              <w:spacing w:after="60" w:line="259" w:lineRule="auto"/>
            </w:pPr>
            <w:r>
              <w:rPr>
                <w:rFonts w:ascii="Calibri" w:hAnsi="Calibri"/>
                <w:b w:val="0"/>
                <w:i w:val="0"/>
                <w:color w:val="212121"/>
                <w:sz w:val="19"/>
              </w:rPr>
              <w:t>Falling estrogen thins and sensitizes vestibular mucosa, overlapping with genitourinary syndrome of menopause; a hormonally-mediated, often generalized/spontaneous pattern can emerge or worsen.</w:t>
            </w:r>
          </w:p>
          <w:p>
            <w:pPr>
              <w:spacing w:after="40" w:before="60" w:line="259" w:lineRule="auto"/>
            </w:pPr>
            <w:r>
              <w:rPr>
                <w:rFonts w:ascii="Calibri" w:hAnsi="Calibri"/>
                <w:b w:val="0"/>
                <w:i w:val="0"/>
                <w:color w:val="212121"/>
                <w:sz w:val="19"/>
              </w:rPr>
              <w:t>Prevalence persists into older age groups — population data show the ~8% lifetime figure holding steady up to around 70 years, so vulvodynia is not exclusively a young-woman condition.</w:t>
            </w:r>
          </w:p>
          <w:p>
            <w:pPr>
              <w:spacing w:after="40" w:line="252" w:lineRule="auto"/>
            </w:pPr>
            <w:hyperlink r:id="rId9">
              <w:r>
                <w:rPr>
                  <w:rFonts w:ascii="Calibri" w:hAnsi="Calibri" w:cs="Calibri"/>
                  <w:sz w:val="18"/>
                  <w:color w:val="1155CC"/>
                  <w:u w:val="single"/>
                </w:rPr>
                <w:t xml:space="preserve">dovepress.com — Int J Womens Health: prevalence across decades</w:t>
              </w:r>
            </w:hyperlink>
          </w:p>
          <w:p>
            <w:pPr>
              <w:spacing w:before="60" w:after="40"/>
            </w:pPr>
            <w:r>
              <w:rPr>
                <w:rFonts w:ascii="Calibri" w:hAnsi="Calibri"/>
                <w:b w:val="0"/>
                <w:i w:val="0"/>
                <w:color w:val="5A5A5A"/>
                <w:sz w:val="18"/>
              </w:rPr>
              <w:t>#menopause  #lowestrogen  #GSM  #generalizedvulvodynia  #hormonal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(near-exclusive)</w:t>
            </w:r>
          </w:p>
        </w:tc>
        <w:tc>
          <w:tcPr>
            <w:tcW w:type="dxa" w:w="4276"/>
            <w:vAlign w:val="top"/>
          </w:tcPr>
          <w:p>
            <w:pPr>
              <w:spacing w:after="60" w:line="259" w:lineRule="auto"/>
            </w:pPr>
            <w:r>
              <w:rPr>
                <w:rFonts w:ascii="Calibri" w:hAnsi="Calibri"/>
                <w:b w:val="0"/>
                <w:i w:val="0"/>
                <w:color w:val="212121"/>
                <w:sz w:val="19"/>
              </w:rPr>
              <w:t>Vulvodynia is by definition a condition of the vulva and vestibule and therefore occurs almost exclusively in women and people with a vulva; anatomic and hormonal factors underlie susceptibility.</w:t>
            </w:r>
          </w:p>
          <w:p>
            <w:pPr>
              <w:spacing w:after="40" w:before="60" w:line="259" w:lineRule="auto"/>
            </w:pPr>
            <w:r>
              <w:rPr>
                <w:rFonts w:ascii="Calibri" w:hAnsi="Calibri"/>
                <w:b w:val="0"/>
                <w:i w:val="0"/>
                <w:color w:val="212121"/>
                <w:sz w:val="19"/>
              </w:rPr>
              <w:t>Up to about 16% of women report chronic unexplained vulvar pain consistent with vulvodynia at some point in life.</w:t>
            </w:r>
          </w:p>
          <w:p>
            <w:pPr>
              <w:spacing w:after="40" w:line="252" w:lineRule="auto"/>
            </w:pPr>
            <w:hyperlink r:id="rId9">
              <w:r>
                <w:rPr>
                  <w:rFonts w:ascii="Calibri" w:hAnsi="Calibri" w:cs="Calibri"/>
                  <w:sz w:val="18"/>
                  <w:color w:val="1155CC"/>
                  <w:u w:val="single"/>
                </w:rPr>
                <w:t xml:space="preserve">dovepress.com — Int J Womens Health: up to 16% of women</w:t>
              </w:r>
            </w:hyperlink>
          </w:p>
          <w:p>
            <w:pPr>
              <w:spacing w:before="60" w:after="40"/>
            </w:pPr>
            <w:r>
              <w:rPr>
                <w:rFonts w:ascii="Calibri" w:hAnsi="Calibri"/>
                <w:b w:val="0"/>
                <w:i w:val="0"/>
                <w:color w:val="5A5A5A"/>
                <w:sz w:val="18"/>
              </w:rPr>
              <w:t>#women  #vulva  #femalepain  #sexualpain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 / awareness</w:t>
            </w:r>
          </w:p>
        </w:tc>
        <w:tc>
          <w:tcPr>
            <w:tcW w:type="dxa" w:w="2160"/>
            <w:vAlign w:val="top"/>
          </w:tcPr>
          <w:p>
            <w:pPr>
              <w:spacing w:after="40" w:before="0" w:line="259" w:lineRule="auto"/>
            </w:pPr>
            <w:r>
              <w:rPr>
                <w:rFonts w:ascii="Calibri" w:hAnsi="Calibri"/>
                <w:b w:val="0"/>
                <w:i w:val="0"/>
                <w:color w:val="212121"/>
                <w:sz w:val="19"/>
              </w:rPr>
              <w:t>Women in low-awareness or stigmatized settings</w:t>
            </w:r>
          </w:p>
        </w:tc>
        <w:tc>
          <w:tcPr>
            <w:tcW w:type="dxa" w:w="4276"/>
            <w:vAlign w:val="top"/>
          </w:tcPr>
          <w:p>
            <w:pPr>
              <w:spacing w:after="60" w:line="259" w:lineRule="auto"/>
            </w:pPr>
            <w:r>
              <w:rPr>
                <w:rFonts w:ascii="Calibri" w:hAnsi="Calibri"/>
                <w:b w:val="0"/>
                <w:i w:val="0"/>
                <w:color w:val="212121"/>
                <w:sz w:val="19"/>
              </w:rPr>
              <w:t>Stigma around sexual pain, limited access to vulvar-pain expertise and repeated empirical antifungal treatment delay recognition, so many women endure years of pain before diagnosis.</w:t>
            </w:r>
          </w:p>
          <w:p>
            <w:pPr>
              <w:spacing w:after="40" w:before="60" w:line="259" w:lineRule="auto"/>
            </w:pPr>
            <w:r>
              <w:rPr>
                <w:rFonts w:ascii="Calibri" w:hAnsi="Calibri"/>
                <w:b w:val="0"/>
                <w:i w:val="0"/>
                <w:color w:val="212121"/>
                <w:sz w:val="19"/>
              </w:rPr>
              <w:t>Only about half of women meeting criteria seek medical help, and fewer than 2% of those who do seek help actually obtain a diagnosis.</w:t>
            </w:r>
          </w:p>
          <w:p>
            <w:pPr>
              <w:spacing w:after="40" w:line="252" w:lineRule="auto"/>
            </w:pPr>
            <w:hyperlink r:id="rId10">
              <w:r>
                <w:rPr>
                  <w:rFonts w:ascii="Calibri" w:hAnsi="Calibri" w:cs="Calibri"/>
                  <w:sz w:val="18"/>
                  <w:color w:val="1155CC"/>
                  <w:u w:val="single"/>
                </w:rPr>
                <w:t xml:space="preserve">en.wikipedia.org — Vulvodynia: care-seeking &amp; diagnosis gap</w:t>
              </w:r>
            </w:hyperlink>
          </w:p>
          <w:p>
            <w:pPr>
              <w:spacing w:before="60" w:after="40"/>
            </w:pPr>
            <w:r>
              <w:rPr>
                <w:rFonts w:ascii="Calibri" w:hAnsi="Calibri"/>
                <w:b w:val="0"/>
                <w:i w:val="0"/>
                <w:color w:val="5A5A5A"/>
                <w:sz w:val="18"/>
              </w:rPr>
              <w:t>#underdiagnosed  #stigma  #delayeddiagnosis  #awareness  #accesstocare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women (under-recognized)</w:t>
            </w:r>
          </w:p>
        </w:tc>
        <w:tc>
          <w:tcPr>
            <w:tcW w:type="dxa" w:w="4276"/>
            <w:vAlign w:val="top"/>
          </w:tcPr>
          <w:p>
            <w:pPr>
              <w:spacing w:after="60" w:line="259" w:lineRule="auto"/>
            </w:pPr>
            <w:r>
              <w:rPr>
                <w:rFonts w:ascii="Calibri" w:hAnsi="Calibri"/>
                <w:b w:val="0"/>
                <w:i w:val="0"/>
                <w:color w:val="212121"/>
                <w:sz w:val="19"/>
              </w:rPr>
              <w:t>In India vulvodynia is rarely diagnosed — cultural silence around dyspareunia, low clinician awareness and frequent mislabelling as recurrent candidiasis or UTI mean the condition is largely hidden; structured vulvoscopic evaluation is only beginning to characterize vulvar pain disorders locally.</w:t>
            </w:r>
          </w:p>
          <w:p>
            <w:pPr>
              <w:spacing w:after="40" w:before="60" w:line="259" w:lineRule="auto"/>
            </w:pPr>
            <w:r>
              <w:rPr>
                <w:rFonts w:ascii="Calibri" w:hAnsi="Calibri"/>
                <w:b w:val="0"/>
                <w:i w:val="0"/>
                <w:color w:val="212121"/>
                <w:sz w:val="19"/>
              </w:rPr>
              <w:t>Indian gynaecology literature explicitly frames vulvodynia as unrecognized/underdiagnosed, including an under-appreciated diabetic-neuropathic form.</w:t>
            </w:r>
          </w:p>
          <w:p>
            <w:pPr>
              <w:spacing w:after="40" w:line="252" w:lineRule="auto"/>
            </w:pPr>
            <w:hyperlink r:id="rId11">
              <w:r>
                <w:rPr>
                  <w:rFonts w:ascii="Calibri" w:hAnsi="Calibri" w:cs="Calibri"/>
                  <w:sz w:val="18"/>
                  <w:color w:val="1155CC"/>
                  <w:u w:val="single"/>
                </w:rPr>
                <w:t xml:space="preserve">pubmed.ncbi.nlm.nih.gov/24083157 — vulvodynia as an unrecognized diabetic syndrome (India)</w:t>
              </w:r>
            </w:hyperlink>
          </w:p>
          <w:p>
            <w:pPr>
              <w:spacing w:before="60" w:after="40"/>
            </w:pPr>
            <w:r>
              <w:rPr>
                <w:rFonts w:ascii="Calibri" w:hAnsi="Calibri"/>
                <w:b w:val="0"/>
                <w:i w:val="0"/>
                <w:color w:val="5A5A5A"/>
                <w:sz w:val="18"/>
              </w:rPr>
              <w:t>#India  #underrecognized  #candidiasismisdiagnosis  #vulvoscopy  #awarenessgap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Clinical setting</w:t>
            </w:r>
          </w:p>
        </w:tc>
        <w:tc>
          <w:tcPr>
            <w:tcW w:type="dxa" w:w="2160"/>
            <w:vAlign w:val="top"/>
          </w:tcPr>
          <w:p>
            <w:pPr>
              <w:spacing w:after="40" w:before="0" w:line="259" w:lineRule="auto"/>
            </w:pPr>
            <w:r>
              <w:rPr>
                <w:rFonts w:ascii="Calibri" w:hAnsi="Calibri"/>
                <w:b w:val="0"/>
                <w:i w:val="0"/>
                <w:color w:val="212121"/>
                <w:sz w:val="19"/>
              </w:rPr>
              <w:t>Women attending gynaecology / vulvar clinics</w:t>
            </w:r>
          </w:p>
        </w:tc>
        <w:tc>
          <w:tcPr>
            <w:tcW w:type="dxa" w:w="4276"/>
            <w:vAlign w:val="top"/>
          </w:tcPr>
          <w:p>
            <w:pPr>
              <w:spacing w:after="60" w:line="259" w:lineRule="auto"/>
            </w:pPr>
            <w:r>
              <w:rPr>
                <w:rFonts w:ascii="Calibri" w:hAnsi="Calibri"/>
                <w:b w:val="0"/>
                <w:i w:val="0"/>
                <w:color w:val="212121"/>
                <w:sz w:val="19"/>
              </w:rPr>
              <w:t>Selection in specialist settings concentrates cases; provoked vestibulodynia is a leading cause of chronic dyspareunia in premenopausal women seen in gynaecology.</w:t>
            </w:r>
          </w:p>
          <w:p>
            <w:pPr>
              <w:spacing w:after="40" w:before="60" w:line="259" w:lineRule="auto"/>
            </w:pPr>
            <w:r>
              <w:rPr>
                <w:rFonts w:ascii="Calibri" w:hAnsi="Calibri"/>
                <w:b w:val="0"/>
                <w:i w:val="0"/>
                <w:color w:val="212121"/>
                <w:sz w:val="19"/>
              </w:rPr>
              <w:t>Vestibulodynia is estimated in roughly 10–15% of women attending gynaecological care.</w:t>
            </w:r>
          </w:p>
          <w:p>
            <w:pPr>
              <w:spacing w:after="40" w:line="252" w:lineRule="auto"/>
            </w:pPr>
            <w:hyperlink r:id="rId10">
              <w:r>
                <w:rPr>
                  <w:rFonts w:ascii="Calibri" w:hAnsi="Calibri" w:cs="Calibri"/>
                  <w:sz w:val="18"/>
                  <w:color w:val="1155CC"/>
                  <w:u w:val="single"/>
                </w:rPr>
                <w:t xml:space="preserve">en.wikipedia.org — Vulvodynia: 10–15% of gynaecology attendees</w:t>
              </w:r>
            </w:hyperlink>
          </w:p>
          <w:p>
            <w:pPr>
              <w:spacing w:before="60" w:after="40"/>
            </w:pPr>
            <w:r>
              <w:rPr>
                <w:rFonts w:ascii="Calibri" w:hAnsi="Calibri"/>
                <w:b w:val="0"/>
                <w:i w:val="0"/>
                <w:color w:val="5A5A5A"/>
                <w:sz w:val="18"/>
              </w:rPr>
              <w:t>#gynaecology  #specialistclinic  #vestibulodynia  #dyspareunia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prolonged sitting</w:t>
            </w:r>
          </w:p>
        </w:tc>
        <w:tc>
          <w:tcPr>
            <w:tcW w:type="dxa" w:w="2160"/>
            <w:vAlign w:val="top"/>
          </w:tcPr>
          <w:p>
            <w:pPr>
              <w:spacing w:after="40" w:before="0" w:line="259" w:lineRule="auto"/>
            </w:pPr>
            <w:r>
              <w:rPr>
                <w:rFonts w:ascii="Calibri" w:hAnsi="Calibri"/>
                <w:b w:val="0"/>
                <w:i w:val="0"/>
                <w:color w:val="212121"/>
                <w:sz w:val="19"/>
              </w:rPr>
              <w:t>Desk workers, cyclists, long commuters</w:t>
            </w:r>
          </w:p>
        </w:tc>
        <w:tc>
          <w:tcPr>
            <w:tcW w:type="dxa" w:w="4276"/>
            <w:vAlign w:val="top"/>
          </w:tcPr>
          <w:p>
            <w:pPr>
              <w:spacing w:after="60" w:line="259" w:lineRule="auto"/>
            </w:pPr>
            <w:r>
              <w:rPr>
                <w:rFonts w:ascii="Calibri" w:hAnsi="Calibri"/>
                <w:b w:val="0"/>
                <w:i w:val="0"/>
                <w:color w:val="212121"/>
                <w:sz w:val="19"/>
              </w:rPr>
              <w:t>Sustained direct pressure on the vestibule and pelvic floor provokes and maintains pain; activities such as prolonged sitting, cycling and tight seating are classic aggravators.</w:t>
            </w:r>
          </w:p>
          <w:p>
            <w:pPr>
              <w:spacing w:after="40" w:before="60" w:line="259" w:lineRule="auto"/>
            </w:pPr>
            <w:r>
              <w:rPr>
                <w:rFonts w:ascii="Calibri" w:hAnsi="Calibri"/>
                <w:b w:val="0"/>
                <w:i w:val="0"/>
                <w:color w:val="212121"/>
                <w:sz w:val="19"/>
              </w:rPr>
              <w:t>Vulvodynia characteristically interferes with sitting at a desk, cycling, social events and sexual relationships — pressure-loading activities reproduce symptoms.</w:t>
            </w:r>
          </w:p>
          <w:p>
            <w:pPr>
              <w:spacing w:after="40" w:line="252" w:lineRule="auto"/>
            </w:pPr>
            <w:hyperlink r:id="rId12">
              <w:r>
                <w:rPr>
                  <w:rFonts w:ascii="Calibri" w:hAnsi="Calibri" w:cs="Calibri"/>
                  <w:sz w:val="18"/>
                  <w:color w:val="1155CC"/>
                  <w:u w:val="single"/>
                </w:rPr>
                <w:t xml:space="preserve">dermnetnz.org — Vulvodynia: pressure/sitting aggravation</w:t>
              </w:r>
            </w:hyperlink>
          </w:p>
          <w:p>
            <w:pPr>
              <w:spacing w:before="60" w:after="40"/>
            </w:pPr>
            <w:r>
              <w:rPr>
                <w:rFonts w:ascii="Calibri" w:hAnsi="Calibri"/>
                <w:b w:val="0"/>
                <w:i w:val="0"/>
                <w:color w:val="5A5A5A"/>
                <w:sz w:val="18"/>
              </w:rPr>
              <w:t>#prolongedsitting  #cycling  #pressure  #deskwork  #provokingactivity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practices / irritants</w:t>
            </w:r>
          </w:p>
        </w:tc>
        <w:tc>
          <w:tcPr>
            <w:tcW w:type="dxa" w:w="2160"/>
            <w:vAlign w:val="top"/>
          </w:tcPr>
          <w:p>
            <w:pPr>
              <w:spacing w:after="40" w:before="0" w:line="259" w:lineRule="auto"/>
            </w:pPr>
            <w:r>
              <w:rPr>
                <w:rFonts w:ascii="Calibri" w:hAnsi="Calibri"/>
                <w:b w:val="0"/>
                <w:i w:val="0"/>
                <w:color w:val="212121"/>
                <w:sz w:val="19"/>
              </w:rPr>
              <w:t>Users of scented soaps, douches, synthetic/tight underwear, panty-liners</w:t>
            </w:r>
          </w:p>
        </w:tc>
        <w:tc>
          <w:tcPr>
            <w:tcW w:type="dxa" w:w="4276"/>
            <w:vAlign w:val="top"/>
          </w:tcPr>
          <w:p>
            <w:pPr>
              <w:spacing w:after="60" w:line="259" w:lineRule="auto"/>
            </w:pPr>
            <w:r>
              <w:rPr>
                <w:rFonts w:ascii="Calibri" w:hAnsi="Calibri"/>
                <w:b w:val="0"/>
                <w:i w:val="0"/>
                <w:color w:val="212121"/>
                <w:sz w:val="19"/>
              </w:rPr>
              <w:t>Chemical and contact irritants (perfumed washes, douching, harsh detergents, tight synthetic clothing) inflame and sensitize the vestibule, precipitating or worsening pain in susceptible women.</w:t>
            </w:r>
          </w:p>
          <w:p>
            <w:pPr>
              <w:spacing w:after="40" w:before="60" w:line="259" w:lineRule="auto"/>
            </w:pPr>
            <w:r>
              <w:rPr>
                <w:rFonts w:ascii="Calibri" w:hAnsi="Calibri"/>
                <w:b w:val="0"/>
                <w:i w:val="0"/>
                <w:color w:val="212121"/>
                <w:sz w:val="19"/>
              </w:rPr>
              <w:t>Vulvar irritation and inflammation are recognized contributory/aggravating factors; avoiding irritants is a first-line self-care measure.</w:t>
            </w:r>
          </w:p>
          <w:p>
            <w:pPr>
              <w:spacing w:after="40" w:line="252" w:lineRule="auto"/>
            </w:pPr>
            <w:hyperlink r:id="rId13">
              <w:r>
                <w:rPr>
                  <w:rFonts w:ascii="Calibri" w:hAnsi="Calibri" w:cs="Calibri"/>
                  <w:sz w:val="18"/>
                  <w:color w:val="1155CC"/>
                  <w:u w:val="single"/>
                </w:rPr>
                <w:t xml:space="preserve">mayoclinic.org — Vulvodynia: irritation/inflammation as contributing factors</w:t>
              </w:r>
            </w:hyperlink>
          </w:p>
          <w:p>
            <w:pPr>
              <w:spacing w:before="60" w:after="40"/>
            </w:pPr>
            <w:r>
              <w:rPr>
                <w:rFonts w:ascii="Calibri" w:hAnsi="Calibri"/>
                <w:b w:val="0"/>
                <w:i w:val="0"/>
                <w:color w:val="5A5A5A"/>
                <w:sz w:val="18"/>
              </w:rPr>
              <w:t>#irritants  #douching  #syntheticunderwear  #vulvarhygiene  #contactirritation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Hormonal contraceptive use</w:t>
            </w:r>
          </w:p>
        </w:tc>
        <w:tc>
          <w:tcPr>
            <w:tcW w:type="dxa" w:w="2160"/>
            <w:vAlign w:val="top"/>
          </w:tcPr>
          <w:p>
            <w:pPr>
              <w:spacing w:after="40" w:before="0" w:line="259" w:lineRule="auto"/>
            </w:pPr>
            <w:r>
              <w:rPr>
                <w:rFonts w:ascii="Calibri" w:hAnsi="Calibri"/>
                <w:b w:val="0"/>
                <w:i w:val="0"/>
                <w:color w:val="212121"/>
                <w:sz w:val="19"/>
              </w:rPr>
              <w:t>Women starting combined oral contraceptives at a young age</w:t>
            </w:r>
          </w:p>
        </w:tc>
        <w:tc>
          <w:tcPr>
            <w:tcW w:type="dxa" w:w="4276"/>
            <w:vAlign w:val="top"/>
          </w:tcPr>
          <w:p>
            <w:pPr>
              <w:spacing w:after="60" w:line="259" w:lineRule="auto"/>
            </w:pPr>
            <w:r>
              <w:rPr>
                <w:rFonts w:ascii="Calibri" w:hAnsi="Calibri"/>
                <w:b w:val="0"/>
                <w:i w:val="0"/>
                <w:color w:val="212121"/>
                <w:sz w:val="19"/>
              </w:rPr>
              <w:t>Combined oral contraceptives lower free estrogen/androgen at the vestibular mucosa, thinning and sensitizing it; early initiation is linked to hormonally-mediated vestibulodynia.</w:t>
            </w:r>
          </w:p>
          <w:p>
            <w:pPr>
              <w:spacing w:after="40" w:before="60" w:line="259" w:lineRule="auto"/>
            </w:pPr>
            <w:r>
              <w:rPr>
                <w:rFonts w:ascii="Calibri" w:hAnsi="Calibri"/>
                <w:b w:val="0"/>
                <w:i w:val="0"/>
                <w:color w:val="212121"/>
                <w:sz w:val="19"/>
              </w:rPr>
              <w:t>Initiating hormonal contraceptives before age 16 has been associated with predisposition to vulvar vestibulitis (provoked vestibulodynia).</w:t>
            </w:r>
          </w:p>
          <w:p>
            <w:pPr>
              <w:spacing w:after="40" w:line="252" w:lineRule="auto"/>
            </w:pPr>
            <w:hyperlink r:id="rId10">
              <w:r>
                <w:rPr>
                  <w:rFonts w:ascii="Calibri" w:hAnsi="Calibri" w:cs="Calibri"/>
                  <w:sz w:val="18"/>
                  <w:color w:val="1155CC"/>
                  <w:u w:val="single"/>
                </w:rPr>
                <w:t xml:space="preserve">en.wikipedia.org — Vulvodynia: early OCP use &amp; vestibulitis</w:t>
              </w:r>
            </w:hyperlink>
          </w:p>
          <w:p>
            <w:pPr>
              <w:spacing w:before="60" w:after="40"/>
            </w:pPr>
            <w:r>
              <w:rPr>
                <w:rFonts w:ascii="Calibri" w:hAnsi="Calibri"/>
                <w:b w:val="0"/>
                <w:i w:val="0"/>
                <w:color w:val="5A5A5A"/>
                <w:sz w:val="18"/>
              </w:rPr>
              <w:t>#oralcontraceptives  #hormonal  #earlyOCP  #vestibulodynia  #estrogen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oxalate (proposed)</w:t>
            </w:r>
          </w:p>
        </w:tc>
        <w:tc>
          <w:tcPr>
            <w:tcW w:type="dxa" w:w="2160"/>
            <w:vAlign w:val="top"/>
          </w:tcPr>
          <w:p>
            <w:pPr>
              <w:spacing w:after="40" w:before="0" w:line="259" w:lineRule="auto"/>
            </w:pPr>
            <w:r>
              <w:rPr>
                <w:rFonts w:ascii="Calibri" w:hAnsi="Calibri"/>
                <w:b w:val="0"/>
                <w:i w:val="0"/>
                <w:color w:val="212121"/>
                <w:sz w:val="19"/>
              </w:rPr>
              <w:t>Women on high-oxalate diets (proposed, weak evidence)</w:t>
            </w:r>
          </w:p>
        </w:tc>
        <w:tc>
          <w:tcPr>
            <w:tcW w:type="dxa" w:w="4276"/>
            <w:vAlign w:val="top"/>
          </w:tcPr>
          <w:p>
            <w:pPr>
              <w:spacing w:after="60" w:line="259" w:lineRule="auto"/>
            </w:pPr>
            <w:r>
              <w:rPr>
                <w:rFonts w:ascii="Calibri" w:hAnsi="Calibri"/>
                <w:b w:val="0"/>
                <w:i w:val="0"/>
                <w:color w:val="212121"/>
                <w:sz w:val="19"/>
              </w:rPr>
              <w:t>A long-standing hypothesis proposes that urinary oxalate crystals irritate the vestibule; the evidence is weak and inconsistent, and a low-oxalate diet is at most an adjunct in selected women.</w:t>
            </w:r>
          </w:p>
          <w:p>
            <w:pPr>
              <w:spacing w:after="40" w:before="60" w:line="259" w:lineRule="auto"/>
            </w:pPr>
            <w:r>
              <w:rPr>
                <w:rFonts w:ascii="Calibri" w:hAnsi="Calibri"/>
                <w:b w:val="0"/>
                <w:i w:val="0"/>
                <w:color w:val="212121"/>
                <w:sz w:val="19"/>
              </w:rPr>
              <w:t>Dietary/oxalate modification remains an unproven adjunct — kept as a general clinical statement given the lack of robust supporting data.</w:t>
            </w:r>
          </w:p>
          <w:p>
            <w:pPr>
              <w:spacing w:before="60" w:after="40"/>
            </w:pPr>
            <w:r>
              <w:rPr>
                <w:rFonts w:ascii="Calibri" w:hAnsi="Calibri"/>
                <w:b w:val="0"/>
                <w:i w:val="0"/>
                <w:color w:val="5A5A5A"/>
                <w:sz w:val="18"/>
              </w:rPr>
              <w:t>#oxalate  #diet  #weakevidence  #adjunct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immunogenetic predisposition</w:t>
            </w:r>
          </w:p>
        </w:tc>
        <w:tc>
          <w:tcPr>
            <w:tcW w:type="dxa" w:w="2160"/>
            <w:vAlign w:val="top"/>
          </w:tcPr>
          <w:p>
            <w:pPr>
              <w:spacing w:after="40" w:before="0" w:line="259" w:lineRule="auto"/>
            </w:pPr>
            <w:r>
              <w:rPr>
                <w:rFonts w:ascii="Calibri" w:hAnsi="Calibri"/>
                <w:b w:val="0"/>
                <w:i w:val="0"/>
                <w:color w:val="212121"/>
                <w:sz w:val="19"/>
              </w:rPr>
              <w:t>Women with familial chronic-pain or strong inflammatory response</w:t>
            </w:r>
          </w:p>
        </w:tc>
        <w:tc>
          <w:tcPr>
            <w:tcW w:type="dxa" w:w="4276"/>
            <w:vAlign w:val="top"/>
          </w:tcPr>
          <w:p>
            <w:pPr>
              <w:spacing w:after="60" w:line="259" w:lineRule="auto"/>
            </w:pPr>
            <w:r>
              <w:rPr>
                <w:rFonts w:ascii="Calibri" w:hAnsi="Calibri"/>
                <w:b w:val="0"/>
                <w:i w:val="0"/>
                <w:color w:val="212121"/>
                <w:sz w:val="19"/>
              </w:rPr>
              <w:t>Inherited variation in inflammatory pathways (e.g., IL-1 receptor antagonist, mannose-binding lectin polymorphisms) may impair resolution of vestibular inflammation and heighten pain susceptibility, clustering with familial chronic-pain conditions.</w:t>
            </w:r>
          </w:p>
          <w:p>
            <w:pPr>
              <w:spacing w:after="40" w:before="60" w:line="259" w:lineRule="auto"/>
            </w:pPr>
            <w:r>
              <w:rPr>
                <w:rFonts w:ascii="Calibri" w:hAnsi="Calibri"/>
                <w:b w:val="0"/>
                <w:i w:val="0"/>
                <w:color w:val="212121"/>
                <w:sz w:val="19"/>
              </w:rPr>
              <w:t>A genetic predisposition to a stronger/prolonged inflammatory response is described as a contributory factor in vulvodynia.</w:t>
            </w:r>
          </w:p>
          <w:p>
            <w:pPr>
              <w:spacing w:after="40" w:line="252" w:lineRule="auto"/>
            </w:pPr>
            <w:hyperlink r:id="rId10">
              <w:r>
                <w:rPr>
                  <w:rFonts w:ascii="Calibri" w:hAnsi="Calibri" w:cs="Calibri"/>
                  <w:sz w:val="18"/>
                  <w:color w:val="1155CC"/>
                  <w:u w:val="single"/>
                </w:rPr>
                <w:t xml:space="preserve">en.wikipedia.org — Vulvodynia: genetic inflammatory predisposition</w:t>
              </w:r>
            </w:hyperlink>
          </w:p>
          <w:p>
            <w:pPr>
              <w:spacing w:before="60" w:after="40"/>
            </w:pPr>
            <w:r>
              <w:rPr>
                <w:rFonts w:ascii="Calibri" w:hAnsi="Calibri"/>
                <w:b w:val="0"/>
                <w:i w:val="0"/>
                <w:color w:val="5A5A5A"/>
                <w:sz w:val="18"/>
              </w:rPr>
              <w:t>#genetics  #IL1  #inflammation  #familyhistory  #immunogenetic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Recurrent vulvovaginal candidiasis</w:t>
            </w:r>
          </w:p>
        </w:tc>
        <w:tc>
          <w:tcPr>
            <w:tcW w:type="dxa" w:w="2160"/>
            <w:vAlign w:val="top"/>
          </w:tcPr>
          <w:p>
            <w:pPr>
              <w:spacing w:after="40" w:before="0" w:line="259" w:lineRule="auto"/>
            </w:pPr>
            <w:r>
              <w:rPr>
                <w:rFonts w:ascii="Calibri" w:hAnsi="Calibri"/>
                <w:b w:val="0"/>
                <w:i w:val="0"/>
                <w:color w:val="212121"/>
                <w:sz w:val="19"/>
              </w:rPr>
              <w:t>Women with recurrent yeast infections</w:t>
            </w:r>
          </w:p>
        </w:tc>
        <w:tc>
          <w:tcPr>
            <w:tcW w:type="dxa" w:w="4276"/>
            <w:vAlign w:val="top"/>
          </w:tcPr>
          <w:p>
            <w:pPr>
              <w:spacing w:after="60" w:line="259" w:lineRule="auto"/>
            </w:pPr>
            <w:r>
              <w:rPr>
                <w:rFonts w:ascii="Calibri" w:hAnsi="Calibri"/>
                <w:b w:val="0"/>
                <w:i w:val="0"/>
                <w:color w:val="212121"/>
                <w:sz w:val="19"/>
              </w:rPr>
              <w:t>Repeated candida infection and the resulting chronic inflammation are among the most frequent precipitating events, sensitizing vestibular nerves; ironically, persistent ‘thrush’ that no longer responds to antifungals is often vulvodynia.</w:t>
            </w:r>
          </w:p>
          <w:p>
            <w:pPr>
              <w:spacing w:after="40" w:before="60" w:line="259" w:lineRule="auto"/>
            </w:pPr>
            <w:r>
              <w:rPr>
                <w:rFonts w:ascii="Calibri" w:hAnsi="Calibri"/>
                <w:b w:val="0"/>
                <w:i w:val="0"/>
                <w:color w:val="212121"/>
                <w:sz w:val="19"/>
              </w:rPr>
              <w:t>Severe/recurrent yeast infections are specifically identified as precipitating events for vestibulodynia.</w:t>
            </w:r>
          </w:p>
          <w:p>
            <w:pPr>
              <w:spacing w:after="40" w:line="252" w:lineRule="auto"/>
            </w:pPr>
            <w:hyperlink r:id="rId10">
              <w:r>
                <w:rPr>
                  <w:rFonts w:ascii="Calibri" w:hAnsi="Calibri" w:cs="Calibri"/>
                  <w:sz w:val="18"/>
                  <w:color w:val="1155CC"/>
                  <w:u w:val="single"/>
                </w:rPr>
                <w:t xml:space="preserve">en.wikipedia.org — Vulvodynia: yeast infection as precipitant</w:t>
              </w:r>
            </w:hyperlink>
          </w:p>
          <w:p>
            <w:pPr>
              <w:spacing w:before="60" w:after="40"/>
            </w:pPr>
            <w:r>
              <w:rPr>
                <w:rFonts w:ascii="Calibri" w:hAnsi="Calibri"/>
                <w:b w:val="0"/>
                <w:i w:val="0"/>
                <w:color w:val="5A5A5A"/>
                <w:sz w:val="18"/>
              </w:rPr>
              <w:t>#candidiasis  #recurrentthrush  #precipitant  #inflammation  #misdiagnosis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Interstitial cystitis / bladder pain syndrome</w:t>
            </w:r>
          </w:p>
        </w:tc>
        <w:tc>
          <w:tcPr>
            <w:tcW w:type="dxa" w:w="2160"/>
            <w:vAlign w:val="top"/>
          </w:tcPr>
          <w:p>
            <w:pPr>
              <w:spacing w:after="40" w:before="0" w:line="259" w:lineRule="auto"/>
            </w:pPr>
            <w:r>
              <w:rPr>
                <w:rFonts w:ascii="Calibri" w:hAnsi="Calibri"/>
                <w:b w:val="0"/>
                <w:i w:val="0"/>
                <w:color w:val="212121"/>
                <w:sz w:val="19"/>
              </w:rPr>
              <w:t>Women with painful bladder syndrome</w:t>
            </w:r>
          </w:p>
        </w:tc>
        <w:tc>
          <w:tcPr>
            <w:tcW w:type="dxa" w:w="4276"/>
            <w:vAlign w:val="top"/>
          </w:tcPr>
          <w:p>
            <w:pPr>
              <w:spacing w:after="60" w:line="259" w:lineRule="auto"/>
            </w:pPr>
            <w:r>
              <w:rPr>
                <w:rFonts w:ascii="Calibri" w:hAnsi="Calibri"/>
                <w:b w:val="0"/>
                <w:i w:val="0"/>
                <w:color w:val="212121"/>
                <w:sz w:val="19"/>
              </w:rPr>
              <w:t>Shared central sensitization links the vestibule and bladder (both derived from urogenital sinus); painful bladder syndrome frequently co-occurs and amplifies overall pelvic pain.</w:t>
            </w:r>
          </w:p>
          <w:p>
            <w:pPr>
              <w:spacing w:after="40" w:before="60" w:line="259" w:lineRule="auto"/>
            </w:pPr>
            <w:r>
              <w:rPr>
                <w:rFonts w:ascii="Calibri" w:hAnsi="Calibri"/>
                <w:b w:val="0"/>
                <w:i w:val="0"/>
                <w:color w:val="212121"/>
                <w:sz w:val="19"/>
              </w:rPr>
              <w:t>Painful bladder syndrome is a recognized commonly-associated comorbidity of vulvodynia.</w:t>
            </w:r>
          </w:p>
          <w:p>
            <w:pPr>
              <w:spacing w:after="40" w:line="252" w:lineRule="auto"/>
            </w:pPr>
            <w:hyperlink r:id="rId12">
              <w:r>
                <w:rPr>
                  <w:rFonts w:ascii="Calibri" w:hAnsi="Calibri" w:cs="Calibri"/>
                  <w:sz w:val="18"/>
                  <w:color w:val="1155CC"/>
                  <w:u w:val="single"/>
                </w:rPr>
                <w:t xml:space="preserve">dermnetnz.org — Vulvodynia: painful bladder syndrome association</w:t>
              </w:r>
            </w:hyperlink>
          </w:p>
          <w:p>
            <w:pPr>
              <w:spacing w:before="60" w:after="40"/>
            </w:pPr>
            <w:r>
              <w:rPr>
                <w:rFonts w:ascii="Calibri" w:hAnsi="Calibri"/>
                <w:b w:val="0"/>
                <w:i w:val="0"/>
                <w:color w:val="5A5A5A"/>
                <w:sz w:val="18"/>
              </w:rPr>
              <w:t>#interstitialcystitis  #bladderpain  #centralsensitization  #COPC  #pelvicpain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overlapping pain conditions</w:t>
            </w:r>
          </w:p>
        </w:tc>
        <w:tc>
          <w:tcPr>
            <w:tcW w:type="dxa" w:w="2160"/>
            <w:vAlign w:val="top"/>
          </w:tcPr>
          <w:p>
            <w:pPr>
              <w:spacing w:after="40" w:before="0" w:line="259" w:lineRule="auto"/>
            </w:pPr>
            <w:r>
              <w:rPr>
                <w:rFonts w:ascii="Calibri" w:hAnsi="Calibri"/>
                <w:b w:val="0"/>
                <w:i w:val="0"/>
                <w:color w:val="212121"/>
                <w:sz w:val="19"/>
              </w:rPr>
              <w:t>Women with fibromyalgia, IBS, TMJ or chronic fatigue</w:t>
            </w:r>
          </w:p>
        </w:tc>
        <w:tc>
          <w:tcPr>
            <w:tcW w:type="dxa" w:w="4276"/>
            <w:vAlign w:val="top"/>
          </w:tcPr>
          <w:p>
            <w:pPr>
              <w:spacing w:after="60" w:line="259" w:lineRule="auto"/>
            </w:pPr>
            <w:r>
              <w:rPr>
                <w:rFonts w:ascii="Calibri" w:hAnsi="Calibri"/>
                <w:b w:val="0"/>
                <w:i w:val="0"/>
                <w:color w:val="212121"/>
                <w:sz w:val="19"/>
              </w:rPr>
              <w:t>Vulvodynia clusters with other central sensitivity syndromes; the shared mechanism of amplified pain processing means one condition raises the likelihood and severity of the others.</w:t>
            </w:r>
          </w:p>
          <w:p>
            <w:pPr>
              <w:spacing w:after="40" w:before="60" w:line="259" w:lineRule="auto"/>
            </w:pPr>
            <w:r>
              <w:rPr>
                <w:rFonts w:ascii="Calibri" w:hAnsi="Calibri"/>
                <w:b w:val="0"/>
                <w:i w:val="0"/>
                <w:color w:val="212121"/>
                <w:sz w:val="19"/>
              </w:rPr>
              <w:t>About 45% of women with vulvodynia report at least one chronic overlapping pain condition (chronic fatigue syndrome, endometriosis, fibromyalgia, interstitial cystitis or IBS).</w:t>
            </w:r>
          </w:p>
          <w:p>
            <w:pPr>
              <w:spacing w:after="40" w:line="252" w:lineRule="auto"/>
            </w:pPr>
            <w:hyperlink r:id="rId9">
              <w:r>
                <w:rPr>
                  <w:rFonts w:ascii="Calibri" w:hAnsi="Calibri" w:cs="Calibri"/>
                  <w:sz w:val="18"/>
                  <w:color w:val="1155CC"/>
                  <w:u w:val="single"/>
                </w:rPr>
                <w:t xml:space="preserve">dovepress.com — Int J Womens Health: 45% with a comorbid pain condition</w:t>
              </w:r>
            </w:hyperlink>
          </w:p>
          <w:p>
            <w:pPr>
              <w:spacing w:before="60" w:after="40"/>
            </w:pPr>
            <w:r>
              <w:rPr>
                <w:rFonts w:ascii="Calibri" w:hAnsi="Calibri"/>
                <w:b w:val="0"/>
                <w:i w:val="0"/>
                <w:color w:val="5A5A5A"/>
                <w:sz w:val="18"/>
              </w:rPr>
              <w:t>#fibromyalgia  #IBS  #TMJ  #centralsensitization  #overlappingpain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 depression</w:t>
            </w:r>
          </w:p>
        </w:tc>
        <w:tc>
          <w:tcPr>
            <w:tcW w:type="dxa" w:w="2160"/>
            <w:vAlign w:val="top"/>
          </w:tcPr>
          <w:p>
            <w:pPr>
              <w:spacing w:after="40" w:before="0" w:line="259" w:lineRule="auto"/>
            </w:pPr>
            <w:r>
              <w:rPr>
                <w:rFonts w:ascii="Calibri" w:hAnsi="Calibri"/>
                <w:b w:val="0"/>
                <w:i w:val="0"/>
                <w:color w:val="212121"/>
                <w:sz w:val="19"/>
              </w:rPr>
              <w:t>Women with pre-existing mood or anxiety disorders</w:t>
            </w:r>
          </w:p>
        </w:tc>
        <w:tc>
          <w:tcPr>
            <w:tcW w:type="dxa" w:w="4276"/>
            <w:vAlign w:val="top"/>
          </w:tcPr>
          <w:p>
            <w:pPr>
              <w:spacing w:after="60" w:line="259" w:lineRule="auto"/>
            </w:pPr>
            <w:r>
              <w:rPr>
                <w:rFonts w:ascii="Calibri" w:hAnsi="Calibri"/>
                <w:b w:val="0"/>
                <w:i w:val="0"/>
                <w:color w:val="212121"/>
                <w:sz w:val="19"/>
              </w:rPr>
              <w:t>Psychological distress lowers pain thresholds and drives fear-avoidance and catastrophizing, bidirectionally predisposing to and perpetuating provoked vestibulodynia.</w:t>
            </w:r>
          </w:p>
          <w:p>
            <w:pPr>
              <w:spacing w:after="40" w:before="60" w:line="259" w:lineRule="auto"/>
            </w:pPr>
            <w:r>
              <w:rPr>
                <w:rFonts w:ascii="Calibri" w:hAnsi="Calibri"/>
                <w:b w:val="0"/>
                <w:i w:val="0"/>
                <w:color w:val="212121"/>
                <w:sz w:val="19"/>
              </w:rPr>
              <w:t>Women with a prior history of anxiety and/or depression were found to be about four times more likely to develop provoked vestibulodynia.</w:t>
            </w:r>
          </w:p>
          <w:p>
            <w:pPr>
              <w:spacing w:after="40" w:line="252" w:lineRule="auto"/>
            </w:pPr>
            <w:hyperlink r:id="rId9">
              <w:r>
                <w:rPr>
                  <w:rFonts w:ascii="Calibri" w:hAnsi="Calibri" w:cs="Calibri"/>
                  <w:sz w:val="18"/>
                  <w:color w:val="1155CC"/>
                  <w:u w:val="single"/>
                </w:rPr>
                <w:t xml:space="preserve">dovepress.com — Int J Womens Health: 4× risk with prior anxiety/depression</w:t>
              </w:r>
            </w:hyperlink>
          </w:p>
          <w:p>
            <w:pPr>
              <w:spacing w:before="60" w:after="40"/>
            </w:pPr>
            <w:r>
              <w:rPr>
                <w:rFonts w:ascii="Calibri" w:hAnsi="Calibri"/>
                <w:b w:val="0"/>
                <w:i w:val="0"/>
                <w:color w:val="5A5A5A"/>
                <w:sz w:val="18"/>
              </w:rPr>
              <w:t>#anxiety  #depression  #fearavoidance  #catastrophizing  #mentalhealth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Women with diabetes (India-relevant)</w:t>
            </w:r>
          </w:p>
        </w:tc>
        <w:tc>
          <w:tcPr>
            <w:tcW w:type="dxa" w:w="4276"/>
            <w:vAlign w:val="top"/>
          </w:tcPr>
          <w:p>
            <w:pPr>
              <w:spacing w:after="60" w:line="259" w:lineRule="auto"/>
            </w:pPr>
            <w:r>
              <w:rPr>
                <w:rFonts w:ascii="Calibri" w:hAnsi="Calibri"/>
                <w:b w:val="0"/>
                <w:i w:val="0"/>
                <w:color w:val="212121"/>
                <w:sz w:val="19"/>
              </w:rPr>
              <w:t>Diabetic small-fibre and autonomic neuropathy can involve the vulva, producing a neuropathic vulvodynia that is easily missed; highly relevant given India’s large diabetic population.</w:t>
            </w:r>
          </w:p>
          <w:p>
            <w:pPr>
              <w:spacing w:after="40" w:before="60" w:line="259" w:lineRule="auto"/>
            </w:pPr>
            <w:r>
              <w:rPr>
                <w:rFonts w:ascii="Calibri" w:hAnsi="Calibri"/>
                <w:b w:val="0"/>
                <w:i w:val="0"/>
                <w:color w:val="212121"/>
                <w:sz w:val="19"/>
              </w:rPr>
              <w:t>Vulvodynia has been described as an unrecognized diabetic neuropathic syndrome in Indian endocrinology literature.</w:t>
            </w:r>
          </w:p>
          <w:p>
            <w:pPr>
              <w:spacing w:after="40" w:line="252" w:lineRule="auto"/>
            </w:pPr>
            <w:hyperlink r:id="rId11">
              <w:r>
                <w:rPr>
                  <w:rFonts w:ascii="Calibri" w:hAnsi="Calibri" w:cs="Calibri"/>
                  <w:sz w:val="18"/>
                  <w:color w:val="1155CC"/>
                  <w:u w:val="single"/>
                </w:rPr>
                <w:t xml:space="preserve">pubmed.ncbi.nlm.nih.gov/24083157 — diabetic neuropathic vulvodynia (India)</w:t>
              </w:r>
            </w:hyperlink>
          </w:p>
          <w:p>
            <w:pPr>
              <w:spacing w:before="60" w:after="40"/>
            </w:pPr>
            <w:r>
              <w:rPr>
                <w:rFonts w:ascii="Calibri" w:hAnsi="Calibri"/>
                <w:b w:val="0"/>
                <w:i w:val="0"/>
                <w:color w:val="5A5A5A"/>
                <w:sz w:val="18"/>
              </w:rPr>
              <w:t>#diabetes  #neuropathy  #India  #smallfibre  #underrecognized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direct pressure (prolonged sitting, cycling, tight seating) provokes and maintains vestibular pain, whereas guided pelvic-floor physiotherapy and graded activity reduce hypertonicity and improve symptoms.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dietary links are weak; a low-oxalate diet and avoidance of bladder irritants (in women with comorbid interstitial cystitis) are unproven adjuncts rather than established treatments.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and insufficient sleep amplifies central pain processing and lowers pain thresholds, worsening chronic vulvar pain as part of the wider central-sensitization picture.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reported as a possible risk factor for vulvar vestibulitis/vestibulodynia via vascular and inflammatory effects, though evidence is modest.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direct association with vulvodynia; heavy use may worsen mood, sleep and neuropathic pain generally.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Pre-existing anxiety/depression roughly quadruples the risk of provoked vestibulodynia, and catastrophizing, hypervigilance and fear-avoidance bidirectionally maintain the pain.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dilutes urine and may reduce contact irritation, especially with comorbid bladder pain syndrome, but has no proven preventive role.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 bladder irritant that can aggravate symptoms in women with coexisting interstitial cystitis/painful bladder syndrome; effect on isolated vulvodynia is minimal.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Perfumed soaps, douching, harsh detergents, panty-liners and tight synthetic underwear cause contact irritation and inflammation; gentle vulvar care and irritant avoidance are first-line self-management.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Contact/insertional triggers — intercourse, tampon insertion, gynaecological examination, tight clothing and prolonged sitting — define provoked vestibulodynia and reproduce the pain on the cotton-swab test.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seated posture loads the vestibule and pelvic floor; postural modification, cushions and avoiding sustained pressure reduce provoked pain.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Cotton-swab (Q-tip) test pain</w:t>
            </w:r>
          </w:p>
        </w:tc>
        <w:tc>
          <w:tcPr>
            <w:tcW w:type="dxa" w:w="1655"/>
            <w:vAlign w:val="top"/>
          </w:tcPr>
          <w:p>
            <w:pPr>
              <w:spacing w:after="40" w:before="0" w:line="259" w:lineRule="auto"/>
            </w:pPr>
            <w:r>
              <w:rPr>
                <w:rFonts w:ascii="Calibri" w:hAnsi="Calibri"/>
                <w:b w:val="0"/>
                <w:i w:val="0"/>
                <w:color w:val="212121"/>
                <w:sz w:val="19"/>
              </w:rPr>
              <w:t>Women with suspected vulvodynia</w:t>
            </w:r>
          </w:p>
        </w:tc>
        <w:tc>
          <w:tcPr>
            <w:tcW w:type="dxa" w:w="1512"/>
            <w:vAlign w:val="top"/>
          </w:tcPr>
          <w:p>
            <w:pPr>
              <w:spacing w:after="40" w:before="0" w:line="259" w:lineRule="auto"/>
            </w:pPr>
            <w:r>
              <w:rPr>
                <w:rFonts w:ascii="Calibri" w:hAnsi="Calibri"/>
                <w:b w:val="0"/>
                <w:i w:val="0"/>
                <w:color w:val="212121"/>
                <w:sz w:val="19"/>
              </w:rPr>
              <w:t>No pain to light touch (0/10)</w:t>
            </w:r>
          </w:p>
        </w:tc>
        <w:tc>
          <w:tcPr>
            <w:tcW w:type="dxa" w:w="1512"/>
            <w:vAlign w:val="top"/>
          </w:tcPr>
          <w:p>
            <w:pPr>
              <w:spacing w:after="40" w:before="0" w:line="259" w:lineRule="auto"/>
            </w:pPr>
            <w:r>
              <w:rPr>
                <w:rFonts w:ascii="Calibri" w:hAnsi="Calibri"/>
                <w:b w:val="0"/>
                <w:i w:val="0"/>
                <w:color w:val="212121"/>
                <w:sz w:val="19"/>
              </w:rPr>
              <w:t>Pain / allodynia on light vestibular touch (e.g., ≥ 3/10, focal)</w:t>
            </w:r>
          </w:p>
        </w:tc>
        <w:tc>
          <w:tcPr>
            <w:tcW w:type="dxa" w:w="1468"/>
            <w:vAlign w:val="top"/>
          </w:tcPr>
          <w:p>
            <w:pPr>
              <w:spacing w:after="60" w:line="259" w:lineRule="auto"/>
            </w:pPr>
            <w:r>
              <w:rPr>
                <w:rFonts w:ascii="Calibri" w:hAnsi="Calibri"/>
                <w:b w:val="0"/>
                <w:i w:val="0"/>
                <w:color w:val="212121"/>
                <w:sz w:val="19"/>
              </w:rPr>
              <w:t>Maps and localizes pain; positive test supports vestibulodynia</w:t>
            </w:r>
          </w:p>
          <w:p>
            <w:pPr>
              <w:spacing w:after="40" w:line="252" w:lineRule="auto"/>
            </w:pPr>
            <w:hyperlink r:id="rId14">
              <w:r>
                <w:rPr>
                  <w:rFonts w:ascii="Calibri" w:hAnsi="Calibri" w:cs="Calibri"/>
                  <w:sz w:val="18"/>
                  <w:color w:val="1155CC"/>
                  <w:u w:val="single"/>
                </w:rPr>
                <w:t xml:space="preserve">https://www.acog.org/womens-health/faqs/vulvodynia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Pain duration</w:t>
            </w:r>
          </w:p>
        </w:tc>
        <w:tc>
          <w:tcPr>
            <w:tcW w:type="dxa" w:w="1655"/>
            <w:vAlign w:val="top"/>
          </w:tcPr>
          <w:p>
            <w:pPr>
              <w:spacing w:after="40" w:before="0" w:line="259" w:lineRule="auto"/>
            </w:pPr>
            <w:r>
              <w:rPr>
                <w:rFonts w:ascii="Calibri" w:hAnsi="Calibri"/>
                <w:b w:val="0"/>
                <w:i w:val="0"/>
                <w:color w:val="212121"/>
                <w:sz w:val="19"/>
              </w:rPr>
              <w:t>All</w:t>
            </w:r>
          </w:p>
        </w:tc>
        <w:tc>
          <w:tcPr>
            <w:tcW w:type="dxa" w:w="1512"/>
            <w:vAlign w:val="top"/>
          </w:tcPr>
          <w:p>
            <w:pPr>
              <w:spacing w:after="40" w:before="0" w:line="259" w:lineRule="auto"/>
            </w:pPr>
            <w:r>
              <w:rPr>
                <w:rFonts w:ascii="Calibri" w:hAnsi="Calibri"/>
                <w:b w:val="0"/>
                <w:i w:val="0"/>
                <w:color w:val="212121"/>
                <w:sz w:val="19"/>
              </w:rPr>
              <w:t>&lt; 3 months (acute, seek cause)</w:t>
            </w:r>
          </w:p>
        </w:tc>
        <w:tc>
          <w:tcPr>
            <w:tcW w:type="dxa" w:w="1512"/>
            <w:vAlign w:val="top"/>
          </w:tcPr>
          <w:p>
            <w:pPr>
              <w:spacing w:after="40" w:before="0" w:line="259" w:lineRule="auto"/>
            </w:pPr>
            <w:r>
              <w:rPr>
                <w:rFonts w:ascii="Calibri" w:hAnsi="Calibri"/>
                <w:b w:val="0"/>
                <w:i w:val="0"/>
                <w:color w:val="212121"/>
                <w:sz w:val="19"/>
              </w:rPr>
              <w:t>≥ 3 months of unexplained vulvar pain</w:t>
            </w:r>
          </w:p>
        </w:tc>
        <w:tc>
          <w:tcPr>
            <w:tcW w:type="dxa" w:w="1468"/>
            <w:vAlign w:val="top"/>
          </w:tcPr>
          <w:p>
            <w:pPr>
              <w:spacing w:after="60" w:line="259" w:lineRule="auto"/>
            </w:pPr>
            <w:r>
              <w:rPr>
                <w:rFonts w:ascii="Calibri" w:hAnsi="Calibri"/>
                <w:b w:val="0"/>
                <w:i w:val="0"/>
                <w:color w:val="212121"/>
                <w:sz w:val="19"/>
              </w:rPr>
              <w:t>Chronicity threshold required for the diagnosis of vulvodynia</w:t>
            </w:r>
          </w:p>
          <w:p>
            <w:pPr>
              <w:spacing w:after="40" w:line="252" w:lineRule="auto"/>
            </w:pPr>
            <w:hyperlink r:id="rId12">
              <w:r>
                <w:rPr>
                  <w:rFonts w:ascii="Calibri" w:hAnsi="Calibri" w:cs="Calibri"/>
                  <w:sz w:val="18"/>
                  <w:color w:val="1155CC"/>
                  <w:u w:val="single"/>
                </w:rPr>
                <w:t xml:space="preserve">https://dermnetnz.org/topics/vulvodynia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Vulvar pain intensity (VAS/NRS)</w:t>
            </w:r>
          </w:p>
        </w:tc>
        <w:tc>
          <w:tcPr>
            <w:tcW w:type="dxa" w:w="1655"/>
            <w:vAlign w:val="top"/>
          </w:tcPr>
          <w:p>
            <w:pPr>
              <w:spacing w:after="40" w:before="0" w:line="259" w:lineRule="auto"/>
            </w:pPr>
            <w:r>
              <w:rPr>
                <w:rFonts w:ascii="Calibri" w:hAnsi="Calibri"/>
                <w:b w:val="0"/>
                <w:i w:val="0"/>
                <w:color w:val="212121"/>
                <w:sz w:val="19"/>
              </w:rPr>
              <w:t>Women with vulvar pain</w:t>
            </w:r>
          </w:p>
        </w:tc>
        <w:tc>
          <w:tcPr>
            <w:tcW w:type="dxa" w:w="1512"/>
            <w:vAlign w:val="top"/>
          </w:tcPr>
          <w:p>
            <w:pPr>
              <w:spacing w:after="40" w:before="0" w:line="259" w:lineRule="auto"/>
            </w:pPr>
            <w:r>
              <w:rPr>
                <w:rFonts w:ascii="Calibri" w:hAnsi="Calibri"/>
                <w:b w:val="0"/>
                <w:i w:val="0"/>
                <w:color w:val="212121"/>
                <w:sz w:val="19"/>
              </w:rPr>
              <w:t>0/10</w:t>
            </w:r>
          </w:p>
        </w:tc>
        <w:tc>
          <w:tcPr>
            <w:tcW w:type="dxa" w:w="1512"/>
            <w:vAlign w:val="top"/>
          </w:tcPr>
          <w:p>
            <w:pPr>
              <w:spacing w:after="40" w:before="0" w:line="259" w:lineRule="auto"/>
            </w:pPr>
            <w:r>
              <w:rPr>
                <w:rFonts w:ascii="Calibri" w:hAnsi="Calibri"/>
                <w:b w:val="0"/>
                <w:i w:val="0"/>
                <w:color w:val="212121"/>
                <w:sz w:val="19"/>
              </w:rPr>
              <w:t>Persistent ≥ 4/10 provoked or spontaneous pain</w:t>
            </w:r>
          </w:p>
        </w:tc>
        <w:tc>
          <w:tcPr>
            <w:tcW w:type="dxa" w:w="1468"/>
            <w:vAlign w:val="top"/>
          </w:tcPr>
          <w:p>
            <w:pPr>
              <w:spacing w:after="40" w:before="0" w:line="259" w:lineRule="auto"/>
            </w:pPr>
            <w:r>
              <w:rPr>
                <w:rFonts w:ascii="Calibri" w:hAnsi="Calibri"/>
                <w:b w:val="0"/>
                <w:i w:val="0"/>
                <w:color w:val="212121"/>
                <w:sz w:val="19"/>
              </w:rPr>
              <w:t>Tracks severity and treatment response over time</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Women with chronic vulvar pain</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 depression)</w:t>
            </w:r>
          </w:p>
        </w:tc>
        <w:tc>
          <w:tcPr>
            <w:tcW w:type="dxa" w:w="1468"/>
            <w:vAlign w:val="top"/>
          </w:tcPr>
          <w:p>
            <w:pPr>
              <w:spacing w:after="60" w:line="259" w:lineRule="auto"/>
            </w:pPr>
            <w:r>
              <w:rPr>
                <w:rFonts w:ascii="Calibri" w:hAnsi="Calibri"/>
                <w:b w:val="0"/>
                <w:i w:val="0"/>
                <w:color w:val="212121"/>
                <w:sz w:val="19"/>
              </w:rPr>
              <w:t>Prior/comorbid depression ~4× risk of provoked vestibulodynia</w:t>
            </w:r>
          </w:p>
          <w:p>
            <w:pPr>
              <w:spacing w:after="40" w:line="252" w:lineRule="auto"/>
            </w:pPr>
            <w:hyperlink r:id="rId9">
              <w:r>
                <w:rPr>
                  <w:rFonts w:ascii="Calibri" w:hAnsi="Calibri" w:cs="Calibri"/>
                  <w:sz w:val="18"/>
                  <w:color w:val="1155CC"/>
                  <w:u w:val="single"/>
                </w:rPr>
                <w:t xml:space="preserve">https://www.dovepress.com/etiology-diagnosis-and-clinical-management-of-vulvodynia-peer-reviewed-fulltext-article-IJWH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Anxiety screen (GAD-7)</w:t>
            </w:r>
          </w:p>
        </w:tc>
        <w:tc>
          <w:tcPr>
            <w:tcW w:type="dxa" w:w="1655"/>
            <w:vAlign w:val="top"/>
          </w:tcPr>
          <w:p>
            <w:pPr>
              <w:spacing w:after="40" w:before="0" w:line="259" w:lineRule="auto"/>
            </w:pPr>
            <w:r>
              <w:rPr>
                <w:rFonts w:ascii="Calibri" w:hAnsi="Calibri"/>
                <w:b w:val="0"/>
                <w:i w:val="0"/>
                <w:color w:val="212121"/>
                <w:sz w:val="19"/>
              </w:rPr>
              <w:t>Women with chronic vulvar pain</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 anxiety)</w:t>
            </w:r>
          </w:p>
        </w:tc>
        <w:tc>
          <w:tcPr>
            <w:tcW w:type="dxa" w:w="1468"/>
            <w:vAlign w:val="top"/>
          </w:tcPr>
          <w:p>
            <w:pPr>
              <w:spacing w:after="60" w:line="259" w:lineRule="auto"/>
            </w:pPr>
            <w:r>
              <w:rPr>
                <w:rFonts w:ascii="Calibri" w:hAnsi="Calibri"/>
                <w:b w:val="0"/>
                <w:i w:val="0"/>
                <w:color w:val="212121"/>
                <w:sz w:val="19"/>
              </w:rPr>
              <w:t>Anxiety and catastrophizing amplify and maintain pain</w:t>
            </w:r>
          </w:p>
          <w:p>
            <w:pPr>
              <w:spacing w:after="40" w:line="252" w:lineRule="auto"/>
            </w:pPr>
            <w:hyperlink r:id="rId9">
              <w:r>
                <w:rPr>
                  <w:rFonts w:ascii="Calibri" w:hAnsi="Calibri" w:cs="Calibri"/>
                  <w:sz w:val="18"/>
                  <w:color w:val="1155CC"/>
                  <w:u w:val="single"/>
                </w:rPr>
                <w:t xml:space="preserve">https://www.dovepress.com/etiology-diagnosis-and-clinical-management-of-vulvodynia-peer-reviewed-fulltext-article-IJWH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Female Sexual Function Index (FSFI)</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&gt; 26.55 (no dysfunction)</w:t>
            </w:r>
          </w:p>
        </w:tc>
        <w:tc>
          <w:tcPr>
            <w:tcW w:type="dxa" w:w="1512"/>
            <w:vAlign w:val="top"/>
          </w:tcPr>
          <w:p>
            <w:pPr>
              <w:spacing w:after="40" w:before="0" w:line="259" w:lineRule="auto"/>
            </w:pPr>
            <w:r>
              <w:rPr>
                <w:rFonts w:ascii="Calibri" w:hAnsi="Calibri"/>
                <w:b w:val="0"/>
                <w:i w:val="0"/>
                <w:color w:val="212121"/>
                <w:sz w:val="19"/>
              </w:rPr>
              <w:t>≤ 26.55 (sexual dysfunction)</w:t>
            </w:r>
          </w:p>
        </w:tc>
        <w:tc>
          <w:tcPr>
            <w:tcW w:type="dxa" w:w="1468"/>
            <w:vAlign w:val="top"/>
          </w:tcPr>
          <w:p>
            <w:pPr>
              <w:spacing w:after="40" w:before="0" w:line="259" w:lineRule="auto"/>
            </w:pPr>
            <w:r>
              <w:rPr>
                <w:rFonts w:ascii="Calibri" w:hAnsi="Calibri"/>
                <w:b w:val="0"/>
                <w:i w:val="0"/>
                <w:color w:val="212121"/>
                <w:sz w:val="19"/>
              </w:rPr>
              <w:t>Dyspareunia and avoidance markedly lower sexual function</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Pelvic-floor muscle tone</w:t>
            </w:r>
          </w:p>
        </w:tc>
        <w:tc>
          <w:tcPr>
            <w:tcW w:type="dxa" w:w="1655"/>
            <w:vAlign w:val="top"/>
          </w:tcPr>
          <w:p>
            <w:pPr>
              <w:spacing w:after="40" w:before="0" w:line="259" w:lineRule="auto"/>
            </w:pPr>
            <w:r>
              <w:rPr>
                <w:rFonts w:ascii="Calibri" w:hAnsi="Calibri"/>
                <w:b w:val="0"/>
                <w:i w:val="0"/>
                <w:color w:val="212121"/>
                <w:sz w:val="19"/>
              </w:rPr>
              <w:t>Women with dyspareunia</w:t>
            </w:r>
          </w:p>
        </w:tc>
        <w:tc>
          <w:tcPr>
            <w:tcW w:type="dxa" w:w="1512"/>
            <w:vAlign w:val="top"/>
          </w:tcPr>
          <w:p>
            <w:pPr>
              <w:spacing w:after="40" w:before="0" w:line="259" w:lineRule="auto"/>
            </w:pPr>
            <w:r>
              <w:rPr>
                <w:rFonts w:ascii="Calibri" w:hAnsi="Calibri"/>
                <w:b w:val="0"/>
                <w:i w:val="0"/>
                <w:color w:val="212121"/>
                <w:sz w:val="19"/>
              </w:rPr>
              <w:t>Normal resting tone, no trigger points</w:t>
            </w:r>
          </w:p>
        </w:tc>
        <w:tc>
          <w:tcPr>
            <w:tcW w:type="dxa" w:w="1512"/>
            <w:vAlign w:val="top"/>
          </w:tcPr>
          <w:p>
            <w:pPr>
              <w:spacing w:after="40" w:before="0" w:line="259" w:lineRule="auto"/>
            </w:pPr>
            <w:r>
              <w:rPr>
                <w:rFonts w:ascii="Calibri" w:hAnsi="Calibri"/>
                <w:b w:val="0"/>
                <w:i w:val="0"/>
                <w:color w:val="212121"/>
                <w:sz w:val="19"/>
              </w:rPr>
              <w:t>Hypertonic/tender levator ani, reproducible trigger points</w:t>
            </w:r>
          </w:p>
        </w:tc>
        <w:tc>
          <w:tcPr>
            <w:tcW w:type="dxa" w:w="1468"/>
            <w:vAlign w:val="top"/>
          </w:tcPr>
          <w:p>
            <w:pPr>
              <w:spacing w:after="60" w:line="259" w:lineRule="auto"/>
            </w:pPr>
            <w:r>
              <w:rPr>
                <w:rFonts w:ascii="Calibri" w:hAnsi="Calibri"/>
                <w:b w:val="0"/>
                <w:i w:val="0"/>
                <w:color w:val="212121"/>
                <w:sz w:val="19"/>
              </w:rPr>
              <w:t>Hypertonicity perpetuates pain; targeted by pelvic-floor physiotherapy</w:t>
            </w:r>
          </w:p>
          <w:p>
            <w:pPr>
              <w:spacing w:after="40" w:line="252" w:lineRule="auto"/>
            </w:pPr>
            <w:hyperlink r:id="rId9">
              <w:r>
                <w:rPr>
                  <w:rFonts w:ascii="Calibri" w:hAnsi="Calibri" w:cs="Calibri"/>
                  <w:sz w:val="18"/>
                  <w:color w:val="1155CC"/>
                  <w:u w:val="single"/>
                </w:rPr>
                <w:t xml:space="preserve">https://www.dovepress.com/etiology-diagnosis-and-clinical-management-of-vulvodynia-peer-reviewed-fulltext-article-IJWH</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Prolonged uninterrupted sitting</w:t>
            </w:r>
          </w:p>
        </w:tc>
        <w:tc>
          <w:tcPr>
            <w:tcW w:type="dxa" w:w="1655"/>
            <w:vAlign w:val="top"/>
          </w:tcPr>
          <w:p>
            <w:pPr>
              <w:spacing w:after="40" w:before="0" w:line="259" w:lineRule="auto"/>
            </w:pPr>
            <w:r>
              <w:rPr>
                <w:rFonts w:ascii="Calibri" w:hAnsi="Calibri"/>
                <w:b w:val="0"/>
                <w:i w:val="0"/>
                <w:color w:val="212121"/>
                <w:sz w:val="19"/>
              </w:rPr>
              <w:t>Desk workers, cyclists</w:t>
            </w:r>
          </w:p>
        </w:tc>
        <w:tc>
          <w:tcPr>
            <w:tcW w:type="dxa" w:w="1512"/>
            <w:vAlign w:val="top"/>
          </w:tcPr>
          <w:p>
            <w:pPr>
              <w:spacing w:after="40" w:before="0" w:line="259" w:lineRule="auto"/>
            </w:pPr>
            <w:r>
              <w:rPr>
                <w:rFonts w:ascii="Calibri" w:hAnsi="Calibri"/>
                <w:b w:val="0"/>
                <w:i w:val="0"/>
                <w:color w:val="212121"/>
                <w:sz w:val="19"/>
              </w:rPr>
              <w:t>Frequent position changes; pressure-relieving cushion</w:t>
            </w:r>
          </w:p>
        </w:tc>
        <w:tc>
          <w:tcPr>
            <w:tcW w:type="dxa" w:w="1512"/>
            <w:vAlign w:val="top"/>
          </w:tcPr>
          <w:p>
            <w:pPr>
              <w:spacing w:after="40" w:before="0" w:line="259" w:lineRule="auto"/>
            </w:pPr>
            <w:r>
              <w:rPr>
                <w:rFonts w:ascii="Calibri" w:hAnsi="Calibri"/>
                <w:b w:val="0"/>
                <w:i w:val="0"/>
                <w:color w:val="212121"/>
                <w:sz w:val="19"/>
              </w:rPr>
              <w:t>Sustained seated pressure reproducing vulvar pain</w:t>
            </w:r>
          </w:p>
        </w:tc>
        <w:tc>
          <w:tcPr>
            <w:tcW w:type="dxa" w:w="1468"/>
            <w:vAlign w:val="top"/>
          </w:tcPr>
          <w:p>
            <w:pPr>
              <w:spacing w:after="60" w:line="259" w:lineRule="auto"/>
            </w:pPr>
            <w:r>
              <w:rPr>
                <w:rFonts w:ascii="Calibri" w:hAnsi="Calibri"/>
                <w:b w:val="0"/>
                <w:i w:val="0"/>
                <w:color w:val="212121"/>
                <w:sz w:val="19"/>
              </w:rPr>
              <w:t>Postural/pressure modification reduces provoked pain</w:t>
            </w:r>
          </w:p>
          <w:p>
            <w:pPr>
              <w:spacing w:after="40" w:line="252" w:lineRule="auto"/>
            </w:pPr>
            <w:hyperlink r:id="rId12">
              <w:r>
                <w:rPr>
                  <w:rFonts w:ascii="Calibri" w:hAnsi="Calibri" w:cs="Calibri"/>
                  <w:sz w:val="18"/>
                  <w:color w:val="1155CC"/>
                  <w:u w:val="single"/>
                </w:rPr>
                <w:t xml:space="preserve">https://dermnetnz.org/topics/vulvodynia</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Vulvar irritant exposure</w:t>
            </w:r>
          </w:p>
        </w:tc>
        <w:tc>
          <w:tcPr>
            <w:tcW w:type="dxa" w:w="1655"/>
            <w:vAlign w:val="top"/>
          </w:tcPr>
          <w:p>
            <w:pPr>
              <w:spacing w:after="40" w:before="0" w:line="259" w:lineRule="auto"/>
            </w:pPr>
            <w:r>
              <w:rPr>
                <w:rFonts w:ascii="Calibri" w:hAnsi="Calibri"/>
                <w:b w:val="0"/>
                <w:i w:val="0"/>
                <w:color w:val="212121"/>
                <w:sz w:val="19"/>
              </w:rPr>
              <w:t>All women with vulvar pain</w:t>
            </w:r>
          </w:p>
        </w:tc>
        <w:tc>
          <w:tcPr>
            <w:tcW w:type="dxa" w:w="1512"/>
            <w:vAlign w:val="top"/>
          </w:tcPr>
          <w:p>
            <w:pPr>
              <w:spacing w:after="40" w:before="0" w:line="259" w:lineRule="auto"/>
            </w:pPr>
            <w:r>
              <w:rPr>
                <w:rFonts w:ascii="Calibri" w:hAnsi="Calibri"/>
                <w:b w:val="0"/>
                <w:i w:val="0"/>
                <w:color w:val="212121"/>
                <w:sz w:val="19"/>
              </w:rPr>
              <w:t>None (water/emollient wash, cotton underwear)</w:t>
            </w:r>
          </w:p>
        </w:tc>
        <w:tc>
          <w:tcPr>
            <w:tcW w:type="dxa" w:w="1512"/>
            <w:vAlign w:val="top"/>
          </w:tcPr>
          <w:p>
            <w:pPr>
              <w:spacing w:after="40" w:before="0" w:line="259" w:lineRule="auto"/>
            </w:pPr>
            <w:r>
              <w:rPr>
                <w:rFonts w:ascii="Calibri" w:hAnsi="Calibri"/>
                <w:b w:val="0"/>
                <w:i w:val="0"/>
                <w:color w:val="212121"/>
                <w:sz w:val="19"/>
              </w:rPr>
              <w:t>Use of perfumed soaps, douches, harsh detergents, tight synthetics</w:t>
            </w:r>
          </w:p>
        </w:tc>
        <w:tc>
          <w:tcPr>
            <w:tcW w:type="dxa" w:w="1468"/>
            <w:vAlign w:val="top"/>
          </w:tcPr>
          <w:p>
            <w:pPr>
              <w:spacing w:after="60" w:line="259" w:lineRule="auto"/>
            </w:pPr>
            <w:r>
              <w:rPr>
                <w:rFonts w:ascii="Calibri" w:hAnsi="Calibri"/>
                <w:b w:val="0"/>
                <w:i w:val="0"/>
                <w:color w:val="212121"/>
                <w:sz w:val="19"/>
              </w:rPr>
              <w:t>Irritants inflame and sensitize the vestibule</w:t>
            </w:r>
          </w:p>
          <w:p>
            <w:pPr>
              <w:spacing w:after="40" w:line="252" w:lineRule="auto"/>
            </w:pPr>
            <w:hyperlink r:id="rId13">
              <w:r>
                <w:rPr>
                  <w:rFonts w:ascii="Calibri" w:hAnsi="Calibri" w:cs="Calibri"/>
                  <w:sz w:val="18"/>
                  <w:color w:val="1155CC"/>
                  <w:u w:val="single"/>
                </w:rPr>
                <w:t xml:space="preserve">https://www.mayoclinic.org/diseases-conditions/vulvodynia/symptoms-causes/syc-20353423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Vaginal wet mount + pH</w:t>
            </w:r>
          </w:p>
        </w:tc>
        <w:tc>
          <w:tcPr>
            <w:tcW w:type="dxa" w:w="892"/>
            <w:vAlign w:val="top"/>
          </w:tcPr>
          <w:p>
            <w:pPr>
              <w:spacing w:after="40" w:before="0" w:line="259" w:lineRule="auto"/>
            </w:pPr>
            <w:r>
              <w:rPr>
                <w:rFonts w:ascii="Calibri" w:hAnsi="Calibri"/>
                <w:b w:val="0"/>
                <w:i w:val="0"/>
                <w:color w:val="212121"/>
                <w:sz w:val="16"/>
              </w:rPr>
              <w:t>Microscopy of vaginal secretions</w:t>
            </w:r>
          </w:p>
        </w:tc>
        <w:tc>
          <w:tcPr>
            <w:tcW w:type="dxa" w:w="950"/>
            <w:vAlign w:val="top"/>
          </w:tcPr>
          <w:p>
            <w:pPr>
              <w:spacing w:after="40" w:before="0" w:line="259" w:lineRule="auto"/>
            </w:pPr>
            <w:r>
              <w:rPr>
                <w:rFonts w:ascii="Calibri" w:hAnsi="Calibri"/>
                <w:b w:val="0"/>
                <w:i w:val="0"/>
                <w:color w:val="212121"/>
                <w:sz w:val="16"/>
              </w:rPr>
              <w:t>pH 3.8–4.5; no yeast/clue cells/trichomonads</w:t>
            </w:r>
          </w:p>
        </w:tc>
        <w:tc>
          <w:tcPr>
            <w:tcW w:type="dxa" w:w="950"/>
            <w:vAlign w:val="top"/>
          </w:tcPr>
          <w:p>
            <w:pPr>
              <w:spacing w:after="40" w:before="0" w:line="259" w:lineRule="auto"/>
            </w:pPr>
            <w:r>
              <w:rPr>
                <w:rFonts w:ascii="Calibri" w:hAnsi="Calibri"/>
                <w:b w:val="0"/>
                <w:i w:val="0"/>
                <w:color w:val="212121"/>
                <w:sz w:val="16"/>
              </w:rPr>
              <w:t>Yeast, clue cells, trichomonads or raised pH</w:t>
            </w:r>
          </w:p>
        </w:tc>
        <w:tc>
          <w:tcPr>
            <w:tcW w:type="dxa" w:w="1036"/>
            <w:vAlign w:val="top"/>
          </w:tcPr>
          <w:p>
            <w:pPr>
              <w:spacing w:after="40" w:before="0" w:line="259" w:lineRule="auto"/>
            </w:pPr>
            <w:r>
              <w:rPr>
                <w:rFonts w:ascii="Calibri" w:hAnsi="Calibri"/>
                <w:b w:val="0"/>
                <w:i w:val="0"/>
                <w:color w:val="212121"/>
                <w:sz w:val="16"/>
              </w:rPr>
              <w:t>Excludes candidiasis, bacterial vaginosis and trichomoniasis as the pain cause</w:t>
            </w:r>
          </w:p>
        </w:tc>
        <w:tc>
          <w:tcPr>
            <w:tcW w:type="dxa" w:w="1036"/>
            <w:vAlign w:val="top"/>
          </w:tcPr>
          <w:p>
            <w:pPr>
              <w:spacing w:after="40" w:before="0" w:line="259" w:lineRule="auto"/>
            </w:pPr>
            <w:r>
              <w:rPr>
                <w:rFonts w:ascii="Calibri" w:hAnsi="Calibri"/>
                <w:b w:val="0"/>
                <w:i w:val="0"/>
                <w:color w:val="212121"/>
                <w:sz w:val="16"/>
              </w:rPr>
              <w:t>All women with vulvar pain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First-line exclusion</w:t>
            </w:r>
          </w:p>
        </w:tc>
        <w:tc>
          <w:tcPr>
            <w:tcW w:type="dxa" w:w="720"/>
            <w:vAlign w:val="top"/>
          </w:tcPr>
          <w:p>
            <w:pPr>
              <w:spacing w:after="40" w:before="0" w:line="259" w:lineRule="auto"/>
            </w:pPr>
            <w:r>
              <w:rPr>
                <w:rFonts w:ascii="Calibri" w:hAnsi="Calibri"/>
                <w:b w:val="0"/>
                <w:i w:val="0"/>
                <w:color w:val="212121"/>
                <w:sz w:val="16"/>
              </w:rPr>
              <w:t>Vulvodynia requires no active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Fungal (candida) culture</w:t>
            </w:r>
          </w:p>
        </w:tc>
        <w:tc>
          <w:tcPr>
            <w:tcW w:type="dxa" w:w="892"/>
            <w:vAlign w:val="top"/>
          </w:tcPr>
          <w:p>
            <w:pPr>
              <w:spacing w:after="40" w:before="0" w:line="259" w:lineRule="auto"/>
            </w:pPr>
            <w:r>
              <w:rPr>
                <w:rFonts w:ascii="Calibri" w:hAnsi="Calibri"/>
                <w:b w:val="0"/>
                <w:i w:val="0"/>
                <w:color w:val="212121"/>
                <w:sz w:val="16"/>
              </w:rPr>
              <w:t>Vulvovaginal swab culture</w:t>
            </w:r>
          </w:p>
        </w:tc>
        <w:tc>
          <w:tcPr>
            <w:tcW w:type="dxa" w:w="950"/>
            <w:vAlign w:val="top"/>
          </w:tcPr>
          <w:p>
            <w:pPr>
              <w:spacing w:after="40" w:before="0" w:line="259" w:lineRule="auto"/>
            </w:pPr>
            <w:r>
              <w:rPr>
                <w:rFonts w:ascii="Calibri" w:hAnsi="Calibri"/>
                <w:b w:val="0"/>
                <w:i w:val="0"/>
                <w:color w:val="212121"/>
                <w:sz w:val="16"/>
              </w:rPr>
              <w:t>No candida growth</w:t>
            </w:r>
          </w:p>
        </w:tc>
        <w:tc>
          <w:tcPr>
            <w:tcW w:type="dxa" w:w="950"/>
            <w:vAlign w:val="top"/>
          </w:tcPr>
          <w:p>
            <w:pPr>
              <w:spacing w:after="40" w:before="0" w:line="259" w:lineRule="auto"/>
            </w:pPr>
            <w:r>
              <w:rPr>
                <w:rFonts w:ascii="Calibri" w:hAnsi="Calibri"/>
                <w:b w:val="0"/>
                <w:i w:val="0"/>
                <w:color w:val="212121"/>
                <w:sz w:val="16"/>
              </w:rPr>
              <w:t>Candida species isolated</w:t>
            </w:r>
          </w:p>
        </w:tc>
        <w:tc>
          <w:tcPr>
            <w:tcW w:type="dxa" w:w="1036"/>
            <w:vAlign w:val="top"/>
          </w:tcPr>
          <w:p>
            <w:pPr>
              <w:spacing w:after="40" w:before="0" w:line="259" w:lineRule="auto"/>
            </w:pPr>
            <w:r>
              <w:rPr>
                <w:rFonts w:ascii="Calibri" w:hAnsi="Calibri"/>
                <w:b w:val="0"/>
                <w:i w:val="0"/>
                <w:color w:val="212121"/>
                <w:sz w:val="16"/>
              </w:rPr>
              <w:t>Confirms/excludes recurrent candidiasis, a key precipitant and mimic</w:t>
            </w:r>
          </w:p>
        </w:tc>
        <w:tc>
          <w:tcPr>
            <w:tcW w:type="dxa" w:w="1036"/>
            <w:vAlign w:val="top"/>
          </w:tcPr>
          <w:p>
            <w:pPr>
              <w:spacing w:after="40" w:before="0" w:line="259" w:lineRule="auto"/>
            </w:pPr>
            <w:r>
              <w:rPr>
                <w:rFonts w:ascii="Calibri" w:hAnsi="Calibri"/>
                <w:b w:val="0"/>
                <w:i w:val="0"/>
                <w:color w:val="212121"/>
                <w:sz w:val="16"/>
              </w:rPr>
              <w:t>Women mislabelled with ‘recurrent thrush’</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Important</w:t>
            </w:r>
          </w:p>
        </w:tc>
        <w:tc>
          <w:tcPr>
            <w:tcW w:type="dxa" w:w="720"/>
            <w:vAlign w:val="top"/>
          </w:tcPr>
          <w:p>
            <w:pPr>
              <w:spacing w:after="40" w:before="0" w:line="259" w:lineRule="auto"/>
            </w:pPr>
            <w:r>
              <w:rPr>
                <w:rFonts w:ascii="Calibri" w:hAnsi="Calibri"/>
                <w:b w:val="0"/>
                <w:i w:val="0"/>
                <w:color w:val="212121"/>
                <w:sz w:val="16"/>
              </w:rPr>
              <w:t>Persistent ‘thrush’ negative on culture suggests vulvodynia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testing</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Screens for diabetes underlying a neuropathic vulvodynia (India-relevant)</w:t>
            </w:r>
          </w:p>
        </w:tc>
        <w:tc>
          <w:tcPr>
            <w:tcW w:type="dxa" w:w="1036"/>
            <w:vAlign w:val="top"/>
          </w:tcPr>
          <w:p>
            <w:pPr>
              <w:spacing w:after="40" w:before="0" w:line="259" w:lineRule="auto"/>
            </w:pPr>
            <w:r>
              <w:rPr>
                <w:rFonts w:ascii="Calibri" w:hAnsi="Calibri"/>
                <w:b w:val="0"/>
                <w:i w:val="0"/>
                <w:color w:val="212121"/>
                <w:sz w:val="16"/>
              </w:rPr>
              <w:t>Women with generalized/burning vulvar pain, diabetic risk</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Vulvodynia can be an unrecognized diabetic neuropathic syndrome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 / STI</w:t>
            </w:r>
          </w:p>
        </w:tc>
        <w:tc>
          <w:tcPr>
            <w:tcW w:type="dxa" w:w="1036"/>
            <w:vAlign w:val="top"/>
          </w:tcPr>
          <w:p>
            <w:pPr>
              <w:spacing w:after="40" w:before="0" w:line="259" w:lineRule="auto"/>
            </w:pPr>
            <w:r>
              <w:rPr>
                <w:rFonts w:ascii="Calibri" w:hAnsi="Calibri"/>
                <w:b w:val="0"/>
                <w:i w:val="0"/>
                <w:color w:val="212121"/>
                <w:sz w:val="16"/>
              </w:rPr>
              <w:t>HSV PCR; gonorrhoea/chlamydia NAAT</w:t>
            </w:r>
          </w:p>
        </w:tc>
        <w:tc>
          <w:tcPr>
            <w:tcW w:type="dxa" w:w="892"/>
            <w:vAlign w:val="top"/>
          </w:tcPr>
          <w:p>
            <w:pPr>
              <w:spacing w:after="40" w:before="0" w:line="259" w:lineRule="auto"/>
            </w:pPr>
            <w:r>
              <w:rPr>
                <w:rFonts w:ascii="Calibri" w:hAnsi="Calibri"/>
                <w:b w:val="0"/>
                <w:i w:val="0"/>
                <w:color w:val="212121"/>
                <w:sz w:val="16"/>
              </w:rPr>
              <w:t>Swab/NAAT testing</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Pathogen detected</w:t>
            </w:r>
          </w:p>
        </w:tc>
        <w:tc>
          <w:tcPr>
            <w:tcW w:type="dxa" w:w="1036"/>
            <w:vAlign w:val="top"/>
          </w:tcPr>
          <w:p>
            <w:pPr>
              <w:spacing w:after="40" w:before="0" w:line="259" w:lineRule="auto"/>
            </w:pPr>
            <w:r>
              <w:rPr>
                <w:rFonts w:ascii="Calibri" w:hAnsi="Calibri"/>
                <w:b w:val="0"/>
                <w:i w:val="0"/>
                <w:color w:val="212121"/>
                <w:sz w:val="16"/>
              </w:rPr>
              <w:t>Excludes herpes and other STIs when ulcers/discharge or risk are present</w:t>
            </w:r>
          </w:p>
        </w:tc>
        <w:tc>
          <w:tcPr>
            <w:tcW w:type="dxa" w:w="1036"/>
            <w:vAlign w:val="top"/>
          </w:tcPr>
          <w:p>
            <w:pPr>
              <w:spacing w:after="40" w:before="0" w:line="259" w:lineRule="auto"/>
            </w:pPr>
            <w:r>
              <w:rPr>
                <w:rFonts w:ascii="Calibri" w:hAnsi="Calibri"/>
                <w:b w:val="0"/>
                <w:i w:val="0"/>
                <w:color w:val="212121"/>
                <w:sz w:val="16"/>
              </w:rPr>
              <w:t>Women with atypical lesions or STI risk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Only if clinically indicated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Vulvar / vestibular biopsy</w:t>
            </w:r>
          </w:p>
        </w:tc>
        <w:tc>
          <w:tcPr>
            <w:tcW w:type="dxa" w:w="892"/>
            <w:vAlign w:val="top"/>
          </w:tcPr>
          <w:p>
            <w:pPr>
              <w:spacing w:after="40" w:before="0" w:line="259" w:lineRule="auto"/>
            </w:pPr>
            <w:r>
              <w:rPr>
                <w:rFonts w:ascii="Calibri" w:hAnsi="Calibri"/>
                <w:b w:val="0"/>
                <w:i w:val="0"/>
                <w:color w:val="212121"/>
                <w:sz w:val="16"/>
              </w:rPr>
              <w:t>Punch biopsy</w:t>
            </w:r>
          </w:p>
        </w:tc>
        <w:tc>
          <w:tcPr>
            <w:tcW w:type="dxa" w:w="950"/>
            <w:vAlign w:val="top"/>
          </w:tcPr>
          <w:p>
            <w:pPr>
              <w:spacing w:after="40" w:before="0" w:line="259" w:lineRule="auto"/>
            </w:pPr>
            <w:r>
              <w:rPr>
                <w:rFonts w:ascii="Calibri" w:hAnsi="Calibri"/>
                <w:b w:val="0"/>
                <w:i w:val="0"/>
                <w:color w:val="212121"/>
                <w:sz w:val="16"/>
              </w:rPr>
              <w:t>No specific pathology (vulvodynia has no diagnostic histology)</w:t>
            </w:r>
          </w:p>
        </w:tc>
        <w:tc>
          <w:tcPr>
            <w:tcW w:type="dxa" w:w="950"/>
            <w:vAlign w:val="top"/>
          </w:tcPr>
          <w:p>
            <w:pPr>
              <w:spacing w:after="40" w:before="0" w:line="259" w:lineRule="auto"/>
            </w:pPr>
            <w:r>
              <w:rPr>
                <w:rFonts w:ascii="Calibri" w:hAnsi="Calibri"/>
                <w:b w:val="0"/>
                <w:i w:val="0"/>
                <w:color w:val="212121"/>
                <w:sz w:val="16"/>
              </w:rPr>
              <w:t>Lichen sclerosus, lichen planus, VIN or carcinoma</w:t>
            </w:r>
          </w:p>
        </w:tc>
        <w:tc>
          <w:tcPr>
            <w:tcW w:type="dxa" w:w="1036"/>
            <w:vAlign w:val="top"/>
          </w:tcPr>
          <w:p>
            <w:pPr>
              <w:spacing w:after="40" w:before="0" w:line="259" w:lineRule="auto"/>
            </w:pPr>
            <w:r>
              <w:rPr>
                <w:rFonts w:ascii="Calibri" w:hAnsi="Calibri"/>
                <w:b w:val="0"/>
                <w:i w:val="0"/>
                <w:color w:val="212121"/>
                <w:sz w:val="16"/>
              </w:rPr>
              <w:t>Reserved for any visible or suspicious lesion to exclude dermatosis/neoplasia</w:t>
            </w:r>
          </w:p>
        </w:tc>
        <w:tc>
          <w:tcPr>
            <w:tcW w:type="dxa" w:w="1036"/>
            <w:vAlign w:val="top"/>
          </w:tcPr>
          <w:p>
            <w:pPr>
              <w:spacing w:after="40" w:before="0" w:line="259" w:lineRule="auto"/>
            </w:pPr>
            <w:r>
              <w:rPr>
                <w:rFonts w:ascii="Calibri" w:hAnsi="Calibri"/>
                <w:b w:val="0"/>
                <w:i w:val="0"/>
                <w:color w:val="212121"/>
                <w:sz w:val="16"/>
              </w:rPr>
              <w:t>Women with abnormal vulvar findings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 — vulvodynia is a diagnosis of exclusion, biopsy only if a lesion is present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Structured examination</w:t>
            </w:r>
          </w:p>
        </w:tc>
        <w:tc>
          <w:tcPr>
            <w:tcW w:type="dxa" w:w="1036"/>
            <w:vAlign w:val="top"/>
          </w:tcPr>
          <w:p>
            <w:pPr>
              <w:spacing w:after="40" w:before="0" w:line="259" w:lineRule="auto"/>
            </w:pPr>
            <w:r>
              <w:rPr>
                <w:rFonts w:ascii="Calibri" w:hAnsi="Calibri"/>
                <w:b w:val="0"/>
                <w:i w:val="0"/>
                <w:color w:val="212121"/>
                <w:sz w:val="16"/>
              </w:rPr>
              <w:t>Vulvoscopy / mapped vulvar assessment</w:t>
            </w:r>
          </w:p>
        </w:tc>
        <w:tc>
          <w:tcPr>
            <w:tcW w:type="dxa" w:w="892"/>
            <w:vAlign w:val="top"/>
          </w:tcPr>
          <w:p>
            <w:pPr>
              <w:spacing w:after="40" w:before="0" w:line="259" w:lineRule="auto"/>
            </w:pPr>
            <w:r>
              <w:rPr>
                <w:rFonts w:ascii="Calibri" w:hAnsi="Calibri"/>
                <w:b w:val="0"/>
                <w:i w:val="0"/>
                <w:color w:val="212121"/>
                <w:sz w:val="16"/>
              </w:rPr>
              <w:t>Magnified vulvar examination</w:t>
            </w:r>
          </w:p>
        </w:tc>
        <w:tc>
          <w:tcPr>
            <w:tcW w:type="dxa" w:w="950"/>
            <w:vAlign w:val="top"/>
          </w:tcPr>
          <w:p>
            <w:pPr>
              <w:spacing w:after="40" w:before="0" w:line="259" w:lineRule="auto"/>
            </w:pPr>
            <w:r>
              <w:rPr>
                <w:rFonts w:ascii="Calibri" w:hAnsi="Calibri"/>
                <w:b w:val="0"/>
                <w:i w:val="0"/>
                <w:color w:val="212121"/>
                <w:sz w:val="16"/>
              </w:rPr>
              <w:t>Normal vestibular architecture</w:t>
            </w:r>
          </w:p>
        </w:tc>
        <w:tc>
          <w:tcPr>
            <w:tcW w:type="dxa" w:w="950"/>
            <w:vAlign w:val="top"/>
          </w:tcPr>
          <w:p>
            <w:pPr>
              <w:spacing w:after="40" w:before="0" w:line="259" w:lineRule="auto"/>
            </w:pPr>
            <w:r>
              <w:rPr>
                <w:rFonts w:ascii="Calibri" w:hAnsi="Calibri"/>
                <w:b w:val="0"/>
                <w:i w:val="0"/>
                <w:color w:val="212121"/>
                <w:sz w:val="16"/>
              </w:rPr>
              <w:t>Focal erythema, mapped tender points</w:t>
            </w:r>
          </w:p>
        </w:tc>
        <w:tc>
          <w:tcPr>
            <w:tcW w:type="dxa" w:w="1036"/>
            <w:vAlign w:val="top"/>
          </w:tcPr>
          <w:p>
            <w:pPr>
              <w:spacing w:after="40" w:before="0" w:line="259" w:lineRule="auto"/>
            </w:pPr>
            <w:r>
              <w:rPr>
                <w:rFonts w:ascii="Calibri" w:hAnsi="Calibri"/>
                <w:b w:val="0"/>
                <w:i w:val="0"/>
                <w:color w:val="212121"/>
                <w:sz w:val="16"/>
              </w:rPr>
              <w:t>Systematic characterization of vulvar pain and exclusion of visible disease</w:t>
            </w:r>
          </w:p>
        </w:tc>
        <w:tc>
          <w:tcPr>
            <w:tcW w:type="dxa" w:w="1036"/>
            <w:vAlign w:val="top"/>
          </w:tcPr>
          <w:p>
            <w:pPr>
              <w:spacing w:after="40" w:before="0" w:line="259" w:lineRule="auto"/>
            </w:pPr>
            <w:r>
              <w:rPr>
                <w:rFonts w:ascii="Calibri" w:hAnsi="Calibri"/>
                <w:b w:val="0"/>
                <w:i w:val="0"/>
                <w:color w:val="212121"/>
                <w:sz w:val="16"/>
              </w:rPr>
              <w:t>Women in specialist vulvar clinics (India: emerging use)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Structured vulvoscopy is being adopted to evaluate vulvar disorders in India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Chronic vulvar burning/pain, entry dyspareunia ≥ 3 months</w:t>
            </w:r>
          </w:p>
        </w:tc>
        <w:tc>
          <w:tcPr>
            <w:tcW w:type="dxa" w:w="950"/>
            <w:vAlign w:val="top"/>
          </w:tcPr>
          <w:p>
            <w:pPr>
              <w:spacing w:after="40" w:before="0" w:line="259" w:lineRule="auto"/>
            </w:pPr>
            <w:r>
              <w:rPr>
                <w:rFonts w:ascii="Calibri" w:hAnsi="Calibri"/>
                <w:b w:val="0"/>
                <w:i w:val="0"/>
                <w:color w:val="212121"/>
                <w:sz w:val="16"/>
              </w:rPr>
              <w:t>No chronic vulvar pain</w:t>
            </w:r>
          </w:p>
        </w:tc>
        <w:tc>
          <w:tcPr>
            <w:tcW w:type="dxa" w:w="950"/>
            <w:vAlign w:val="top"/>
          </w:tcPr>
          <w:p>
            <w:pPr>
              <w:spacing w:after="40" w:before="0" w:line="259" w:lineRule="auto"/>
            </w:pPr>
            <w:r>
              <w:rPr>
                <w:rFonts w:ascii="Calibri" w:hAnsi="Calibri"/>
                <w:b w:val="0"/>
                <w:i w:val="0"/>
                <w:color w:val="212121"/>
                <w:sz w:val="16"/>
              </w:rPr>
              <w:t>Burning, stinging, rawness or insertional pain ≥ 3 months</w:t>
            </w:r>
          </w:p>
        </w:tc>
        <w:tc>
          <w:tcPr>
            <w:tcW w:type="dxa" w:w="1036"/>
            <w:vAlign w:val="top"/>
          </w:tcPr>
          <w:p>
            <w:pPr>
              <w:spacing w:after="40" w:before="0" w:line="259" w:lineRule="auto"/>
            </w:pPr>
            <w:r>
              <w:rPr>
                <w:rFonts w:ascii="Calibri" w:hAnsi="Calibri"/>
                <w:b w:val="0"/>
                <w:i w:val="0"/>
                <w:color w:val="212121"/>
                <w:sz w:val="16"/>
              </w:rPr>
              <w:t>Cardinal presenting feature of vulvodynia</w:t>
            </w:r>
          </w:p>
        </w:tc>
        <w:tc>
          <w:tcPr>
            <w:tcW w:type="dxa" w:w="1036"/>
            <w:vAlign w:val="top"/>
          </w:tcPr>
          <w:p>
            <w:pPr>
              <w:spacing w:after="40" w:before="0" w:line="259" w:lineRule="auto"/>
            </w:pPr>
            <w:r>
              <w:rPr>
                <w:rFonts w:ascii="Calibri" w:hAnsi="Calibri"/>
                <w:b w:val="0"/>
                <w:i w:val="0"/>
                <w:color w:val="212121"/>
                <w:sz w:val="16"/>
              </w:rPr>
              <w:t>Reproductive-age &amp; peri/post-menopausal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long-standing before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Provocation test</w:t>
            </w:r>
          </w:p>
        </w:tc>
        <w:tc>
          <w:tcPr>
            <w:tcW w:type="dxa" w:w="950"/>
            <w:vAlign w:val="top"/>
          </w:tcPr>
          <w:p>
            <w:pPr>
              <w:spacing w:after="40" w:before="0" w:line="259" w:lineRule="auto"/>
            </w:pPr>
            <w:r>
              <w:rPr>
                <w:rFonts w:ascii="Calibri" w:hAnsi="Calibri"/>
                <w:b w:val="0"/>
                <w:i w:val="0"/>
                <w:color w:val="212121"/>
                <w:sz w:val="16"/>
              </w:rPr>
              <w:t>Cotton-swab (Q-tip) test</w:t>
            </w:r>
          </w:p>
        </w:tc>
        <w:tc>
          <w:tcPr>
            <w:tcW w:type="dxa" w:w="979"/>
            <w:vAlign w:val="top"/>
          </w:tcPr>
          <w:p>
            <w:pPr>
              <w:spacing w:after="40" w:before="0" w:line="259" w:lineRule="auto"/>
            </w:pPr>
            <w:r>
              <w:rPr>
                <w:rFonts w:ascii="Calibri" w:hAnsi="Calibri"/>
                <w:b w:val="0"/>
                <w:i w:val="0"/>
                <w:color w:val="212121"/>
                <w:sz w:val="16"/>
              </w:rPr>
              <w:t>Light-touch mapping of vestibule</w:t>
            </w:r>
          </w:p>
        </w:tc>
        <w:tc>
          <w:tcPr>
            <w:tcW w:type="dxa" w:w="950"/>
            <w:vAlign w:val="top"/>
          </w:tcPr>
          <w:p>
            <w:pPr>
              <w:spacing w:after="40" w:before="0" w:line="259" w:lineRule="auto"/>
            </w:pPr>
            <w:r>
              <w:rPr>
                <w:rFonts w:ascii="Calibri" w:hAnsi="Calibri"/>
                <w:b w:val="0"/>
                <w:i w:val="0"/>
                <w:color w:val="212121"/>
                <w:sz w:val="16"/>
              </w:rPr>
              <w:t>No pain to light touch</w:t>
            </w:r>
          </w:p>
        </w:tc>
        <w:tc>
          <w:tcPr>
            <w:tcW w:type="dxa" w:w="950"/>
            <w:vAlign w:val="top"/>
          </w:tcPr>
          <w:p>
            <w:pPr>
              <w:spacing w:after="40" w:before="0" w:line="259" w:lineRule="auto"/>
            </w:pPr>
            <w:r>
              <w:rPr>
                <w:rFonts w:ascii="Calibri" w:hAnsi="Calibri"/>
                <w:b w:val="0"/>
                <w:i w:val="0"/>
                <w:color w:val="212121"/>
                <w:sz w:val="16"/>
              </w:rPr>
              <w:t>Localized allodynia (vestibulodynia) or generalized tenderness</w:t>
            </w:r>
          </w:p>
        </w:tc>
        <w:tc>
          <w:tcPr>
            <w:tcW w:type="dxa" w:w="1036"/>
            <w:vAlign w:val="top"/>
          </w:tcPr>
          <w:p>
            <w:pPr>
              <w:spacing w:after="40" w:before="0" w:line="259" w:lineRule="auto"/>
            </w:pPr>
            <w:r>
              <w:rPr>
                <w:rFonts w:ascii="Calibri" w:hAnsi="Calibri"/>
                <w:b w:val="0"/>
                <w:i w:val="0"/>
                <w:color w:val="212121"/>
                <w:sz w:val="16"/>
              </w:rPr>
              <w:t>Confirms and localizes hyperalgesia; central to diagnosis</w:t>
            </w:r>
          </w:p>
        </w:tc>
        <w:tc>
          <w:tcPr>
            <w:tcW w:type="dxa" w:w="1036"/>
            <w:vAlign w:val="top"/>
          </w:tcPr>
          <w:p>
            <w:pPr>
              <w:spacing w:after="40" w:before="0" w:line="259" w:lineRule="auto"/>
            </w:pPr>
            <w:r>
              <w:rPr>
                <w:rFonts w:ascii="Calibri" w:hAnsi="Calibri"/>
                <w:b w:val="0"/>
                <w:i w:val="0"/>
                <w:color w:val="212121"/>
                <w:sz w:val="16"/>
              </w:rPr>
              <w:t>Women with suspected provoked vestibulodynia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Cornerstone bedside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Vulvar/vestibular inspection</w:t>
            </w:r>
          </w:p>
        </w:tc>
        <w:tc>
          <w:tcPr>
            <w:tcW w:type="dxa" w:w="979"/>
            <w:vAlign w:val="top"/>
          </w:tcPr>
          <w:p>
            <w:pPr>
              <w:spacing w:after="40" w:before="0" w:line="259" w:lineRule="auto"/>
            </w:pPr>
            <w:r>
              <w:rPr>
                <w:rFonts w:ascii="Calibri" w:hAnsi="Calibri"/>
                <w:b w:val="0"/>
                <w:i w:val="0"/>
                <w:color w:val="212121"/>
                <w:sz w:val="16"/>
              </w:rPr>
              <w:t>Appearance of vulva and vestibule</w:t>
            </w:r>
          </w:p>
        </w:tc>
        <w:tc>
          <w:tcPr>
            <w:tcW w:type="dxa" w:w="950"/>
            <w:vAlign w:val="top"/>
          </w:tcPr>
          <w:p>
            <w:pPr>
              <w:spacing w:after="40" w:before="0" w:line="259" w:lineRule="auto"/>
            </w:pPr>
            <w:r>
              <w:rPr>
                <w:rFonts w:ascii="Calibri" w:hAnsi="Calibri"/>
                <w:b w:val="0"/>
                <w:i w:val="0"/>
                <w:color w:val="212121"/>
                <w:sz w:val="16"/>
              </w:rPr>
              <w:t>Normal-appearing vulva</w:t>
            </w:r>
          </w:p>
        </w:tc>
        <w:tc>
          <w:tcPr>
            <w:tcW w:type="dxa" w:w="950"/>
            <w:vAlign w:val="top"/>
          </w:tcPr>
          <w:p>
            <w:pPr>
              <w:spacing w:after="40" w:before="0" w:line="259" w:lineRule="auto"/>
            </w:pPr>
            <w:r>
              <w:rPr>
                <w:rFonts w:ascii="Calibri" w:hAnsi="Calibri"/>
                <w:b w:val="0"/>
                <w:i w:val="0"/>
                <w:color w:val="212121"/>
                <w:sz w:val="16"/>
              </w:rPr>
              <w:t>Variable vestibular erythema; no dermatosis/ulcer/neoplasm</w:t>
            </w:r>
          </w:p>
        </w:tc>
        <w:tc>
          <w:tcPr>
            <w:tcW w:type="dxa" w:w="1036"/>
            <w:vAlign w:val="top"/>
          </w:tcPr>
          <w:p>
            <w:pPr>
              <w:spacing w:after="40" w:before="0" w:line="259" w:lineRule="auto"/>
            </w:pPr>
            <w:r>
              <w:rPr>
                <w:rFonts w:ascii="Calibri" w:hAnsi="Calibri"/>
                <w:b w:val="0"/>
                <w:i w:val="0"/>
                <w:color w:val="212121"/>
                <w:sz w:val="16"/>
              </w:rPr>
              <w:t>Findings limited to erythema (Friedrich); excludes visible disease</w:t>
            </w:r>
          </w:p>
        </w:tc>
        <w:tc>
          <w:tcPr>
            <w:tcW w:type="dxa" w:w="1036"/>
            <w:vAlign w:val="top"/>
          </w:tcPr>
          <w:p>
            <w:pPr>
              <w:spacing w:after="40" w:before="0" w:line="259" w:lineRule="auto"/>
            </w:pPr>
            <w:r>
              <w:rPr>
                <w:rFonts w:ascii="Calibri" w:hAnsi="Calibri"/>
                <w:b w:val="0"/>
                <w:i w:val="0"/>
                <w:color w:val="212121"/>
                <w:sz w:val="16"/>
              </w:rPr>
              <w:t>All women with vulvar pain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Vulva is frequently entirely normal-looking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Pelvic floor assessment</w:t>
            </w:r>
          </w:p>
        </w:tc>
        <w:tc>
          <w:tcPr>
            <w:tcW w:type="dxa" w:w="950"/>
            <w:vAlign w:val="top"/>
          </w:tcPr>
          <w:p>
            <w:pPr>
              <w:spacing w:after="40" w:before="0" w:line="259" w:lineRule="auto"/>
            </w:pPr>
            <w:r>
              <w:rPr>
                <w:rFonts w:ascii="Calibri" w:hAnsi="Calibri"/>
                <w:b w:val="0"/>
                <w:i w:val="0"/>
                <w:color w:val="212121"/>
                <w:sz w:val="16"/>
              </w:rPr>
              <w:t>Digital pelvic-floor / levator palpation</w:t>
            </w:r>
          </w:p>
        </w:tc>
        <w:tc>
          <w:tcPr>
            <w:tcW w:type="dxa" w:w="979"/>
            <w:vAlign w:val="top"/>
          </w:tcPr>
          <w:p>
            <w:pPr>
              <w:spacing w:after="40" w:before="0" w:line="259" w:lineRule="auto"/>
            </w:pPr>
            <w:r>
              <w:rPr>
                <w:rFonts w:ascii="Calibri" w:hAnsi="Calibri"/>
                <w:b w:val="0"/>
                <w:i w:val="0"/>
                <w:color w:val="212121"/>
                <w:sz w:val="16"/>
              </w:rPr>
              <w:t>Muscle tone, tenderness, trigger points</w:t>
            </w:r>
          </w:p>
        </w:tc>
        <w:tc>
          <w:tcPr>
            <w:tcW w:type="dxa" w:w="950"/>
            <w:vAlign w:val="top"/>
          </w:tcPr>
          <w:p>
            <w:pPr>
              <w:spacing w:after="40" w:before="0" w:line="259" w:lineRule="auto"/>
            </w:pPr>
            <w:r>
              <w:rPr>
                <w:rFonts w:ascii="Calibri" w:hAnsi="Calibri"/>
                <w:b w:val="0"/>
                <w:i w:val="0"/>
                <w:color w:val="212121"/>
                <w:sz w:val="16"/>
              </w:rPr>
              <w:t>Normal tone, non-tender</w:t>
            </w:r>
          </w:p>
        </w:tc>
        <w:tc>
          <w:tcPr>
            <w:tcW w:type="dxa" w:w="950"/>
            <w:vAlign w:val="top"/>
          </w:tcPr>
          <w:p>
            <w:pPr>
              <w:spacing w:after="40" w:before="0" w:line="259" w:lineRule="auto"/>
            </w:pPr>
            <w:r>
              <w:rPr>
                <w:rFonts w:ascii="Calibri" w:hAnsi="Calibri"/>
                <w:b w:val="0"/>
                <w:i w:val="0"/>
                <w:color w:val="212121"/>
                <w:sz w:val="16"/>
              </w:rPr>
              <w:t>Hypertonicity, tenderness, reproducible trigger points</w:t>
            </w:r>
          </w:p>
        </w:tc>
        <w:tc>
          <w:tcPr>
            <w:tcW w:type="dxa" w:w="1036"/>
            <w:vAlign w:val="top"/>
          </w:tcPr>
          <w:p>
            <w:pPr>
              <w:spacing w:after="40" w:before="0" w:line="259" w:lineRule="auto"/>
            </w:pPr>
            <w:r>
              <w:rPr>
                <w:rFonts w:ascii="Calibri" w:hAnsi="Calibri"/>
                <w:b w:val="0"/>
                <w:i w:val="0"/>
                <w:color w:val="212121"/>
                <w:sz w:val="16"/>
              </w:rPr>
              <w:t>Identifies pelvic-floor dysfunction driving pain and dyspareunia</w:t>
            </w:r>
          </w:p>
        </w:tc>
        <w:tc>
          <w:tcPr>
            <w:tcW w:type="dxa" w:w="1036"/>
            <w:vAlign w:val="top"/>
          </w:tcPr>
          <w:p>
            <w:pPr>
              <w:spacing w:after="40" w:before="0" w:line="259" w:lineRule="auto"/>
            </w:pPr>
            <w:r>
              <w:rPr>
                <w:rFonts w:ascii="Calibri" w:hAnsi="Calibri"/>
                <w:b w:val="0"/>
                <w:i w:val="0"/>
                <w:color w:val="212121"/>
                <w:sz w:val="16"/>
              </w:rPr>
              <w:t>Women with dyspareunia/vaginismus overlap</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Diagnostic &amp; therapeutic</w:t>
            </w:r>
          </w:p>
        </w:tc>
        <w:tc>
          <w:tcPr>
            <w:tcW w:type="dxa" w:w="720"/>
            <w:vAlign w:val="top"/>
          </w:tcPr>
          <w:p>
            <w:pPr>
              <w:spacing w:after="40" w:before="0" w:line="259" w:lineRule="auto"/>
            </w:pPr>
            <w:r>
              <w:rPr>
                <w:rFonts w:ascii="Calibri" w:hAnsi="Calibri"/>
                <w:b w:val="0"/>
                <w:i w:val="0"/>
                <w:color w:val="212121"/>
                <w:sz w:val="16"/>
              </w:rPr>
              <w:t>Guides pelvic-floor physiotherapy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Psychosexual history</w:t>
            </w:r>
          </w:p>
        </w:tc>
        <w:tc>
          <w:tcPr>
            <w:tcW w:type="dxa" w:w="950"/>
            <w:vAlign w:val="top"/>
          </w:tcPr>
          <w:p>
            <w:pPr>
              <w:spacing w:after="40" w:before="0" w:line="259" w:lineRule="auto"/>
            </w:pPr>
            <w:r>
              <w:rPr>
                <w:rFonts w:ascii="Calibri" w:hAnsi="Calibri"/>
                <w:b w:val="0"/>
                <w:i w:val="0"/>
                <w:color w:val="212121"/>
                <w:sz w:val="16"/>
              </w:rPr>
              <w:t>Mood, sexual &amp; relationship history</w:t>
            </w:r>
          </w:p>
        </w:tc>
        <w:tc>
          <w:tcPr>
            <w:tcW w:type="dxa" w:w="979"/>
            <w:vAlign w:val="top"/>
          </w:tcPr>
          <w:p>
            <w:pPr>
              <w:spacing w:after="40" w:before="0" w:line="259" w:lineRule="auto"/>
            </w:pPr>
            <w:r>
              <w:rPr>
                <w:rFonts w:ascii="Calibri" w:hAnsi="Calibri"/>
                <w:b w:val="0"/>
                <w:i w:val="0"/>
                <w:color w:val="212121"/>
                <w:sz w:val="16"/>
              </w:rPr>
              <w:t>Anxiety/depression, dyspareunia, avoidance, distress</w:t>
            </w:r>
          </w:p>
        </w:tc>
        <w:tc>
          <w:tcPr>
            <w:tcW w:type="dxa" w:w="950"/>
            <w:vAlign w:val="top"/>
          </w:tcPr>
          <w:p>
            <w:pPr>
              <w:spacing w:after="40" w:before="0" w:line="259" w:lineRule="auto"/>
            </w:pPr>
            <w:r>
              <w:rPr>
                <w:rFonts w:ascii="Calibri" w:hAnsi="Calibri"/>
                <w:b w:val="0"/>
                <w:i w:val="0"/>
                <w:color w:val="212121"/>
                <w:sz w:val="16"/>
              </w:rPr>
              <w:t>No distress; satisfying sexual function</w:t>
            </w:r>
          </w:p>
        </w:tc>
        <w:tc>
          <w:tcPr>
            <w:tcW w:type="dxa" w:w="950"/>
            <w:vAlign w:val="top"/>
          </w:tcPr>
          <w:p>
            <w:pPr>
              <w:spacing w:after="40" w:before="0" w:line="259" w:lineRule="auto"/>
            </w:pPr>
            <w:r>
              <w:rPr>
                <w:rFonts w:ascii="Calibri" w:hAnsi="Calibri"/>
                <w:b w:val="0"/>
                <w:i w:val="0"/>
                <w:color w:val="212121"/>
                <w:sz w:val="16"/>
              </w:rPr>
              <w:t>Anxiety/depression, sexual avoidance, catastrophizing</w:t>
            </w:r>
          </w:p>
        </w:tc>
        <w:tc>
          <w:tcPr>
            <w:tcW w:type="dxa" w:w="1036"/>
            <w:vAlign w:val="top"/>
          </w:tcPr>
          <w:p>
            <w:pPr>
              <w:spacing w:after="40" w:before="0" w:line="259" w:lineRule="auto"/>
            </w:pPr>
            <w:r>
              <w:rPr>
                <w:rFonts w:ascii="Calibri" w:hAnsi="Calibri"/>
                <w:b w:val="0"/>
                <w:i w:val="0"/>
                <w:color w:val="212121"/>
                <w:sz w:val="16"/>
              </w:rPr>
              <w:t>Assesses bidirectional psychological drivers and impact</w:t>
            </w:r>
          </w:p>
        </w:tc>
        <w:tc>
          <w:tcPr>
            <w:tcW w:type="dxa" w:w="1036"/>
            <w:vAlign w:val="top"/>
          </w:tcPr>
          <w:p>
            <w:pPr>
              <w:spacing w:after="40" w:before="0" w:line="259" w:lineRule="auto"/>
            </w:pPr>
            <w:r>
              <w:rPr>
                <w:rFonts w:ascii="Calibri" w:hAnsi="Calibri"/>
                <w:b w:val="0"/>
                <w:i w:val="0"/>
                <w:color w:val="212121"/>
                <w:sz w:val="16"/>
              </w:rPr>
              <w:t>Women with chronic vulvar pain and their partners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Prior anxiety/depression ~4× risk of PVD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Precipitant &amp; comorbidity review</w:t>
            </w:r>
          </w:p>
        </w:tc>
        <w:tc>
          <w:tcPr>
            <w:tcW w:type="dxa" w:w="979"/>
            <w:vAlign w:val="top"/>
          </w:tcPr>
          <w:p>
            <w:pPr>
              <w:spacing w:after="40" w:before="0" w:line="259" w:lineRule="auto"/>
            </w:pPr>
            <w:r>
              <w:rPr>
                <w:rFonts w:ascii="Calibri" w:hAnsi="Calibri"/>
                <w:b w:val="0"/>
                <w:i w:val="0"/>
                <w:color w:val="212121"/>
                <w:sz w:val="16"/>
              </w:rPr>
              <w:t>Recurrent candidiasis, OCP use, bladder/bowel pain, diabetes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Recurrent thrush, early OCP, IC/IBS/fibromyalgia, diabetes</w:t>
            </w:r>
          </w:p>
        </w:tc>
        <w:tc>
          <w:tcPr>
            <w:tcW w:type="dxa" w:w="1036"/>
            <w:vAlign w:val="top"/>
          </w:tcPr>
          <w:p>
            <w:pPr>
              <w:spacing w:after="40" w:before="0" w:line="259" w:lineRule="auto"/>
            </w:pPr>
            <w:r>
              <w:rPr>
                <w:rFonts w:ascii="Calibri" w:hAnsi="Calibri"/>
                <w:b w:val="0"/>
                <w:i w:val="0"/>
                <w:color w:val="212121"/>
                <w:sz w:val="16"/>
              </w:rPr>
              <w:t>Identifies precipitating and associated conditions to target</w:t>
            </w:r>
          </w:p>
        </w:tc>
        <w:tc>
          <w:tcPr>
            <w:tcW w:type="dxa" w:w="1036"/>
            <w:vAlign w:val="top"/>
          </w:tcPr>
          <w:p>
            <w:pPr>
              <w:spacing w:after="40" w:before="0" w:line="259" w:lineRule="auto"/>
            </w:pPr>
            <w:r>
              <w:rPr>
                <w:rFonts w:ascii="Calibri" w:hAnsi="Calibri"/>
                <w:b w:val="0"/>
                <w:i w:val="0"/>
                <w:color w:val="212121"/>
                <w:sz w:val="16"/>
              </w:rPr>
              <w:t>Women with overlapping pain conditions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~45% have a comorbid chronic pain condition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Vulvar burning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frequently reported symptom — a persistent burning sensation of the vulva/vestibule.</w:t>
            </w:r>
          </w:p>
        </w:tc>
      </w:tr>
      <w:tr>
        <w:trPr>
          <w:cantSplit/>
        </w:trPr>
        <w:tc>
          <w:tcPr>
            <w:tcW w:type="dxa" w:w="2304"/>
            <w:vAlign w:val="top"/>
          </w:tcPr>
          <w:p>
            <w:pPr>
              <w:spacing w:after="40" w:before="0" w:line="259" w:lineRule="auto"/>
            </w:pPr>
            <w:r>
              <w:rPr>
                <w:rFonts w:ascii="Calibri" w:hAnsi="Calibri"/>
                <w:b/>
                <w:i w:val="0"/>
                <w:color w:val="212121"/>
                <w:sz w:val="19"/>
              </w:rPr>
              <w:t>Entry dyspareunia (pain with intercourse)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Sharp/burning pain on attempted penetration — the hallmark of provoked vestibulodynia.</w:t>
            </w:r>
          </w:p>
        </w:tc>
      </w:tr>
      <w:tr>
        <w:trPr>
          <w:cantSplit/>
        </w:trPr>
        <w:tc>
          <w:tcPr>
            <w:tcW w:type="dxa" w:w="2304"/>
            <w:vAlign w:val="top"/>
          </w:tcPr>
          <w:p>
            <w:pPr>
              <w:spacing w:after="40" w:before="0" w:line="259" w:lineRule="auto"/>
            </w:pPr>
            <w:r>
              <w:rPr>
                <w:rFonts w:ascii="Calibri" w:hAnsi="Calibri"/>
                <w:b/>
                <w:i w:val="0"/>
                <w:color w:val="212121"/>
                <w:sz w:val="19"/>
              </w:rPr>
              <w:t>Stinging / rawness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raw, chafed or stinging quality, often worse with contact or friction.</w:t>
            </w:r>
          </w:p>
        </w:tc>
      </w:tr>
      <w:tr>
        <w:trPr>
          <w:cantSplit/>
        </w:trPr>
        <w:tc>
          <w:tcPr>
            <w:tcW w:type="dxa" w:w="2304"/>
            <w:vAlign w:val="top"/>
          </w:tcPr>
          <w:p>
            <w:pPr>
              <w:spacing w:after="40" w:before="0" w:line="259" w:lineRule="auto"/>
            </w:pPr>
            <w:r>
              <w:rPr>
                <w:rFonts w:ascii="Calibri" w:hAnsi="Calibri"/>
                <w:b/>
                <w:i w:val="0"/>
                <w:color w:val="212121"/>
                <w:sz w:val="19"/>
              </w:rPr>
              <w:t>Soreness / aching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soreness or aching of the vulva, sometimes with a sensation of throbbing or swelling.</w:t>
            </w:r>
          </w:p>
        </w:tc>
      </w:tr>
      <w:tr>
        <w:trPr>
          <w:cantSplit/>
        </w:trPr>
        <w:tc>
          <w:tcPr>
            <w:tcW w:type="dxa" w:w="2304"/>
            <w:vAlign w:val="top"/>
          </w:tcPr>
          <w:p>
            <w:pPr>
              <w:spacing w:after="40" w:before="0" w:line="259" w:lineRule="auto"/>
            </w:pPr>
            <w:r>
              <w:rPr>
                <w:rFonts w:ascii="Calibri" w:hAnsi="Calibri"/>
                <w:b/>
                <w:i w:val="0"/>
                <w:color w:val="212121"/>
                <w:sz w:val="19"/>
              </w:rPr>
              <w:t>Pain on tampon insertion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Insertional pain with tampons or during speculum examination reflects vestibular allodynia.</w:t>
            </w:r>
          </w:p>
        </w:tc>
      </w:tr>
      <w:tr>
        <w:trPr>
          <w:cantSplit/>
        </w:trPr>
        <w:tc>
          <w:tcPr>
            <w:tcW w:type="dxa" w:w="2304"/>
            <w:vAlign w:val="top"/>
          </w:tcPr>
          <w:p>
            <w:pPr>
              <w:spacing w:after="40" w:before="0" w:line="259" w:lineRule="auto"/>
            </w:pPr>
            <w:r>
              <w:rPr>
                <w:rFonts w:ascii="Calibri" w:hAnsi="Calibri"/>
                <w:b/>
                <w:i w:val="0"/>
                <w:color w:val="212121"/>
                <w:sz w:val="19"/>
              </w:rPr>
              <w:t>Pain with prolonged sitting or tight clothing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Pressure-loading activities (sitting, cycling, tight jeans/underwear) provoke or worsen the pain.</w:t>
            </w:r>
          </w:p>
        </w:tc>
      </w:tr>
      <w:tr>
        <w:trPr>
          <w:cantSplit/>
        </w:trPr>
        <w:tc>
          <w:tcPr>
            <w:tcW w:type="dxa" w:w="2304"/>
            <w:vAlign w:val="top"/>
          </w:tcPr>
          <w:p>
            <w:pPr>
              <w:spacing w:after="40" w:before="0" w:line="259" w:lineRule="auto"/>
            </w:pPr>
            <w:r>
              <w:rPr>
                <w:rFonts w:ascii="Calibri" w:hAnsi="Calibri"/>
                <w:b/>
                <w:i w:val="0"/>
                <w:color w:val="212121"/>
                <w:sz w:val="19"/>
              </w:rPr>
              <w:t>Knife-like / sharp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women describe sharp, cutting or lancinating pain rather than burning.</w:t>
            </w:r>
          </w:p>
        </w:tc>
      </w:tr>
      <w:tr>
        <w:trPr>
          <w:cantSplit/>
        </w:trPr>
        <w:tc>
          <w:tcPr>
            <w:tcW w:type="dxa" w:w="2304"/>
            <w:vAlign w:val="top"/>
          </w:tcPr>
          <w:p>
            <w:pPr>
              <w:spacing w:after="40" w:before="0" w:line="259" w:lineRule="auto"/>
            </w:pPr>
            <w:r>
              <w:rPr>
                <w:rFonts w:ascii="Calibri" w:hAnsi="Calibri"/>
                <w:b/>
                <w:i w:val="0"/>
                <w:color w:val="212121"/>
                <w:sz w:val="19"/>
              </w:rPr>
              <w:t>Throbbing / swelling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subjective sense of swelling or throbbing without objective swelling.</w:t>
            </w:r>
          </w:p>
        </w:tc>
      </w:tr>
      <w:tr>
        <w:trPr>
          <w:cantSplit/>
        </w:trPr>
        <w:tc>
          <w:tcPr>
            <w:tcW w:type="dxa" w:w="2304"/>
            <w:vAlign w:val="top"/>
          </w:tcPr>
          <w:p>
            <w:pPr>
              <w:spacing w:after="40" w:before="0" w:line="259" w:lineRule="auto"/>
            </w:pPr>
            <w:r>
              <w:rPr>
                <w:rFonts w:ascii="Calibri" w:hAnsi="Calibri"/>
                <w:b/>
                <w:i w:val="0"/>
                <w:color w:val="212121"/>
                <w:sz w:val="19"/>
              </w:rPr>
              <w:t>Constant, unprovoked (spontaneous)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Characterizes generalized vulvodynia — pain present without any touch or pressure.</w:t>
            </w:r>
          </w:p>
        </w:tc>
      </w:tr>
      <w:tr>
        <w:trPr>
          <w:cantSplit/>
        </w:trPr>
        <w:tc>
          <w:tcPr>
            <w:tcW w:type="dxa" w:w="2304"/>
            <w:vAlign w:val="top"/>
          </w:tcPr>
          <w:p>
            <w:pPr>
              <w:spacing w:after="40" w:before="0" w:line="259" w:lineRule="auto"/>
            </w:pPr>
            <w:r>
              <w:rPr>
                <w:rFonts w:ascii="Calibri" w:hAnsi="Calibri"/>
                <w:b/>
                <w:i w:val="0"/>
                <w:color w:val="212121"/>
                <w:sz w:val="19"/>
              </w:rPr>
              <w:t>Pain radiating to inner thighs, perineum or peri-anal area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generalized involvement or associated pelvic-floor dysfunction.</w:t>
            </w:r>
          </w:p>
        </w:tc>
      </w:tr>
      <w:tr>
        <w:trPr>
          <w:cantSplit/>
        </w:trPr>
        <w:tc>
          <w:tcPr>
            <w:tcW w:type="dxa" w:w="2304"/>
            <w:vAlign w:val="top"/>
          </w:tcPr>
          <w:p>
            <w:pPr>
              <w:spacing w:after="40" w:before="0" w:line="259" w:lineRule="auto"/>
            </w:pPr>
            <w:r>
              <w:rPr>
                <w:rFonts w:ascii="Calibri" w:hAnsi="Calibri"/>
                <w:b/>
                <w:i w:val="0"/>
                <w:color w:val="212121"/>
                <w:sz w:val="19"/>
              </w:rPr>
              <w:t>Itching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Not typical; when prominent, itching should prompt a search for a dermatosis or infection instead.</w:t>
            </w:r>
          </w:p>
        </w:tc>
      </w:tr>
      <w:tr>
        <w:trPr>
          <w:cantSplit/>
        </w:trPr>
        <w:tc>
          <w:tcPr>
            <w:tcW w:type="dxa" w:w="2304"/>
            <w:vAlign w:val="top"/>
          </w:tcPr>
          <w:p>
            <w:pPr>
              <w:spacing w:after="40" w:before="0" w:line="259" w:lineRule="auto"/>
            </w:pPr>
            <w:r>
              <w:rPr>
                <w:rFonts w:ascii="Calibri" w:hAnsi="Calibri"/>
                <w:b/>
                <w:i w:val="0"/>
                <w:color w:val="212121"/>
                <w:sz w:val="19"/>
              </w:rPr>
              <w:t>Clitoral pain (clitorodynia)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Localized clitoral pain — an uncommon localized subtype of vulvodynia.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Normal-appearing vulva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On inspection the vulva often looks entirely normal despite severe pain — a key clue to vulvodynia.</w:t>
            </w:r>
          </w:p>
        </w:tc>
      </w:tr>
      <w:tr>
        <w:trPr>
          <w:cantSplit/>
        </w:trPr>
        <w:tc>
          <w:tcPr>
            <w:tcW w:type="dxa" w:w="3456"/>
            <w:vAlign w:val="top"/>
          </w:tcPr>
          <w:p>
            <w:pPr>
              <w:spacing w:after="40" w:before="0" w:line="259" w:lineRule="auto"/>
            </w:pPr>
            <w:r>
              <w:rPr>
                <w:rFonts w:ascii="Calibri" w:hAnsi="Calibri"/>
                <w:b/>
                <w:i w:val="0"/>
                <w:color w:val="212121"/>
                <w:sz w:val="19"/>
              </w:rPr>
              <w:t>Positive cotton-swab (Q-tip)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Light touch of the vestibule reproduces localized pain/allodynia — the defining examination finding.</w:t>
            </w:r>
          </w:p>
        </w:tc>
      </w:tr>
      <w:tr>
        <w:trPr>
          <w:cantSplit/>
        </w:trPr>
        <w:tc>
          <w:tcPr>
            <w:tcW w:type="dxa" w:w="3456"/>
            <w:vAlign w:val="top"/>
          </w:tcPr>
          <w:p>
            <w:pPr>
              <w:spacing w:after="40" w:before="0" w:line="259" w:lineRule="auto"/>
            </w:pPr>
            <w:r>
              <w:rPr>
                <w:rFonts w:ascii="Calibri" w:hAnsi="Calibri"/>
                <w:b/>
                <w:i w:val="0"/>
                <w:color w:val="212121"/>
                <w:sz w:val="19"/>
              </w:rPr>
              <w:t>Vestibular allodynia / hyperalgesia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out of proportion to a light-touch stimulus, reflecting peripheral/central sensitization.</w:t>
            </w:r>
          </w:p>
        </w:tc>
      </w:tr>
      <w:tr>
        <w:trPr>
          <w:cantSplit/>
        </w:trPr>
        <w:tc>
          <w:tcPr>
            <w:tcW w:type="dxa" w:w="3456"/>
            <w:vAlign w:val="top"/>
          </w:tcPr>
          <w:p>
            <w:pPr>
              <w:spacing w:after="40" w:before="0" w:line="259" w:lineRule="auto"/>
            </w:pPr>
            <w:r>
              <w:rPr>
                <w:rFonts w:ascii="Calibri" w:hAnsi="Calibri"/>
                <w:b/>
                <w:i w:val="0"/>
                <w:color w:val="212121"/>
                <w:sz w:val="19"/>
              </w:rPr>
              <w:t>Pelvic-floor hypertonicity and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Levator ani hypertonicity with reproducible trigger points on digital palpation.</w:t>
            </w:r>
          </w:p>
        </w:tc>
      </w:tr>
      <w:tr>
        <w:trPr>
          <w:cantSplit/>
        </w:trPr>
        <w:tc>
          <w:tcPr>
            <w:tcW w:type="dxa" w:w="3456"/>
            <w:vAlign w:val="top"/>
          </w:tcPr>
          <w:p>
            <w:pPr>
              <w:spacing w:after="40" w:before="0" w:line="259" w:lineRule="auto"/>
            </w:pPr>
            <w:r>
              <w:rPr>
                <w:rFonts w:ascii="Calibri" w:hAnsi="Calibri"/>
                <w:b/>
                <w:i w:val="0"/>
                <w:color w:val="212121"/>
                <w:sz w:val="19"/>
              </w:rPr>
              <w:t>Variable vestibular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Mild, variable redness of the vestibule may be present (Friedrich criterion) but is non-specific.</w:t>
            </w:r>
          </w:p>
        </w:tc>
      </w:tr>
      <w:tr>
        <w:trPr>
          <w:cantSplit/>
        </w:trPr>
        <w:tc>
          <w:tcPr>
            <w:tcW w:type="dxa" w:w="3456"/>
            <w:vAlign w:val="top"/>
          </w:tcPr>
          <w:p>
            <w:pPr>
              <w:spacing w:after="40" w:before="0" w:line="259" w:lineRule="auto"/>
            </w:pPr>
            <w:r>
              <w:rPr>
                <w:rFonts w:ascii="Calibri" w:hAnsi="Calibri"/>
                <w:b/>
                <w:i w:val="0"/>
                <w:color w:val="212121"/>
                <w:sz w:val="19"/>
              </w:rPr>
              <w:t>Absence of infection on microscopy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wet mount/pH and negative fungal culture support the diagnosis of exclusion.</w:t>
            </w:r>
          </w:p>
        </w:tc>
      </w:tr>
      <w:tr>
        <w:trPr>
          <w:cantSplit/>
        </w:trPr>
        <w:tc>
          <w:tcPr>
            <w:tcW w:type="dxa" w:w="3456"/>
            <w:vAlign w:val="top"/>
          </w:tcPr>
          <w:p>
            <w:pPr>
              <w:spacing w:after="40" w:before="0" w:line="259" w:lineRule="auto"/>
            </w:pPr>
            <w:r>
              <w:rPr>
                <w:rFonts w:ascii="Calibri" w:hAnsi="Calibri"/>
                <w:b/>
                <w:i w:val="0"/>
                <w:color w:val="212121"/>
                <w:sz w:val="19"/>
              </w:rPr>
              <w:t>Focal tenderness at vestibular gland openings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 tenderness around Bartholin/Skene duct ostia in localized vestibulodynia.</w:t>
            </w:r>
          </w:p>
        </w:tc>
      </w:tr>
      <w:tr>
        <w:trPr>
          <w:cantSplit/>
        </w:trPr>
        <w:tc>
          <w:tcPr>
            <w:tcW w:type="dxa" w:w="3456"/>
            <w:vAlign w:val="top"/>
          </w:tcPr>
          <w:p>
            <w:pPr>
              <w:spacing w:after="40" w:before="0" w:line="259" w:lineRule="auto"/>
            </w:pPr>
            <w:r>
              <w:rPr>
                <w:rFonts w:ascii="Calibri" w:hAnsi="Calibri"/>
                <w:b/>
                <w:i w:val="0"/>
                <w:color w:val="212121"/>
                <w:sz w:val="19"/>
              </w:rPr>
              <w:t>No ulcers, erosions or dermatosis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Absence of lesions distinguishes vulvodynia from lichen sclerosus, lichen planus, herpes and VIN.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persistent vulvar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Entry dyspareunia and sexual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ability to sit, exercise, cycle or wear fitted clothing</w:t>
            </w:r>
          </w:p>
        </w:tc>
        <w:tc>
          <w:tcPr>
            <w:tcW w:type="dxa" w:w="2980"/>
            <w:vAlign w:val="top"/>
          </w:tcPr>
          <w:p>
            <w:pPr>
              <w:spacing w:after="40" w:before="0" w:line="259" w:lineRule="auto"/>
            </w:pPr>
            <w:r>
              <w:rPr>
                <w:rFonts w:ascii="Calibri" w:hAnsi="Calibri"/>
                <w:b w:val="0"/>
                <w:i w:val="0"/>
                <w:color w:val="212121"/>
                <w:sz w:val="19"/>
              </w:rPr>
              <w:t>Direct consequences of the chronic vulvar hypersensitivity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sexual desire, arousal and satisfaction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Vaginismus and pelvic-floor hypertonic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chronic stress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and work disruption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Relationship and intimacy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Lowered self-esteem and negative body image</w:t>
            </w:r>
          </w:p>
        </w:tc>
        <w:tc>
          <w:tcPr>
            <w:tcW w:type="dxa" w:w="2980"/>
            <w:vAlign w:val="top"/>
          </w:tcPr>
          <w:p>
            <w:pPr>
              <w:spacing w:after="40" w:before="0" w:line="259" w:lineRule="auto"/>
            </w:pPr>
            <w:r>
              <w:rPr>
                <w:rFonts w:ascii="Calibri" w:hAnsi="Calibri"/>
                <w:b w:val="0"/>
                <w:i w:val="0"/>
                <w:color w:val="212121"/>
                <w:sz w:val="19"/>
              </w:rPr>
              <w:t>Arise from the pain’s impact on sexual function, mood, pelvic-floor behaviour and daily life.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Treatment-refractory chronic pain with entrenched central sensitization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sexual dysfunction and avoidance of intimacy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Marital/relationship breakdown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depression/anxiety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conceiving where intercourse becomes impossible</w:t>
            </w:r>
          </w:p>
        </w:tc>
        <w:tc>
          <w:tcPr>
            <w:tcW w:type="dxa" w:w="2980"/>
            <w:vAlign w:val="top"/>
          </w:tcPr>
          <w:p>
            <w:pPr>
              <w:spacing w:after="40" w:before="0" w:line="259" w:lineRule="auto"/>
            </w:pPr>
            <w:r>
              <w:rPr>
                <w:rFonts w:ascii="Calibri" w:hAnsi="Calibri"/>
                <w:b w:val="0"/>
                <w:i w:val="0"/>
                <w:color w:val="212121"/>
                <w:sz w:val="19"/>
              </w:rPr>
              <w:t>Long-term, disabling outcomes of unrecognized or inadequately 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Recurrent vulvovaginal candidiasis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candida infection and inflammation are common precipitating events; persistent ‘thrush’ unresponsive to antifungals is frequently vulvodynia, so it is both a trigger and a diagnostic mimic.</w:t>
            </w:r>
          </w:p>
        </w:tc>
      </w:tr>
      <w:tr>
        <w:trPr>
          <w:cantSplit/>
        </w:trPr>
        <w:tc>
          <w:tcPr>
            <w:tcW w:type="dxa" w:w="2232"/>
            <w:vAlign w:val="top"/>
          </w:tcPr>
          <w:p>
            <w:pPr>
              <w:spacing w:after="40" w:before="0" w:line="259" w:lineRule="auto"/>
            </w:pPr>
            <w:r>
              <w:rPr>
                <w:rFonts w:ascii="Calibri" w:hAnsi="Calibri"/>
                <w:b/>
                <w:i w:val="0"/>
                <w:color w:val="212121"/>
                <w:sz w:val="19"/>
              </w:rPr>
              <w:t>Interstitial cystitis / bladder pain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Shares embryologic origin (urogenital sinus) and central sensitization with the vestibule; frequently co-occurs and amplifies pelvic pain.</w:t>
            </w:r>
          </w:p>
        </w:tc>
      </w:tr>
      <w:tr>
        <w:trPr>
          <w:cantSplit/>
        </w:trPr>
        <w:tc>
          <w:tcPr>
            <w:tcW w:type="dxa" w:w="2232"/>
            <w:vAlign w:val="top"/>
          </w:tcPr>
          <w:p>
            <w:pPr>
              <w:spacing w:after="40" w:before="0" w:line="259" w:lineRule="auto"/>
            </w:pPr>
            <w:r>
              <w:rPr>
                <w:rFonts w:ascii="Calibri" w:hAnsi="Calibri"/>
                <w:b/>
                <w:i w:val="0"/>
                <w:color w:val="212121"/>
                <w:sz w:val="19"/>
              </w:rPr>
              <w:t>Fibromyalgia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 central sensitivity syndrome that clusters with vulvodynia; part of the ~45% of patients with a comorbid chronic pain condition.</w:t>
            </w:r>
          </w:p>
          <w:p>
            <w:pPr>
              <w:spacing w:after="40" w:before="0" w:line="259" w:lineRule="auto"/>
            </w:pPr>
            <w:r>
              <w:rPr>
                <w:rFonts w:ascii="Calibri" w:hAnsi="Calibri"/>
                <w:b/>
                <w:i w:val="0"/>
                <w:color w:val="212121"/>
                <w:sz w:val="19"/>
              </w:rPr>
              <w:t>Part of ~45% with a comorbid pain condition</w:t>
            </w:r>
          </w:p>
        </w:tc>
      </w:tr>
      <w:tr>
        <w:trPr>
          <w:cantSplit/>
        </w:trPr>
        <w:tc>
          <w:tcPr>
            <w:tcW w:type="dxa" w:w="2232"/>
            <w:vAlign w:val="top"/>
          </w:tcPr>
          <w:p>
            <w:pPr>
              <w:spacing w:after="40" w:before="0" w:line="259" w:lineRule="auto"/>
            </w:pPr>
            <w:r>
              <w:rPr>
                <w:rFonts w:ascii="Calibri" w:hAnsi="Calibri"/>
                <w:b/>
                <w:i w:val="0"/>
                <w:color w:val="212121"/>
                <w:sz w:val="19"/>
              </w:rPr>
              <w:t>Irritable bowel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overlapping pain condition with shared amplified pain processing; commonly coexists with vulvodynia.</w:t>
            </w:r>
          </w:p>
        </w:tc>
      </w:tr>
      <w:tr>
        <w:trPr>
          <w:cantSplit/>
        </w:trPr>
        <w:tc>
          <w:tcPr>
            <w:tcW w:type="dxa" w:w="2232"/>
            <w:vAlign w:val="top"/>
          </w:tcPr>
          <w:p>
            <w:pPr>
              <w:spacing w:after="40" w:before="0" w:line="259" w:lineRule="auto"/>
            </w:pPr>
            <w:r>
              <w:rPr>
                <w:rFonts w:ascii="Calibri" w:hAnsi="Calibri"/>
                <w:b/>
                <w:i w:val="0"/>
                <w:color w:val="212121"/>
                <w:sz w:val="19"/>
              </w:rPr>
              <w:t>Depression and anxiety disorders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Prior anxiety/depression roughly quadruples the risk of provoked vestibulodynia, and the pain in turn worsens mood — a truly bidirectional relationship affecting treatment.</w:t>
            </w:r>
          </w:p>
        </w:tc>
      </w:tr>
      <w:tr>
        <w:trPr>
          <w:cantSplit/>
        </w:trPr>
        <w:tc>
          <w:tcPr>
            <w:tcW w:type="dxa" w:w="2232"/>
            <w:vAlign w:val="top"/>
          </w:tcPr>
          <w:p>
            <w:pPr>
              <w:spacing w:after="40" w:before="0" w:line="259" w:lineRule="auto"/>
            </w:pPr>
            <w:r>
              <w:rPr>
                <w:rFonts w:ascii="Calibri" w:hAnsi="Calibri"/>
                <w:b/>
                <w:i w:val="0"/>
                <w:color w:val="212121"/>
                <w:sz w:val="19"/>
              </w:rPr>
              <w:t>Vaginismus / pelvic-floor hypertonic dysfunction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Reflex pelvic-floor guarding both results from and perpetuates vulvar pain and dyspareunia; targeting it is central to therapy.</w:t>
            </w:r>
          </w:p>
        </w:tc>
      </w:tr>
      <w:tr>
        <w:trPr>
          <w:cantSplit/>
        </w:trPr>
        <w:tc>
          <w:tcPr>
            <w:tcW w:type="dxa" w:w="2232"/>
            <w:vAlign w:val="top"/>
          </w:tcPr>
          <w:p>
            <w:pPr>
              <w:spacing w:after="40" w:before="0" w:line="259" w:lineRule="auto"/>
            </w:pPr>
            <w:r>
              <w:rPr>
                <w:rFonts w:ascii="Calibri" w:hAnsi="Calibri"/>
                <w:b/>
                <w:i w:val="0"/>
                <w:color w:val="212121"/>
                <w:sz w:val="19"/>
              </w:rPr>
              <w:t>Endometriosis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Another chronic pelvic pain condition with shared central sensitization; coexistence complicates the assessment of dyspareunia.</w:t>
            </w:r>
          </w:p>
        </w:tc>
      </w:tr>
      <w:tr>
        <w:trPr>
          <w:cantSplit/>
        </w:trPr>
        <w:tc>
          <w:tcPr>
            <w:tcW w:type="dxa" w:w="2232"/>
            <w:vAlign w:val="top"/>
          </w:tcPr>
          <w:p>
            <w:pPr>
              <w:spacing w:after="40" w:before="0" w:line="259" w:lineRule="auto"/>
            </w:pPr>
            <w:r>
              <w:rPr>
                <w:rFonts w:ascii="Calibri" w:hAnsi="Calibri"/>
                <w:b/>
                <w:i w:val="0"/>
                <w:color w:val="212121"/>
                <w:sz w:val="19"/>
              </w:rPr>
              <w:t>Temporomandibular disorder</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Recognized comorbid central sensitivity syndrome, reflecting a shared tendency to amplified pain processing.</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Diabetic small-fibre/autonomic neuropathy can produce a neuropathic vulvodynia; highly relevant in India’s large diabetic population and easily overlooked.</w:t>
            </w:r>
          </w:p>
        </w:tc>
      </w:tr>
      <w:tr>
        <w:trPr>
          <w:cantSplit/>
        </w:trPr>
        <w:tc>
          <w:tcPr>
            <w:tcW w:type="dxa" w:w="2232"/>
            <w:vAlign w:val="top"/>
          </w:tcPr>
          <w:p>
            <w:pPr>
              <w:spacing w:after="40" w:before="0" w:line="259" w:lineRule="auto"/>
            </w:pPr>
            <w:r>
              <w:rPr>
                <w:rFonts w:ascii="Calibri" w:hAnsi="Calibri"/>
                <w:b/>
                <w:i w:val="0"/>
                <w:color w:val="212121"/>
                <w:sz w:val="19"/>
              </w:rPr>
              <w:t>Genitourinary syndrome of menopause / vulvovaginal atrophy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Low-estrogen thinning and sensitization of the vestibule can trigger or mimic hormonally-mediated vestibulodynia, altering management.</w:t>
            </w:r>
          </w:p>
        </w:tc>
      </w:tr>
      <w:tr>
        <w:trPr>
          <w:cantSplit/>
        </w:trPr>
        <w:tc>
          <w:tcPr>
            <w:tcW w:type="dxa" w:w="2232"/>
            <w:vAlign w:val="top"/>
          </w:tcPr>
          <w:p>
            <w:pPr>
              <w:spacing w:after="40" w:before="0" w:line="259" w:lineRule="auto"/>
            </w:pPr>
            <w:r>
              <w:rPr>
                <w:rFonts w:ascii="Calibri" w:hAnsi="Calibri"/>
                <w:b/>
                <w:i w:val="0"/>
                <w:color w:val="212121"/>
                <w:sz w:val="19"/>
              </w:rPr>
              <w:t>Chronic fatigue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Part of the cluster of chronic overlapping pain/central sensitivity conditions associated with vulvodynia.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vulvodynia is a real chronic pain (neuropathic/hypersensitivity) condition — not an infection and not ‘in the head’.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self-treat repeatedly for ‘recurrent thrush’ — if antifungals stop helping, seek assessment for vulvodynia.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vulvar irritants: perfumed soaps, feminine washes, douching, harsh detergents, wipes and panty-liners.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cotton underwear, avoid tight synthetic clothing, and rinse with water or a bland emollient instead of soap.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generous water- or silicone-based lubricant for intercourse and avoid activities that load the vestibule (prolonged sitting, cycling) when flared.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referral to a gynaecology or vulvar-pain clinic; earlier recognition shortens years of unnecessary suffering.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women with chronic vulvar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mislabelled with recurrent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Partners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pelvic-floor physiotherapy with biofeedback to relax hypertonic muscles and release trigger points.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vaginal dilator/desensitization therapy under guidance to reduce insertional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Modify posture and pressure — take sitting breaks, use a pressure-relieving cushion, and avoid saddle/cycling pressure during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gentle general exercise (walking, stretching, yoga) to support mood, sleep and pain modulation.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over-guarding — gradual, guided reintroduction of activity counters fear-avoidance.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provoked vestibulodynia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pelvic-floor dysfunction/vaginismus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dyspareunia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to dilute urine and reduce contact irritation.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interstitial cystitis/bladder pain coexists, trial reducing bladder irritants (caffeine, alcohol, very acidic or spicy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supervised low-oxalate trial only as an optional adjunct — evidence is weak and it is not a primary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anti-inflammatory diet and optimize glycaemic control in women with diabetes to limit neuropathic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comorbid interstitial cystitis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exploring dietary adjuncts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Prioritize 7–9 hours of good-quality sleep — poor sleep amplifies central pain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consistent sleep-hygiene routines and manage pain-related nighttime 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 anxiety/depression that disrupt sleep, as part of a multimodal pain plan.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vulvar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comorbid mood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central sensitization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is a possible risk factor for vestibulodynia and worsens tissue perfusion and neuropathic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passive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vestibulodynia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neuropathic pain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 excess worsens mood, sleep and neuropathic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alcohol if it aggravates coexisting bladder pain syndrome.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comorbid bladder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mood or sleep disturbance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cognitive behavioural therapy (CBT) to address pain catastrophizing, hypervigilance and fear-avoidance.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psychosexual counselling — ideally involving the partner — to rebuild intimacy and reduce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 anxiety and depression, which roughly quadruple the risk and worsen the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mindfulness/relaxation and paced re-engagement with sexual activity within a multidisciplinary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Validate the experience — acknowledgement that the pain is real is itself therapeutic and improves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sexual avoidance/distress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affected by dyspareunia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central sensitization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ovepress.com/etiology-diagnosis-and-clinical-management-of-vulvodynia-peer-reviewed-fulltext-article-IJWH" TargetMode="External"/><Relationship Id="rId10" Type="http://schemas.openxmlformats.org/officeDocument/2006/relationships/hyperlink" Target="https://en.wikipedia.org/wiki/Vulvodynia" TargetMode="External"/><Relationship Id="rId11" Type="http://schemas.openxmlformats.org/officeDocument/2006/relationships/hyperlink" Target="https://pubmed.ncbi.nlm.nih.gov/24083157/" TargetMode="External"/><Relationship Id="rId12" Type="http://schemas.openxmlformats.org/officeDocument/2006/relationships/hyperlink" Target="https://dermnetnz.org/topics/vulvodynia" TargetMode="External"/><Relationship Id="rId13" Type="http://schemas.openxmlformats.org/officeDocument/2006/relationships/hyperlink" Target="https://www.mayoclinic.org/diseases-conditions/vulvodynia/symptoms-causes/syc-20353423" TargetMode="External"/><Relationship Id="rId14" Type="http://schemas.openxmlformats.org/officeDocument/2006/relationships/hyperlink" Target="https://www.acog.org/womens-health/faqs/vulvody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