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Down Syndrome</w:t>
      </w:r>
    </w:p>
    <w:p>
      <w:pPr>
        <w:spacing w:before="0" w:after="160"/>
      </w:pPr>
      <w:r>
        <w:rPr>
          <w:rFonts w:ascii="Calibri" w:hAnsi="Calibri"/>
          <w:b/>
          <w:i w:val="0"/>
          <w:color w:val="212121"/>
          <w:sz w:val="22"/>
        </w:rPr>
        <w:t xml:space="preserve">AKA </w:t>
      </w:r>
      <w:r>
        <w:rPr>
          <w:rFonts w:ascii="Calibri" w:hAnsi="Calibri"/>
          <w:b w:val="0"/>
          <w:i w:val="0"/>
          <w:color w:val="212121"/>
          <w:sz w:val="22"/>
        </w:rPr>
        <w:t>i.e., Trisomy 21, Down's syndrome (DS), Constitutional trisomy of chromosome 21</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Down syndrome is a chromosomal disorder caused by the presence of a full or partial extra copy of chromosome 21 (trisomy 21) and is the most common genetic cause of intellectual disability. The gene-dosage excess produces a recognizable pattern of craniofacial features, generalized hypotonia and variable cognitive impairment, together with a markedly increased frequency of congenital heart disease, gastrointestinal malformations, endocrine, sensory, haematological and immune comorbidities. The chromosomal anomaly itself is not curable, but structured early intervention, surveillance and timely treatment of associated conditions substantially improve survival, function and quality of life.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Down syndrome occurs in roughly 1 in 800–1,000 live births — an estimated 23,000–30,000 affected births every year; the Union Health Ministry (2015) reported about 1 case per 1,000 live births nationally, compared with roughly 1 in 775–800 live births reported in Western countries.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Down syndrome is suspected antenatally through screening and confirmed by cytogenetic testing; postnatally it is suspected clinically and confirmed by karyotype: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first-trimester combined screening (11–13+6 weeks): nuchal translucency plus maternal serum PAPP-A and free β-hCG — detects about 82–87% of trisomy 21 pregnancies;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second-trimester quadruple test (15–22 weeks): AFP, unconjugated estriol, hCG and inhibin-A — detects about 81% (integrated first+second trimester screening reaches ~96%);</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non-invasive prenatal testing (cell-free fetal DNA in maternal plasma, from 10 weeks): detection rate &gt;99% for trisomy 21 with a false-positive rate of ~0.04% — a screening, not a diagnostic,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definitive prenatal diagnosis: chorionic villus sampling (10–13 weeks) or amniocentesis (≥15 weeks) with fetal karyotype, QF-PCR or FISH;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postnatal diagnosis: clinical recognition (hypotonia, characteristic facies, single transverse palmar crease) confirmed by peripheral-blood karyotype demonstrating trisomy 21; interphase FISH provides rapid provisional confirmation, and parental karyotyping is mandatory whenever a translocation is identified.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By the underlying cytogenetic mechanism, Down syndrome is classified into three principal types (plus one rare variant):</w:t>
      </w:r>
    </w:p>
    <w:p>
      <w:pPr>
        <w:spacing w:before="0" w:after="80"/>
      </w:pPr>
      <w:r>
        <w:rPr>
          <w:rFonts w:ascii="Calibri" w:hAnsi="Calibri"/>
          <w:b w:val="0"/>
          <w:i w:val="0"/>
          <w:color w:val="212121"/>
          <w:sz w:val="21"/>
        </w:rPr>
        <w:t>(1) Free (complete) trisomy 21 — about 95% of cases; meiotic nondisjunction, most often in maternal meiosis I, leaves an extra whole chromosome 21 in every cell (47,XX,+21 or 47,XY,+21); this form is strongly maternal-age dependent;</w:t>
      </w:r>
    </w:p>
    <w:p>
      <w:pPr>
        <w:spacing w:before="0" w:after="80"/>
      </w:pPr>
      <w:r>
        <w:rPr>
          <w:rFonts w:ascii="Calibri" w:hAnsi="Calibri"/>
          <w:b w:val="0"/>
          <w:i w:val="0"/>
          <w:color w:val="212121"/>
          <w:sz w:val="21"/>
        </w:rPr>
        <w:t>(2) Translocation Down syndrome — about 3–4% of cases; the extra chromosome 21 material is fused to another acrocentric chromosome, classically a Robertsonian t(14;21); a proportion is inherited from a phenotypically normal balanced-carrier parent, so parental karyotyping and genetic counselling are mandatory (recurrence approaches 100% when a parent carries a t(21;21));</w:t>
      </w:r>
    </w:p>
    <w:p>
      <w:pPr>
        <w:spacing w:before="0" w:after="80"/>
      </w:pPr>
      <w:r>
        <w:rPr>
          <w:rFonts w:ascii="Calibri" w:hAnsi="Calibri"/>
          <w:b w:val="0"/>
          <w:i w:val="0"/>
          <w:color w:val="212121"/>
          <w:sz w:val="21"/>
        </w:rPr>
        <w:t>(3) Mosaic trisomy 21 — about 1–2% of cases; a post-zygotic mitotic error produces a mixture of trisomic and euploid cell lines, often (but not always) with a milder and more variable phenotype; and</w:t>
      </w:r>
    </w:p>
    <w:p>
      <w:pPr>
        <w:spacing w:before="0" w:after="80"/>
      </w:pPr>
      <w:r>
        <w:rPr>
          <w:rFonts w:ascii="Calibri" w:hAnsi="Calibri"/>
          <w:b w:val="0"/>
          <w:i w:val="0"/>
          <w:color w:val="212121"/>
          <w:sz w:val="21"/>
        </w:rPr>
        <w:t>(4) Partial (segmental) trisomy 21 — rare; duplication confined to the distal 21q22 'Down syndrome critical region' reproduces much of the phenotype, underlining the gene-dosage mechanism of the disorder.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Meiotic nondisjunction: Failure of chromosome-21 separation, most often during maternal meiosis I, produces a disomic oocyte and a trisomic conceptus; this accounts for ~95% of cases. An estimated 50–75% of trisomy 21 conceptuses are lost before term.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Advanced maternal age: Age-related deterioration of oocyte spindle and cohesin function sharply increases nondisjunction — risk rises from about 1 in 2,000 at maternal age 20 to 1 in 350 at 35, 1 in 100 at 40 and 1 in 30 at 45.</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Robertsonian translocation: A balanced carrier parent (usually t(14;21)) can transmit an unbalanced complement; this hereditary mechanism is independent of maternal age and carries a high, counsellable recurrence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Post-zygotic mitotic error: Nondisjunction after fertilization creates mosaicism (trisomic plus normal cell lines) in 1–2% of cases.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Gene-dosage effect: Overexpression of chromosome-21 genes (APP, DYRK1A, RCAN1, SOD1, interferon-receptor cluster and GATA1-interacting loci) drives the neurodevelopmental, cardiac, immune, haematological and premature-ageing phenotype.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Recurrence factors: A previous trisomy 21 pregnancy, parental mosaicism or a parental translocation raise recurrence risk above the maternal-age baseline and warrant formal genetic counselling.</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 (maternal)</w:t>
            </w:r>
          </w:p>
        </w:tc>
        <w:tc>
          <w:tcPr>
            <w:tcW w:type="dxa" w:w="2160"/>
            <w:vAlign w:val="top"/>
          </w:tcPr>
          <w:p>
            <w:pPr>
              <w:spacing w:after="40" w:before="0" w:line="259" w:lineRule="auto"/>
            </w:pPr>
            <w:r>
              <w:rPr>
                <w:rFonts w:ascii="Calibri" w:hAnsi="Calibri"/>
                <w:b w:val="0"/>
                <w:i w:val="0"/>
                <w:color w:val="212121"/>
                <w:sz w:val="19"/>
              </w:rPr>
              <w:t>Pregnancies at maternal age ≥ 35 years</w:t>
            </w:r>
          </w:p>
        </w:tc>
        <w:tc>
          <w:tcPr>
            <w:tcW w:type="dxa" w:w="4276"/>
            <w:vAlign w:val="top"/>
          </w:tcPr>
          <w:p>
            <w:pPr>
              <w:spacing w:after="60" w:line="259" w:lineRule="auto"/>
            </w:pPr>
            <w:r>
              <w:rPr>
                <w:rFonts w:ascii="Calibri" w:hAnsi="Calibri"/>
                <w:b w:val="0"/>
                <w:i w:val="0"/>
                <w:color w:val="212121"/>
                <w:sz w:val="19"/>
              </w:rPr>
              <w:t>Ageing oocytes accumulate spindle and cohesin defects, so chromosome 21 fails to separate during meiosis; the trisomy risk therefore climbs steeply with maternal age and dominates all other risk factors.</w:t>
            </w:r>
          </w:p>
          <w:p>
            <w:pPr>
              <w:spacing w:after="40" w:before="60" w:line="259" w:lineRule="auto"/>
            </w:pPr>
            <w:r>
              <w:rPr>
                <w:rFonts w:ascii="Calibri" w:hAnsi="Calibri"/>
                <w:b w:val="0"/>
                <w:i w:val="0"/>
                <w:color w:val="212121"/>
                <w:sz w:val="19"/>
              </w:rPr>
              <w:t>Risk rises from about 1 in 2,000 at maternal age 20 to 1 in 350 at 35, 1 in 100 at 40 and 1 in 30 at 45.</w:t>
            </w:r>
          </w:p>
          <w:p>
            <w:pPr>
              <w:spacing w:after="40" w:line="252" w:lineRule="auto"/>
            </w:pPr>
            <w:hyperlink r:id="rId9">
              <w:r>
                <w:rPr>
                  <w:rFonts w:ascii="Calibri" w:hAnsi="Calibri" w:cs="Calibri"/>
                  <w:sz w:val="18"/>
                  <w:color w:val="1155CC"/>
                  <w:u w:val="single"/>
                </w:rPr>
                <w:t xml:space="preserve">ndss.org — about Down syndrome</w:t>
              </w:r>
            </w:hyperlink>
          </w:p>
          <w:p>
            <w:pPr>
              <w:spacing w:before="60" w:after="40"/>
            </w:pPr>
            <w:r>
              <w:rPr>
                <w:rFonts w:ascii="Calibri" w:hAnsi="Calibri"/>
                <w:b w:val="0"/>
                <w:i w:val="0"/>
                <w:color w:val="5A5A5A"/>
                <w:sz w:val="18"/>
              </w:rPr>
              <w:t>#advancedmaternalage  #nondisjunction  #oocyteageing  #antenatalscreening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Mothers younger than 35 years (population level)</w:t>
            </w:r>
          </w:p>
        </w:tc>
        <w:tc>
          <w:tcPr>
            <w:tcW w:type="dxa" w:w="4276"/>
            <w:vAlign w:val="top"/>
          </w:tcPr>
          <w:p>
            <w:pPr>
              <w:spacing w:after="60" w:line="259" w:lineRule="auto"/>
            </w:pPr>
            <w:r>
              <w:rPr>
                <w:rFonts w:ascii="Calibri" w:hAnsi="Calibri"/>
                <w:b w:val="0"/>
                <w:i w:val="0"/>
                <w:color w:val="212121"/>
                <w:sz w:val="19"/>
              </w:rPr>
              <w:t>Although the individual risk is lower, most affected babies are born to younger mothers simply because they contribute the great majority of all births — the rationale for offering aneuploidy screening in every pregnancy, not only after 35.</w:t>
            </w:r>
          </w:p>
          <w:p>
            <w:pPr>
              <w:spacing w:after="40" w:before="60" w:line="259" w:lineRule="auto"/>
            </w:pPr>
            <w:r>
              <w:rPr>
                <w:rFonts w:ascii="Calibri" w:hAnsi="Calibri"/>
                <w:b w:val="0"/>
                <w:i w:val="0"/>
                <w:color w:val="212121"/>
                <w:sz w:val="19"/>
              </w:rPr>
              <w:t>Most babies with Down syndrome are born to mothers under 35 years owing to the much higher number of births in this group.</w:t>
            </w:r>
          </w:p>
          <w:p>
            <w:pPr>
              <w:spacing w:after="40" w:line="252" w:lineRule="auto"/>
            </w:pPr>
            <w:hyperlink r:id="rId10">
              <w:r>
                <w:rPr>
                  <w:rFonts w:ascii="Calibri" w:hAnsi="Calibri" w:cs="Calibri"/>
                  <w:sz w:val="18"/>
                  <w:color w:val="1155CC"/>
                  <w:u w:val="single"/>
                </w:rPr>
                <w:t xml:space="preserve">cdc.gov — Down syndrome (birth defects)</w:t>
              </w:r>
            </w:hyperlink>
          </w:p>
          <w:p>
            <w:pPr>
              <w:spacing w:before="60" w:after="40"/>
            </w:pPr>
            <w:r>
              <w:rPr>
                <w:rFonts w:ascii="Calibri" w:hAnsi="Calibri"/>
                <w:b w:val="0"/>
                <w:i w:val="0"/>
                <w:color w:val="5A5A5A"/>
                <w:sz w:val="18"/>
              </w:rPr>
              <w:t>#universalscreening  #youngmothers  #aneuploidyscreening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infants</w:t>
            </w:r>
          </w:p>
        </w:tc>
        <w:tc>
          <w:tcPr>
            <w:tcW w:type="dxa" w:w="4276"/>
            <w:vAlign w:val="top"/>
          </w:tcPr>
          <w:p>
            <w:pPr>
              <w:spacing w:after="60" w:line="259" w:lineRule="auto"/>
            </w:pPr>
            <w:r>
              <w:rPr>
                <w:rFonts w:ascii="Calibri" w:hAnsi="Calibri"/>
                <w:b w:val="0"/>
                <w:i w:val="0"/>
                <w:color w:val="212121"/>
                <w:sz w:val="19"/>
              </w:rPr>
              <w:t>A modest male excess among live-born infants with Down syndrome is reported across series, possibly reflecting sex-differential intrauterine survival of trisomic conceptuses and paternally derived nondisjunction in a minority.</w:t>
            </w:r>
          </w:p>
          <w:p>
            <w:pPr>
              <w:spacing w:after="40" w:before="60" w:line="259" w:lineRule="auto"/>
            </w:pPr>
            <w:r>
              <w:rPr>
                <w:rFonts w:ascii="Calibri" w:hAnsi="Calibri"/>
                <w:b w:val="0"/>
                <w:i w:val="0"/>
                <w:color w:val="212121"/>
                <w:sz w:val="19"/>
              </w:rPr>
              <w:t>Male-to-female ratio of 1.68 (27 of 43 males) in a North Indian cytogenetic series of confirmed Down syndrome.</w:t>
            </w:r>
          </w:p>
          <w:p>
            <w:pPr>
              <w:spacing w:after="40" w:line="252" w:lineRule="auto"/>
            </w:pPr>
            <w:hyperlink r:id="rId11">
              <w:r>
                <w:rPr>
                  <w:rFonts w:ascii="Calibri" w:hAnsi="Calibri" w:cs="Calibri"/>
                  <w:sz w:val="18"/>
                  <w:color w:val="1155CC"/>
                  <w:u w:val="single"/>
                </w:rPr>
                <w:t xml:space="preserve">alliedacademies.org — DS cytogenetic study, North India</w:t>
              </w:r>
            </w:hyperlink>
          </w:p>
          <w:p>
            <w:pPr>
              <w:spacing w:before="60" w:after="40"/>
            </w:pPr>
            <w:r>
              <w:rPr>
                <w:rFonts w:ascii="Calibri" w:hAnsi="Calibri"/>
                <w:b w:val="0"/>
                <w:i w:val="0"/>
                <w:color w:val="5A5A5A"/>
                <w:sz w:val="18"/>
              </w:rPr>
              <w:t>#maleexcess  #cytogenetics  #karyotype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Families with late or no antenatal care</w:t>
            </w:r>
          </w:p>
        </w:tc>
        <w:tc>
          <w:tcPr>
            <w:tcW w:type="dxa" w:w="4276"/>
            <w:vAlign w:val="top"/>
          </w:tcPr>
          <w:p>
            <w:pPr>
              <w:spacing w:after="60" w:line="259" w:lineRule="auto"/>
            </w:pPr>
            <w:r>
              <w:rPr>
                <w:rFonts w:ascii="Calibri" w:hAnsi="Calibri"/>
                <w:b w:val="0"/>
                <w:i w:val="0"/>
                <w:color w:val="212121"/>
                <w:sz w:val="19"/>
              </w:rPr>
              <w:t>The screening windows (11–13+6 weeks combined test; 15–22 weeks quadruple test) are missed without early antenatal booking, so diagnosis shifts to birth and cardiac anomalies present late. In India, publicly funded newborn and child screening partially compensates.</w:t>
            </w:r>
          </w:p>
          <w:p>
            <w:pPr>
              <w:spacing w:after="40" w:before="60" w:line="259" w:lineRule="auto"/>
            </w:pPr>
            <w:r>
              <w:rPr>
                <w:rFonts w:ascii="Calibri" w:hAnsi="Calibri"/>
                <w:b w:val="0"/>
                <w:i w:val="0"/>
                <w:color w:val="212121"/>
                <w:sz w:val="19"/>
              </w:rPr>
              <w:t>Down syndrome is among the 30+ health conditions screened from birth to 18 years under India's Rashtriya Bal Swasthya Karyakram (RBSK).</w:t>
            </w:r>
          </w:p>
          <w:p>
            <w:pPr>
              <w:spacing w:after="40" w:line="252" w:lineRule="auto"/>
            </w:pPr>
            <w:hyperlink r:id="rId12">
              <w:r>
                <w:rPr>
                  <w:rFonts w:ascii="Calibri" w:hAnsi="Calibri" w:cs="Calibri"/>
                  <w:sz w:val="18"/>
                  <w:color w:val="1155CC"/>
                  <w:u w:val="single"/>
                </w:rPr>
                <w:t xml:space="preserve">tribuneindia.com — Govt of India DS data &amp; RBSK</w:t>
              </w:r>
            </w:hyperlink>
          </w:p>
          <w:p>
            <w:pPr>
              <w:spacing w:before="60" w:after="40"/>
            </w:pPr>
            <w:r>
              <w:rPr>
                <w:rFonts w:ascii="Calibri" w:hAnsi="Calibri"/>
                <w:b w:val="0"/>
                <w:i w:val="0"/>
                <w:color w:val="5A5A5A"/>
                <w:sz w:val="18"/>
              </w:rPr>
              <w:t>#antenatalcare  #RBSK  #latediagnosis  #healthaccess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Age (affected person)</w:t>
            </w:r>
          </w:p>
        </w:tc>
        <w:tc>
          <w:tcPr>
            <w:tcW w:type="dxa" w:w="2160"/>
            <w:vAlign w:val="top"/>
          </w:tcPr>
          <w:p>
            <w:pPr>
              <w:spacing w:after="40" w:before="0" w:line="259" w:lineRule="auto"/>
            </w:pPr>
            <w:r>
              <w:rPr>
                <w:rFonts w:ascii="Calibri" w:hAnsi="Calibri"/>
                <w:b w:val="0"/>
                <w:i w:val="0"/>
                <w:color w:val="212121"/>
                <w:sz w:val="19"/>
              </w:rPr>
              <w:t>Adults with Down syndrome aged 40+</w:t>
            </w:r>
          </w:p>
        </w:tc>
        <w:tc>
          <w:tcPr>
            <w:tcW w:type="dxa" w:w="4276"/>
            <w:vAlign w:val="top"/>
          </w:tcPr>
          <w:p>
            <w:pPr>
              <w:spacing w:after="60" w:line="259" w:lineRule="auto"/>
            </w:pPr>
            <w:r>
              <w:rPr>
                <w:rFonts w:ascii="Calibri" w:hAnsi="Calibri"/>
                <w:b w:val="0"/>
                <w:i w:val="0"/>
                <w:color w:val="212121"/>
                <w:sz w:val="19"/>
              </w:rPr>
              <w:t>Triplication of the amyloid precursor protein (APP) gene on chromosome 21 causes early amyloid deposition, and premature ageing accelerates functional decline — making the fifth and sixth decades the highest-risk window for dementia.</w:t>
            </w:r>
          </w:p>
          <w:p>
            <w:pPr>
              <w:spacing w:after="40" w:before="60" w:line="259" w:lineRule="auto"/>
            </w:pPr>
            <w:r>
              <w:rPr>
                <w:rFonts w:ascii="Calibri" w:hAnsi="Calibri"/>
                <w:b w:val="0"/>
                <w:i w:val="0"/>
                <w:color w:val="212121"/>
                <w:sz w:val="19"/>
              </w:rPr>
              <w:t>50–70% of individuals with Down syndrome develop early-onset Alzheimer-type dementia by age 60.</w:t>
            </w:r>
          </w:p>
          <w:p>
            <w:pPr>
              <w:spacing w:after="40" w:line="252" w:lineRule="auto"/>
            </w:pPr>
            <w:hyperlink r:id="rId13">
              <w:r>
                <w:rPr>
                  <w:rFonts w:ascii="Calibri" w:hAnsi="Calibri" w:cs="Calibri"/>
                  <w:sz w:val="18"/>
                  <w:color w:val="1155CC"/>
                  <w:u w:val="single"/>
                </w:rPr>
                <w:t xml:space="preserve">ncbi.nlm.nih.gov — StatPearls: Down Syndrome</w:t>
              </w:r>
            </w:hyperlink>
          </w:p>
          <w:p>
            <w:pPr>
              <w:spacing w:before="60" w:after="40"/>
            </w:pPr>
            <w:r>
              <w:rPr>
                <w:rFonts w:ascii="Calibri" w:hAnsi="Calibri"/>
                <w:b w:val="0"/>
                <w:i w:val="0"/>
                <w:color w:val="5A5A5A"/>
                <w:sz w:val="18"/>
              </w:rPr>
              <w:t>#earlyonsetdementia  #APP  #prematureageing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Indian newborns (pan-India, all communities)</w:t>
            </w:r>
          </w:p>
        </w:tc>
        <w:tc>
          <w:tcPr>
            <w:tcW w:type="dxa" w:w="4276"/>
            <w:vAlign w:val="top"/>
          </w:tcPr>
          <w:p>
            <w:pPr>
              <w:spacing w:after="60" w:line="259" w:lineRule="auto"/>
            </w:pPr>
            <w:r>
              <w:rPr>
                <w:rFonts w:ascii="Calibri" w:hAnsi="Calibri"/>
                <w:b w:val="0"/>
                <w:i w:val="0"/>
                <w:color w:val="212121"/>
                <w:sz w:val="19"/>
              </w:rPr>
              <w:t>Trisomy 21 occurs across all Indian regions, religions and ethnic groups; because India has one of the world's largest annual birth cohorts, it carries among the largest absolute numbers of children born with Down syndrome anywhere.</w:t>
            </w:r>
          </w:p>
          <w:p>
            <w:pPr>
              <w:spacing w:after="40" w:before="60" w:line="259" w:lineRule="auto"/>
            </w:pPr>
            <w:r>
              <w:rPr>
                <w:rFonts w:ascii="Calibri" w:hAnsi="Calibri"/>
                <w:b w:val="0"/>
                <w:i w:val="0"/>
                <w:color w:val="212121"/>
                <w:sz w:val="19"/>
              </w:rPr>
              <w:t>About 1 in 800–1,000 live births — roughly 30,000 affected births per year in India.</w:t>
            </w:r>
          </w:p>
          <w:p>
            <w:pPr>
              <w:spacing w:after="40" w:line="252" w:lineRule="auto"/>
            </w:pPr>
            <w:hyperlink r:id="rId14">
              <w:r>
                <w:rPr>
                  <w:rFonts w:ascii="Calibri" w:hAnsi="Calibri" w:cs="Calibri"/>
                  <w:sz w:val="18"/>
                  <w:color w:val="1155CC"/>
                  <w:u w:val="single"/>
                </w:rPr>
                <w:t xml:space="preserve">pib.gov.in — Down syndrome backgrounder (2018)</w:t>
              </w:r>
            </w:hyperlink>
          </w:p>
          <w:p>
            <w:pPr>
              <w:spacing w:before="60" w:after="40"/>
            </w:pPr>
            <w:r>
              <w:rPr>
                <w:rFonts w:ascii="Calibri" w:hAnsi="Calibri"/>
                <w:b w:val="0"/>
                <w:i w:val="0"/>
                <w:color w:val="5A5A5A"/>
                <w:sz w:val="18"/>
              </w:rPr>
              <w:t>#India  #birthprevalence  #everycommunity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(urban)</w:t>
            </w:r>
          </w:p>
        </w:tc>
        <w:tc>
          <w:tcPr>
            <w:tcW w:type="dxa" w:w="2160"/>
            <w:vAlign w:val="top"/>
          </w:tcPr>
          <w:p>
            <w:pPr>
              <w:spacing w:after="40" w:before="0" w:line="259" w:lineRule="auto"/>
            </w:pPr>
            <w:r>
              <w:rPr>
                <w:rFonts w:ascii="Calibri" w:hAnsi="Calibri"/>
                <w:b w:val="0"/>
                <w:i w:val="0"/>
                <w:color w:val="212121"/>
                <w:sz w:val="19"/>
              </w:rPr>
              <w:t>Metropolitan populations with delayed childbearing</w:t>
            </w:r>
          </w:p>
        </w:tc>
        <w:tc>
          <w:tcPr>
            <w:tcW w:type="dxa" w:w="4276"/>
            <w:vAlign w:val="top"/>
          </w:tcPr>
          <w:p>
            <w:pPr>
              <w:spacing w:after="60" w:line="259" w:lineRule="auto"/>
            </w:pPr>
            <w:r>
              <w:rPr>
                <w:rFonts w:ascii="Calibri" w:hAnsi="Calibri"/>
                <w:b w:val="0"/>
                <w:i w:val="0"/>
                <w:color w:val="212121"/>
                <w:sz w:val="19"/>
              </w:rPr>
              <w:t>The urban Indian trend toward later marriage and later first pregnancy shifts more births into the high-risk maternal-age band; historically earlier marriage has been cited for India's lower reported birth prevalence relative to the West.</w:t>
            </w:r>
          </w:p>
          <w:p>
            <w:pPr>
              <w:spacing w:after="40" w:before="60" w:line="259" w:lineRule="auto"/>
            </w:pPr>
            <w:r>
              <w:rPr>
                <w:rFonts w:ascii="Calibri" w:hAnsi="Calibri"/>
                <w:b w:val="0"/>
                <w:i w:val="0"/>
                <w:color w:val="212121"/>
                <w:sz w:val="19"/>
              </w:rPr>
              <w:t>Union Health Ministry (2015): about 1 per 1,000 live births in India versus about 1 in 800 in Western countries, attributed to earlier age at marriage in India.</w:t>
            </w:r>
          </w:p>
          <w:p>
            <w:pPr>
              <w:spacing w:after="40" w:line="252" w:lineRule="auto"/>
            </w:pPr>
            <w:hyperlink r:id="rId12">
              <w:r>
                <w:rPr>
                  <w:rFonts w:ascii="Calibri" w:hAnsi="Calibri" w:cs="Calibri"/>
                  <w:sz w:val="18"/>
                  <w:color w:val="1155CC"/>
                  <w:u w:val="single"/>
                </w:rPr>
                <w:t xml:space="preserve">tribuneindia.com — DS prevalence, Govt of India</w:t>
              </w:r>
            </w:hyperlink>
          </w:p>
          <w:p>
            <w:pPr>
              <w:spacing w:before="60" w:after="40"/>
            </w:pPr>
            <w:r>
              <w:rPr>
                <w:rFonts w:ascii="Calibri" w:hAnsi="Calibri"/>
                <w:b w:val="0"/>
                <w:i w:val="0"/>
                <w:color w:val="5A5A5A"/>
                <w:sz w:val="18"/>
              </w:rPr>
              <w:t>#urbanfertility  #delayedchildbearing  #maternalage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Children and adults with DS with low habitual activity</w:t>
            </w:r>
          </w:p>
        </w:tc>
        <w:tc>
          <w:tcPr>
            <w:tcW w:type="dxa" w:w="4276"/>
            <w:vAlign w:val="top"/>
          </w:tcPr>
          <w:p>
            <w:pPr>
              <w:spacing w:after="60" w:line="259" w:lineRule="auto"/>
            </w:pPr>
            <w:r>
              <w:rPr>
                <w:rFonts w:ascii="Calibri" w:hAnsi="Calibri"/>
                <w:b w:val="0"/>
                <w:i w:val="0"/>
                <w:color w:val="212121"/>
                <w:sz w:val="19"/>
              </w:rPr>
              <w:t>Hypotonia, low aerobic capacity, joint laxity and fewer participation opportunities make individuals with Down syndrome markedly less active than peers; inactivity then compounds obesity, poor balance and early functional decline.</w:t>
            </w:r>
          </w:p>
          <w:p>
            <w:pPr>
              <w:spacing w:after="40" w:before="60" w:line="259" w:lineRule="auto"/>
            </w:pPr>
            <w:r>
              <w:rPr>
                <w:rFonts w:ascii="Calibri" w:hAnsi="Calibri"/>
                <w:b w:val="0"/>
                <w:i w:val="0"/>
                <w:color w:val="212121"/>
                <w:sz w:val="19"/>
              </w:rPr>
              <w:t>Structured exercise significantly improves dynamic balance in children with DS (SMD 1.45; meta-analysis of 8 RCTs, 260 children, including Indian trials).</w:t>
            </w:r>
          </w:p>
          <w:p>
            <w:pPr>
              <w:spacing w:after="40" w:line="252" w:lineRule="auto"/>
            </w:pPr>
            <w:hyperlink r:id="rId15">
              <w:r>
                <w:rPr>
                  <w:rFonts w:ascii="Calibri" w:hAnsi="Calibri" w:cs="Calibri"/>
                  <w:sz w:val="18"/>
                  <w:color w:val="1155CC"/>
                  <w:u w:val="single"/>
                </w:rPr>
                <w:t xml:space="preserve">BMC Sports Sci Med Rehabil — exercise &amp; balance in DS</w:t>
              </w:r>
            </w:hyperlink>
          </w:p>
          <w:p>
            <w:pPr>
              <w:spacing w:before="60" w:after="40"/>
            </w:pPr>
            <w:r>
              <w:rPr>
                <w:rFonts w:ascii="Calibri" w:hAnsi="Calibri"/>
                <w:b w:val="0"/>
                <w:i w:val="0"/>
                <w:color w:val="5A5A5A"/>
                <w:sz w:val="18"/>
              </w:rPr>
              <w:t>#hypotonia  #obesityrisk  #exercisetherapy  #balance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practice</w:t>
            </w:r>
          </w:p>
        </w:tc>
        <w:tc>
          <w:tcPr>
            <w:tcW w:type="dxa" w:w="2160"/>
            <w:vAlign w:val="top"/>
          </w:tcPr>
          <w:p>
            <w:pPr>
              <w:spacing w:after="40" w:before="0" w:line="259" w:lineRule="auto"/>
            </w:pPr>
            <w:r>
              <w:rPr>
                <w:rFonts w:ascii="Calibri" w:hAnsi="Calibri"/>
                <w:b w:val="0"/>
                <w:i w:val="0"/>
                <w:color w:val="212121"/>
                <w:sz w:val="19"/>
              </w:rPr>
              <w:t>Individuals with poor oral-hygiene support</w:t>
            </w:r>
          </w:p>
        </w:tc>
        <w:tc>
          <w:tcPr>
            <w:tcW w:type="dxa" w:w="4276"/>
            <w:vAlign w:val="top"/>
          </w:tcPr>
          <w:p>
            <w:pPr>
              <w:spacing w:after="60" w:line="259" w:lineRule="auto"/>
            </w:pPr>
            <w:r>
              <w:rPr>
                <w:rFonts w:ascii="Calibri" w:hAnsi="Calibri"/>
                <w:b w:val="0"/>
                <w:i w:val="0"/>
                <w:color w:val="212121"/>
                <w:sz w:val="19"/>
              </w:rPr>
              <w:t>Immune dysfunction, altered oral anatomy and dependence on caregivers for brushing allow unusually early and aggressive periodontal breakdown when daily oral care and professional cleaning lapse.</w:t>
            </w:r>
          </w:p>
          <w:p>
            <w:pPr>
              <w:spacing w:after="40" w:before="60" w:line="259" w:lineRule="auto"/>
            </w:pPr>
            <w:r>
              <w:rPr>
                <w:rFonts w:ascii="Calibri" w:hAnsi="Calibri"/>
                <w:b w:val="0"/>
                <w:i w:val="0"/>
                <w:color w:val="212121"/>
                <w:sz w:val="19"/>
              </w:rPr>
              <w:t>Periodontal disease affects 90–96% of adults with Down syndrome, typically beginning in the mid-to-late teens.</w:t>
            </w:r>
          </w:p>
          <w:p>
            <w:pPr>
              <w:spacing w:after="40" w:line="252" w:lineRule="auto"/>
            </w:pPr>
            <w:hyperlink r:id="rId16">
              <w:r>
                <w:rPr>
                  <w:rFonts w:ascii="Calibri" w:hAnsi="Calibri" w:cs="Calibri"/>
                  <w:sz w:val="18"/>
                  <w:color w:val="1155CC"/>
                  <w:u w:val="single"/>
                </w:rPr>
                <w:t xml:space="preserve">down-syndrome.org — dental care in DS</w:t>
              </w:r>
            </w:hyperlink>
          </w:p>
          <w:p>
            <w:pPr>
              <w:spacing w:before="60" w:after="40"/>
            </w:pPr>
            <w:r>
              <w:rPr>
                <w:rFonts w:ascii="Calibri" w:hAnsi="Calibri"/>
                <w:b w:val="0"/>
                <w:i w:val="0"/>
                <w:color w:val="5A5A5A"/>
                <w:sz w:val="18"/>
              </w:rPr>
              <w:t>#periodontitis  #oralhygiene  #caregiverdependence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(passive)</w:t>
            </w:r>
          </w:p>
        </w:tc>
        <w:tc>
          <w:tcPr>
            <w:tcW w:type="dxa" w:w="2160"/>
            <w:vAlign w:val="top"/>
          </w:tcPr>
          <w:p>
            <w:pPr>
              <w:spacing w:after="40" w:before="0" w:line="259" w:lineRule="auto"/>
            </w:pPr>
            <w:r>
              <w:rPr>
                <w:rFonts w:ascii="Calibri" w:hAnsi="Calibri"/>
                <w:b w:val="0"/>
                <w:i w:val="0"/>
                <w:color w:val="212121"/>
                <w:sz w:val="19"/>
              </w:rPr>
              <w:t>Children with DS in households with tobacco smoke</w:t>
            </w:r>
          </w:p>
        </w:tc>
        <w:tc>
          <w:tcPr>
            <w:tcW w:type="dxa" w:w="4276"/>
            <w:vAlign w:val="top"/>
          </w:tcPr>
          <w:p>
            <w:pPr>
              <w:spacing w:after="60" w:line="259" w:lineRule="auto"/>
            </w:pPr>
            <w:r>
              <w:rPr>
                <w:rFonts w:ascii="Calibri" w:hAnsi="Calibri"/>
                <w:b w:val="0"/>
                <w:i w:val="0"/>
                <w:color w:val="212121"/>
                <w:sz w:val="19"/>
              </w:rPr>
              <w:t>Second-hand smoke is an avoidable aggravator of the already high burden of lower-respiratory infection, chronic rhinitis and otitis media with effusion that follows the immune dysfunction and small-airway anatomy of Down syndrome.</w:t>
            </w:r>
          </w:p>
          <w:p>
            <w:pPr>
              <w:spacing w:after="40" w:before="60" w:line="259" w:lineRule="auto"/>
            </w:pPr>
            <w:r>
              <w:rPr>
                <w:rFonts w:ascii="Calibri" w:hAnsi="Calibri"/>
                <w:b w:val="0"/>
                <w:i w:val="0"/>
                <w:color w:val="212121"/>
                <w:sz w:val="19"/>
              </w:rPr>
              <w:t>Second-hand smoke exposure adds to the leading causes of hospitalization in children with DS — respiratory infections and middle-ear disease.</w:t>
            </w:r>
          </w:p>
          <w:p>
            <w:pPr>
              <w:spacing w:before="60" w:after="40"/>
            </w:pPr>
            <w:r>
              <w:rPr>
                <w:rFonts w:ascii="Calibri" w:hAnsi="Calibri"/>
                <w:b w:val="0"/>
                <w:i w:val="0"/>
                <w:color w:val="5A5A5A"/>
                <w:sz w:val="18"/>
              </w:rPr>
              <w:t>#passivesmoking  #respiratoryinfections  #otitismedia  #smokefreehome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Feeding practice</w:t>
            </w:r>
          </w:p>
        </w:tc>
        <w:tc>
          <w:tcPr>
            <w:tcW w:type="dxa" w:w="2160"/>
            <w:vAlign w:val="top"/>
          </w:tcPr>
          <w:p>
            <w:pPr>
              <w:spacing w:after="40" w:before="0" w:line="259" w:lineRule="auto"/>
            </w:pPr>
            <w:r>
              <w:rPr>
                <w:rFonts w:ascii="Calibri" w:hAnsi="Calibri"/>
                <w:b w:val="0"/>
                <w:i w:val="0"/>
                <w:color w:val="212121"/>
                <w:sz w:val="19"/>
              </w:rPr>
              <w:t>Infants with hypotonia-related feeding difficulty</w:t>
            </w:r>
          </w:p>
        </w:tc>
        <w:tc>
          <w:tcPr>
            <w:tcW w:type="dxa" w:w="4276"/>
            <w:vAlign w:val="top"/>
          </w:tcPr>
          <w:p>
            <w:pPr>
              <w:spacing w:after="60" w:line="259" w:lineRule="auto"/>
            </w:pPr>
            <w:r>
              <w:rPr>
                <w:rFonts w:ascii="Calibri" w:hAnsi="Calibri"/>
                <w:b w:val="0"/>
                <w:i w:val="0"/>
                <w:color w:val="212121"/>
                <w:sz w:val="19"/>
              </w:rPr>
              <w:t>Weak suck, poor latch, oromotor dysfunction and fatigue during feeds (worse with congenital heart disease) lead to undernutrition, aspiration risk and prolonged transition to solids in infancy.</w:t>
            </w:r>
          </w:p>
          <w:p>
            <w:pPr>
              <w:spacing w:after="40" w:before="60" w:line="259" w:lineRule="auto"/>
            </w:pPr>
            <w:r>
              <w:rPr>
                <w:rFonts w:ascii="Calibri" w:hAnsi="Calibri"/>
                <w:b w:val="0"/>
                <w:i w:val="0"/>
                <w:color w:val="212121"/>
                <w:sz w:val="19"/>
              </w:rPr>
              <w:t>Feeding difficulties are reported in 31–80% of children with Down syndrome.</w:t>
            </w:r>
          </w:p>
          <w:p>
            <w:pPr>
              <w:spacing w:after="40" w:line="252" w:lineRule="auto"/>
            </w:pPr>
            <w:hyperlink r:id="rId17">
              <w:r>
                <w:rPr>
                  <w:rFonts w:ascii="Calibri" w:hAnsi="Calibri" w:cs="Calibri"/>
                  <w:sz w:val="18"/>
                  <w:color w:val="1155CC"/>
                  <w:u w:val="single"/>
                </w:rPr>
                <w:t xml:space="preserve">AAP 2022 — health supervision for children with DS</w:t>
              </w:r>
            </w:hyperlink>
          </w:p>
          <w:p>
            <w:pPr>
              <w:spacing w:before="60" w:after="40"/>
            </w:pPr>
            <w:r>
              <w:rPr>
                <w:rFonts w:ascii="Calibri" w:hAnsi="Calibri"/>
                <w:b w:val="0"/>
                <w:i w:val="0"/>
                <w:color w:val="5A5A5A"/>
                <w:sz w:val="18"/>
              </w:rPr>
              <w:t>#feedingdifficulty  #oromotor  #breastfeedingsupport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Consumers of energy-dense, low-fibre diets</w:t>
            </w:r>
          </w:p>
        </w:tc>
        <w:tc>
          <w:tcPr>
            <w:tcW w:type="dxa" w:w="4276"/>
            <w:vAlign w:val="top"/>
          </w:tcPr>
          <w:p>
            <w:pPr>
              <w:spacing w:after="60" w:line="259" w:lineRule="auto"/>
            </w:pPr>
            <w:r>
              <w:rPr>
                <w:rFonts w:ascii="Calibri" w:hAnsi="Calibri"/>
                <w:b w:val="0"/>
                <w:i w:val="0"/>
                <w:color w:val="212121"/>
                <w:sz w:val="19"/>
              </w:rPr>
              <w:t>Lower resting energy expenditure, hypothyroidism and hypotonia mean calorie-dense snacks and sugary drinks readily produce obesity, while low fibre plus gut hypomotility drives chronic constipation.</w:t>
            </w:r>
          </w:p>
          <w:p>
            <w:pPr>
              <w:spacing w:after="40" w:before="60" w:line="259" w:lineRule="auto"/>
            </w:pPr>
            <w:r>
              <w:rPr>
                <w:rFonts w:ascii="Calibri" w:hAnsi="Calibri"/>
                <w:b w:val="0"/>
                <w:i w:val="0"/>
                <w:color w:val="212121"/>
                <w:sz w:val="19"/>
              </w:rPr>
              <w:t>Excess weight gain typically emerges from late childhood in DS and compounds obstructive sleep apnea and low fitness.</w:t>
            </w:r>
          </w:p>
          <w:p>
            <w:pPr>
              <w:spacing w:before="60" w:after="40"/>
            </w:pPr>
            <w:r>
              <w:rPr>
                <w:rFonts w:ascii="Calibri" w:hAnsi="Calibri"/>
                <w:b w:val="0"/>
                <w:i w:val="0"/>
                <w:color w:val="5A5A5A"/>
                <w:sz w:val="18"/>
              </w:rPr>
              <w:t>#obesity  #constipation  #fibre  #portioncontrol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Gluten exposure</w:t>
            </w:r>
          </w:p>
        </w:tc>
        <w:tc>
          <w:tcPr>
            <w:tcW w:type="dxa" w:w="2160"/>
            <w:vAlign w:val="top"/>
          </w:tcPr>
          <w:p>
            <w:pPr>
              <w:spacing w:after="40" w:before="0" w:line="259" w:lineRule="auto"/>
            </w:pPr>
            <w:r>
              <w:rPr>
                <w:rFonts w:ascii="Calibri" w:hAnsi="Calibri"/>
                <w:b w:val="0"/>
                <w:i w:val="0"/>
                <w:color w:val="212121"/>
                <w:sz w:val="19"/>
              </w:rPr>
              <w:t>Gluten-consuming children with DS</w:t>
            </w:r>
          </w:p>
        </w:tc>
        <w:tc>
          <w:tcPr>
            <w:tcW w:type="dxa" w:w="4276"/>
            <w:vAlign w:val="top"/>
          </w:tcPr>
          <w:p>
            <w:pPr>
              <w:spacing w:after="60" w:line="259" w:lineRule="auto"/>
            </w:pPr>
            <w:r>
              <w:rPr>
                <w:rFonts w:ascii="Calibri" w:hAnsi="Calibri"/>
                <w:b w:val="0"/>
                <w:i w:val="0"/>
                <w:color w:val="212121"/>
                <w:sz w:val="19"/>
              </w:rPr>
              <w:t>The autoimmune predisposition of trisomy 21 includes celiac disease, which may present atypically (constipation, behaviour change, poor growth) rather than with classical diarrhoea — so dietary history plus serological screening is essential.</w:t>
            </w:r>
          </w:p>
          <w:p>
            <w:pPr>
              <w:spacing w:after="40" w:before="60" w:line="259" w:lineRule="auto"/>
            </w:pPr>
            <w:r>
              <w:rPr>
                <w:rFonts w:ascii="Calibri" w:hAnsi="Calibri"/>
                <w:b w:val="0"/>
                <w:i w:val="0"/>
                <w:color w:val="212121"/>
                <w:sz w:val="19"/>
              </w:rPr>
              <w:t>Celiac disease occurs in 1–5% of children with Down syndrome.</w:t>
            </w:r>
          </w:p>
          <w:p>
            <w:pPr>
              <w:spacing w:after="40" w:line="252" w:lineRule="auto"/>
            </w:pPr>
            <w:hyperlink r:id="rId17">
              <w:r>
                <w:rPr>
                  <w:rFonts w:ascii="Calibri" w:hAnsi="Calibri" w:cs="Calibri"/>
                  <w:sz w:val="18"/>
                  <w:color w:val="1155CC"/>
                  <w:u w:val="single"/>
                </w:rPr>
                <w:t xml:space="preserve">AAP 2022 — co-occurring conditions in DS</w:t>
              </w:r>
            </w:hyperlink>
          </w:p>
          <w:p>
            <w:pPr>
              <w:spacing w:before="60" w:after="40"/>
            </w:pPr>
            <w:r>
              <w:rPr>
                <w:rFonts w:ascii="Calibri" w:hAnsi="Calibri"/>
                <w:b w:val="0"/>
                <w:i w:val="0"/>
                <w:color w:val="5A5A5A"/>
                <w:sz w:val="18"/>
              </w:rPr>
              <w:t>#celiacdisease  #glutenfree  #autoimmunity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Merge w:val="restart"/>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Balanced Robertsonian translocation carrier parents</w:t>
            </w:r>
          </w:p>
        </w:tc>
        <w:tc>
          <w:tcPr>
            <w:tcW w:type="dxa" w:w="4276"/>
            <w:vAlign w:val="top"/>
          </w:tcPr>
          <w:p>
            <w:pPr>
              <w:spacing w:after="60" w:line="259" w:lineRule="auto"/>
            </w:pPr>
            <w:r>
              <w:rPr>
                <w:rFonts w:ascii="Calibri" w:hAnsi="Calibri"/>
                <w:b w:val="0"/>
                <w:i w:val="0"/>
                <w:color w:val="212121"/>
                <w:sz w:val="19"/>
              </w:rPr>
              <w:t>A phenotypically normal parent carrying a balanced t(14;21) or t(21;21) can repeatedly transmit an unbalanced complement; recurrence is age-independent and approaches 100% for t(21;21) carriers, making parental karyotyping and counselling mandatory.</w:t>
            </w:r>
          </w:p>
          <w:p>
            <w:pPr>
              <w:spacing w:after="40" w:before="60" w:line="259" w:lineRule="auto"/>
            </w:pPr>
            <w:r>
              <w:rPr>
                <w:rFonts w:ascii="Calibri" w:hAnsi="Calibri"/>
                <w:b w:val="0"/>
                <w:i w:val="0"/>
                <w:color w:val="212121"/>
                <w:sz w:val="19"/>
              </w:rPr>
              <w:t>Robertsonian translocations account for 3–4% of Down syndrome, primarily involving chromosomes 14 and 21.</w:t>
            </w:r>
          </w:p>
          <w:p>
            <w:pPr>
              <w:spacing w:after="40" w:line="252" w:lineRule="auto"/>
            </w:pPr>
            <w:hyperlink r:id="rId13">
              <w:r>
                <w:rPr>
                  <w:rFonts w:ascii="Calibri" w:hAnsi="Calibri" w:cs="Calibri"/>
                  <w:sz w:val="18"/>
                  <w:color w:val="1155CC"/>
                  <w:u w:val="single"/>
                </w:rPr>
                <w:t xml:space="preserve">ncbi.nlm.nih.gov — StatPearls: Down Syndrome</w:t>
              </w:r>
            </w:hyperlink>
          </w:p>
          <w:p>
            <w:pPr>
              <w:spacing w:before="60" w:after="40"/>
            </w:pPr>
            <w:r>
              <w:rPr>
                <w:rFonts w:ascii="Calibri" w:hAnsi="Calibri"/>
                <w:b w:val="0"/>
                <w:i w:val="0"/>
                <w:color w:val="5A5A5A"/>
                <w:sz w:val="18"/>
              </w:rPr>
              <w:t>#translocation  #geneticcounselling  #carrierparent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Couples with a previous trisomy 21 pregnancy</w:t>
            </w:r>
          </w:p>
        </w:tc>
        <w:tc>
          <w:tcPr>
            <w:tcW w:type="dxa" w:w="4276"/>
            <w:vAlign w:val="top"/>
          </w:tcPr>
          <w:p>
            <w:pPr>
              <w:spacing w:after="60" w:line="259" w:lineRule="auto"/>
            </w:pPr>
            <w:r>
              <w:rPr>
                <w:rFonts w:ascii="Calibri" w:hAnsi="Calibri"/>
                <w:b w:val="0"/>
                <w:i w:val="0"/>
                <w:color w:val="212121"/>
                <w:sz w:val="19"/>
              </w:rPr>
              <w:t>After one child with free trisomy 21, recurrence risk is around 1% or the maternal age-related risk, whichever is higher — and substantially more if parental mosaicism or a translocation is present; such couples merit pre-conception counselling and early definitive prenatal testing.</w:t>
            </w:r>
          </w:p>
          <w:p>
            <w:pPr>
              <w:spacing w:after="40" w:before="60" w:line="259" w:lineRule="auto"/>
            </w:pPr>
            <w:r>
              <w:rPr>
                <w:rFonts w:ascii="Calibri" w:hAnsi="Calibri"/>
                <w:b w:val="0"/>
                <w:i w:val="0"/>
                <w:color w:val="212121"/>
                <w:sz w:val="19"/>
              </w:rPr>
              <w:t>Recurrence risk after a free-trisomy 21 pregnancy is conventionally quoted at ~1% plus the age-related background risk.</w:t>
            </w:r>
          </w:p>
          <w:p>
            <w:pPr>
              <w:spacing w:before="60" w:after="40"/>
            </w:pPr>
            <w:r>
              <w:rPr>
                <w:rFonts w:ascii="Calibri" w:hAnsi="Calibri"/>
                <w:b w:val="0"/>
                <w:i w:val="0"/>
                <w:color w:val="5A5A5A"/>
                <w:sz w:val="18"/>
              </w:rPr>
              <w:t>#recurrencerisk  #preconceptioncounselling  #prenataldiagnosis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Congenital heart disease</w:t>
            </w:r>
          </w:p>
        </w:tc>
        <w:tc>
          <w:tcPr>
            <w:tcW w:type="dxa" w:w="2160"/>
            <w:vAlign w:val="top"/>
          </w:tcPr>
          <w:p>
            <w:pPr>
              <w:spacing w:after="40" w:before="0" w:line="259" w:lineRule="auto"/>
            </w:pPr>
            <w:r>
              <w:rPr>
                <w:rFonts w:ascii="Calibri" w:hAnsi="Calibri"/>
                <w:b w:val="0"/>
                <w:i w:val="0"/>
                <w:color w:val="212121"/>
                <w:sz w:val="19"/>
              </w:rPr>
              <w:t>Infants with DS and structural heart defects</w:t>
            </w:r>
          </w:p>
        </w:tc>
        <w:tc>
          <w:tcPr>
            <w:tcW w:type="dxa" w:w="4276"/>
            <w:vAlign w:val="top"/>
          </w:tcPr>
          <w:p>
            <w:pPr>
              <w:spacing w:after="60" w:line="259" w:lineRule="auto"/>
            </w:pPr>
            <w:r>
              <w:rPr>
                <w:rFonts w:ascii="Calibri" w:hAnsi="Calibri"/>
                <w:b w:val="0"/>
                <w:i w:val="0"/>
                <w:color w:val="212121"/>
                <w:sz w:val="19"/>
              </w:rPr>
              <w:t>Gene-dosage disruption of endocardial cushion development produces septal defects that dominate early mortality; every newborn with DS therefore needs echocardiography irrespective of auscultation findings.</w:t>
            </w:r>
          </w:p>
          <w:p>
            <w:pPr>
              <w:spacing w:after="40" w:before="60" w:line="259" w:lineRule="auto"/>
            </w:pPr>
            <w:r>
              <w:rPr>
                <w:rFonts w:ascii="Calibri" w:hAnsi="Calibri"/>
                <w:b w:val="0"/>
                <w:i w:val="0"/>
                <w:color w:val="212121"/>
                <w:sz w:val="19"/>
              </w:rPr>
              <w:t>50% of Indian children with DS (SGPGIMS Lucknow/PGIMER Chandigarh series, n=60) had congenital heart disease; AVSD constituted 50% of the defects, VSD 26.6%.</w:t>
            </w:r>
          </w:p>
          <w:p>
            <w:pPr>
              <w:spacing w:after="40" w:line="252" w:lineRule="auto"/>
            </w:pPr>
            <w:hyperlink r:id="rId18">
              <w:r>
                <w:rPr>
                  <w:rFonts w:ascii="Calibri" w:hAnsi="Calibri" w:cs="Calibri"/>
                  <w:sz w:val="18"/>
                  <w:color w:val="1155CC"/>
                  <w:u w:val="single"/>
                </w:rPr>
                <w:t xml:space="preserve">Austin J Genet Genomic Res — CHD in Indian children with DS</w:t>
              </w:r>
            </w:hyperlink>
          </w:p>
          <w:p>
            <w:pPr>
              <w:spacing w:before="60" w:after="40"/>
            </w:pPr>
            <w:r>
              <w:rPr>
                <w:rFonts w:ascii="Calibri" w:hAnsi="Calibri"/>
                <w:b w:val="0"/>
                <w:i w:val="0"/>
                <w:color w:val="5A5A5A"/>
                <w:sz w:val="18"/>
              </w:rPr>
              <w:t>#AVSD  #VSD  #echocardiography  #endocardialcushion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Children with DS and thyroid dysfunction</w:t>
            </w:r>
          </w:p>
        </w:tc>
        <w:tc>
          <w:tcPr>
            <w:tcW w:type="dxa" w:w="4276"/>
            <w:vAlign w:val="top"/>
          </w:tcPr>
          <w:p>
            <w:pPr>
              <w:spacing w:after="60" w:line="259" w:lineRule="auto"/>
            </w:pPr>
            <w:r>
              <w:rPr>
                <w:rFonts w:ascii="Calibri" w:hAnsi="Calibri"/>
                <w:b w:val="0"/>
                <w:i w:val="0"/>
                <w:color w:val="212121"/>
                <w:sz w:val="19"/>
              </w:rPr>
              <w:t>Thyroid dysgenesis and autoimmune thyroiditis are both over-represented; untreated hypothyroidism mimics and magnifies the developmental delay, constipation, weight gain and lethargy of the syndrome itself, so periodic TSH screening is mandatory.</w:t>
            </w:r>
          </w:p>
          <w:p>
            <w:pPr>
              <w:spacing w:after="40" w:before="60" w:line="259" w:lineRule="auto"/>
            </w:pPr>
            <w:r>
              <w:rPr>
                <w:rFonts w:ascii="Calibri" w:hAnsi="Calibri"/>
                <w:b w:val="0"/>
                <w:i w:val="0"/>
                <w:color w:val="212121"/>
                <w:sz w:val="19"/>
              </w:rPr>
              <w:t>Thyroid dysfunction is reported in up to 54% of children with DS, with subclinical hypothyroidism the most common pattern.</w:t>
            </w:r>
          </w:p>
          <w:p>
            <w:pPr>
              <w:spacing w:after="40" w:line="252" w:lineRule="auto"/>
            </w:pPr>
            <w:hyperlink r:id="rId19">
              <w:r>
                <w:rPr>
                  <w:rFonts w:ascii="Calibri" w:hAnsi="Calibri" w:cs="Calibri"/>
                  <w:sz w:val="18"/>
                  <w:color w:val="1155CC"/>
                  <w:u w:val="single"/>
                </w:rPr>
                <w:t xml:space="preserve">Frontiers in Endocrinology — thyroid dysfunction in DS</w:t>
              </w:r>
            </w:hyperlink>
          </w:p>
          <w:p>
            <w:pPr>
              <w:spacing w:before="60" w:after="40"/>
            </w:pPr>
            <w:r>
              <w:rPr>
                <w:rFonts w:ascii="Calibri" w:hAnsi="Calibri"/>
                <w:b w:val="0"/>
                <w:i w:val="0"/>
                <w:color w:val="5A5A5A"/>
                <w:sz w:val="18"/>
              </w:rPr>
              <w:t>#hypothyroidism  #TSHscreening  #subclinicalhypothyroidism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apnea</w:t>
            </w:r>
          </w:p>
        </w:tc>
        <w:tc>
          <w:tcPr>
            <w:tcW w:type="dxa" w:w="2160"/>
            <w:vAlign w:val="top"/>
          </w:tcPr>
          <w:p>
            <w:pPr>
              <w:spacing w:after="40" w:before="0" w:line="259" w:lineRule="auto"/>
            </w:pPr>
            <w:r>
              <w:rPr>
                <w:rFonts w:ascii="Calibri" w:hAnsi="Calibri"/>
                <w:b w:val="0"/>
                <w:i w:val="0"/>
                <w:color w:val="212121"/>
                <w:sz w:val="19"/>
              </w:rPr>
              <w:t>Children with adenotonsillar hypertrophy or obesity</w:t>
            </w:r>
          </w:p>
        </w:tc>
        <w:tc>
          <w:tcPr>
            <w:tcW w:type="dxa" w:w="4276"/>
            <w:vAlign w:val="top"/>
          </w:tcPr>
          <w:p>
            <w:pPr>
              <w:spacing w:after="60" w:line="259" w:lineRule="auto"/>
            </w:pPr>
            <w:r>
              <w:rPr>
                <w:rFonts w:ascii="Calibri" w:hAnsi="Calibri"/>
                <w:b w:val="0"/>
                <w:i w:val="0"/>
                <w:color w:val="212121"/>
                <w:sz w:val="19"/>
              </w:rPr>
              <w:t>Midface hypoplasia, relative macroglossia, pharyngeal hypotonia, adenotonsillar hypertrophy and obesity combine to collapse the upper airway in sleep; untreated OSA worsens cognition, behaviour, growth and pulmonary artery pressure.</w:t>
            </w:r>
          </w:p>
          <w:p>
            <w:pPr>
              <w:spacing w:after="40" w:before="60" w:line="259" w:lineRule="auto"/>
            </w:pPr>
            <w:r>
              <w:rPr>
                <w:rFonts w:ascii="Calibri" w:hAnsi="Calibri"/>
                <w:b w:val="0"/>
                <w:i w:val="0"/>
                <w:color w:val="212121"/>
                <w:sz w:val="19"/>
              </w:rPr>
              <w:t>Obstructive sleep apnea affects 50–79% of children with Down syndrome; AAP recommends polysomnography for all by age 4.</w:t>
            </w:r>
          </w:p>
          <w:p>
            <w:pPr>
              <w:spacing w:after="40" w:line="252" w:lineRule="auto"/>
            </w:pPr>
            <w:hyperlink r:id="rId17">
              <w:r>
                <w:rPr>
                  <w:rFonts w:ascii="Calibri" w:hAnsi="Calibri" w:cs="Calibri"/>
                  <w:sz w:val="18"/>
                  <w:color w:val="1155CC"/>
                  <w:u w:val="single"/>
                </w:rPr>
                <w:t xml:space="preserve">AAP 2022 — OSA in Down syndrome</w:t>
              </w:r>
            </w:hyperlink>
          </w:p>
          <w:p>
            <w:pPr>
              <w:spacing w:before="60" w:after="40"/>
            </w:pPr>
            <w:r>
              <w:rPr>
                <w:rFonts w:ascii="Calibri" w:hAnsi="Calibri"/>
                <w:b w:val="0"/>
                <w:i w:val="0"/>
                <w:color w:val="5A5A5A"/>
                <w:sz w:val="18"/>
              </w:rPr>
              <w:t>#OSA  #polysomnography  #adenotonsillectomy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Haematological disorder</w:t>
            </w:r>
          </w:p>
        </w:tc>
        <w:tc>
          <w:tcPr>
            <w:tcW w:type="dxa" w:w="2160"/>
            <w:vAlign w:val="top"/>
          </w:tcPr>
          <w:p>
            <w:pPr>
              <w:spacing w:after="40" w:before="0" w:line="259" w:lineRule="auto"/>
            </w:pPr>
            <w:r>
              <w:rPr>
                <w:rFonts w:ascii="Calibri" w:hAnsi="Calibri"/>
                <w:b w:val="0"/>
                <w:i w:val="0"/>
                <w:color w:val="212121"/>
                <w:sz w:val="19"/>
              </w:rPr>
              <w:t>Neonates with transient abnormal myelopoiesis (TAM)</w:t>
            </w:r>
          </w:p>
        </w:tc>
        <w:tc>
          <w:tcPr>
            <w:tcW w:type="dxa" w:w="4276"/>
            <w:vAlign w:val="top"/>
          </w:tcPr>
          <w:p>
            <w:pPr>
              <w:spacing w:after="60" w:line="259" w:lineRule="auto"/>
            </w:pPr>
            <w:r>
              <w:rPr>
                <w:rFonts w:ascii="Calibri" w:hAnsi="Calibri"/>
                <w:b w:val="0"/>
                <w:i w:val="0"/>
                <w:color w:val="212121"/>
                <w:sz w:val="19"/>
              </w:rPr>
              <w:t>Somatic GATA1 mutations arising on the trisomic background cause a transient neonatal leukaemoid picture; although most cases self-resolve, a substantial minority evolves to acute megakaryoblastic leukemia in the first years of life, mandating haematological follow-up.</w:t>
            </w:r>
          </w:p>
          <w:p>
            <w:pPr>
              <w:spacing w:after="40" w:before="60" w:line="259" w:lineRule="auto"/>
            </w:pPr>
            <w:r>
              <w:rPr>
                <w:rFonts w:ascii="Calibri" w:hAnsi="Calibri"/>
                <w:b w:val="0"/>
                <w:i w:val="0"/>
                <w:color w:val="212121"/>
                <w:sz w:val="19"/>
              </w:rPr>
              <w:t>TAM occurs in about 10% of newborns with DS; 20–30% of TAM cases later develop myeloid leukemia (AMKL), and neonatal polycythemia occurs in ~33%.</w:t>
            </w:r>
          </w:p>
          <w:p>
            <w:pPr>
              <w:spacing w:after="40" w:line="252" w:lineRule="auto"/>
            </w:pPr>
            <w:hyperlink r:id="rId13">
              <w:r>
                <w:rPr>
                  <w:rFonts w:ascii="Calibri" w:hAnsi="Calibri" w:cs="Calibri"/>
                  <w:sz w:val="18"/>
                  <w:color w:val="1155CC"/>
                  <w:u w:val="single"/>
                </w:rPr>
                <w:t xml:space="preserve">ncbi.nlm.nih.gov — StatPearls: Down Syndrome</w:t>
              </w:r>
            </w:hyperlink>
          </w:p>
          <w:p>
            <w:pPr>
              <w:spacing w:before="60" w:after="40"/>
            </w:pPr>
            <w:r>
              <w:rPr>
                <w:rFonts w:ascii="Calibri" w:hAnsi="Calibri"/>
                <w:b w:val="0"/>
                <w:i w:val="0"/>
                <w:color w:val="5A5A5A"/>
                <w:sz w:val="18"/>
              </w:rPr>
              <w:t>#TAM  #GATA1  #AMKL  #leukemiasurveillance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Children and adults with DS are consistently less active and less fit than peers; structured exercise significantly improves dynamic balance (SMD 1.45 across 8 RCTs) and strength, and protects against the high prevalence of obesity and early functional decline.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Feeding difficulties affect 31–80% of infants; later, energy-dense diets combine with low resting energy expenditure and hypothyroidism to drive obesity, while celiac disease (1–5%) and chronic constipation demand ongoing dietary management.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Obstructive sleep apnea affects 50–79% of children with DS (midface hypoplasia, macroglossia, hypotonia, adenotonsillar hypertrophy); untreated OSA measurably worsens cognition, behaviour, growth and pulmonary haemodynamics.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is not a cause of trisomy 21, but household second-hand smoke aggravates the high baseline burden of respiratory infection and otitis media in these immunologically vulnerable children.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Parental alcohol use is not an established cause of trisomy 21 (distinct from fetal alcohol spectrum disorder); in adults with DS, alcohol interacts with anticonvulsants/psychotropics and impairs already-limited balance and judgement, so avoidance is advised.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Autism spectrum features (7–19%), ADHD, anxiety, depression and an unexplained regression syndrome are over-represented; unrecognized mental-health deterioration and caregiver burnout materially worsen function and participation.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management of the chronic constipation and dry skin (xerosis) typical of DS; it has no influence on the underlying chromosomal disorder.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role in causation or outcome; evening caffeine can further fragment sleep in individuals with untreated obstructive sleep apnea.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Periodontal disease affects 90–96% of adults with DS with onset in the teens; meticulous oral care, plus hand and respiratory hygiene, reduce the recurrent mucosal and respiratory infections linked to immune dysfunction.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Intercurrent infection, general anaesthesia or forcible neck manipulation (atlantoaxial risk), untreated OSA or hypothyroidism, and abrupt psychosocial upheaval can each precipitate acute deterioration or skill regression.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Hypotonia and ligamentous laxity delay postural milestones and produce flat feet and gait abnormality; symptomatic atlantoaxial instability (1–2%) requires neutral-neck positioning precautions during sport, intubation and dental procedures.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physical activity (min/day)</w:t>
            </w:r>
          </w:p>
        </w:tc>
        <w:tc>
          <w:tcPr>
            <w:tcW w:type="dxa" w:w="1655"/>
            <w:vAlign w:val="top"/>
          </w:tcPr>
          <w:p>
            <w:pPr>
              <w:spacing w:after="40" w:before="0" w:line="259" w:lineRule="auto"/>
            </w:pPr>
            <w:r>
              <w:rPr>
                <w:rFonts w:ascii="Calibri" w:hAnsi="Calibri"/>
                <w:b w:val="0"/>
                <w:i w:val="0"/>
                <w:color w:val="212121"/>
                <w:sz w:val="19"/>
              </w:rPr>
              <w:t>Children &amp; adolescents with DS</w:t>
            </w:r>
          </w:p>
        </w:tc>
        <w:tc>
          <w:tcPr>
            <w:tcW w:type="dxa" w:w="1512"/>
            <w:vAlign w:val="top"/>
          </w:tcPr>
          <w:p>
            <w:pPr>
              <w:spacing w:after="40" w:before="0" w:line="259" w:lineRule="auto"/>
            </w:pPr>
            <w:r>
              <w:rPr>
                <w:rFonts w:ascii="Calibri" w:hAnsi="Calibri"/>
                <w:b w:val="0"/>
                <w:i w:val="0"/>
                <w:color w:val="212121"/>
                <w:sz w:val="19"/>
              </w:rPr>
              <w:t>≥ 60 min/day of enjoyable MVPA</w:t>
            </w:r>
          </w:p>
        </w:tc>
        <w:tc>
          <w:tcPr>
            <w:tcW w:type="dxa" w:w="1512"/>
            <w:vAlign w:val="top"/>
          </w:tcPr>
          <w:p>
            <w:pPr>
              <w:spacing w:after="40" w:before="0" w:line="259" w:lineRule="auto"/>
            </w:pPr>
            <w:r>
              <w:rPr>
                <w:rFonts w:ascii="Calibri" w:hAnsi="Calibri"/>
                <w:b w:val="0"/>
                <w:i w:val="0"/>
                <w:color w:val="212121"/>
                <w:sz w:val="19"/>
              </w:rPr>
              <w:t>&lt; 30 min/day on most days</w:t>
            </w:r>
          </w:p>
        </w:tc>
        <w:tc>
          <w:tcPr>
            <w:tcW w:type="dxa" w:w="1468"/>
            <w:vAlign w:val="top"/>
          </w:tcPr>
          <w:p>
            <w:pPr>
              <w:spacing w:after="60" w:line="259" w:lineRule="auto"/>
            </w:pPr>
            <w:r>
              <w:rPr>
                <w:rFonts w:ascii="Calibri" w:hAnsi="Calibri"/>
                <w:b w:val="0"/>
                <w:i w:val="0"/>
                <w:color w:val="212121"/>
                <w:sz w:val="19"/>
              </w:rPr>
              <w:t>Habitual activity in DS is well below peers; structured, supervised activity protects balance, fitness and weight</w:t>
            </w:r>
          </w:p>
          <w:p>
            <w:pPr>
              <w:spacing w:after="40" w:line="252" w:lineRule="auto"/>
            </w:pPr>
            <w:hyperlink r:id="rId15">
              <w:r>
                <w:rPr>
                  <w:rFonts w:ascii="Calibri" w:hAnsi="Calibri" w:cs="Calibri"/>
                  <w:sz w:val="18"/>
                  <w:color w:val="1155CC"/>
                  <w:u w:val="single"/>
                </w:rPr>
                <w:t xml:space="preserve">https://link.springer.com/article/10.1186/s13102-025-01222-2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BMI-for-age percentile (standard growth charts, tracked alongside DS-specific charts)</w:t>
            </w:r>
          </w:p>
        </w:tc>
        <w:tc>
          <w:tcPr>
            <w:tcW w:type="dxa" w:w="1655"/>
            <w:vAlign w:val="top"/>
          </w:tcPr>
          <w:p>
            <w:pPr>
              <w:spacing w:after="40" w:before="0" w:line="259" w:lineRule="auto"/>
            </w:pPr>
            <w:r>
              <w:rPr>
                <w:rFonts w:ascii="Calibri" w:hAnsi="Calibri"/>
                <w:b w:val="0"/>
                <w:i w:val="0"/>
                <w:color w:val="212121"/>
                <w:sz w:val="19"/>
              </w:rPr>
              <w:t>Children with DS ≥ 2 years</w:t>
            </w:r>
          </w:p>
        </w:tc>
        <w:tc>
          <w:tcPr>
            <w:tcW w:type="dxa" w:w="1512"/>
            <w:vAlign w:val="top"/>
          </w:tcPr>
          <w:p>
            <w:pPr>
              <w:spacing w:after="40" w:before="0" w:line="259" w:lineRule="auto"/>
            </w:pPr>
            <w:r>
              <w:rPr>
                <w:rFonts w:ascii="Calibri" w:hAnsi="Calibri"/>
                <w:b w:val="0"/>
                <w:i w:val="0"/>
                <w:color w:val="212121"/>
                <w:sz w:val="19"/>
              </w:rPr>
              <w:t>&lt; 85th percentile</w:t>
            </w:r>
          </w:p>
        </w:tc>
        <w:tc>
          <w:tcPr>
            <w:tcW w:type="dxa" w:w="1512"/>
            <w:vAlign w:val="top"/>
          </w:tcPr>
          <w:p>
            <w:pPr>
              <w:spacing w:after="40" w:before="0" w:line="259" w:lineRule="auto"/>
            </w:pPr>
            <w:r>
              <w:rPr>
                <w:rFonts w:ascii="Calibri" w:hAnsi="Calibri"/>
                <w:b w:val="0"/>
                <w:i w:val="0"/>
                <w:color w:val="212121"/>
                <w:sz w:val="19"/>
              </w:rPr>
              <w:t>≥ 85th percentile (overweight); ≥ 95th (obesity)</w:t>
            </w:r>
          </w:p>
        </w:tc>
        <w:tc>
          <w:tcPr>
            <w:tcW w:type="dxa" w:w="1468"/>
            <w:vAlign w:val="top"/>
          </w:tcPr>
          <w:p>
            <w:pPr>
              <w:spacing w:after="40" w:before="0" w:line="259" w:lineRule="auto"/>
            </w:pPr>
            <w:r>
              <w:rPr>
                <w:rFonts w:ascii="Calibri" w:hAnsi="Calibri"/>
                <w:b w:val="0"/>
                <w:i w:val="0"/>
                <w:color w:val="212121"/>
                <w:sz w:val="19"/>
              </w:rPr>
              <w:t>Weight/BMI should be reviewed at every visit — excess gain typically starts in late childhood</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Daily fibre and fruit/vegetable intake</w:t>
            </w:r>
          </w:p>
        </w:tc>
        <w:tc>
          <w:tcPr>
            <w:tcW w:type="dxa" w:w="1655"/>
            <w:vAlign w:val="top"/>
          </w:tcPr>
          <w:p>
            <w:pPr>
              <w:spacing w:after="40" w:before="0" w:line="259" w:lineRule="auto"/>
            </w:pPr>
            <w:r>
              <w:rPr>
                <w:rFonts w:ascii="Calibri" w:hAnsi="Calibri"/>
                <w:b w:val="0"/>
                <w:i w:val="0"/>
                <w:color w:val="212121"/>
                <w:sz w:val="19"/>
              </w:rPr>
              <w:t>All individuals with DS</w:t>
            </w:r>
          </w:p>
        </w:tc>
        <w:tc>
          <w:tcPr>
            <w:tcW w:type="dxa" w:w="1512"/>
            <w:vAlign w:val="top"/>
          </w:tcPr>
          <w:p>
            <w:pPr>
              <w:spacing w:after="40" w:before="0" w:line="259" w:lineRule="auto"/>
            </w:pPr>
            <w:r>
              <w:rPr>
                <w:rFonts w:ascii="Calibri" w:hAnsi="Calibri"/>
                <w:b w:val="0"/>
                <w:i w:val="0"/>
                <w:color w:val="212121"/>
                <w:sz w:val="19"/>
              </w:rPr>
              <w:t>Age-appropriate fibre with ≥ 5 fruit/vegetable servings daily</w:t>
            </w:r>
          </w:p>
        </w:tc>
        <w:tc>
          <w:tcPr>
            <w:tcW w:type="dxa" w:w="1512"/>
            <w:vAlign w:val="top"/>
          </w:tcPr>
          <w:p>
            <w:pPr>
              <w:spacing w:after="40" w:before="0" w:line="259" w:lineRule="auto"/>
            </w:pPr>
            <w:r>
              <w:rPr>
                <w:rFonts w:ascii="Calibri" w:hAnsi="Calibri"/>
                <w:b w:val="0"/>
                <w:i w:val="0"/>
                <w:color w:val="212121"/>
                <w:sz w:val="19"/>
              </w:rPr>
              <w:t>Energy-dense, low-fibre diet; hard stools &lt; 3/week</w:t>
            </w:r>
          </w:p>
        </w:tc>
        <w:tc>
          <w:tcPr>
            <w:tcW w:type="dxa" w:w="1468"/>
            <w:vAlign w:val="top"/>
          </w:tcPr>
          <w:p>
            <w:pPr>
              <w:spacing w:after="40" w:before="0" w:line="259" w:lineRule="auto"/>
            </w:pPr>
            <w:r>
              <w:rPr>
                <w:rFonts w:ascii="Calibri" w:hAnsi="Calibri"/>
                <w:b w:val="0"/>
                <w:i w:val="0"/>
                <w:color w:val="212121"/>
                <w:sz w:val="19"/>
              </w:rPr>
              <w:t>Hypotonia, hypothyroidism and low activity make constipation and weight gain the default trajectory</w:t>
            </w:r>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Snoring/disturbed-sleep nights per week; polysomnography by age 4</w:t>
            </w:r>
          </w:p>
        </w:tc>
        <w:tc>
          <w:tcPr>
            <w:tcW w:type="dxa" w:w="1655"/>
            <w:vAlign w:val="top"/>
          </w:tcPr>
          <w:p>
            <w:pPr>
              <w:spacing w:after="40" w:before="0" w:line="259" w:lineRule="auto"/>
            </w:pPr>
            <w:r>
              <w:rPr>
                <w:rFonts w:ascii="Calibri" w:hAnsi="Calibri"/>
                <w:b w:val="0"/>
                <w:i w:val="0"/>
                <w:color w:val="212121"/>
                <w:sz w:val="19"/>
              </w:rPr>
              <w:t>All children with DS</w:t>
            </w:r>
          </w:p>
        </w:tc>
        <w:tc>
          <w:tcPr>
            <w:tcW w:type="dxa" w:w="1512"/>
            <w:vAlign w:val="top"/>
          </w:tcPr>
          <w:p>
            <w:pPr>
              <w:spacing w:after="40" w:before="0" w:line="259" w:lineRule="auto"/>
            </w:pPr>
            <w:r>
              <w:rPr>
                <w:rFonts w:ascii="Calibri" w:hAnsi="Calibri"/>
                <w:b w:val="0"/>
                <w:i w:val="0"/>
                <w:color w:val="212121"/>
                <w:sz w:val="19"/>
              </w:rPr>
              <w:t>No habitual snoring; normal PSG by 4th birthday</w:t>
            </w:r>
          </w:p>
        </w:tc>
        <w:tc>
          <w:tcPr>
            <w:tcW w:type="dxa" w:w="1512"/>
            <w:vAlign w:val="top"/>
          </w:tcPr>
          <w:p>
            <w:pPr>
              <w:spacing w:after="40" w:before="0" w:line="259" w:lineRule="auto"/>
            </w:pPr>
            <w:r>
              <w:rPr>
                <w:rFonts w:ascii="Calibri" w:hAnsi="Calibri"/>
                <w:b w:val="0"/>
                <w:i w:val="0"/>
                <w:color w:val="212121"/>
                <w:sz w:val="19"/>
              </w:rPr>
              <w:t>Snoring ≥ 3 nights/week, witnessed apnoeas, restless sleep or daytime sleepiness</w:t>
            </w:r>
          </w:p>
        </w:tc>
        <w:tc>
          <w:tcPr>
            <w:tcW w:type="dxa" w:w="1468"/>
            <w:vAlign w:val="top"/>
          </w:tcPr>
          <w:p>
            <w:pPr>
              <w:spacing w:after="60" w:line="259" w:lineRule="auto"/>
            </w:pPr>
            <w:r>
              <w:rPr>
                <w:rFonts w:ascii="Calibri" w:hAnsi="Calibri"/>
                <w:b w:val="0"/>
                <w:i w:val="0"/>
                <w:color w:val="212121"/>
                <w:sz w:val="19"/>
              </w:rPr>
              <w:t>Caregiver report under-detects OSA, hence the universal sleep-study recommendation</w:t>
            </w:r>
          </w:p>
          <w:p>
            <w:pPr>
              <w:spacing w:after="40" w:line="252" w:lineRule="auto"/>
            </w:pPr>
            <w:hyperlink r:id="rId17">
              <w:r>
                <w:rPr>
                  <w:rFonts w:ascii="Calibri" w:hAnsi="Calibri" w:cs="Calibri"/>
                  <w:sz w:val="18"/>
                  <w:color w:val="1155CC"/>
                  <w:u w:val="single"/>
                </w:rPr>
                <w:t xml:space="preserve">https://www.dsrf.org/wp-content/uploads/2022/07/2022-AAP-Health-Supervision-for-Children-and-Adolescents.pdf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School-age children with DS</w:t>
            </w:r>
          </w:p>
        </w:tc>
        <w:tc>
          <w:tcPr>
            <w:tcW w:type="dxa" w:w="1512"/>
            <w:vAlign w:val="top"/>
          </w:tcPr>
          <w:p>
            <w:pPr>
              <w:spacing w:after="40" w:before="0" w:line="259" w:lineRule="auto"/>
            </w:pPr>
            <w:r>
              <w:rPr>
                <w:rFonts w:ascii="Calibri" w:hAnsi="Calibri"/>
                <w:b w:val="0"/>
                <w:i w:val="0"/>
                <w:color w:val="212121"/>
                <w:sz w:val="19"/>
              </w:rPr>
              <w:t>9–12 hours/night</w:t>
            </w:r>
          </w:p>
        </w:tc>
        <w:tc>
          <w:tcPr>
            <w:tcW w:type="dxa" w:w="1512"/>
            <w:vAlign w:val="top"/>
          </w:tcPr>
          <w:p>
            <w:pPr>
              <w:spacing w:after="40" w:before="0" w:line="259" w:lineRule="auto"/>
            </w:pPr>
            <w:r>
              <w:rPr>
                <w:rFonts w:ascii="Calibri" w:hAnsi="Calibri"/>
                <w:b w:val="0"/>
                <w:i w:val="0"/>
                <w:color w:val="212121"/>
                <w:sz w:val="19"/>
              </w:rPr>
              <w:t>&lt; 8 hours or fragmented sleep</w:t>
            </w:r>
          </w:p>
        </w:tc>
        <w:tc>
          <w:tcPr>
            <w:tcW w:type="dxa" w:w="1468"/>
            <w:vAlign w:val="top"/>
          </w:tcPr>
          <w:p>
            <w:pPr>
              <w:spacing w:after="40" w:before="0" w:line="259" w:lineRule="auto"/>
            </w:pPr>
            <w:r>
              <w:rPr>
                <w:rFonts w:ascii="Calibri" w:hAnsi="Calibri"/>
                <w:b w:val="0"/>
                <w:i w:val="0"/>
                <w:color w:val="212121"/>
                <w:sz w:val="19"/>
              </w:rPr>
              <w:t>Short or fragmented sleep worsens learning, behaviour and daytime function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tobacco-smoke exposure</w:t>
            </w:r>
          </w:p>
        </w:tc>
        <w:tc>
          <w:tcPr>
            <w:tcW w:type="dxa" w:w="1655"/>
            <w:vAlign w:val="top"/>
          </w:tcPr>
          <w:p>
            <w:pPr>
              <w:spacing w:after="40" w:before="0" w:line="259" w:lineRule="auto"/>
            </w:pPr>
            <w:r>
              <w:rPr>
                <w:rFonts w:ascii="Calibri" w:hAnsi="Calibri"/>
                <w:b w:val="0"/>
                <w:i w:val="0"/>
                <w:color w:val="212121"/>
                <w:sz w:val="19"/>
              </w:rPr>
              <w:t>Families/caregivers of children with DS</w:t>
            </w:r>
          </w:p>
        </w:tc>
        <w:tc>
          <w:tcPr>
            <w:tcW w:type="dxa" w:w="1512"/>
            <w:vAlign w:val="top"/>
          </w:tcPr>
          <w:p>
            <w:pPr>
              <w:spacing w:after="40" w:before="0" w:line="259" w:lineRule="auto"/>
            </w:pPr>
            <w:r>
              <w:rPr>
                <w:rFonts w:ascii="Calibri" w:hAnsi="Calibri"/>
                <w:b w:val="0"/>
                <w:i w:val="0"/>
                <w:color w:val="212121"/>
                <w:sz w:val="19"/>
              </w:rPr>
              <w:t>Completely smoke-free home and vehicle</w:t>
            </w:r>
          </w:p>
        </w:tc>
        <w:tc>
          <w:tcPr>
            <w:tcW w:type="dxa" w:w="1512"/>
            <w:vAlign w:val="top"/>
          </w:tcPr>
          <w:p>
            <w:pPr>
              <w:spacing w:after="40" w:before="0" w:line="259" w:lineRule="auto"/>
            </w:pPr>
            <w:r>
              <w:rPr>
                <w:rFonts w:ascii="Calibri" w:hAnsi="Calibri"/>
                <w:b w:val="0"/>
                <w:i w:val="0"/>
                <w:color w:val="212121"/>
                <w:sz w:val="19"/>
              </w:rPr>
              <w:t>Any indoor smoking or regular smoke exposure</w:t>
            </w:r>
          </w:p>
        </w:tc>
        <w:tc>
          <w:tcPr>
            <w:tcW w:type="dxa" w:w="1468"/>
            <w:vAlign w:val="top"/>
          </w:tcPr>
          <w:p>
            <w:pPr>
              <w:spacing w:after="40" w:before="0" w:line="259" w:lineRule="auto"/>
            </w:pPr>
            <w:r>
              <w:rPr>
                <w:rFonts w:ascii="Calibri" w:hAnsi="Calibri"/>
                <w:b w:val="0"/>
                <w:i w:val="0"/>
                <w:color w:val="212121"/>
                <w:sz w:val="19"/>
              </w:rPr>
              <w:t>Second-hand smoke aggravates recurrent respiratory infection and otitis media with effusion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Alcoholic drinks per week</w:t>
            </w:r>
          </w:p>
        </w:tc>
        <w:tc>
          <w:tcPr>
            <w:tcW w:type="dxa" w:w="1655"/>
            <w:vAlign w:val="top"/>
          </w:tcPr>
          <w:p>
            <w:pPr>
              <w:spacing w:after="40" w:before="0" w:line="259" w:lineRule="auto"/>
            </w:pPr>
            <w:r>
              <w:rPr>
                <w:rFonts w:ascii="Calibri" w:hAnsi="Calibri"/>
                <w:b w:val="0"/>
                <w:i w:val="0"/>
                <w:color w:val="212121"/>
                <w:sz w:val="19"/>
              </w:rPr>
              <w:t>Adults with DS</w:t>
            </w:r>
          </w:p>
        </w:tc>
        <w:tc>
          <w:tcPr>
            <w:tcW w:type="dxa" w:w="1512"/>
            <w:vAlign w:val="top"/>
          </w:tcPr>
          <w:p>
            <w:pPr>
              <w:spacing w:after="40" w:before="0" w:line="259" w:lineRule="auto"/>
            </w:pPr>
            <w:r>
              <w:rPr>
                <w:rFonts w:ascii="Calibri" w:hAnsi="Calibri"/>
                <w:b w:val="0"/>
                <w:i w:val="0"/>
                <w:color w:val="212121"/>
                <w:sz w:val="19"/>
              </w:rPr>
              <w:t>0 drinks/week</w:t>
            </w:r>
          </w:p>
        </w:tc>
        <w:tc>
          <w:tcPr>
            <w:tcW w:type="dxa" w:w="1512"/>
            <w:vAlign w:val="top"/>
          </w:tcPr>
          <w:p>
            <w:pPr>
              <w:spacing w:after="40" w:before="0" w:line="259" w:lineRule="auto"/>
            </w:pPr>
            <w:r>
              <w:rPr>
                <w:rFonts w:ascii="Calibri" w:hAnsi="Calibri"/>
                <w:b w:val="0"/>
                <w:i w:val="0"/>
                <w:color w:val="212121"/>
                <w:sz w:val="19"/>
              </w:rPr>
              <w:t>Any regular or unsupervised use</w:t>
            </w:r>
          </w:p>
        </w:tc>
        <w:tc>
          <w:tcPr>
            <w:tcW w:type="dxa" w:w="1468"/>
            <w:vAlign w:val="top"/>
          </w:tcPr>
          <w:p>
            <w:pPr>
              <w:spacing w:after="40" w:before="0" w:line="259" w:lineRule="auto"/>
            </w:pPr>
            <w:r>
              <w:rPr>
                <w:rFonts w:ascii="Calibri" w:hAnsi="Calibri"/>
                <w:b w:val="0"/>
                <w:i w:val="0"/>
                <w:color w:val="212121"/>
                <w:sz w:val="19"/>
              </w:rPr>
              <w:t>Interacts with anticonvulsants and psychotropics; further impairs balance and judgement</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 and professional dental review interval</w:t>
            </w:r>
          </w:p>
        </w:tc>
        <w:tc>
          <w:tcPr>
            <w:tcW w:type="dxa" w:w="1655"/>
            <w:vAlign w:val="top"/>
          </w:tcPr>
          <w:p>
            <w:pPr>
              <w:spacing w:after="40" w:before="0" w:line="259" w:lineRule="auto"/>
            </w:pPr>
            <w:r>
              <w:rPr>
                <w:rFonts w:ascii="Calibri" w:hAnsi="Calibri"/>
                <w:b w:val="0"/>
                <w:i w:val="0"/>
                <w:color w:val="212121"/>
                <w:sz w:val="19"/>
              </w:rPr>
              <w:t>All individuals with DS from first tooth eruption</w:t>
            </w:r>
          </w:p>
        </w:tc>
        <w:tc>
          <w:tcPr>
            <w:tcW w:type="dxa" w:w="1512"/>
            <w:vAlign w:val="top"/>
          </w:tcPr>
          <w:p>
            <w:pPr>
              <w:spacing w:after="40" w:before="0" w:line="259" w:lineRule="auto"/>
            </w:pPr>
            <w:r>
              <w:rPr>
                <w:rFonts w:ascii="Calibri" w:hAnsi="Calibri"/>
                <w:b w:val="0"/>
                <w:i w:val="0"/>
                <w:color w:val="212121"/>
                <w:sz w:val="19"/>
              </w:rPr>
              <w:t>Supervised brushing twice daily; dental review every 6 months (3-monthly scaling once periodontitis is present)</w:t>
            </w:r>
          </w:p>
        </w:tc>
        <w:tc>
          <w:tcPr>
            <w:tcW w:type="dxa" w:w="1512"/>
            <w:vAlign w:val="top"/>
          </w:tcPr>
          <w:p>
            <w:pPr>
              <w:spacing w:after="40" w:before="0" w:line="259" w:lineRule="auto"/>
            </w:pPr>
            <w:r>
              <w:rPr>
                <w:rFonts w:ascii="Calibri" w:hAnsi="Calibri"/>
                <w:b w:val="0"/>
                <w:i w:val="0"/>
                <w:color w:val="212121"/>
                <w:sz w:val="19"/>
              </w:rPr>
              <w:t>&lt; 1 brushing/day; &gt; 12 months between dental visits; bleeding gums</w:t>
            </w:r>
          </w:p>
        </w:tc>
        <w:tc>
          <w:tcPr>
            <w:tcW w:type="dxa" w:w="1468"/>
            <w:vAlign w:val="top"/>
          </w:tcPr>
          <w:p>
            <w:pPr>
              <w:spacing w:after="60" w:line="259" w:lineRule="auto"/>
            </w:pPr>
            <w:r>
              <w:rPr>
                <w:rFonts w:ascii="Calibri" w:hAnsi="Calibri"/>
                <w:b w:val="0"/>
                <w:i w:val="0"/>
                <w:color w:val="212121"/>
                <w:sz w:val="19"/>
              </w:rPr>
              <w:t>Early, aggressive periodontitis (90–96% of adults) is largely preventable with sustained oral care</w:t>
            </w:r>
          </w:p>
          <w:p>
            <w:pPr>
              <w:spacing w:after="40" w:line="252" w:lineRule="auto"/>
            </w:pPr>
            <w:hyperlink r:id="rId16">
              <w:r>
                <w:rPr>
                  <w:rFonts w:ascii="Calibri" w:hAnsi="Calibri" w:cs="Calibri"/>
                  <w:sz w:val="18"/>
                  <w:color w:val="1155CC"/>
                  <w:u w:val="single"/>
                </w:rPr>
                <w:t xml:space="preserve">https://www.down-syndrome.org/en-gb/library/research-practice/05/3/dental-care-patient-down-syndrome/</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Annual developmental/behavioural review with skill-regression check</w:t>
            </w:r>
          </w:p>
        </w:tc>
        <w:tc>
          <w:tcPr>
            <w:tcW w:type="dxa" w:w="1655"/>
            <w:vAlign w:val="top"/>
          </w:tcPr>
          <w:p>
            <w:pPr>
              <w:spacing w:after="40" w:before="0" w:line="259" w:lineRule="auto"/>
            </w:pPr>
            <w:r>
              <w:rPr>
                <w:rFonts w:ascii="Calibri" w:hAnsi="Calibri"/>
                <w:b w:val="0"/>
                <w:i w:val="0"/>
                <w:color w:val="212121"/>
                <w:sz w:val="19"/>
              </w:rPr>
              <w:t>Children ≥ 3 years and all adults with DS</w:t>
            </w:r>
          </w:p>
        </w:tc>
        <w:tc>
          <w:tcPr>
            <w:tcW w:type="dxa" w:w="1512"/>
            <w:vAlign w:val="top"/>
          </w:tcPr>
          <w:p>
            <w:pPr>
              <w:spacing w:after="40" w:before="0" w:line="259" w:lineRule="auto"/>
            </w:pPr>
            <w:r>
              <w:rPr>
                <w:rFonts w:ascii="Calibri" w:hAnsi="Calibri"/>
                <w:b w:val="0"/>
                <w:i w:val="0"/>
                <w:color w:val="212121"/>
                <w:sz w:val="19"/>
              </w:rPr>
              <w:t>Stable or improving adaptive skills year-on-year</w:t>
            </w:r>
          </w:p>
        </w:tc>
        <w:tc>
          <w:tcPr>
            <w:tcW w:type="dxa" w:w="1512"/>
            <w:vAlign w:val="top"/>
          </w:tcPr>
          <w:p>
            <w:pPr>
              <w:spacing w:after="40" w:before="0" w:line="259" w:lineRule="auto"/>
            </w:pPr>
            <w:r>
              <w:rPr>
                <w:rFonts w:ascii="Calibri" w:hAnsi="Calibri"/>
                <w:b w:val="0"/>
                <w:i w:val="0"/>
                <w:color w:val="212121"/>
                <w:sz w:val="19"/>
              </w:rPr>
              <w:t>Loss of previously acquired skills, social withdrawal, new behaviour change</w:t>
            </w:r>
          </w:p>
        </w:tc>
        <w:tc>
          <w:tcPr>
            <w:tcW w:type="dxa" w:w="1468"/>
            <w:vAlign w:val="top"/>
          </w:tcPr>
          <w:p>
            <w:pPr>
              <w:spacing w:after="40" w:before="0" w:line="259" w:lineRule="auto"/>
            </w:pPr>
            <w:r>
              <w:rPr>
                <w:rFonts w:ascii="Calibri" w:hAnsi="Calibri"/>
                <w:b w:val="0"/>
                <w:i w:val="0"/>
                <w:color w:val="212121"/>
                <w:sz w:val="19"/>
              </w:rPr>
              <w:t>Regression, depression and (after age 40) dementia require structured surveillance with a documented functional baseline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All individuals with DS</w:t>
            </w:r>
          </w:p>
        </w:tc>
        <w:tc>
          <w:tcPr>
            <w:tcW w:type="dxa" w:w="1512"/>
            <w:vAlign w:val="top"/>
          </w:tcPr>
          <w:p>
            <w:pPr>
              <w:spacing w:after="40" w:before="0" w:line="259" w:lineRule="auto"/>
            </w:pPr>
            <w:r>
              <w:rPr>
                <w:rFonts w:ascii="Calibri" w:hAnsi="Calibri"/>
                <w:b w:val="0"/>
                <w:i w:val="0"/>
                <w:color w:val="212121"/>
                <w:sz w:val="19"/>
              </w:rPr>
              <w:t>Age-appropriate intake (~1.5–2 L/day for adolescents and adults)</w:t>
            </w:r>
          </w:p>
        </w:tc>
        <w:tc>
          <w:tcPr>
            <w:tcW w:type="dxa" w:w="1512"/>
            <w:vAlign w:val="top"/>
          </w:tcPr>
          <w:p>
            <w:pPr>
              <w:spacing w:after="40" w:before="0" w:line="259" w:lineRule="auto"/>
            </w:pPr>
            <w:r>
              <w:rPr>
                <w:rFonts w:ascii="Calibri" w:hAnsi="Calibri"/>
                <w:b w:val="0"/>
                <w:i w:val="0"/>
                <w:color w:val="212121"/>
                <w:sz w:val="19"/>
              </w:rPr>
              <w:t>Concentrated urine, hard stools, dry skin</w:t>
            </w:r>
          </w:p>
        </w:tc>
        <w:tc>
          <w:tcPr>
            <w:tcW w:type="dxa" w:w="1468"/>
            <w:vAlign w:val="top"/>
          </w:tcPr>
          <w:p>
            <w:pPr>
              <w:spacing w:after="40" w:before="0" w:line="259" w:lineRule="auto"/>
            </w:pPr>
            <w:r>
              <w:rPr>
                <w:rFonts w:ascii="Calibri" w:hAnsi="Calibri"/>
                <w:b w:val="0"/>
                <w:i w:val="0"/>
                <w:color w:val="212121"/>
                <w:sz w:val="19"/>
              </w:rPr>
              <w:t>Supports bowel regularity and skin care; needs supervision in those unable to self-regulate intake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Cytogenetic</w:t>
            </w:r>
          </w:p>
        </w:tc>
        <w:tc>
          <w:tcPr>
            <w:tcW w:type="dxa" w:w="1036"/>
            <w:vAlign w:val="top"/>
          </w:tcPr>
          <w:p>
            <w:pPr>
              <w:spacing w:after="40" w:before="0" w:line="259" w:lineRule="auto"/>
            </w:pPr>
            <w:r>
              <w:rPr>
                <w:rFonts w:ascii="Calibri" w:hAnsi="Calibri"/>
                <w:b w:val="0"/>
                <w:i w:val="0"/>
                <w:color w:val="212121"/>
                <w:sz w:val="16"/>
              </w:rPr>
              <w:t>Karyotype (GTG banding, peripheral blood)</w:t>
            </w:r>
          </w:p>
        </w:tc>
        <w:tc>
          <w:tcPr>
            <w:tcW w:type="dxa" w:w="892"/>
            <w:vAlign w:val="top"/>
          </w:tcPr>
          <w:p>
            <w:pPr>
              <w:spacing w:after="40" w:before="0" w:line="259" w:lineRule="auto"/>
            </w:pPr>
            <w:r>
              <w:rPr>
                <w:rFonts w:ascii="Calibri" w:hAnsi="Calibri"/>
                <w:b w:val="0"/>
                <w:i w:val="0"/>
                <w:color w:val="212121"/>
                <w:sz w:val="16"/>
              </w:rPr>
              <w:t>Chromosomal Analysis</w:t>
            </w:r>
          </w:p>
        </w:tc>
        <w:tc>
          <w:tcPr>
            <w:tcW w:type="dxa" w:w="950"/>
            <w:vAlign w:val="top"/>
          </w:tcPr>
          <w:p>
            <w:pPr>
              <w:spacing w:after="40" w:before="0" w:line="259" w:lineRule="auto"/>
            </w:pPr>
            <w:r>
              <w:rPr>
                <w:rFonts w:ascii="Calibri" w:hAnsi="Calibri"/>
                <w:b w:val="0"/>
                <w:i w:val="0"/>
                <w:color w:val="212121"/>
                <w:sz w:val="16"/>
              </w:rPr>
              <w:t>46,XX or 46,XY</w:t>
            </w:r>
          </w:p>
        </w:tc>
        <w:tc>
          <w:tcPr>
            <w:tcW w:type="dxa" w:w="950"/>
            <w:vAlign w:val="top"/>
          </w:tcPr>
          <w:p>
            <w:pPr>
              <w:spacing w:after="40" w:before="0" w:line="259" w:lineRule="auto"/>
            </w:pPr>
            <w:r>
              <w:rPr>
                <w:rFonts w:ascii="Calibri" w:hAnsi="Calibri"/>
                <w:b w:val="0"/>
                <w:i w:val="0"/>
                <w:color w:val="212121"/>
                <w:sz w:val="16"/>
              </w:rPr>
              <w:t>47,XX,+21 / 47,XY,+21; Robertsonian translocation; mosaic pattern</w:t>
            </w:r>
          </w:p>
        </w:tc>
        <w:tc>
          <w:tcPr>
            <w:tcW w:type="dxa" w:w="1036"/>
            <w:vAlign w:val="top"/>
          </w:tcPr>
          <w:p>
            <w:pPr>
              <w:spacing w:after="40" w:before="0" w:line="259" w:lineRule="auto"/>
            </w:pPr>
            <w:r>
              <w:rPr>
                <w:rFonts w:ascii="Calibri" w:hAnsi="Calibri"/>
                <w:b w:val="0"/>
                <w:i w:val="0"/>
                <w:color w:val="212121"/>
                <w:sz w:val="16"/>
              </w:rPr>
              <w:t>Confirms the diagnosis and distinguishes free trisomy, translocation and mosaicism — this determines recurrence counselling</w:t>
            </w:r>
          </w:p>
        </w:tc>
        <w:tc>
          <w:tcPr>
            <w:tcW w:type="dxa" w:w="1036"/>
            <w:vAlign w:val="top"/>
          </w:tcPr>
          <w:p>
            <w:pPr>
              <w:spacing w:after="40" w:before="0" w:line="259" w:lineRule="auto"/>
            </w:pPr>
            <w:r>
              <w:rPr>
                <w:rFonts w:ascii="Calibri" w:hAnsi="Calibri"/>
                <w:b w:val="0"/>
                <w:i w:val="0"/>
                <w:color w:val="212121"/>
                <w:sz w:val="16"/>
              </w:rPr>
              <w:t>All suspected DS neonates and children; fetuses after positive screening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Parental karyotypes are mandatory if a translocation is found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Cytogenetic</w:t>
            </w:r>
          </w:p>
        </w:tc>
        <w:tc>
          <w:tcPr>
            <w:tcW w:type="dxa" w:w="1036"/>
            <w:vAlign w:val="top"/>
          </w:tcPr>
          <w:p>
            <w:pPr>
              <w:spacing w:after="40" w:before="0" w:line="259" w:lineRule="auto"/>
            </w:pPr>
            <w:r>
              <w:rPr>
                <w:rFonts w:ascii="Calibri" w:hAnsi="Calibri"/>
                <w:b w:val="0"/>
                <w:i w:val="0"/>
                <w:color w:val="212121"/>
                <w:sz w:val="16"/>
              </w:rPr>
              <w:t>Interphase FISH for chromosome 21</w:t>
            </w:r>
          </w:p>
        </w:tc>
        <w:tc>
          <w:tcPr>
            <w:tcW w:type="dxa" w:w="892"/>
            <w:vAlign w:val="top"/>
          </w:tcPr>
          <w:p>
            <w:pPr>
              <w:spacing w:after="40" w:before="0" w:line="259" w:lineRule="auto"/>
            </w:pPr>
            <w:r>
              <w:rPr>
                <w:rFonts w:ascii="Calibri" w:hAnsi="Calibri"/>
                <w:b w:val="0"/>
                <w:i w:val="0"/>
                <w:color w:val="212121"/>
                <w:sz w:val="16"/>
              </w:rPr>
              <w:t>Chromosomal Analysis</w:t>
            </w:r>
          </w:p>
        </w:tc>
        <w:tc>
          <w:tcPr>
            <w:tcW w:type="dxa" w:w="950"/>
            <w:vAlign w:val="top"/>
          </w:tcPr>
          <w:p>
            <w:pPr>
              <w:spacing w:after="40" w:before="0" w:line="259" w:lineRule="auto"/>
            </w:pPr>
            <w:r>
              <w:rPr>
                <w:rFonts w:ascii="Calibri" w:hAnsi="Calibri"/>
                <w:b w:val="0"/>
                <w:i w:val="0"/>
                <w:color w:val="212121"/>
                <w:sz w:val="16"/>
              </w:rPr>
              <w:t>Two chromosome-21 signals per nucleus</w:t>
            </w:r>
          </w:p>
        </w:tc>
        <w:tc>
          <w:tcPr>
            <w:tcW w:type="dxa" w:w="950"/>
            <w:vAlign w:val="top"/>
          </w:tcPr>
          <w:p>
            <w:pPr>
              <w:spacing w:after="40" w:before="0" w:line="259" w:lineRule="auto"/>
            </w:pPr>
            <w:r>
              <w:rPr>
                <w:rFonts w:ascii="Calibri" w:hAnsi="Calibri"/>
                <w:b w:val="0"/>
                <w:i w:val="0"/>
                <w:color w:val="212121"/>
                <w:sz w:val="16"/>
              </w:rPr>
              <w:t>Three chromosome-21 signals</w:t>
            </w:r>
          </w:p>
        </w:tc>
        <w:tc>
          <w:tcPr>
            <w:tcW w:type="dxa" w:w="1036"/>
            <w:vAlign w:val="top"/>
          </w:tcPr>
          <w:p>
            <w:pPr>
              <w:spacing w:after="40" w:before="0" w:line="259" w:lineRule="auto"/>
            </w:pPr>
            <w:r>
              <w:rPr>
                <w:rFonts w:ascii="Calibri" w:hAnsi="Calibri"/>
                <w:b w:val="0"/>
                <w:i w:val="0"/>
                <w:color w:val="212121"/>
                <w:sz w:val="16"/>
              </w:rPr>
              <w:t>Rapid (24–48 h) provisional confirmation while awaiting full karyotype</w:t>
            </w:r>
          </w:p>
        </w:tc>
        <w:tc>
          <w:tcPr>
            <w:tcW w:type="dxa" w:w="1036"/>
            <w:vAlign w:val="top"/>
          </w:tcPr>
          <w:p>
            <w:pPr>
              <w:spacing w:after="40" w:before="0" w:line="259" w:lineRule="auto"/>
            </w:pPr>
            <w:r>
              <w:rPr>
                <w:rFonts w:ascii="Calibri" w:hAnsi="Calibri"/>
                <w:b w:val="0"/>
                <w:i w:val="0"/>
                <w:color w:val="212121"/>
                <w:sz w:val="16"/>
              </w:rPr>
              <w:t>Newborns with clinical suspicion; prenatal samples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(rapid)</w:t>
            </w:r>
          </w:p>
        </w:tc>
        <w:tc>
          <w:tcPr>
            <w:tcW w:type="dxa" w:w="720"/>
            <w:vAlign w:val="top"/>
          </w:tcPr>
          <w:p>
            <w:pPr>
              <w:spacing w:after="40" w:before="0" w:line="259" w:lineRule="auto"/>
            </w:pPr>
            <w:r>
              <w:rPr>
                <w:rFonts w:ascii="Calibri" w:hAnsi="Calibri"/>
                <w:b w:val="0"/>
                <w:i w:val="0"/>
                <w:color w:val="212121"/>
                <w:sz w:val="16"/>
              </w:rPr>
              <w:t>Cannot distinguish free trisomy from translocation — karyotype still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 (prenatal screening)</w:t>
            </w:r>
          </w:p>
        </w:tc>
        <w:tc>
          <w:tcPr>
            <w:tcW w:type="dxa" w:w="1036"/>
            <w:vAlign w:val="top"/>
          </w:tcPr>
          <w:p>
            <w:pPr>
              <w:spacing w:after="40" w:before="0" w:line="259" w:lineRule="auto"/>
            </w:pPr>
            <w:r>
              <w:rPr>
                <w:rFonts w:ascii="Calibri" w:hAnsi="Calibri"/>
                <w:b w:val="0"/>
                <w:i w:val="0"/>
                <w:color w:val="212121"/>
                <w:sz w:val="16"/>
              </w:rPr>
              <w:t>Cell-free fetal DNA (NIPT), from 10 weeks</w:t>
            </w:r>
          </w:p>
        </w:tc>
        <w:tc>
          <w:tcPr>
            <w:tcW w:type="dxa" w:w="892"/>
            <w:vAlign w:val="top"/>
          </w:tcPr>
          <w:p>
            <w:pPr>
              <w:spacing w:after="40" w:before="0" w:line="259" w:lineRule="auto"/>
            </w:pPr>
            <w:r>
              <w:rPr>
                <w:rFonts w:ascii="Calibri" w:hAnsi="Calibri"/>
                <w:b w:val="0"/>
                <w:i w:val="0"/>
                <w:color w:val="212121"/>
                <w:sz w:val="16"/>
              </w:rPr>
              <w:t>Prenatal Aneuploidy Screen</w:t>
            </w:r>
          </w:p>
        </w:tc>
        <w:tc>
          <w:tcPr>
            <w:tcW w:type="dxa" w:w="950"/>
            <w:vAlign w:val="top"/>
          </w:tcPr>
          <w:p>
            <w:pPr>
              <w:spacing w:after="40" w:before="0" w:line="259" w:lineRule="auto"/>
            </w:pPr>
            <w:r>
              <w:rPr>
                <w:rFonts w:ascii="Calibri" w:hAnsi="Calibri"/>
                <w:b w:val="0"/>
                <w:i w:val="0"/>
                <w:color w:val="212121"/>
                <w:sz w:val="16"/>
              </w:rPr>
              <w:t>Low risk for trisomy 21</w:t>
            </w:r>
          </w:p>
        </w:tc>
        <w:tc>
          <w:tcPr>
            <w:tcW w:type="dxa" w:w="950"/>
            <w:vAlign w:val="top"/>
          </w:tcPr>
          <w:p>
            <w:pPr>
              <w:spacing w:after="40" w:before="0" w:line="259" w:lineRule="auto"/>
            </w:pPr>
            <w:r>
              <w:rPr>
                <w:rFonts w:ascii="Calibri" w:hAnsi="Calibri"/>
                <w:b w:val="0"/>
                <w:i w:val="0"/>
                <w:color w:val="212121"/>
                <w:sz w:val="16"/>
              </w:rPr>
              <w:t>High risk for trisomy 21</w:t>
            </w:r>
          </w:p>
        </w:tc>
        <w:tc>
          <w:tcPr>
            <w:tcW w:type="dxa" w:w="1036"/>
            <w:vAlign w:val="top"/>
          </w:tcPr>
          <w:p>
            <w:pPr>
              <w:spacing w:after="40" w:before="0" w:line="259" w:lineRule="auto"/>
            </w:pPr>
            <w:r>
              <w:rPr>
                <w:rFonts w:ascii="Calibri" w:hAnsi="Calibri"/>
                <w:b w:val="0"/>
                <w:i w:val="0"/>
                <w:color w:val="212121"/>
                <w:sz w:val="16"/>
              </w:rPr>
              <w:t>Detection rate &gt; 99% with ~0.04% false-positive rate; a positive result must be confirmed by CVS/amniocentesis before any decision</w:t>
            </w:r>
          </w:p>
        </w:tc>
        <w:tc>
          <w:tcPr>
            <w:tcW w:type="dxa" w:w="1036"/>
            <w:vAlign w:val="top"/>
          </w:tcPr>
          <w:p>
            <w:pPr>
              <w:spacing w:after="40" w:before="0" w:line="259" w:lineRule="auto"/>
            </w:pPr>
            <w:r>
              <w:rPr>
                <w:rFonts w:ascii="Calibri" w:hAnsi="Calibri"/>
                <w:b w:val="0"/>
                <w:i w:val="0"/>
                <w:color w:val="212121"/>
                <w:sz w:val="16"/>
              </w:rPr>
              <w:t>Pregnant women of any age, especially ≥ 35 years or screen-positive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(highest performance)</w:t>
            </w:r>
          </w:p>
        </w:tc>
        <w:tc>
          <w:tcPr>
            <w:tcW w:type="dxa" w:w="720"/>
            <w:vAlign w:val="top"/>
          </w:tcPr>
          <w:p>
            <w:pPr>
              <w:spacing w:after="40" w:before="0" w:line="259" w:lineRule="auto"/>
            </w:pPr>
            <w:r>
              <w:rPr>
                <w:rFonts w:ascii="Calibri" w:hAnsi="Calibri"/>
                <w:b w:val="0"/>
                <w:i w:val="0"/>
                <w:color w:val="212121"/>
                <w:sz w:val="16"/>
              </w:rPr>
              <w:t>Screening, not diagnostic; low fetal fraction can cause test failure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(prenatal screening)</w:t>
            </w:r>
          </w:p>
        </w:tc>
        <w:tc>
          <w:tcPr>
            <w:tcW w:type="dxa" w:w="1036"/>
            <w:vAlign w:val="top"/>
          </w:tcPr>
          <w:p>
            <w:pPr>
              <w:spacing w:after="40" w:before="0" w:line="259" w:lineRule="auto"/>
            </w:pPr>
            <w:r>
              <w:rPr>
                <w:rFonts w:ascii="Calibri" w:hAnsi="Calibri"/>
                <w:b w:val="0"/>
                <w:i w:val="0"/>
                <w:color w:val="212121"/>
                <w:sz w:val="16"/>
              </w:rPr>
              <w:t>Quadruple marker test (AFP, uE3, hCG, inhibin-A), 15–22 weeks</w:t>
            </w:r>
          </w:p>
        </w:tc>
        <w:tc>
          <w:tcPr>
            <w:tcW w:type="dxa" w:w="892"/>
            <w:vAlign w:val="top"/>
          </w:tcPr>
          <w:p>
            <w:pPr>
              <w:spacing w:after="40" w:before="0" w:line="259" w:lineRule="auto"/>
            </w:pPr>
            <w:r>
              <w:rPr>
                <w:rFonts w:ascii="Calibri" w:hAnsi="Calibri"/>
                <w:b w:val="0"/>
                <w:i w:val="0"/>
                <w:color w:val="212121"/>
                <w:sz w:val="16"/>
              </w:rPr>
              <w:t>Prenatal Aneuploidy Screen</w:t>
            </w:r>
          </w:p>
        </w:tc>
        <w:tc>
          <w:tcPr>
            <w:tcW w:type="dxa" w:w="950"/>
            <w:vAlign w:val="top"/>
          </w:tcPr>
          <w:p>
            <w:pPr>
              <w:spacing w:after="40" w:before="0" w:line="259" w:lineRule="auto"/>
            </w:pPr>
            <w:r>
              <w:rPr>
                <w:rFonts w:ascii="Calibri" w:hAnsi="Calibri"/>
                <w:b w:val="0"/>
                <w:i w:val="0"/>
                <w:color w:val="212121"/>
                <w:sz w:val="16"/>
              </w:rPr>
              <w:t>Risk below laboratory cut-off (e.g., &lt; 1 in 250)</w:t>
            </w:r>
          </w:p>
        </w:tc>
        <w:tc>
          <w:tcPr>
            <w:tcW w:type="dxa" w:w="950"/>
            <w:vAlign w:val="top"/>
          </w:tcPr>
          <w:p>
            <w:pPr>
              <w:spacing w:after="40" w:before="0" w:line="259" w:lineRule="auto"/>
            </w:pPr>
            <w:r>
              <w:rPr>
                <w:rFonts w:ascii="Calibri" w:hAnsi="Calibri"/>
                <w:b w:val="0"/>
                <w:i w:val="0"/>
                <w:color w:val="212121"/>
                <w:sz w:val="16"/>
              </w:rPr>
              <w:t>Risk above cut-off (low AFP/uE3, high hCG/inhibin-A pattern)</w:t>
            </w:r>
          </w:p>
        </w:tc>
        <w:tc>
          <w:tcPr>
            <w:tcW w:type="dxa" w:w="1036"/>
            <w:vAlign w:val="top"/>
          </w:tcPr>
          <w:p>
            <w:pPr>
              <w:spacing w:after="40" w:before="0" w:line="259" w:lineRule="auto"/>
            </w:pPr>
            <w:r>
              <w:rPr>
                <w:rFonts w:ascii="Calibri" w:hAnsi="Calibri"/>
                <w:b w:val="0"/>
                <w:i w:val="0"/>
                <w:color w:val="212121"/>
                <w:sz w:val="16"/>
              </w:rPr>
              <w:t>Detects ~81% of trisomy 21 pregnancies; useful for late bookers who missed the first-trimester combined test</w:t>
            </w:r>
          </w:p>
        </w:tc>
        <w:tc>
          <w:tcPr>
            <w:tcW w:type="dxa" w:w="1036"/>
            <w:vAlign w:val="top"/>
          </w:tcPr>
          <w:p>
            <w:pPr>
              <w:spacing w:after="40" w:before="0" w:line="259" w:lineRule="auto"/>
            </w:pPr>
            <w:r>
              <w:rPr>
                <w:rFonts w:ascii="Calibri" w:hAnsi="Calibri"/>
                <w:b w:val="0"/>
                <w:i w:val="0"/>
                <w:color w:val="212121"/>
                <w:sz w:val="16"/>
              </w:rPr>
              <w:t>Second-trimester registrants; late antenatal bookers (common in India)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Combined/integrated screening reaches 82–96% detection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Echocardiography (neonatal)</w:t>
            </w:r>
          </w:p>
        </w:tc>
        <w:tc>
          <w:tcPr>
            <w:tcW w:type="dxa" w:w="892"/>
            <w:vAlign w:val="top"/>
          </w:tcPr>
          <w:p>
            <w:pPr>
              <w:spacing w:after="40" w:before="0" w:line="259" w:lineRule="auto"/>
            </w:pPr>
            <w:r>
              <w:rPr>
                <w:rFonts w:ascii="Calibri" w:hAnsi="Calibri"/>
                <w:b w:val="0"/>
                <w:i w:val="0"/>
                <w:color w:val="212121"/>
                <w:sz w:val="16"/>
              </w:rPr>
              <w:t>Cardiac Evaluation</w:t>
            </w:r>
          </w:p>
        </w:tc>
        <w:tc>
          <w:tcPr>
            <w:tcW w:type="dxa" w:w="950"/>
            <w:vAlign w:val="top"/>
          </w:tcPr>
          <w:p>
            <w:pPr>
              <w:spacing w:after="40" w:before="0" w:line="259" w:lineRule="auto"/>
            </w:pPr>
            <w:r>
              <w:rPr>
                <w:rFonts w:ascii="Calibri" w:hAnsi="Calibri"/>
                <w:b w:val="0"/>
                <w:i w:val="0"/>
                <w:color w:val="212121"/>
                <w:sz w:val="16"/>
              </w:rPr>
              <w:t>Structurally normal heart</w:t>
            </w:r>
          </w:p>
        </w:tc>
        <w:tc>
          <w:tcPr>
            <w:tcW w:type="dxa" w:w="950"/>
            <w:vAlign w:val="top"/>
          </w:tcPr>
          <w:p>
            <w:pPr>
              <w:spacing w:after="40" w:before="0" w:line="259" w:lineRule="auto"/>
            </w:pPr>
            <w:r>
              <w:rPr>
                <w:rFonts w:ascii="Calibri" w:hAnsi="Calibri"/>
                <w:b w:val="0"/>
                <w:i w:val="0"/>
                <w:color w:val="212121"/>
                <w:sz w:val="16"/>
              </w:rPr>
              <w:t>AVSD, VSD, ASD, PDA or TOF</w:t>
            </w:r>
          </w:p>
        </w:tc>
        <w:tc>
          <w:tcPr>
            <w:tcW w:type="dxa" w:w="1036"/>
            <w:vAlign w:val="top"/>
          </w:tcPr>
          <w:p>
            <w:pPr>
              <w:spacing w:after="40" w:before="0" w:line="259" w:lineRule="auto"/>
            </w:pPr>
            <w:r>
              <w:rPr>
                <w:rFonts w:ascii="Calibri" w:hAnsi="Calibri"/>
                <w:b w:val="0"/>
                <w:i w:val="0"/>
                <w:color w:val="212121"/>
                <w:sz w:val="16"/>
              </w:rPr>
              <w:t>Detects the congenital heart disease present in 40–50%; timing of surgery before pulmonary vascular disease is the key survival determinant</w:t>
            </w:r>
          </w:p>
        </w:tc>
        <w:tc>
          <w:tcPr>
            <w:tcW w:type="dxa" w:w="1036"/>
            <w:vAlign w:val="top"/>
          </w:tcPr>
          <w:p>
            <w:pPr>
              <w:spacing w:after="40" w:before="0" w:line="259" w:lineRule="auto"/>
            </w:pPr>
            <w:r>
              <w:rPr>
                <w:rFonts w:ascii="Calibri" w:hAnsi="Calibri"/>
                <w:b w:val="0"/>
                <w:i w:val="0"/>
                <w:color w:val="212121"/>
                <w:sz w:val="16"/>
              </w:rPr>
              <w:t>Every newborn with DS, irrespective of murmur</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In the Indian series, AVSD was the single most common lesion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and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Age-appropriate TSH (~0.5–5 mIU/L) with normal FT4</w:t>
            </w:r>
          </w:p>
        </w:tc>
        <w:tc>
          <w:tcPr>
            <w:tcW w:type="dxa" w:w="950"/>
            <w:vAlign w:val="top"/>
          </w:tcPr>
          <w:p>
            <w:pPr>
              <w:spacing w:after="40" w:before="0" w:line="259" w:lineRule="auto"/>
            </w:pPr>
            <w:r>
              <w:rPr>
                <w:rFonts w:ascii="Calibri" w:hAnsi="Calibri"/>
                <w:b w:val="0"/>
                <w:i w:val="0"/>
                <w:color w:val="212121"/>
                <w:sz w:val="16"/>
              </w:rPr>
              <w:t>Raised TSH ± low FT4 (hypothyroidism); suppressed TSH (hyperthyroidism)</w:t>
            </w:r>
          </w:p>
        </w:tc>
        <w:tc>
          <w:tcPr>
            <w:tcW w:type="dxa" w:w="1036"/>
            <w:vAlign w:val="top"/>
          </w:tcPr>
          <w:p>
            <w:pPr>
              <w:spacing w:after="40" w:before="0" w:line="259" w:lineRule="auto"/>
            </w:pPr>
            <w:r>
              <w:rPr>
                <w:rFonts w:ascii="Calibri" w:hAnsi="Calibri"/>
                <w:b w:val="0"/>
                <w:i w:val="0"/>
                <w:color w:val="212121"/>
                <w:sz w:val="16"/>
              </w:rPr>
              <w:t>Detects the thyroid dysfunction seen in up to half; untreated disease mimics and magnifies developmental delay, constipation and weight gain</w:t>
            </w:r>
          </w:p>
        </w:tc>
        <w:tc>
          <w:tcPr>
            <w:tcW w:type="dxa" w:w="1036"/>
            <w:vAlign w:val="top"/>
          </w:tcPr>
          <w:p>
            <w:pPr>
              <w:spacing w:after="40" w:before="0" w:line="259" w:lineRule="auto"/>
            </w:pPr>
            <w:r>
              <w:rPr>
                <w:rFonts w:ascii="Calibri" w:hAnsi="Calibri"/>
                <w:b w:val="0"/>
                <w:i w:val="0"/>
                <w:color w:val="212121"/>
                <w:sz w:val="16"/>
              </w:rPr>
              <w:t>At birth, 6 and 12 months, then annually lifelong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surveillance</w:t>
            </w:r>
          </w:p>
        </w:tc>
        <w:tc>
          <w:tcPr>
            <w:tcW w:type="dxa" w:w="720"/>
            <w:vAlign w:val="top"/>
          </w:tcPr>
          <w:p>
            <w:pPr>
              <w:spacing w:after="40" w:before="0" w:line="259" w:lineRule="auto"/>
            </w:pPr>
            <w:r>
              <w:rPr>
                <w:rFonts w:ascii="Calibri" w:hAnsi="Calibri"/>
                <w:b w:val="0"/>
                <w:i w:val="0"/>
                <w:color w:val="212121"/>
                <w:sz w:val="16"/>
              </w:rPr>
              <w:t>Subclinical hypothyroidism is the most common abnormality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with peripheral smear (at birth)</w:t>
            </w:r>
          </w:p>
        </w:tc>
        <w:tc>
          <w:tcPr>
            <w:tcW w:type="dxa" w:w="892"/>
            <w:vAlign w:val="top"/>
          </w:tcPr>
          <w:p>
            <w:pPr>
              <w:spacing w:after="40" w:before="0" w:line="259" w:lineRule="auto"/>
            </w:pPr>
            <w:r>
              <w:rPr>
                <w:rFonts w:ascii="Calibri" w:hAnsi="Calibri"/>
                <w:b w:val="0"/>
                <w:i w:val="0"/>
                <w:color w:val="212121"/>
                <w:sz w:val="16"/>
              </w:rPr>
              <w:t>Haematological Screen</w:t>
            </w:r>
          </w:p>
        </w:tc>
        <w:tc>
          <w:tcPr>
            <w:tcW w:type="dxa" w:w="950"/>
            <w:vAlign w:val="top"/>
          </w:tcPr>
          <w:p>
            <w:pPr>
              <w:spacing w:after="40" w:before="0" w:line="259" w:lineRule="auto"/>
            </w:pPr>
            <w:r>
              <w:rPr>
                <w:rFonts w:ascii="Calibri" w:hAnsi="Calibri"/>
                <w:b w:val="0"/>
                <w:i w:val="0"/>
                <w:color w:val="212121"/>
                <w:sz w:val="16"/>
              </w:rPr>
              <w:t>No blasts; normal counts for age</w:t>
            </w:r>
          </w:p>
        </w:tc>
        <w:tc>
          <w:tcPr>
            <w:tcW w:type="dxa" w:w="950"/>
            <w:vAlign w:val="top"/>
          </w:tcPr>
          <w:p>
            <w:pPr>
              <w:spacing w:after="40" w:before="0" w:line="259" w:lineRule="auto"/>
            </w:pPr>
            <w:r>
              <w:rPr>
                <w:rFonts w:ascii="Calibri" w:hAnsi="Calibri"/>
                <w:b w:val="0"/>
                <w:i w:val="0"/>
                <w:color w:val="212121"/>
                <w:sz w:val="16"/>
              </w:rPr>
              <w:t>Circulating blasts (TAM), polycythemia, thrombocytopenia</w:t>
            </w:r>
          </w:p>
        </w:tc>
        <w:tc>
          <w:tcPr>
            <w:tcW w:type="dxa" w:w="1036"/>
            <w:vAlign w:val="top"/>
          </w:tcPr>
          <w:p>
            <w:pPr>
              <w:spacing w:after="40" w:before="0" w:line="259" w:lineRule="auto"/>
            </w:pPr>
            <w:r>
              <w:rPr>
                <w:rFonts w:ascii="Calibri" w:hAnsi="Calibri"/>
                <w:b w:val="0"/>
                <w:i w:val="0"/>
                <w:color w:val="212121"/>
                <w:sz w:val="16"/>
              </w:rPr>
              <w:t>Identifies transient abnormal myelopoiesis (~10%) and neonatal polycythemia (~33%); TAM cases need follow-up for later AMKL</w:t>
            </w:r>
          </w:p>
        </w:tc>
        <w:tc>
          <w:tcPr>
            <w:tcW w:type="dxa" w:w="1036"/>
            <w:vAlign w:val="top"/>
          </w:tcPr>
          <w:p>
            <w:pPr>
              <w:spacing w:after="40" w:before="0" w:line="259" w:lineRule="auto"/>
            </w:pPr>
            <w:r>
              <w:rPr>
                <w:rFonts w:ascii="Calibri" w:hAnsi="Calibri"/>
                <w:b w:val="0"/>
                <w:i w:val="0"/>
                <w:color w:val="212121"/>
                <w:sz w:val="16"/>
              </w:rPr>
              <w:t>All newborns with DS; repeat if bruising, pallor or hepatosplenomegaly appear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surveillance</w:t>
            </w:r>
          </w:p>
        </w:tc>
        <w:tc>
          <w:tcPr>
            <w:tcW w:type="dxa" w:w="720"/>
            <w:vAlign w:val="top"/>
          </w:tcPr>
          <w:p>
            <w:pPr>
              <w:spacing w:after="40" w:before="0" w:line="259" w:lineRule="auto"/>
            </w:pPr>
            <w:r>
              <w:rPr>
                <w:rFonts w:ascii="Calibri" w:hAnsi="Calibri"/>
                <w:b w:val="0"/>
                <w:i w:val="0"/>
                <w:color w:val="212121"/>
                <w:sz w:val="16"/>
              </w:rPr>
              <w:t>20–30% of TAM evolves to myeloid leukemia of DS in early childhood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Serological</w:t>
            </w:r>
          </w:p>
        </w:tc>
        <w:tc>
          <w:tcPr>
            <w:tcW w:type="dxa" w:w="1036"/>
            <w:vAlign w:val="top"/>
          </w:tcPr>
          <w:p>
            <w:pPr>
              <w:spacing w:after="40" w:before="0" w:line="259" w:lineRule="auto"/>
            </w:pPr>
            <w:r>
              <w:rPr>
                <w:rFonts w:ascii="Calibri" w:hAnsi="Calibri"/>
                <w:b w:val="0"/>
                <w:i w:val="0"/>
                <w:color w:val="212121"/>
                <w:sz w:val="16"/>
              </w:rPr>
              <w:t>Tissue transglutaminase IgA with total IgA</w:t>
            </w:r>
          </w:p>
        </w:tc>
        <w:tc>
          <w:tcPr>
            <w:tcW w:type="dxa" w:w="892"/>
            <w:vAlign w:val="top"/>
          </w:tcPr>
          <w:p>
            <w:pPr>
              <w:spacing w:after="40" w:before="0" w:line="259" w:lineRule="auto"/>
            </w:pPr>
            <w:r>
              <w:rPr>
                <w:rFonts w:ascii="Calibri" w:hAnsi="Calibri"/>
                <w:b w:val="0"/>
                <w:i w:val="0"/>
                <w:color w:val="212121"/>
                <w:sz w:val="16"/>
              </w:rPr>
              <w:t>Celiac Screen</w:t>
            </w:r>
          </w:p>
        </w:tc>
        <w:tc>
          <w:tcPr>
            <w:tcW w:type="dxa" w:w="950"/>
            <w:vAlign w:val="top"/>
          </w:tcPr>
          <w:p>
            <w:pPr>
              <w:spacing w:after="40" w:before="0" w:line="259" w:lineRule="auto"/>
            </w:pPr>
            <w:r>
              <w:rPr>
                <w:rFonts w:ascii="Calibri" w:hAnsi="Calibri"/>
                <w:b w:val="0"/>
                <w:i w:val="0"/>
                <w:color w:val="212121"/>
                <w:sz w:val="16"/>
              </w:rPr>
              <w:t>tTG-IgA negative with normal total IgA</w:t>
            </w:r>
          </w:p>
        </w:tc>
        <w:tc>
          <w:tcPr>
            <w:tcW w:type="dxa" w:w="950"/>
            <w:vAlign w:val="top"/>
          </w:tcPr>
          <w:p>
            <w:pPr>
              <w:spacing w:after="40" w:before="0" w:line="259" w:lineRule="auto"/>
            </w:pPr>
            <w:r>
              <w:rPr>
                <w:rFonts w:ascii="Calibri" w:hAnsi="Calibri"/>
                <w:b w:val="0"/>
                <w:i w:val="0"/>
                <w:color w:val="212121"/>
                <w:sz w:val="16"/>
              </w:rPr>
              <w:t>Elevated tTG-IgA (or IgG-based test if IgA deficient)</w:t>
            </w:r>
          </w:p>
        </w:tc>
        <w:tc>
          <w:tcPr>
            <w:tcW w:type="dxa" w:w="1036"/>
            <w:vAlign w:val="top"/>
          </w:tcPr>
          <w:p>
            <w:pPr>
              <w:spacing w:after="40" w:before="0" w:line="259" w:lineRule="auto"/>
            </w:pPr>
            <w:r>
              <w:rPr>
                <w:rFonts w:ascii="Calibri" w:hAnsi="Calibri"/>
                <w:b w:val="0"/>
                <w:i w:val="0"/>
                <w:color w:val="212121"/>
                <w:sz w:val="16"/>
              </w:rPr>
              <w:t>Confirms suspicion of celiac disease (1–5% of children with DS), which often presents atypically</w:t>
            </w:r>
          </w:p>
        </w:tc>
        <w:tc>
          <w:tcPr>
            <w:tcW w:type="dxa" w:w="1036"/>
            <w:vAlign w:val="top"/>
          </w:tcPr>
          <w:p>
            <w:pPr>
              <w:spacing w:after="40" w:before="0" w:line="259" w:lineRule="auto"/>
            </w:pPr>
            <w:r>
              <w:rPr>
                <w:rFonts w:ascii="Calibri" w:hAnsi="Calibri"/>
                <w:b w:val="0"/>
                <w:i w:val="0"/>
                <w:color w:val="212121"/>
                <w:sz w:val="16"/>
              </w:rPr>
              <w:t>Symptomatic children on gluten-containing diets (poor growth, constipation, behaviour change)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Screen only while gluten is still in the diet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OAE/BERA in infancy, then behavioural audiometry</w:t>
            </w:r>
          </w:p>
        </w:tc>
        <w:tc>
          <w:tcPr>
            <w:tcW w:type="dxa" w:w="892"/>
            <w:vAlign w:val="top"/>
          </w:tcPr>
          <w:p>
            <w:pPr>
              <w:spacing w:after="40" w:before="0" w:line="259" w:lineRule="auto"/>
            </w:pPr>
            <w:r>
              <w:rPr>
                <w:rFonts w:ascii="Calibri" w:hAnsi="Calibri"/>
                <w:b w:val="0"/>
                <w:i w:val="0"/>
                <w:color w:val="212121"/>
                <w:sz w:val="16"/>
              </w:rPr>
              <w:t>Hearing Assessment</w:t>
            </w:r>
          </w:p>
        </w:tc>
        <w:tc>
          <w:tcPr>
            <w:tcW w:type="dxa" w:w="950"/>
            <w:vAlign w:val="top"/>
          </w:tcPr>
          <w:p>
            <w:pPr>
              <w:spacing w:after="40" w:before="0" w:line="259" w:lineRule="auto"/>
            </w:pPr>
            <w:r>
              <w:rPr>
                <w:rFonts w:ascii="Calibri" w:hAnsi="Calibri"/>
                <w:b w:val="0"/>
                <w:i w:val="0"/>
                <w:color w:val="212121"/>
                <w:sz w:val="16"/>
              </w:rPr>
              <w:t>Pass on OAE/ABR; thresholds ≤ 20 dB HL</w:t>
            </w:r>
          </w:p>
        </w:tc>
        <w:tc>
          <w:tcPr>
            <w:tcW w:type="dxa" w:w="950"/>
            <w:vAlign w:val="top"/>
          </w:tcPr>
          <w:p>
            <w:pPr>
              <w:spacing w:after="40" w:before="0" w:line="259" w:lineRule="auto"/>
            </w:pPr>
            <w:r>
              <w:rPr>
                <w:rFonts w:ascii="Calibri" w:hAnsi="Calibri"/>
                <w:b w:val="0"/>
                <w:i w:val="0"/>
                <w:color w:val="212121"/>
                <w:sz w:val="16"/>
              </w:rPr>
              <w:t>Refer result; conductive or sensorineural loss</w:t>
            </w:r>
          </w:p>
        </w:tc>
        <w:tc>
          <w:tcPr>
            <w:tcW w:type="dxa" w:w="1036"/>
            <w:vAlign w:val="top"/>
          </w:tcPr>
          <w:p>
            <w:pPr>
              <w:spacing w:after="40" w:before="0" w:line="259" w:lineRule="auto"/>
            </w:pPr>
            <w:r>
              <w:rPr>
                <w:rFonts w:ascii="Calibri" w:hAnsi="Calibri"/>
                <w:b w:val="0"/>
                <w:i w:val="0"/>
                <w:color w:val="212121"/>
                <w:sz w:val="16"/>
              </w:rPr>
              <w:t>Hearing problems affect ~75%, mostly conductive from otitis media with effusion; undetected loss silently worsens speech and cognition</w:t>
            </w:r>
          </w:p>
        </w:tc>
        <w:tc>
          <w:tcPr>
            <w:tcW w:type="dxa" w:w="1036"/>
            <w:vAlign w:val="top"/>
          </w:tcPr>
          <w:p>
            <w:pPr>
              <w:spacing w:after="40" w:before="0" w:line="259" w:lineRule="auto"/>
            </w:pPr>
            <w:r>
              <w:rPr>
                <w:rFonts w:ascii="Calibri" w:hAnsi="Calibri"/>
                <w:b w:val="0"/>
                <w:i w:val="0"/>
                <w:color w:val="212121"/>
                <w:sz w:val="16"/>
              </w:rPr>
              <w:t>Newborn screen, 6-monthly until 5 years, then annually</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Essential surveillance</w:t>
            </w:r>
          </w:p>
        </w:tc>
        <w:tc>
          <w:tcPr>
            <w:tcW w:type="dxa" w:w="720"/>
            <w:vAlign w:val="top"/>
          </w:tcPr>
          <w:p>
            <w:pPr>
              <w:spacing w:after="40" w:before="0" w:line="259" w:lineRule="auto"/>
            </w:pPr>
            <w:r>
              <w:rPr>
                <w:rFonts w:ascii="Calibri" w:hAnsi="Calibri"/>
                <w:b w:val="0"/>
                <w:i w:val="0"/>
                <w:color w:val="212121"/>
                <w:sz w:val="16"/>
              </w:rPr>
              <w:t>Narrow ear canals make routine otoscopy difficult — low threshold for ENT referral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Antenatal &amp; maternal history</w:t>
            </w:r>
          </w:p>
        </w:tc>
        <w:tc>
          <w:tcPr>
            <w:tcW w:type="dxa" w:w="979"/>
            <w:vAlign w:val="top"/>
          </w:tcPr>
          <w:p>
            <w:pPr>
              <w:spacing w:after="40" w:before="0" w:line="259" w:lineRule="auto"/>
            </w:pPr>
            <w:r>
              <w:rPr>
                <w:rFonts w:ascii="Calibri" w:hAnsi="Calibri"/>
                <w:b w:val="0"/>
                <w:i w:val="0"/>
                <w:color w:val="212121"/>
                <w:sz w:val="16"/>
              </w:rPr>
              <w:t>Maternal age, screening/NIPT results, polyhydramnios or 'double-bubble' on antenatal scans</w:t>
            </w:r>
          </w:p>
        </w:tc>
        <w:tc>
          <w:tcPr>
            <w:tcW w:type="dxa" w:w="950"/>
            <w:vAlign w:val="top"/>
          </w:tcPr>
          <w:p>
            <w:pPr>
              <w:spacing w:after="40" w:before="0" w:line="259" w:lineRule="auto"/>
            </w:pPr>
            <w:r>
              <w:rPr>
                <w:rFonts w:ascii="Calibri" w:hAnsi="Calibri"/>
                <w:b w:val="0"/>
                <w:i w:val="0"/>
                <w:color w:val="212121"/>
                <w:sz w:val="16"/>
              </w:rPr>
              <w:t>Low-risk screening, unremarkable scans</w:t>
            </w:r>
          </w:p>
        </w:tc>
        <w:tc>
          <w:tcPr>
            <w:tcW w:type="dxa" w:w="950"/>
            <w:vAlign w:val="top"/>
          </w:tcPr>
          <w:p>
            <w:pPr>
              <w:spacing w:after="40" w:before="0" w:line="259" w:lineRule="auto"/>
            </w:pPr>
            <w:r>
              <w:rPr>
                <w:rFonts w:ascii="Calibri" w:hAnsi="Calibri"/>
                <w:b w:val="0"/>
                <w:i w:val="0"/>
                <w:color w:val="212121"/>
                <w:sz w:val="16"/>
              </w:rPr>
              <w:t>Maternal age ≥ 35, screen-positive result, soft markers or duodenal atresia signs</w:t>
            </w:r>
          </w:p>
        </w:tc>
        <w:tc>
          <w:tcPr>
            <w:tcW w:type="dxa" w:w="1036"/>
            <w:vAlign w:val="top"/>
          </w:tcPr>
          <w:p>
            <w:pPr>
              <w:spacing w:after="40" w:before="0" w:line="259" w:lineRule="auto"/>
            </w:pPr>
            <w:r>
              <w:rPr>
                <w:rFonts w:ascii="Calibri" w:hAnsi="Calibri"/>
                <w:b w:val="0"/>
                <w:i w:val="0"/>
                <w:color w:val="212121"/>
                <w:sz w:val="16"/>
              </w:rPr>
              <w:t>Frames prior probability and directs confirmatory cytogenetics at birth</w:t>
            </w:r>
          </w:p>
        </w:tc>
        <w:tc>
          <w:tcPr>
            <w:tcW w:type="dxa" w:w="1036"/>
            <w:vAlign w:val="top"/>
          </w:tcPr>
          <w:p>
            <w:pPr>
              <w:spacing w:after="40" w:before="0" w:line="259" w:lineRule="auto"/>
            </w:pPr>
            <w:r>
              <w:rPr>
                <w:rFonts w:ascii="Calibri" w:hAnsi="Calibri"/>
                <w:b w:val="0"/>
                <w:i w:val="0"/>
                <w:color w:val="212121"/>
                <w:sz w:val="16"/>
              </w:rPr>
              <w:t>All newborns with suggestive features; older mothers; screen-positive pregnancies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Document whether screening was offered and completed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history</w:t>
            </w:r>
          </w:p>
        </w:tc>
        <w:tc>
          <w:tcPr>
            <w:tcW w:type="dxa" w:w="979"/>
            <w:vAlign w:val="top"/>
          </w:tcPr>
          <w:p>
            <w:pPr>
              <w:spacing w:after="40" w:before="0" w:line="259" w:lineRule="auto"/>
            </w:pPr>
            <w:r>
              <w:rPr>
                <w:rFonts w:ascii="Calibri" w:hAnsi="Calibri"/>
                <w:b w:val="0"/>
                <w:i w:val="0"/>
                <w:color w:val="212121"/>
                <w:sz w:val="16"/>
              </w:rPr>
              <w:t>Motor, speech and social milestones against age</w:t>
            </w:r>
          </w:p>
        </w:tc>
        <w:tc>
          <w:tcPr>
            <w:tcW w:type="dxa" w:w="950"/>
            <w:vAlign w:val="top"/>
          </w:tcPr>
          <w:p>
            <w:pPr>
              <w:spacing w:after="40" w:before="0" w:line="259" w:lineRule="auto"/>
            </w:pPr>
            <w:r>
              <w:rPr>
                <w:rFonts w:ascii="Calibri" w:hAnsi="Calibri"/>
                <w:b w:val="0"/>
                <w:i w:val="0"/>
                <w:color w:val="212121"/>
                <w:sz w:val="16"/>
              </w:rPr>
              <w:t>Milestones within expected windows</w:t>
            </w:r>
          </w:p>
        </w:tc>
        <w:tc>
          <w:tcPr>
            <w:tcW w:type="dxa" w:w="950"/>
            <w:vAlign w:val="top"/>
          </w:tcPr>
          <w:p>
            <w:pPr>
              <w:spacing w:after="40" w:before="0" w:line="259" w:lineRule="auto"/>
            </w:pPr>
            <w:r>
              <w:rPr>
                <w:rFonts w:ascii="Calibri" w:hAnsi="Calibri"/>
                <w:b w:val="0"/>
                <w:i w:val="0"/>
                <w:color w:val="212121"/>
                <w:sz w:val="16"/>
              </w:rPr>
              <w:t>Delayed head control, sitting, walking; late or unclear speech</w:t>
            </w:r>
          </w:p>
        </w:tc>
        <w:tc>
          <w:tcPr>
            <w:tcW w:type="dxa" w:w="1036"/>
            <w:vAlign w:val="top"/>
          </w:tcPr>
          <w:p>
            <w:pPr>
              <w:spacing w:after="40" w:before="0" w:line="259" w:lineRule="auto"/>
            </w:pPr>
            <w:r>
              <w:rPr>
                <w:rFonts w:ascii="Calibri" w:hAnsi="Calibri"/>
                <w:b w:val="0"/>
                <w:i w:val="0"/>
                <w:color w:val="212121"/>
                <w:sz w:val="16"/>
              </w:rPr>
              <w:t>Quantifies the degree of developmental delay and anchors the early-intervention plan</w:t>
            </w:r>
          </w:p>
        </w:tc>
        <w:tc>
          <w:tcPr>
            <w:tcW w:type="dxa" w:w="1036"/>
            <w:vAlign w:val="top"/>
          </w:tcPr>
          <w:p>
            <w:pPr>
              <w:spacing w:after="40" w:before="0" w:line="259" w:lineRule="auto"/>
            </w:pPr>
            <w:r>
              <w:rPr>
                <w:rFonts w:ascii="Calibri" w:hAnsi="Calibri"/>
                <w:b w:val="0"/>
                <w:i w:val="0"/>
                <w:color w:val="212121"/>
                <w:sz w:val="16"/>
              </w:rPr>
              <w:t>All infants and children with DS at every visit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Serial documentation is the baseline against which regression is judged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and behaviour history</w:t>
            </w:r>
          </w:p>
        </w:tc>
        <w:tc>
          <w:tcPr>
            <w:tcW w:type="dxa" w:w="979"/>
            <w:vAlign w:val="top"/>
          </w:tcPr>
          <w:p>
            <w:pPr>
              <w:spacing w:after="40" w:before="0" w:line="259" w:lineRule="auto"/>
            </w:pPr>
            <w:r>
              <w:rPr>
                <w:rFonts w:ascii="Calibri" w:hAnsi="Calibri"/>
                <w:b w:val="0"/>
                <w:i w:val="0"/>
                <w:color w:val="212121"/>
                <w:sz w:val="16"/>
              </w:rPr>
              <w:t>Snoring, witnessed apnoeas, restless sleep, daytime somnolence, behaviour change</w:t>
            </w:r>
          </w:p>
        </w:tc>
        <w:tc>
          <w:tcPr>
            <w:tcW w:type="dxa" w:w="950"/>
            <w:vAlign w:val="top"/>
          </w:tcPr>
          <w:p>
            <w:pPr>
              <w:spacing w:after="40" w:before="0" w:line="259" w:lineRule="auto"/>
            </w:pPr>
            <w:r>
              <w:rPr>
                <w:rFonts w:ascii="Calibri" w:hAnsi="Calibri"/>
                <w:b w:val="0"/>
                <w:i w:val="0"/>
                <w:color w:val="212121"/>
                <w:sz w:val="16"/>
              </w:rPr>
              <w:t>Quiet, consolidated sleep; stable behaviour</w:t>
            </w:r>
          </w:p>
        </w:tc>
        <w:tc>
          <w:tcPr>
            <w:tcW w:type="dxa" w:w="950"/>
            <w:vAlign w:val="top"/>
          </w:tcPr>
          <w:p>
            <w:pPr>
              <w:spacing w:after="40" w:before="0" w:line="259" w:lineRule="auto"/>
            </w:pPr>
            <w:r>
              <w:rPr>
                <w:rFonts w:ascii="Calibri" w:hAnsi="Calibri"/>
                <w:b w:val="0"/>
                <w:i w:val="0"/>
                <w:color w:val="212121"/>
                <w:sz w:val="16"/>
              </w:rPr>
              <w:t>Habitual snoring, apnoeic pauses, unrefreshing sleep, new irritability or skill loss</w:t>
            </w:r>
          </w:p>
        </w:tc>
        <w:tc>
          <w:tcPr>
            <w:tcW w:type="dxa" w:w="1036"/>
            <w:vAlign w:val="top"/>
          </w:tcPr>
          <w:p>
            <w:pPr>
              <w:spacing w:after="40" w:before="0" w:line="259" w:lineRule="auto"/>
            </w:pPr>
            <w:r>
              <w:rPr>
                <w:rFonts w:ascii="Calibri" w:hAnsi="Calibri"/>
                <w:b w:val="0"/>
                <w:i w:val="0"/>
                <w:color w:val="212121"/>
                <w:sz w:val="16"/>
              </w:rPr>
              <w:t>Flags obstructive sleep apnea and mental-health deterioration — the two most treatable causes of functional decline</w:t>
            </w:r>
          </w:p>
        </w:tc>
        <w:tc>
          <w:tcPr>
            <w:tcW w:type="dxa" w:w="1036"/>
            <w:vAlign w:val="top"/>
          </w:tcPr>
          <w:p>
            <w:pPr>
              <w:spacing w:after="40" w:before="0" w:line="259" w:lineRule="auto"/>
            </w:pPr>
            <w:r>
              <w:rPr>
                <w:rFonts w:ascii="Calibri" w:hAnsi="Calibri"/>
                <w:b w:val="0"/>
                <w:i w:val="0"/>
                <w:color w:val="212121"/>
                <w:sz w:val="16"/>
              </w:rPr>
              <w:t>All children (PSG by age 4) and adults with DS</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Caregiver report alone under-detects OSA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Dysmorphology assessment</w:t>
            </w:r>
          </w:p>
        </w:tc>
        <w:tc>
          <w:tcPr>
            <w:tcW w:type="dxa" w:w="979"/>
            <w:vAlign w:val="top"/>
          </w:tcPr>
          <w:p>
            <w:pPr>
              <w:spacing w:after="40" w:before="0" w:line="259" w:lineRule="auto"/>
            </w:pPr>
            <w:r>
              <w:rPr>
                <w:rFonts w:ascii="Calibri" w:hAnsi="Calibri"/>
                <w:b w:val="0"/>
                <w:i w:val="0"/>
                <w:color w:val="212121"/>
                <w:sz w:val="16"/>
              </w:rPr>
              <w:t>Flat facial profile, upslanting palpebral fissures, epicanthic folds, small ears, excess nuchal skin, single transverse palmar crease, 5th-finger clinodactyly, sandal gap</w:t>
            </w:r>
          </w:p>
        </w:tc>
        <w:tc>
          <w:tcPr>
            <w:tcW w:type="dxa" w:w="950"/>
            <w:vAlign w:val="top"/>
          </w:tcPr>
          <w:p>
            <w:pPr>
              <w:spacing w:after="40" w:before="0" w:line="259" w:lineRule="auto"/>
            </w:pPr>
            <w:r>
              <w:rPr>
                <w:rFonts w:ascii="Calibri" w:hAnsi="Calibri"/>
                <w:b w:val="0"/>
                <w:i w:val="0"/>
                <w:color w:val="212121"/>
                <w:sz w:val="16"/>
              </w:rPr>
              <w:t>None of the cardinal features</w:t>
            </w:r>
          </w:p>
        </w:tc>
        <w:tc>
          <w:tcPr>
            <w:tcW w:type="dxa" w:w="950"/>
            <w:vAlign w:val="top"/>
          </w:tcPr>
          <w:p>
            <w:pPr>
              <w:spacing w:after="40" w:before="0" w:line="259" w:lineRule="auto"/>
            </w:pPr>
            <w:r>
              <w:rPr>
                <w:rFonts w:ascii="Calibri" w:hAnsi="Calibri"/>
                <w:b w:val="0"/>
                <w:i w:val="0"/>
                <w:color w:val="212121"/>
                <w:sz w:val="16"/>
              </w:rPr>
              <w:t>Clustering of multiple cardinal features</w:t>
            </w:r>
          </w:p>
        </w:tc>
        <w:tc>
          <w:tcPr>
            <w:tcW w:type="dxa" w:w="1036"/>
            <w:vAlign w:val="top"/>
          </w:tcPr>
          <w:p>
            <w:pPr>
              <w:spacing w:after="40" w:before="0" w:line="259" w:lineRule="auto"/>
            </w:pPr>
            <w:r>
              <w:rPr>
                <w:rFonts w:ascii="Calibri" w:hAnsi="Calibri"/>
                <w:b w:val="0"/>
                <w:i w:val="0"/>
                <w:color w:val="212121"/>
                <w:sz w:val="16"/>
              </w:rPr>
              <w:t>A recognizable cluster gives high clinical suspicion at birth — but karyotype confirmation is always required</w:t>
            </w:r>
          </w:p>
        </w:tc>
        <w:tc>
          <w:tcPr>
            <w:tcW w:type="dxa" w:w="1036"/>
            <w:vAlign w:val="top"/>
          </w:tcPr>
          <w:p>
            <w:pPr>
              <w:spacing w:after="40" w:before="0" w:line="259" w:lineRule="auto"/>
            </w:pPr>
            <w:r>
              <w:rPr>
                <w:rFonts w:ascii="Calibri" w:hAnsi="Calibri"/>
                <w:b w:val="0"/>
                <w:i w:val="0"/>
                <w:color w:val="212121"/>
                <w:sz w:val="16"/>
              </w:rPr>
              <w:t>All newborns with suspected DS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 single feature is diagnostic in isolation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Neuromuscular examination</w:t>
            </w:r>
          </w:p>
        </w:tc>
        <w:tc>
          <w:tcPr>
            <w:tcW w:type="dxa" w:w="979"/>
            <w:vAlign w:val="top"/>
          </w:tcPr>
          <w:p>
            <w:pPr>
              <w:spacing w:after="40" w:before="0" w:line="259" w:lineRule="auto"/>
            </w:pPr>
            <w:r>
              <w:rPr>
                <w:rFonts w:ascii="Calibri" w:hAnsi="Calibri"/>
                <w:b w:val="0"/>
                <w:i w:val="0"/>
                <w:color w:val="212121"/>
                <w:sz w:val="16"/>
              </w:rPr>
              <w:t>Tone, Moro reflex, ligamentous laxity; later gait, reflexes, clonus</w:t>
            </w:r>
          </w:p>
        </w:tc>
        <w:tc>
          <w:tcPr>
            <w:tcW w:type="dxa" w:w="950"/>
            <w:vAlign w:val="top"/>
          </w:tcPr>
          <w:p>
            <w:pPr>
              <w:spacing w:after="40" w:before="0" w:line="259" w:lineRule="auto"/>
            </w:pPr>
            <w:r>
              <w:rPr>
                <w:rFonts w:ascii="Calibri" w:hAnsi="Calibri"/>
                <w:b w:val="0"/>
                <w:i w:val="0"/>
                <w:color w:val="212121"/>
                <w:sz w:val="16"/>
              </w:rPr>
              <w:t>Normal tone and reflexes</w:t>
            </w:r>
          </w:p>
        </w:tc>
        <w:tc>
          <w:tcPr>
            <w:tcW w:type="dxa" w:w="950"/>
            <w:vAlign w:val="top"/>
          </w:tcPr>
          <w:p>
            <w:pPr>
              <w:spacing w:after="40" w:before="0" w:line="259" w:lineRule="auto"/>
            </w:pPr>
            <w:r>
              <w:rPr>
                <w:rFonts w:ascii="Calibri" w:hAnsi="Calibri"/>
                <w:b w:val="0"/>
                <w:i w:val="0"/>
                <w:color w:val="212121"/>
                <w:sz w:val="16"/>
              </w:rPr>
              <w:t>Generalized hypotonia and poor Moro in infancy; hyperreflexia/clonus, gait change or torticollis later</w:t>
            </w:r>
          </w:p>
        </w:tc>
        <w:tc>
          <w:tcPr>
            <w:tcW w:type="dxa" w:w="1036"/>
            <w:vAlign w:val="top"/>
          </w:tcPr>
          <w:p>
            <w:pPr>
              <w:spacing w:after="40" w:before="0" w:line="259" w:lineRule="auto"/>
            </w:pPr>
            <w:r>
              <w:rPr>
                <w:rFonts w:ascii="Calibri" w:hAnsi="Calibri"/>
                <w:b w:val="0"/>
                <w:i w:val="0"/>
                <w:color w:val="212121"/>
                <w:sz w:val="16"/>
              </w:rPr>
              <w:t>Hypotonia supports the diagnosis; new upper-motor-neuron signs are a red flag for atlantoaxial cord compression</w:t>
            </w:r>
          </w:p>
        </w:tc>
        <w:tc>
          <w:tcPr>
            <w:tcW w:type="dxa" w:w="1036"/>
            <w:vAlign w:val="top"/>
          </w:tcPr>
          <w:p>
            <w:pPr>
              <w:spacing w:after="40" w:before="0" w:line="259" w:lineRule="auto"/>
            </w:pPr>
            <w:r>
              <w:rPr>
                <w:rFonts w:ascii="Calibri" w:hAnsi="Calibri"/>
                <w:b w:val="0"/>
                <w:i w:val="0"/>
                <w:color w:val="212121"/>
                <w:sz w:val="16"/>
              </w:rPr>
              <w:t>All ages; urgent assessment if neck pain or gait deterioration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Essential surveillance</w:t>
            </w:r>
          </w:p>
        </w:tc>
        <w:tc>
          <w:tcPr>
            <w:tcW w:type="dxa" w:w="720"/>
            <w:vAlign w:val="top"/>
          </w:tcPr>
          <w:p>
            <w:pPr>
              <w:spacing w:after="40" w:before="0" w:line="259" w:lineRule="auto"/>
            </w:pPr>
            <w:r>
              <w:rPr>
                <w:rFonts w:ascii="Calibri" w:hAnsi="Calibri"/>
                <w:b w:val="0"/>
                <w:i w:val="0"/>
                <w:color w:val="212121"/>
                <w:sz w:val="16"/>
              </w:rPr>
              <w:t>Keep the neck in neutral position for anaesthesia and sports clearance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Cardiorespiratory examination</w:t>
            </w:r>
          </w:p>
        </w:tc>
        <w:tc>
          <w:tcPr>
            <w:tcW w:type="dxa" w:w="979"/>
            <w:vAlign w:val="top"/>
          </w:tcPr>
          <w:p>
            <w:pPr>
              <w:spacing w:after="40" w:before="0" w:line="259" w:lineRule="auto"/>
            </w:pPr>
            <w:r>
              <w:rPr>
                <w:rFonts w:ascii="Calibri" w:hAnsi="Calibri"/>
                <w:b w:val="0"/>
                <w:i w:val="0"/>
                <w:color w:val="212121"/>
                <w:sz w:val="16"/>
              </w:rPr>
              <w:t>Murmur, fixed split S2, cyanosis, tachypnoea during feeds, oxygen saturation</w:t>
            </w:r>
          </w:p>
        </w:tc>
        <w:tc>
          <w:tcPr>
            <w:tcW w:type="dxa" w:w="950"/>
            <w:vAlign w:val="top"/>
          </w:tcPr>
          <w:p>
            <w:pPr>
              <w:spacing w:after="40" w:before="0" w:line="259" w:lineRule="auto"/>
            </w:pPr>
            <w:r>
              <w:rPr>
                <w:rFonts w:ascii="Calibri" w:hAnsi="Calibri"/>
                <w:b w:val="0"/>
                <w:i w:val="0"/>
                <w:color w:val="212121"/>
                <w:sz w:val="16"/>
              </w:rPr>
              <w:t>No murmur; SpO2 ≥ 95%; feeds without distress</w:t>
            </w:r>
          </w:p>
        </w:tc>
        <w:tc>
          <w:tcPr>
            <w:tcW w:type="dxa" w:w="950"/>
            <w:vAlign w:val="top"/>
          </w:tcPr>
          <w:p>
            <w:pPr>
              <w:spacing w:after="40" w:before="0" w:line="259" w:lineRule="auto"/>
            </w:pPr>
            <w:r>
              <w:rPr>
                <w:rFonts w:ascii="Calibri" w:hAnsi="Calibri"/>
                <w:b w:val="0"/>
                <w:i w:val="0"/>
                <w:color w:val="212121"/>
                <w:sz w:val="16"/>
              </w:rPr>
              <w:t>Murmur, desaturation, sweating or breathlessness with feeds, failure to thrive</w:t>
            </w:r>
          </w:p>
        </w:tc>
        <w:tc>
          <w:tcPr>
            <w:tcW w:type="dxa" w:w="1036"/>
            <w:vAlign w:val="top"/>
          </w:tcPr>
          <w:p>
            <w:pPr>
              <w:spacing w:after="40" w:before="0" w:line="259" w:lineRule="auto"/>
            </w:pPr>
            <w:r>
              <w:rPr>
                <w:rFonts w:ascii="Calibri" w:hAnsi="Calibri"/>
                <w:b w:val="0"/>
                <w:i w:val="0"/>
                <w:color w:val="212121"/>
                <w:sz w:val="16"/>
              </w:rPr>
              <w:t>Clinical signs of the septal defects that determine early survival — though a normal examination never excludes CHD in DS</w:t>
            </w:r>
          </w:p>
        </w:tc>
        <w:tc>
          <w:tcPr>
            <w:tcW w:type="dxa" w:w="1036"/>
            <w:vAlign w:val="top"/>
          </w:tcPr>
          <w:p>
            <w:pPr>
              <w:spacing w:after="40" w:before="0" w:line="259" w:lineRule="auto"/>
            </w:pPr>
            <w:r>
              <w:rPr>
                <w:rFonts w:ascii="Calibri" w:hAnsi="Calibri"/>
                <w:b w:val="0"/>
                <w:i w:val="0"/>
                <w:color w:val="212121"/>
                <w:sz w:val="16"/>
              </w:rPr>
              <w:t>Every newborn and infant with DS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Essential surveillance</w:t>
            </w:r>
          </w:p>
        </w:tc>
        <w:tc>
          <w:tcPr>
            <w:tcW w:type="dxa" w:w="720"/>
            <w:vAlign w:val="top"/>
          </w:tcPr>
          <w:p>
            <w:pPr>
              <w:spacing w:after="40" w:before="0" w:line="259" w:lineRule="auto"/>
            </w:pPr>
            <w:r>
              <w:rPr>
                <w:rFonts w:ascii="Calibri" w:hAnsi="Calibri"/>
                <w:b w:val="0"/>
                <w:i w:val="0"/>
                <w:color w:val="212121"/>
                <w:sz w:val="16"/>
              </w:rPr>
              <w:t>Echocardiography is mandatory regardless of findings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Eye examination</w:t>
            </w:r>
          </w:p>
        </w:tc>
        <w:tc>
          <w:tcPr>
            <w:tcW w:type="dxa" w:w="979"/>
            <w:vAlign w:val="top"/>
          </w:tcPr>
          <w:p>
            <w:pPr>
              <w:spacing w:after="40" w:before="0" w:line="259" w:lineRule="auto"/>
            </w:pPr>
            <w:r>
              <w:rPr>
                <w:rFonts w:ascii="Calibri" w:hAnsi="Calibri"/>
                <w:b w:val="0"/>
                <w:i w:val="0"/>
                <w:color w:val="212121"/>
                <w:sz w:val="16"/>
              </w:rPr>
              <w:t>Red reflex, ocular alignment, nystagmus, visual behaviour</w:t>
            </w:r>
          </w:p>
        </w:tc>
        <w:tc>
          <w:tcPr>
            <w:tcW w:type="dxa" w:w="950"/>
            <w:vAlign w:val="top"/>
          </w:tcPr>
          <w:p>
            <w:pPr>
              <w:spacing w:after="40" w:before="0" w:line="259" w:lineRule="auto"/>
            </w:pPr>
            <w:r>
              <w:rPr>
                <w:rFonts w:ascii="Calibri" w:hAnsi="Calibri"/>
                <w:b w:val="0"/>
                <w:i w:val="0"/>
                <w:color w:val="212121"/>
                <w:sz w:val="16"/>
              </w:rPr>
              <w:t>Bilateral red reflex, orthophoria, age-appropriate visual behaviour</w:t>
            </w:r>
          </w:p>
        </w:tc>
        <w:tc>
          <w:tcPr>
            <w:tcW w:type="dxa" w:w="950"/>
            <w:vAlign w:val="top"/>
          </w:tcPr>
          <w:p>
            <w:pPr>
              <w:spacing w:after="40" w:before="0" w:line="259" w:lineRule="auto"/>
            </w:pPr>
            <w:r>
              <w:rPr>
                <w:rFonts w:ascii="Calibri" w:hAnsi="Calibri"/>
                <w:b w:val="0"/>
                <w:i w:val="0"/>
                <w:color w:val="212121"/>
                <w:sz w:val="16"/>
              </w:rPr>
              <w:t>Absent red reflex (cataract ~3%), squint (strabismus ~36%), nystagmus, refractive symptoms</w:t>
            </w:r>
          </w:p>
        </w:tc>
        <w:tc>
          <w:tcPr>
            <w:tcW w:type="dxa" w:w="1036"/>
            <w:vAlign w:val="top"/>
          </w:tcPr>
          <w:p>
            <w:pPr>
              <w:spacing w:after="40" w:before="0" w:line="259" w:lineRule="auto"/>
            </w:pPr>
            <w:r>
              <w:rPr>
                <w:rFonts w:ascii="Calibri" w:hAnsi="Calibri"/>
                <w:b w:val="0"/>
                <w:i w:val="0"/>
                <w:color w:val="212121"/>
                <w:sz w:val="16"/>
              </w:rPr>
              <w:t>Vision problems affect 60–80%; early correction protects learning and development</w:t>
            </w:r>
          </w:p>
        </w:tc>
        <w:tc>
          <w:tcPr>
            <w:tcW w:type="dxa" w:w="1036"/>
            <w:vAlign w:val="top"/>
          </w:tcPr>
          <w:p>
            <w:pPr>
              <w:spacing w:after="40" w:before="0" w:line="259" w:lineRule="auto"/>
            </w:pPr>
            <w:r>
              <w:rPr>
                <w:rFonts w:ascii="Calibri" w:hAnsi="Calibri"/>
                <w:b w:val="0"/>
                <w:i w:val="0"/>
                <w:color w:val="212121"/>
                <w:sz w:val="16"/>
              </w:rPr>
              <w:t>Newborn red-reflex check, ophthalmology review by 6 months, then annually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surveillance</w:t>
            </w:r>
          </w:p>
        </w:tc>
        <w:tc>
          <w:tcPr>
            <w:tcW w:type="dxa" w:w="720"/>
            <w:vAlign w:val="top"/>
          </w:tcPr>
          <w:p>
            <w:pPr>
              <w:spacing w:after="40" w:before="0" w:line="259" w:lineRule="auto"/>
            </w:pPr>
            <w:r>
              <w:rPr>
                <w:rFonts w:ascii="Calibri" w:hAnsi="Calibri"/>
                <w:b w:val="0"/>
                <w:i w:val="0"/>
                <w:color w:val="212121"/>
                <w:sz w:val="16"/>
              </w:rPr>
              <w:t>Refractive errors (36–80%) are the most common finding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Delayed developmental milestones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Head control, sitting, walking and first words all typically delayed; degree varies widely between individuals.</w:t>
            </w:r>
          </w:p>
        </w:tc>
      </w:tr>
      <w:tr>
        <w:trPr>
          <w:cantSplit/>
        </w:trPr>
        <w:tc>
          <w:tcPr>
            <w:tcW w:type="dxa" w:w="2304"/>
            <w:vAlign w:val="top"/>
          </w:tcPr>
          <w:p>
            <w:pPr>
              <w:spacing w:after="40" w:before="0" w:line="259" w:lineRule="auto"/>
            </w:pPr>
            <w:r>
              <w:rPr>
                <w:rFonts w:ascii="Calibri" w:hAnsi="Calibri"/>
                <w:b/>
                <w:i w:val="0"/>
                <w:color w:val="212121"/>
                <w:sz w:val="19"/>
              </w:rPr>
              <w:t>Feeding difficulties / weak suck in infancy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Reported in 31–80%; hypotonia and oromotor dysfunction, worse when congenital heart disease coexists.</w:t>
            </w:r>
          </w:p>
        </w:tc>
      </w:tr>
      <w:tr>
        <w:trPr>
          <w:cantSplit/>
        </w:trPr>
        <w:tc>
          <w:tcPr>
            <w:tcW w:type="dxa" w:w="2304"/>
            <w:vAlign w:val="top"/>
          </w:tcPr>
          <w:p>
            <w:pPr>
              <w:spacing w:after="40" w:before="0" w:line="259" w:lineRule="auto"/>
            </w:pPr>
            <w:r>
              <w:rPr>
                <w:rFonts w:ascii="Calibri" w:hAnsi="Calibri"/>
                <w:b/>
                <w:i w:val="0"/>
                <w:color w:val="212121"/>
                <w:sz w:val="19"/>
              </w:rPr>
              <w:t>Floppiness on handling (hypotonia)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Parents notice the infant feels 'loose' or floppy; improves partially with age and physiotherapy.</w:t>
            </w:r>
          </w:p>
        </w:tc>
      </w:tr>
      <w:tr>
        <w:trPr>
          <w:cantSplit/>
        </w:trPr>
        <w:tc>
          <w:tcPr>
            <w:tcW w:type="dxa" w:w="2304"/>
            <w:vAlign w:val="top"/>
          </w:tcPr>
          <w:p>
            <w:pPr>
              <w:spacing w:after="40" w:before="0" w:line="259" w:lineRule="auto"/>
            </w:pPr>
            <w:r>
              <w:rPr>
                <w:rFonts w:ascii="Calibri" w:hAnsi="Calibri"/>
                <w:b/>
                <w:i w:val="0"/>
                <w:color w:val="212121"/>
                <w:sz w:val="19"/>
              </w:rPr>
              <w:t>Speech and language delay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Expressive language lags comprehension; compounded by hearing loss from middle-ear effusion.</w:t>
            </w:r>
          </w:p>
        </w:tc>
      </w:tr>
      <w:tr>
        <w:trPr>
          <w:cantSplit/>
        </w:trPr>
        <w:tc>
          <w:tcPr>
            <w:tcW w:type="dxa" w:w="2304"/>
            <w:vAlign w:val="top"/>
          </w:tcPr>
          <w:p>
            <w:pPr>
              <w:spacing w:after="40" w:before="0" w:line="259" w:lineRule="auto"/>
            </w:pPr>
            <w:r>
              <w:rPr>
                <w:rFonts w:ascii="Calibri" w:hAnsi="Calibri"/>
                <w:b/>
                <w:i w:val="0"/>
                <w:color w:val="212121"/>
                <w:sz w:val="19"/>
              </w:rPr>
              <w:t>Recurrent coughs, colds and ear infections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Immune dysfunction plus narrow airways and eustachian dysfunction cause repeated respiratory and middle-ear disease.</w:t>
            </w:r>
          </w:p>
        </w:tc>
      </w:tr>
      <w:tr>
        <w:trPr>
          <w:cantSplit/>
        </w:trPr>
        <w:tc>
          <w:tcPr>
            <w:tcW w:type="dxa" w:w="2304"/>
            <w:vAlign w:val="top"/>
          </w:tcPr>
          <w:p>
            <w:pPr>
              <w:spacing w:after="40" w:before="0" w:line="259" w:lineRule="auto"/>
            </w:pPr>
            <w:r>
              <w:rPr>
                <w:rFonts w:ascii="Calibri" w:hAnsi="Calibri"/>
                <w:b/>
                <w:i w:val="0"/>
                <w:color w:val="212121"/>
                <w:sz w:val="19"/>
              </w:rPr>
              <w:t>Snoring, restless sleep and daytime sleepiness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Points to obstructive sleep apnea (50–79% of children with DS); worsens behaviour and learning.</w:t>
            </w:r>
          </w:p>
        </w:tc>
      </w:tr>
      <w:tr>
        <w:trPr>
          <w:cantSplit/>
        </w:trPr>
        <w:tc>
          <w:tcPr>
            <w:tcW w:type="dxa" w:w="2304"/>
            <w:vAlign w:val="top"/>
          </w:tcPr>
          <w:p>
            <w:pPr>
              <w:spacing w:after="40" w:before="0" w:line="259" w:lineRule="auto"/>
            </w:pPr>
            <w:r>
              <w:rPr>
                <w:rFonts w:ascii="Calibri" w:hAnsi="Calibri"/>
                <w:b/>
                <w:i w:val="0"/>
                <w:color w:val="212121"/>
                <w:sz w:val="19"/>
              </w:rPr>
              <w:t>Chronic constipation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Gut hypomotility, hypotonia and low fibre/fluid intake; persistent cases need Hirschsprung, celiac and thyroid work-up.</w:t>
            </w:r>
          </w:p>
        </w:tc>
      </w:tr>
      <w:tr>
        <w:trPr>
          <w:cantSplit/>
        </w:trPr>
        <w:tc>
          <w:tcPr>
            <w:tcW w:type="dxa" w:w="2304"/>
            <w:vAlign w:val="top"/>
          </w:tcPr>
          <w:p>
            <w:pPr>
              <w:spacing w:after="40" w:before="0" w:line="259" w:lineRule="auto"/>
            </w:pPr>
            <w:r>
              <w:rPr>
                <w:rFonts w:ascii="Calibri" w:hAnsi="Calibri"/>
                <w:b/>
                <w:i w:val="0"/>
                <w:color w:val="212121"/>
                <w:sz w:val="19"/>
              </w:rPr>
              <w:t>Hearing difficulty / inattention to sound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conductive loss from otitis media with effusion; hearing problems affect about 75%.</w:t>
            </w:r>
          </w:p>
        </w:tc>
      </w:tr>
      <w:tr>
        <w:trPr>
          <w:cantSplit/>
        </w:trPr>
        <w:tc>
          <w:tcPr>
            <w:tcW w:type="dxa" w:w="2304"/>
            <w:vAlign w:val="top"/>
          </w:tcPr>
          <w:p>
            <w:pPr>
              <w:spacing w:after="40" w:before="0" w:line="259" w:lineRule="auto"/>
            </w:pPr>
            <w:r>
              <w:rPr>
                <w:rFonts w:ascii="Calibri" w:hAnsi="Calibri"/>
                <w:b/>
                <w:i w:val="0"/>
                <w:color w:val="212121"/>
                <w:sz w:val="19"/>
              </w:rPr>
              <w:t>Visual difficulty or squinting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Refractive errors and strabismus are frequent; uncorrected deficits silently limit learning.</w:t>
            </w:r>
          </w:p>
        </w:tc>
      </w:tr>
      <w:tr>
        <w:trPr>
          <w:cantSplit/>
        </w:trPr>
        <w:tc>
          <w:tcPr>
            <w:tcW w:type="dxa" w:w="2304"/>
            <w:vAlign w:val="top"/>
          </w:tcPr>
          <w:p>
            <w:pPr>
              <w:spacing w:after="40" w:before="0" w:line="259" w:lineRule="auto"/>
            </w:pPr>
            <w:r>
              <w:rPr>
                <w:rFonts w:ascii="Calibri" w:hAnsi="Calibri"/>
                <w:b/>
                <w:i w:val="0"/>
                <w:color w:val="212121"/>
                <w:sz w:val="19"/>
              </w:rPr>
              <w:t>Poor weight gain in infancy, excess weight gain later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failure to thrive (feeding difficulty, CHD) typically gives way to overweight/obesity from late childhood.</w:t>
            </w:r>
          </w:p>
        </w:tc>
      </w:tr>
      <w:tr>
        <w:trPr>
          <w:cantSplit/>
        </w:trPr>
        <w:tc>
          <w:tcPr>
            <w:tcW w:type="dxa" w:w="2304"/>
            <w:vAlign w:val="top"/>
          </w:tcPr>
          <w:p>
            <w:pPr>
              <w:spacing w:after="40" w:before="0" w:line="259" w:lineRule="auto"/>
            </w:pPr>
            <w:r>
              <w:rPr>
                <w:rFonts w:ascii="Calibri" w:hAnsi="Calibri"/>
                <w:b/>
                <w:i w:val="0"/>
                <w:color w:val="212121"/>
                <w:sz w:val="19"/>
              </w:rPr>
              <w:t>Breathlessness or bluish discoloration during feeds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significant congenital heart disease (AVSD/VSD) with heart failure or shunting.</w:t>
            </w:r>
          </w:p>
        </w:tc>
      </w:tr>
      <w:tr>
        <w:trPr>
          <w:cantSplit/>
        </w:trPr>
        <w:tc>
          <w:tcPr>
            <w:tcW w:type="dxa" w:w="2304"/>
            <w:vAlign w:val="top"/>
          </w:tcPr>
          <w:p>
            <w:pPr>
              <w:spacing w:after="40" w:before="0" w:line="259" w:lineRule="auto"/>
            </w:pPr>
            <w:r>
              <w:rPr>
                <w:rFonts w:ascii="Calibri" w:hAnsi="Calibri"/>
                <w:b/>
                <w:i w:val="0"/>
                <w:color w:val="212121"/>
                <w:sz w:val="19"/>
              </w:rPr>
              <w:t>Cold intolerance, lethargy and dry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Classic hypothyroid symptoms — easily misattributed to the syndrome itself without TSH screening.</w:t>
            </w:r>
          </w:p>
        </w:tc>
      </w:tr>
      <w:tr>
        <w:trPr>
          <w:cantSplit/>
        </w:trPr>
        <w:tc>
          <w:tcPr>
            <w:tcW w:type="dxa" w:w="2304"/>
            <w:vAlign w:val="top"/>
          </w:tcPr>
          <w:p>
            <w:pPr>
              <w:spacing w:after="40" w:before="0" w:line="259" w:lineRule="auto"/>
            </w:pPr>
            <w:r>
              <w:rPr>
                <w:rFonts w:ascii="Calibri" w:hAnsi="Calibri"/>
                <w:b/>
                <w:i w:val="0"/>
                <w:color w:val="212121"/>
                <w:sz w:val="19"/>
              </w:rPr>
              <w:t>Neck pain, head tilt or change in gait/bladder control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 flags for symptomatic atlantoaxial instability (1–2%) with cervical cord compression — urgent imaging required.</w:t>
            </w:r>
          </w:p>
        </w:tc>
      </w:tr>
      <w:tr>
        <w:trPr>
          <w:cantSplit/>
        </w:trPr>
        <w:tc>
          <w:tcPr>
            <w:tcW w:type="dxa" w:w="2304"/>
            <w:vAlign w:val="top"/>
          </w:tcPr>
          <w:p>
            <w:pPr>
              <w:spacing w:after="40" w:before="0" w:line="259" w:lineRule="auto"/>
            </w:pPr>
            <w:r>
              <w:rPr>
                <w:rFonts w:ascii="Calibri" w:hAnsi="Calibri"/>
                <w:b/>
                <w:i w:val="0"/>
                <w:color w:val="212121"/>
                <w:sz w:val="19"/>
              </w:rPr>
              <w:t>Loss of previously acquired skills or social withdrawal</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Consider Down syndrome regression disorder in adolescents/young adults, and depression or early-onset dementia in adults over 40.</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Generalized hypotonia with reduced Moro reflex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most consistent neonatal finding; contributes to feeding difficulty and motor delay.</w:t>
            </w:r>
          </w:p>
        </w:tc>
      </w:tr>
      <w:tr>
        <w:trPr>
          <w:cantSplit/>
        </w:trPr>
        <w:tc>
          <w:tcPr>
            <w:tcW w:type="dxa" w:w="3456"/>
            <w:vAlign w:val="top"/>
          </w:tcPr>
          <w:p>
            <w:pPr>
              <w:spacing w:after="40" w:before="0" w:line="259" w:lineRule="auto"/>
            </w:pPr>
            <w:r>
              <w:rPr>
                <w:rFonts w:ascii="Calibri" w:hAnsi="Calibri"/>
                <w:b/>
                <w:i w:val="0"/>
                <w:color w:val="212121"/>
                <w:sz w:val="19"/>
              </w:rPr>
              <w:t>Flat facial profile and occiput, upslanting palpebral fissures, epicanthic folds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cardinal craniofacial cluster (with brachycephaly and flat nasal bridge) that prompts karyotype confirmation.</w:t>
            </w:r>
          </w:p>
        </w:tc>
      </w:tr>
      <w:tr>
        <w:trPr>
          <w:cantSplit/>
        </w:trPr>
        <w:tc>
          <w:tcPr>
            <w:tcW w:type="dxa" w:w="3456"/>
            <w:vAlign w:val="top"/>
          </w:tcPr>
          <w:p>
            <w:pPr>
              <w:spacing w:after="40" w:before="0" w:line="259" w:lineRule="auto"/>
            </w:pPr>
            <w:r>
              <w:rPr>
                <w:rFonts w:ascii="Calibri" w:hAnsi="Calibri"/>
                <w:b/>
                <w:i w:val="0"/>
                <w:color w:val="212121"/>
                <w:sz w:val="19"/>
              </w:rPr>
              <w:t>Single transverse palmar crease, 5th-finger clinodactyly, sandal-gap toes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Limb minor anomalies; single palmar crease also occurs in ~1–2% of the general population, so never diagnostic alone.</w:t>
            </w:r>
          </w:p>
        </w:tc>
      </w:tr>
      <w:tr>
        <w:trPr>
          <w:cantSplit/>
        </w:trPr>
        <w:tc>
          <w:tcPr>
            <w:tcW w:type="dxa" w:w="3456"/>
            <w:vAlign w:val="top"/>
          </w:tcPr>
          <w:p>
            <w:pPr>
              <w:spacing w:after="40" w:before="0" w:line="259" w:lineRule="auto"/>
            </w:pPr>
            <w:r>
              <w:rPr>
                <w:rFonts w:ascii="Calibri" w:hAnsi="Calibri"/>
                <w:b/>
                <w:i w:val="0"/>
                <w:color w:val="212121"/>
                <w:sz w:val="19"/>
              </w:rPr>
              <w:t>Brushfield spots on the iris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Speckled white-grey spots at the iris periphery; more visible in light-coloured irides.</w:t>
            </w:r>
          </w:p>
        </w:tc>
      </w:tr>
      <w:tr>
        <w:trPr>
          <w:cantSplit/>
        </w:trPr>
        <w:tc>
          <w:tcPr>
            <w:tcW w:type="dxa" w:w="3456"/>
            <w:vAlign w:val="top"/>
          </w:tcPr>
          <w:p>
            <w:pPr>
              <w:spacing w:after="40" w:before="0" w:line="259" w:lineRule="auto"/>
            </w:pPr>
            <w:r>
              <w:rPr>
                <w:rFonts w:ascii="Calibri" w:hAnsi="Calibri"/>
                <w:b/>
                <w:i w:val="0"/>
                <w:color w:val="212121"/>
                <w:sz w:val="19"/>
              </w:rPr>
              <w:t>Relative macroglossia with protruding tongue, small low-set ears, excess nuchal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Normal-sized tongue in a small oral cavity produces protrusion, mouth breathing and later tongue fissuring.</w:t>
            </w:r>
          </w:p>
        </w:tc>
      </w:tr>
      <w:tr>
        <w:trPr>
          <w:cantSplit/>
        </w:trPr>
        <w:tc>
          <w:tcPr>
            <w:tcW w:type="dxa" w:w="3456"/>
            <w:vAlign w:val="top"/>
          </w:tcPr>
          <w:p>
            <w:pPr>
              <w:spacing w:after="40" w:before="0" w:line="259" w:lineRule="auto"/>
            </w:pPr>
            <w:r>
              <w:rPr>
                <w:rFonts w:ascii="Calibri" w:hAnsi="Calibri"/>
                <w:b/>
                <w:i w:val="0"/>
                <w:color w:val="212121"/>
                <w:sz w:val="19"/>
              </w:rPr>
              <w:t>Cardiac murmur or abnormal second heart sound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the congenital heart disease of 40–50%; absence of a murmur does not exclude AVSD.</w:t>
            </w:r>
          </w:p>
        </w:tc>
      </w:tr>
      <w:tr>
        <w:trPr>
          <w:cantSplit/>
        </w:trPr>
        <w:tc>
          <w:tcPr>
            <w:tcW w:type="dxa" w:w="3456"/>
            <w:vAlign w:val="top"/>
          </w:tcPr>
          <w:p>
            <w:pPr>
              <w:spacing w:after="40" w:before="0" w:line="259" w:lineRule="auto"/>
            </w:pPr>
            <w:r>
              <w:rPr>
                <w:rFonts w:ascii="Calibri" w:hAnsi="Calibri"/>
                <w:b/>
                <w:i w:val="0"/>
                <w:color w:val="212121"/>
                <w:sz w:val="19"/>
              </w:rPr>
              <w:t>Short stature with growth restriction on standard charts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Growth should be tracked on DS-specific and standard charts; crossing centiles downward warrants thyroid and celiac review.</w:t>
            </w:r>
          </w:p>
        </w:tc>
      </w:tr>
      <w:tr>
        <w:trPr>
          <w:cantSplit/>
        </w:trPr>
        <w:tc>
          <w:tcPr>
            <w:tcW w:type="dxa" w:w="3456"/>
            <w:vAlign w:val="top"/>
          </w:tcPr>
          <w:p>
            <w:pPr>
              <w:spacing w:after="40" w:before="0" w:line="259" w:lineRule="auto"/>
            </w:pPr>
            <w:r>
              <w:rPr>
                <w:rFonts w:ascii="Calibri" w:hAnsi="Calibri"/>
                <w:b/>
                <w:i w:val="0"/>
                <w:color w:val="212121"/>
                <w:sz w:val="19"/>
              </w:rPr>
              <w:t>Generalized joint hyperlaxity and flat feet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Ligamentous laxity produces pes planus, gait abnormality and patellar instability.</w:t>
            </w:r>
          </w:p>
        </w:tc>
      </w:tr>
      <w:tr>
        <w:trPr>
          <w:cantSplit/>
        </w:trPr>
        <w:tc>
          <w:tcPr>
            <w:tcW w:type="dxa" w:w="3456"/>
            <w:vAlign w:val="top"/>
          </w:tcPr>
          <w:p>
            <w:pPr>
              <w:spacing w:after="40" w:before="0" w:line="259" w:lineRule="auto"/>
            </w:pPr>
            <w:r>
              <w:rPr>
                <w:rFonts w:ascii="Calibri" w:hAnsi="Calibri"/>
                <w:b/>
                <w:i w:val="0"/>
                <w:color w:val="212121"/>
                <w:sz w:val="19"/>
              </w:rPr>
              <w:t>Dry skin (xerosis), cutis marmorata or alopecia areata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Cutaneous and autoimmune associations; alopecia and vitiligo reflect the broader autoimmune predisposition.</w:t>
            </w:r>
          </w:p>
        </w:tc>
      </w:tr>
      <w:tr>
        <w:trPr>
          <w:cantSplit/>
        </w:trPr>
        <w:tc>
          <w:tcPr>
            <w:tcW w:type="dxa" w:w="3456"/>
            <w:vAlign w:val="top"/>
          </w:tcPr>
          <w:p>
            <w:pPr>
              <w:spacing w:after="40" w:before="0" w:line="259" w:lineRule="auto"/>
            </w:pPr>
            <w:r>
              <w:rPr>
                <w:rFonts w:ascii="Calibri" w:hAnsi="Calibri"/>
                <w:b/>
                <w:i w:val="0"/>
                <w:color w:val="212121"/>
                <w:sz w:val="19"/>
              </w:rPr>
              <w:t>Hyperreflexia, clonus or extensor plantar responses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Upper-motor-neuron signs of cervical cord compression from atlantoaxial instability — an emergency finding.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Congenital heart disease — AVSD, VSD, ASD, PDA, TOF (40–50% of newborns)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Gastrointestinal malformations — duodenal atresia/stenosis, annular pancreas, Hirschsprung disease, imperforate anus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abnormal myelopoiesis (~10%) and neonatal polycythemia (~33%)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Congenital cataract and congenital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Global developmental delay and intellectual disability</w:t>
            </w:r>
          </w:p>
        </w:tc>
        <w:tc>
          <w:tcPr>
            <w:tcW w:type="dxa" w:w="2980"/>
            <w:vAlign w:val="top"/>
          </w:tcPr>
          <w:p>
            <w:pPr>
              <w:spacing w:after="40" w:before="0" w:line="259" w:lineRule="auto"/>
            </w:pPr>
            <w:r>
              <w:rPr>
                <w:rFonts w:ascii="Calibri" w:hAnsi="Calibri"/>
                <w:b w:val="0"/>
                <w:i w:val="0"/>
                <w:color w:val="212121"/>
                <w:sz w:val="19"/>
              </w:rPr>
              <w:t>Structural, haematological and neurodevelopmental consequences of the trisomy that are present at or soon after birth</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apnea (50–79%) and recurrent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Acquired hypothyroidism and other autoimmune disease (celiac 1–5%, alopecia areata, type 1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Hearing loss from chronic otitis media with effusion (~75% hearing problems); refractive errors and strabismus (60–80% vision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Obesity, chronic constipation and early aggressive periodontal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Leukemia of Down syndrome (AMKL/ALL) in early childhood; epilepsy including infantile spasms (1–13%)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Atlantoaxial instability with risk of cervical cord compression</w:t>
            </w:r>
          </w:p>
        </w:tc>
        <w:tc>
          <w:tcPr>
            <w:tcW w:type="dxa" w:w="2980"/>
            <w:vAlign w:val="top"/>
          </w:tcPr>
          <w:p>
            <w:pPr>
              <w:spacing w:after="40" w:before="0" w:line="259" w:lineRule="auto"/>
            </w:pPr>
            <w:r>
              <w:rPr>
                <w:rFonts w:ascii="Calibri" w:hAnsi="Calibri"/>
                <w:b w:val="0"/>
                <w:i w:val="0"/>
                <w:color w:val="212121"/>
                <w:sz w:val="19"/>
              </w:rPr>
              <w:t>Conditions that emerge through infancy, childhood and adolescence from the immune, endocrine, anatomical and haematological vulnerability of trisomy 21 — all detectable by structured surveillance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Early-onset Alzheimer-type dementia (50–70% by age 60)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Eisenmenger syndrome / irreversible pulmonary hypertension from unrepaired cardiac shunts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myelopathy with permanent neurological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independent function, institutionalization and caregiver burnout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ageing and shortened life expectancy where comorbidities remain untreated</w:t>
            </w:r>
          </w:p>
        </w:tc>
        <w:tc>
          <w:tcPr>
            <w:tcW w:type="dxa" w:w="2980"/>
            <w:vAlign w:val="top"/>
          </w:tcPr>
          <w:p>
            <w:pPr>
              <w:spacing w:after="40" w:before="0" w:line="259" w:lineRule="auto"/>
            </w:pPr>
            <w:r>
              <w:rPr>
                <w:rFonts w:ascii="Calibri" w:hAnsi="Calibri"/>
                <w:b w:val="0"/>
                <w:i w:val="0"/>
                <w:color w:val="212121"/>
                <w:sz w:val="19"/>
              </w:rPr>
              <w:t>Irreversible long-term outcomes; most are preventable or substantially deferrable with timely cardiac surgery and lifelong structured surveillance — average lifespan has risen from ~25 years (1983) to ~60 years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Congenital heart disease (AVSD, VSD, ASD, PDA, TOF)</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Endocardial cushion maldevelopment from chromosome-21 gene dosage; AVSD was 50% of defects in an Indian series. Determines early survival — universal neonatal echocardiography and timely surgery are mandatory.</w:t>
            </w:r>
          </w:p>
          <w:p>
            <w:pPr>
              <w:spacing w:after="40" w:before="0" w:line="259" w:lineRule="auto"/>
            </w:pPr>
            <w:r>
              <w:rPr>
                <w:rFonts w:ascii="Calibri" w:hAnsi="Calibri"/>
                <w:b/>
                <w:i w:val="0"/>
                <w:color w:val="212121"/>
                <w:sz w:val="19"/>
              </w:rPr>
              <w:t>Up to 50%</w:t>
            </w:r>
          </w:p>
        </w:tc>
      </w:tr>
      <w:tr>
        <w:trPr>
          <w:cantSplit/>
        </w:trPr>
        <w:tc>
          <w:tcPr>
            <w:tcW w:type="dxa" w:w="2232"/>
            <w:vAlign w:val="top"/>
          </w:tcPr>
          <w:p>
            <w:pPr>
              <w:spacing w:after="40" w:before="0" w:line="259" w:lineRule="auto"/>
            </w:pPr>
            <w:r>
              <w:rPr>
                <w:rFonts w:ascii="Calibri" w:hAnsi="Calibri"/>
                <w:b/>
                <w:i w:val="0"/>
                <w:color w:val="212121"/>
                <w:sz w:val="19"/>
              </w:rPr>
              <w:t>Hypothyroidism / thyroid dysfunction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Subclinical hypothyroidism is the most common pattern; untreated disease mimics and magnifies developmental delay, constipation and weight gain — TSH screening at birth, 6 and 12 months, then annually.</w:t>
            </w:r>
          </w:p>
          <w:p>
            <w:pPr>
              <w:spacing w:after="40" w:before="0" w:line="259" w:lineRule="auto"/>
            </w:pPr>
            <w:r>
              <w:rPr>
                <w:rFonts w:ascii="Calibri" w:hAnsi="Calibri"/>
                <w:b/>
                <w:i w:val="0"/>
                <w:color w:val="212121"/>
                <w:sz w:val="19"/>
              </w:rPr>
              <w:t>Up to 50–54%</w:t>
            </w:r>
          </w:p>
        </w:tc>
      </w:tr>
      <w:tr>
        <w:trPr>
          <w:cantSplit/>
        </w:trPr>
        <w:tc>
          <w:tcPr>
            <w:tcW w:type="dxa" w:w="2232"/>
            <w:vAlign w:val="top"/>
          </w:tcPr>
          <w:p>
            <w:pPr>
              <w:spacing w:after="40" w:before="0" w:line="259" w:lineRule="auto"/>
            </w:pPr>
            <w:r>
              <w:rPr>
                <w:rFonts w:ascii="Calibri" w:hAnsi="Calibri"/>
                <w:b/>
                <w:i w:val="0"/>
                <w:color w:val="212121"/>
                <w:sz w:val="19"/>
              </w:rPr>
              <w:t>Obstructive sleep apnea (OSA)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Midface hypoplasia, macroglossia, hypotonia, adenotonsillar hypertrophy and obesity collapse the upper airway; untreated OSA worsens cognition, behaviour and pulmonary pressures. Polysomnography for all by age 4.</w:t>
            </w:r>
          </w:p>
          <w:p>
            <w:pPr>
              <w:spacing w:after="40" w:before="0" w:line="259" w:lineRule="auto"/>
            </w:pPr>
            <w:r>
              <w:rPr>
                <w:rFonts w:ascii="Calibri" w:hAnsi="Calibri"/>
                <w:b/>
                <w:i w:val="0"/>
                <w:color w:val="212121"/>
                <w:sz w:val="19"/>
              </w:rPr>
              <w:t>50–79%</w:t>
            </w:r>
          </w:p>
        </w:tc>
      </w:tr>
      <w:tr>
        <w:trPr>
          <w:cantSplit/>
        </w:trPr>
        <w:tc>
          <w:tcPr>
            <w:tcW w:type="dxa" w:w="2232"/>
            <w:vAlign w:val="top"/>
          </w:tcPr>
          <w:p>
            <w:pPr>
              <w:spacing w:after="40" w:before="0" w:line="259" w:lineRule="auto"/>
            </w:pPr>
            <w:r>
              <w:rPr>
                <w:rFonts w:ascii="Calibri" w:hAnsi="Calibri"/>
                <w:b/>
                <w:i w:val="0"/>
                <w:color w:val="212121"/>
                <w:sz w:val="19"/>
              </w:rPr>
              <w:t>Hearing loss / otitis media with effusion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Narrow canals and eustachian dysfunction produce predominantly conductive loss that silently worsens speech and cognition; 6-monthly audiological review until age 5, then annually.</w:t>
            </w:r>
          </w:p>
          <w:p>
            <w:pPr>
              <w:spacing w:after="40" w:before="0" w:line="259" w:lineRule="auto"/>
            </w:pPr>
            <w:r>
              <w:rPr>
                <w:rFonts w:ascii="Calibri" w:hAnsi="Calibri"/>
                <w:b/>
                <w:i w:val="0"/>
                <w:color w:val="212121"/>
                <w:sz w:val="19"/>
              </w:rPr>
              <w:t>Up to 75%</w:t>
            </w:r>
          </w:p>
        </w:tc>
      </w:tr>
      <w:tr>
        <w:trPr>
          <w:cantSplit/>
        </w:trPr>
        <w:tc>
          <w:tcPr>
            <w:tcW w:type="dxa" w:w="2232"/>
            <w:vAlign w:val="top"/>
          </w:tcPr>
          <w:p>
            <w:pPr>
              <w:spacing w:after="40" w:before="0" w:line="259" w:lineRule="auto"/>
            </w:pPr>
            <w:r>
              <w:rPr>
                <w:rFonts w:ascii="Calibri" w:hAnsi="Calibri"/>
                <w:b/>
                <w:i w:val="0"/>
                <w:color w:val="212121"/>
                <w:sz w:val="19"/>
              </w:rPr>
              <w:t>Visual disorders (refractive error, strabismus, cataract)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Refractive errors (36–80%), strabismus (~36%) and cataract (~3%); early spectacles and squint/cataract surgery protect development.</w:t>
            </w:r>
          </w:p>
          <w:p>
            <w:pPr>
              <w:spacing w:after="40" w:before="0" w:line="259" w:lineRule="auto"/>
            </w:pPr>
            <w:r>
              <w:rPr>
                <w:rFonts w:ascii="Calibri" w:hAnsi="Calibri"/>
                <w:b/>
                <w:i w:val="0"/>
                <w:color w:val="212121"/>
                <w:sz w:val="19"/>
              </w:rPr>
              <w:t>60–80%</w:t>
            </w:r>
          </w:p>
        </w:tc>
      </w:tr>
      <w:tr>
        <w:trPr>
          <w:cantSplit/>
        </w:trPr>
        <w:tc>
          <w:tcPr>
            <w:tcW w:type="dxa" w:w="2232"/>
            <w:vAlign w:val="top"/>
          </w:tcPr>
          <w:p>
            <w:pPr>
              <w:spacing w:after="40" w:before="0" w:line="259" w:lineRule="auto"/>
            </w:pPr>
            <w:r>
              <w:rPr>
                <w:rFonts w:ascii="Calibri" w:hAnsi="Calibri"/>
                <w:b/>
                <w:i w:val="0"/>
                <w:color w:val="212121"/>
                <w:sz w:val="19"/>
              </w:rPr>
              <w:t>Early-onset Alzheimer's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Triplicated APP gene drives early amyloid deposition; establish a functional baseline by age 30–40 and screen annually thereafter, excluding treatable mimics (hypothyroidism, OSA, depression, hearing loss).</w:t>
            </w:r>
          </w:p>
          <w:p>
            <w:pPr>
              <w:spacing w:after="40" w:before="0" w:line="259" w:lineRule="auto"/>
            </w:pPr>
            <w:r>
              <w:rPr>
                <w:rFonts w:ascii="Calibri" w:hAnsi="Calibri"/>
                <w:b/>
                <w:i w:val="0"/>
                <w:color w:val="212121"/>
                <w:sz w:val="19"/>
              </w:rPr>
              <w:t>50–70% by age 60</w:t>
            </w:r>
          </w:p>
        </w:tc>
      </w:tr>
      <w:tr>
        <w:trPr>
          <w:cantSplit/>
        </w:trPr>
        <w:tc>
          <w:tcPr>
            <w:tcW w:type="dxa" w:w="2232"/>
            <w:vAlign w:val="top"/>
          </w:tcPr>
          <w:p>
            <w:pPr>
              <w:spacing w:after="40" w:before="0" w:line="259" w:lineRule="auto"/>
            </w:pPr>
            <w:r>
              <w:rPr>
                <w:rFonts w:ascii="Calibri" w:hAnsi="Calibri"/>
                <w:b/>
                <w:i w:val="0"/>
                <w:color w:val="212121"/>
                <w:sz w:val="19"/>
              </w:rPr>
              <w:t>Leukemia of Down syndrome (AMKL / ALL)</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Somatic GATA1 mutations on the trisomic background; transient abnormal myelopoiesis (~10% of neonates) progresses to AMKL in 20–30% of TAM cases. Paradoxically, solid tumours are rarer than in the general population.</w:t>
            </w:r>
          </w:p>
          <w:p>
            <w:pPr>
              <w:spacing w:after="40" w:before="0" w:line="259" w:lineRule="auto"/>
            </w:pPr>
            <w:r>
              <w:rPr>
                <w:rFonts w:ascii="Calibri" w:hAnsi="Calibri"/>
                <w:b/>
                <w:i w:val="0"/>
                <w:color w:val="212121"/>
                <w:sz w:val="19"/>
              </w:rPr>
              <w:t>TAM ~10% of neonates</w:t>
            </w:r>
          </w:p>
        </w:tc>
      </w:tr>
      <w:tr>
        <w:trPr>
          <w:cantSplit/>
        </w:trPr>
        <w:tc>
          <w:tcPr>
            <w:tcW w:type="dxa" w:w="2232"/>
            <w:vAlign w:val="top"/>
          </w:tcPr>
          <w:p>
            <w:pPr>
              <w:spacing w:after="40" w:before="0" w:line="259" w:lineRule="auto"/>
            </w:pPr>
            <w:r>
              <w:rPr>
                <w:rFonts w:ascii="Calibri" w:hAnsi="Calibri"/>
                <w:b/>
                <w:i w:val="0"/>
                <w:color w:val="212121"/>
                <w:sz w:val="19"/>
              </w:rPr>
              <w:t>Celiac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Autoimmune gluten enteropathy with frequently atypical presentation (constipation, poor growth, behaviour change); tTG-IgA screening of symptomatic children while on gluten.</w:t>
            </w:r>
          </w:p>
          <w:p>
            <w:pPr>
              <w:spacing w:after="40" w:before="0" w:line="259" w:lineRule="auto"/>
            </w:pPr>
            <w:r>
              <w:rPr>
                <w:rFonts w:ascii="Calibri" w:hAnsi="Calibri"/>
                <w:b/>
                <w:i w:val="0"/>
                <w:color w:val="212121"/>
                <w:sz w:val="19"/>
              </w:rPr>
              <w:t>1–5%</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Low resting energy expenditure, hypothyroidism, hypotonia and inactivity drive weight gain from late childhood; obesity then worsens OSA, fitness and metabolic risk — a mutually reinforcing loop.</w:t>
            </w:r>
          </w:p>
        </w:tc>
      </w:tr>
      <w:tr>
        <w:trPr>
          <w:cantSplit/>
        </w:trPr>
        <w:tc>
          <w:tcPr>
            <w:tcW w:type="dxa" w:w="2232"/>
            <w:vAlign w:val="top"/>
          </w:tcPr>
          <w:p>
            <w:pPr>
              <w:spacing w:after="40" w:before="0" w:line="259" w:lineRule="auto"/>
            </w:pPr>
            <w:r>
              <w:rPr>
                <w:rFonts w:ascii="Calibri" w:hAnsi="Calibri"/>
                <w:b/>
                <w:i w:val="0"/>
                <w:color w:val="212121"/>
                <w:sz w:val="19"/>
              </w:rPr>
              <w:t>Autism spectrum disorder and behavioural disorders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ASD co-occurs in 7–19%, with ADHD and anxiety also over-represented; dual diagnosis changes communication strategy, schooling and therapy planning.</w:t>
            </w:r>
          </w:p>
          <w:p>
            <w:pPr>
              <w:spacing w:after="40" w:before="0" w:line="259" w:lineRule="auto"/>
            </w:pPr>
            <w:r>
              <w:rPr>
                <w:rFonts w:ascii="Calibri" w:hAnsi="Calibri"/>
                <w:b/>
                <w:i w:val="0"/>
                <w:color w:val="212121"/>
                <w:sz w:val="19"/>
              </w:rPr>
              <w:t>7–19%</w:t>
            </w:r>
          </w:p>
        </w:tc>
      </w:tr>
      <w:tr>
        <w:trPr>
          <w:cantSplit/>
        </w:trPr>
        <w:tc>
          <w:tcPr>
            <w:tcW w:type="dxa" w:w="2232"/>
            <w:vAlign w:val="top"/>
          </w:tcPr>
          <w:p>
            <w:pPr>
              <w:spacing w:after="40" w:before="0" w:line="259" w:lineRule="auto"/>
            </w:pPr>
            <w:r>
              <w:rPr>
                <w:rFonts w:ascii="Calibri" w:hAnsi="Calibri"/>
                <w:b/>
                <w:i w:val="0"/>
                <w:color w:val="212121"/>
                <w:sz w:val="19"/>
              </w:rPr>
              <w:t>Periodontal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Immune dysfunction and caregiver-dependent oral hygiene produce early aggressive periodontitis from the teens; 3–6-monthly professional dental care preserves dentition.</w:t>
            </w:r>
          </w:p>
          <w:p>
            <w:pPr>
              <w:spacing w:after="40" w:before="0" w:line="259" w:lineRule="auto"/>
            </w:pPr>
            <w:r>
              <w:rPr>
                <w:rFonts w:ascii="Calibri" w:hAnsi="Calibri"/>
                <w:b/>
                <w:i w:val="0"/>
                <w:color w:val="212121"/>
                <w:sz w:val="19"/>
              </w:rPr>
              <w:t>90–96% of adults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aneuploidy screening in every pregnancy (combined first-trimester test, quadruple test or NIPT), with priority counselling for women ≥ 35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formal genetic counselling for balanced translocation carriers and couples with a previous trisomy 21 pregnancy, including recurrence-risk estimation and options for early prenatal diagnosis (CVS/amniocentesis).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Register children under Rashtriya Bal Swasthya Karyakram (RBSK) screening and District Early Intervention Centres for structured birth-defect detection and referral.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Educate families that Down syndrome is a chromosomal accident — not caused by parental behaviour, diet or 'sins' — to counter stigma and delayed care-seeking.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Create awareness that early intervention beginning in the first 6 months of life measurably improves motor, language and social outcomes.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 35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a previous affected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Balanced translocation carriers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expectant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newborns with DS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every infant in a structured early-intervention programme (physiotherapy, speech-language therapy, occupational therapy) from the first months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 individualized education plan with inclusive schooling; in India, Down syndrome qualifies as a benchmark disability under the Rights of Persons with Disabilities Act 2016, entitling the child to educational accommodations.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Train caregivers to deliver daily home programmes — repetition at home multiplies the effect of clinic-based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Obtain disability certification and link families to entitlements (National Trust schemes, Niramaya health insurance, disability pension where applicable).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the transition to adolescent and adult services early: vocational training, supported employment and supervised independent-living skills.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and children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daily positioning, tummy time and gross-motor play in infancy to counter hypotonia-related motor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 60 minutes/day of enjoyable moderate-to-vigorous activity in school-age children, built around family routines.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Track weight and BMI at every visit; intervene early when the trajectory crosses the 85th percentile.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atlantoaxial instability symptoms (neck pain, gait change, torticollis) before contact sports, trampolining, diving or gymnastics, and keep the neck neutral during any anaesthesia.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Special Olympics aspirants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Prescribe structured physiotherapy — treadmill training, core-stability work and balance exercises significantly improve dynamic balance (pooled SMD ~1.45 in RCTs).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progressive resistance training 2–3 days/week from adolescence to build the strength that underpins independent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swimming, dance, yoga and inclusive sports (e.g., Special Olympics Bharat) to sustain adherence and social participation.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Re-prescribe activity after cardiac surgery in liaison with the cardiologist, increasing intensity gradually.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motor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Post-cardiac-surgery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 with 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breastfeeding actively (lactation counselling, paced bottle top-ups) — hypotonic infants can breastfeed with correct positioning and patience.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food textures gradually with supervision, watching for coughing or wet voice that suggests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 a balanced, fibre-rich, portion-controlled family diet early; limit sugar-sweetened drinks, fried snacks and energy-dense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fluids, fruit and vegetables daily to pre-empt the chronic constipation typical of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age-appropriate calcium, vitamin D and iron through diet, with supplementation where dietary intake is inadequate.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Toddlers transitioning to solids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School-age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infants with persistent feeding difficulty for structured feeding/swallow therapy (oromotor stimulation, pacing, thickened feeds when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Institute a strict lifelong gluten-free diet once celiac disease is serologically and histologically confirmed.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dietician-led calorie-appropriate plans for overweight individuals, combined with activity prescription rather than restrictive dieting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constipation with fibre, fluids and osmotic laxatives, escalating to Hirschsprung/thyroid/celiac evaluation when refractory.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nutrition with thyroid treatment — weight targets are unreachable while hypothyroidism is uncorrected.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feeding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confirmed celiac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chronic constipation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consistent bedtime routine and sleep-friendly environment; individuals with DS depend heavily on predictable routines.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weight in the healthy range — obesity is the most modifiable amplifier of obstructive sleep apnea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about snoring, apnoeic pauses and restless sleep at every visit, and complete a polysomnogram by the 4th birthday even when caregivers report no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allergy/rhinitis promptly to keep the upper airway patent.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children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confirmed OSA with adenotonsillar hypertrophy for adenotonsillectomy — first-line in children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CPAP for residual or adult OSA, with graded desensitization programmes to build mask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Re-evaluate sleep after any significant weight gain, cardiac deterioration or behavioural regression.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persistent insomnia behaviourally first; review evening screen time and caffeine before considering pharmacotherapy.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confirmed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DS and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Post-adenotonsillectomy patients with residual symptoms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Enforce a completely smoke-free home and vehicle — second-hand smoke aggravates the recurrent respiratory infections and middle-ear disease of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adolescents and adults with DS in simple, concrete language against tobacco and smokeless tobacco (gutkha/khaini) experimentation.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cessation support to smoking caregivers; their quitting directly protects the child's airways.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influenza and pneumococcal vaccination to further reduce respiratory morbidity in smoke-exposed households.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of children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adults with 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social and residential environments of adults with DS alcohol-free; alcohol impairs already-vulnerable balance, swallowing and judgement.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medication charts for alcohol interactions (anticonvulsants, psychotropics, sedatives) at every prescription.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families that parental alcohol use does not cause trisomy 21 — but that periconceptional health and early antenatal booking matter for screening.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refusal skills within life-skills training for adults with DS in community and workplace settings.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and group-home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planning pregnancy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predictable daily routines and use augmentative communication supports to reduce frustration-driven behaviour.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annually for behaviour change, anxiety, low mood and skill regression from childhood onward, keeping a written functional baseline.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proactively: respite care, parent peer groups (e.g., Down Syndrome Federation of India networks) and sibling support reduce family burnout.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Prepare individuals for life transitions (school change, puberty, bereavement, residential moves) — abrupt upheaval is a recognized trigger of regression.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siblings and 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co-occurring ADHD, autism spectrum disorder and anxiety with adapted behavioural therapy and, where needed, cautious low-dose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Evaluate any acute regression comprehensively — exclude hypothyroidism, OSA, celiac disease, hearing/vision loss, pain and depression before attributing decline to the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depression in adolescents and adults with DS actively; presentation is often behavioural (withdrawal, slowness) rather than verbalized sadness.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From age 40, screen annually for dementia against the documented personal baseline, and plan supportive care early when decline is confirmed.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Individuals with DS and behaviour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regression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DS over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adults with dementia</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dss.org/about" TargetMode="External"/><Relationship Id="rId10" Type="http://schemas.openxmlformats.org/officeDocument/2006/relationships/hyperlink" Target="https://www.cdc.gov/birth-defects/about/down-syndrome.html" TargetMode="External"/><Relationship Id="rId11" Type="http://schemas.openxmlformats.org/officeDocument/2006/relationships/hyperlink" Target="https://www.alliedacademies.org/articles/down-syndrome-a-cytogenetic-study-in-north-indian-population-10911.html" TargetMode="External"/><Relationship Id="rId12" Type="http://schemas.openxmlformats.org/officeDocument/2006/relationships/hyperlink" Target="https://www.tribuneindia.com/news/archive/nation/india-reports-one-down-syndrome-case-against-1-000-live-births-govt-76863" TargetMode="External"/><Relationship Id="rId13" Type="http://schemas.openxmlformats.org/officeDocument/2006/relationships/hyperlink" Target="https://www.ncbi.nlm.nih.gov/books/NBK526016/" TargetMode="External"/><Relationship Id="rId14" Type="http://schemas.openxmlformats.org/officeDocument/2006/relationships/hyperlink" Target="https://static.pib.gov.in/WriteReadData/userfiles/SJ&amp;E%20(R-F)%20-%2026.03.2018.pdf" TargetMode="External"/><Relationship Id="rId15" Type="http://schemas.openxmlformats.org/officeDocument/2006/relationships/hyperlink" Target="https://link.springer.com/article/10.1186/s13102-025-01222-2" TargetMode="External"/><Relationship Id="rId16" Type="http://schemas.openxmlformats.org/officeDocument/2006/relationships/hyperlink" Target="https://www.down-syndrome.org/en-gb/library/research-practice/05/3/dental-care-patient-down-syndrome/" TargetMode="External"/><Relationship Id="rId17" Type="http://schemas.openxmlformats.org/officeDocument/2006/relationships/hyperlink" Target="https://www.dsrf.org/wp-content/uploads/2022/07/2022-AAP-Health-Supervision-for-Children-and-Adolescents.pdf" TargetMode="External"/><Relationship Id="rId18" Type="http://schemas.openxmlformats.org/officeDocument/2006/relationships/hyperlink" Target="https://austinpublishinggroup.com/genetics-genomic-research/fulltext/ajggr-v3-id1016.php" TargetMode="External"/><Relationship Id="rId19" Type="http://schemas.openxmlformats.org/officeDocument/2006/relationships/hyperlink" Target="https://www.frontiersin.org/journals/endocrinology/articles/10.3389/fendo.2021.782865/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