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Clubfoot (CTEV)</w:t>
      </w:r>
    </w:p>
    <w:p>
      <w:pPr>
        <w:spacing w:before="0" w:after="160"/>
      </w:pPr>
      <w:r>
        <w:rPr>
          <w:rFonts w:ascii="Calibri" w:hAnsi="Calibri"/>
          <w:b/>
          <w:i w:val="0"/>
          <w:color w:val="212121"/>
          <w:sz w:val="22"/>
        </w:rPr>
        <w:t xml:space="preserve">AKA </w:t>
      </w:r>
      <w:r>
        <w:rPr>
          <w:rFonts w:ascii="Calibri" w:hAnsi="Calibri"/>
          <w:b w:val="0"/>
          <w:i w:val="0"/>
          <w:color w:val="212121"/>
          <w:sz w:val="22"/>
        </w:rPr>
        <w:t>i.e., Congenital talipes equinovarus (CTEV), Idiopathic clubfoot, Talipes equinovarus, 'Club-shaped' or inturned foot of the newborn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Clubfoot (congenital talipes equinovarus, CTEV) is one of the most common structural birth defects of the musculoskeletal system, in which one or both feet are fixed at birth in a downward-and-inward position that cannot be passively corrected to neutral. The deformity has four classic components summarised by the acronym CAVE - midfoot Cavus, forefoot Adductus, hindfoot Varus and ankle Equinus - with contracted medial/posterior soft tissues, a small foot and a thin calf on the affected side. About four in five cases are idiopathic (isolated), while the remainder occur with neural tube defects, arthrogryposis, myotonic dystrophy or chromosomal syndromes. Untreated it becomes a rigid, painful, stigmatising lifelong disability, yet when the Ponseti serial-casting method is started in the first weeks of life more than 90% of feet are fully corrected without major surgery.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Globally about 1.18 babies per 1,000 births are born with clubfoot, and the WHO South-East Asia Region - which includes India - carries the highest regional rate at about 1.80 per 1,000 births. Applying the commonly quoted Indian incidence of 1-2 per 1,000 to India's roughly 2.3 crore annual live births suggests that well over 30,000 Indian babies are born with clubfoot every year - one of the largest national clubfoot burdens in the world. Boys are affected about twice as often as girls and roughly half of all cases are bilateral; Indian hospital series report 50-53% bilateral involvement. Because access to weekly Ponseti casting is uneven, a large share of Indian children still present late as 'neglected' walking-age clubfoot - in surveyed low- and middle-income countries only about 14% of infants born with clubfoot received Ponseti treatment before their first birthday.</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Clubfoot is a clinical diagnosis made by examination of the newborn foot (and increasingly suspected on the antenatal anomaly scan); the essential steps are: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demonstration of the four fixed deformity components - midfoot cavus, forefoot adductus, hindfoot varus and ankle equinus (CAVE) - with a deep medial and posterior skin crease, a small foot and calf, and inability to passively dorsiflex/evert the foot to the neutral position;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differentiation from positional (postural) talipes, which is fully correctable with gentle stretching and resolves spontaneously, and from mimics such as metatarsus adductus, congenital vertical talus and calcaneovalgus foot;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severity grading at presentation and at every casting visit using the Pirani score (six signs, 0-6) and/or the Dimeglio classification (grades I-IV), which predict the number of casts needed and the risk of relapse;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screening examination of the hips (Ortolani/Barlow for developmental dysplasia), spine (midline dimples, hairy patch, lipoma suggesting spinal dysraphism), neurology and other joints to separate idiopathic from syndromic or neurogenic clubfoot;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antenatal detection - clubfoot may be visualised on ultrasound from late first trimester and around 90% of prenatal diagnoses are made in the first/second trimester, but the false-positive rate is 10-19%, so the diagnosis must always be confirmed after birth; complex clubfoot with other anomalies warrants fetal genetic work-up (aneuploidy risk ~30% versus 1.7-3.6% when isolated);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radiographs are not required in the typical infant (the tarsal bones are largely cartilaginous) and are reserved for atypical, syndromic, relapsed or older/neglected feet.</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Clubfoot is classified by cause and by severity; both determine treatment intensity and prognosis:</w:t>
      </w:r>
    </w:p>
    <w:p>
      <w:pPr>
        <w:spacing w:before="0" w:after="80"/>
      </w:pPr>
      <w:r>
        <w:rPr>
          <w:rFonts w:ascii="Calibri" w:hAnsi="Calibri"/>
          <w:b w:val="0"/>
          <w:i w:val="0"/>
          <w:color w:val="212121"/>
          <w:sz w:val="21"/>
        </w:rPr>
        <w:t>(1) Idiopathic CTEV - the classic isolated form, about 80% of cases, occurring in an otherwise normal child with a multifactorial genetic basis;</w:t>
      </w:r>
    </w:p>
    <w:p>
      <w:pPr>
        <w:spacing w:before="0" w:after="80"/>
      </w:pPr>
      <w:r>
        <w:rPr>
          <w:rFonts w:ascii="Calibri" w:hAnsi="Calibri"/>
          <w:b w:val="0"/>
          <w:i w:val="0"/>
          <w:color w:val="212121"/>
          <w:sz w:val="21"/>
        </w:rPr>
        <w:t>(2) Positional (postural) talipes - a flexible foot held in equinovarus by intrauterine moulding; it corrects fully on passive stretching and needs only reassurance or brief physiotherapy (not a true structural clubfoot);</w:t>
      </w:r>
    </w:p>
    <w:p>
      <w:pPr>
        <w:spacing w:before="0" w:after="80"/>
      </w:pPr>
      <w:r>
        <w:rPr>
          <w:rFonts w:ascii="Calibri" w:hAnsi="Calibri"/>
          <w:b w:val="0"/>
          <w:i w:val="0"/>
          <w:color w:val="212121"/>
          <w:sz w:val="21"/>
        </w:rPr>
        <w:t>(3) Syndromic/teratologic clubfoot - rigid clubfoot occurring with distal arthrogryposis, congenital myotonic dystrophy, amniotic band sequence, trisomy 18 or chromosome 22q11.2 deletion; in about 20% of all cases clubfoot presents with at least one such associated condition, and these feet are stiffer and relapse-prone;</w:t>
      </w:r>
    </w:p>
    <w:p>
      <w:pPr>
        <w:spacing w:before="0" w:after="80"/>
      </w:pPr>
      <w:r>
        <w:rPr>
          <w:rFonts w:ascii="Calibri" w:hAnsi="Calibri"/>
          <w:b w:val="0"/>
          <w:i w:val="0"/>
          <w:color w:val="212121"/>
          <w:sz w:val="21"/>
        </w:rPr>
        <w:t>(4) Neurogenic clubfoot - secondary to neural tube defects (myelomeningocele/spina bifida), tethered cord, polio or other neuromuscular disease; muscle imbalance drives recurrence and the insensate skin complicates casting;</w:t>
      </w:r>
    </w:p>
    <w:p>
      <w:pPr>
        <w:spacing w:before="0" w:after="80"/>
      </w:pPr>
      <w:r>
        <w:rPr>
          <w:rFonts w:ascii="Calibri" w:hAnsi="Calibri"/>
          <w:b w:val="0"/>
          <w:i w:val="0"/>
          <w:color w:val="212121"/>
          <w:sz w:val="21"/>
        </w:rPr>
        <w:t>(5) By severity - Pirani score: six signs (curved lateral border, medial crease, uncovered talar head; posterior crease, empty heel, rigid equinus) each scored 0/0.5/1, total 0-6, with higher hindfoot scores predicting tenotomy and relapse; Dimeglio score: grades I (benign, soft-soft), II (moderate), III (severe, stiff-soft) and IV (very severe, stiff-stiff);</w:t>
      </w:r>
    </w:p>
    <w:p>
      <w:pPr>
        <w:spacing w:before="0" w:after="80"/>
      </w:pPr>
      <w:r>
        <w:rPr>
          <w:rFonts w:ascii="Calibri" w:hAnsi="Calibri"/>
          <w:b w:val="0"/>
          <w:i w:val="0"/>
          <w:color w:val="212121"/>
          <w:sz w:val="21"/>
        </w:rPr>
        <w:t>(6) By treatment stage - untreated/neglected clubfoot (presentation after walking age, still common in rural India), recurrent/relapsed clubfoot (deformity returning after correction, usually from brace non-adherence) and resistant/atypical clubfoot (short, plump, rigid foot with deep creases needing a modified casting technique).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predisposition: Clubfoot clusters strongly in families - about 24.4% of cases have a positive family history, concordance is 33% in identical twins versus 3% in non-identical twins, and variants in the PITX1-TBX4 hindlimb-development pathway and HOXA/HOXD genes have been implicated.</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Gene-environment interaction (maternal smoking): Maternal smoking in pregnancy raises the odds of clubfoot by about 34%, and when combined with a positive family history the odds rise roughly 20-fold - one of the clearest gene-environment interactions in birth-defect epidemiology.</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Neuromuscular and soft-tissue abnormality: Retracting fibrosis of the medial and posterior ligaments and tendons, calf-muscle hypoplasia and fibre-type disproportion hold the foot in the deformed position; the calf remains thin even after full correction.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Vascular hypothesis: Hypoplasia or absence of the anterior tibial artery and its branches is found in many clubfeet and may impair development of the anterolateral foot.</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Primary talar (germ-plasm) defect: The talus is small with a short, medially and plantarly deviated neck, rotating the navicular and calcaneus into adduction and varus - supporting an intrinsic bone dysplasia.</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Intrauterine mechanical factors: Breech presentation, twin pregnancy and uterine constraint are over-represented among affected pregnancies, and early amniocentesis (before 14 weeks) increases talipes risk (1.3% vs 0.1% with mid-trimester sampling in the CEMAT trial); evidence for oligohydramnios itself is mixed.</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Syndromic and neurogenic causes: Neural tube defects, distal arthrogryposis, congenital myotonic dystrophy, amniotic band sequence and chromosomal disorders (trisomy 18, 22q11.2 deletion) account for roughly one fifth of cases.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Newborns and infants (0-12 months)</w:t>
            </w:r>
          </w:p>
        </w:tc>
        <w:tc>
          <w:tcPr>
            <w:tcW w:type="dxa" w:w="4276"/>
            <w:vAlign w:val="top"/>
          </w:tcPr>
          <w:p>
            <w:pPr>
              <w:spacing w:after="60" w:line="259" w:lineRule="auto"/>
            </w:pPr>
            <w:r>
              <w:rPr>
                <w:rFonts w:ascii="Calibri" w:hAnsi="Calibri"/>
                <w:b w:val="0"/>
                <w:i w:val="0"/>
                <w:color w:val="212121"/>
                <w:sz w:val="19"/>
              </w:rPr>
              <w:t>Clubfoot is congenital - the deformity is present and fully evident at birth, and the ideal treatment window is the first weeks of life when the tissues are most elastic and casting corrects the foot fastest.</w:t>
            </w:r>
          </w:p>
          <w:p>
            <w:pPr>
              <w:spacing w:after="40" w:before="60" w:line="259" w:lineRule="auto"/>
            </w:pPr>
            <w:r>
              <w:rPr>
                <w:rFonts w:ascii="Calibri" w:hAnsi="Calibri"/>
                <w:b w:val="0"/>
                <w:i w:val="0"/>
                <w:color w:val="212121"/>
                <w:sz w:val="19"/>
              </w:rPr>
              <w:t>In a central-India series of 200 CTEV children, 83.5% presented below 1 year of age; in a Pune cohort the median age at presentation was 1 month and a mean of only ~4 casts achieved correction.</w:t>
            </w:r>
          </w:p>
          <w:p>
            <w:pPr>
              <w:spacing w:after="40" w:line="252" w:lineRule="auto"/>
            </w:pPr>
            <w:hyperlink r:id="rId9">
              <w:r>
                <w:rPr>
                  <w:rFonts w:ascii="Calibri" w:hAnsi="Calibri" w:cs="Calibri"/>
                  <w:sz w:val="18"/>
                  <w:color w:val="1155CC"/>
                  <w:u w:val="single"/>
                </w:rPr>
                <w:t xml:space="preserve">msjonline.org - demographic study of CTEV in central India</w:t>
              </w:r>
            </w:hyperlink>
          </w:p>
          <w:p>
            <w:pPr>
              <w:spacing w:before="60" w:after="40"/>
            </w:pPr>
            <w:r>
              <w:rPr>
                <w:rFonts w:ascii="Calibri" w:hAnsi="Calibri"/>
                <w:b w:val="0"/>
                <w:i w:val="0"/>
                <w:color w:val="5A5A5A"/>
                <w:sz w:val="18"/>
              </w:rPr>
              <w:t>#congenital  #newborn  #earlycasting  #ponsetiwindow</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Toddlers and school-age children (neglected clubfoot)</w:t>
            </w:r>
          </w:p>
        </w:tc>
        <w:tc>
          <w:tcPr>
            <w:tcW w:type="dxa" w:w="4276"/>
            <w:vAlign w:val="top"/>
          </w:tcPr>
          <w:p>
            <w:pPr>
              <w:spacing w:after="60" w:line="259" w:lineRule="auto"/>
            </w:pPr>
            <w:r>
              <w:rPr>
                <w:rFonts w:ascii="Calibri" w:hAnsi="Calibri"/>
                <w:b w:val="0"/>
                <w:i w:val="0"/>
                <w:color w:val="212121"/>
                <w:sz w:val="19"/>
              </w:rPr>
              <w:t>Where newborn screening and weekly casting access are poor, children present after walking age with rigid 'neglected' clubfoot, walking on the outer border or dorsum of the foot with callosities and stigma; correction then needs many more casts and sometimes surgery.</w:t>
            </w:r>
          </w:p>
          <w:p>
            <w:pPr>
              <w:spacing w:after="40" w:before="60" w:line="259" w:lineRule="auto"/>
            </w:pPr>
            <w:r>
              <w:rPr>
                <w:rFonts w:ascii="Calibri" w:hAnsi="Calibri"/>
                <w:b w:val="0"/>
                <w:i w:val="0"/>
                <w:color w:val="212121"/>
                <w:sz w:val="19"/>
              </w:rPr>
              <w:t>In 13 remote districts of Odisha, 993 neglected clubfeet in 731 children were treated at community camps (2014-2022); nearly half (46.8%) of the children were in the up-to-5-years age band - far beyond the newborn window.</w:t>
            </w:r>
          </w:p>
          <w:p>
            <w:pPr>
              <w:spacing w:after="40" w:line="252" w:lineRule="auto"/>
            </w:pPr>
            <w:hyperlink r:id="rId10">
              <w:r>
                <w:rPr>
                  <w:rFonts w:ascii="Calibri" w:hAnsi="Calibri" w:cs="Calibri"/>
                  <w:sz w:val="18"/>
                  <w:color w:val="1155CC"/>
                  <w:u w:val="single"/>
                </w:rPr>
                <w:t xml:space="preserve">Indian J Orthopaedics - neglected clubfoot in rural Odisha</w:t>
              </w:r>
            </w:hyperlink>
          </w:p>
          <w:p>
            <w:pPr>
              <w:spacing w:before="60" w:after="40"/>
            </w:pPr>
            <w:r>
              <w:rPr>
                <w:rFonts w:ascii="Calibri" w:hAnsi="Calibri"/>
                <w:b w:val="0"/>
                <w:i w:val="0"/>
                <w:color w:val="5A5A5A"/>
                <w:sz w:val="18"/>
              </w:rPr>
              <w:t>#neglectedclubfoot  #walkingage  #latepresentation  #ruralindia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infants</w:t>
            </w:r>
          </w:p>
        </w:tc>
        <w:tc>
          <w:tcPr>
            <w:tcW w:type="dxa" w:w="4276"/>
            <w:vAlign w:val="top"/>
          </w:tcPr>
          <w:p>
            <w:pPr>
              <w:spacing w:after="60" w:line="259" w:lineRule="auto"/>
            </w:pPr>
            <w:r>
              <w:rPr>
                <w:rFonts w:ascii="Calibri" w:hAnsi="Calibri"/>
                <w:b w:val="0"/>
                <w:i w:val="0"/>
                <w:color w:val="212121"/>
                <w:sz w:val="19"/>
              </w:rPr>
              <w:t>Boys are consistently affected about twice as often as girls across populations; the multifactorial threshold model implies girls need a larger genetic load to express the deformity, so an affected girl signals higher recurrence risk for siblings.</w:t>
            </w:r>
          </w:p>
          <w:p>
            <w:pPr>
              <w:spacing w:after="40" w:before="60" w:line="259" w:lineRule="auto"/>
            </w:pPr>
            <w:r>
              <w:rPr>
                <w:rFonts w:ascii="Calibri" w:hAnsi="Calibri"/>
                <w:b w:val="0"/>
                <w:i w:val="0"/>
                <w:color w:val="212121"/>
                <w:sz w:val="19"/>
              </w:rPr>
              <w:t>Male-to-female ratio is approximately 2:1 worldwide; Indian series report 62-65% male preponderance (and up to 3.9:1 in a Pune infant cohort).</w:t>
            </w:r>
          </w:p>
          <w:p>
            <w:pPr>
              <w:spacing w:after="40" w:line="252" w:lineRule="auto"/>
            </w:pPr>
            <w:hyperlink r:id="rId11">
              <w:r>
                <w:rPr>
                  <w:rFonts w:ascii="Calibri" w:hAnsi="Calibri" w:cs="Calibri"/>
                  <w:sz w:val="18"/>
                  <w:color w:val="1155CC"/>
                  <w:u w:val="single"/>
                </w:rPr>
                <w:t xml:space="preserve">ncbi.nlm.nih.gov - StatPearls, Clubfoot</w:t>
              </w:r>
            </w:hyperlink>
          </w:p>
          <w:p>
            <w:pPr>
              <w:spacing w:before="60" w:after="40"/>
            </w:pPr>
            <w:r>
              <w:rPr>
                <w:rFonts w:ascii="Calibri" w:hAnsi="Calibri"/>
                <w:b w:val="0"/>
                <w:i w:val="0"/>
                <w:color w:val="5A5A5A"/>
                <w:sz w:val="18"/>
              </w:rPr>
              <w:t>#malepredominance  #thresholdmodel  #sexratio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and marginalised families</w:t>
            </w:r>
          </w:p>
        </w:tc>
        <w:tc>
          <w:tcPr>
            <w:tcW w:type="dxa" w:w="4276"/>
            <w:vAlign w:val="top"/>
          </w:tcPr>
          <w:p>
            <w:pPr>
              <w:spacing w:after="60" w:line="259" w:lineRule="auto"/>
            </w:pPr>
            <w:r>
              <w:rPr>
                <w:rFonts w:ascii="Calibri" w:hAnsi="Calibri"/>
                <w:b w:val="0"/>
                <w:i w:val="0"/>
                <w:color w:val="212121"/>
                <w:sz w:val="19"/>
              </w:rPr>
              <w:t>Poverty delays diagnosis and blocks completion of the long treatment pathway (weekly casts, tenotomy, 4-5 years of bracing) through travel cost, wage loss and low awareness, converting a curable deformity into permanent disability.</w:t>
            </w:r>
          </w:p>
          <w:p>
            <w:pPr>
              <w:spacing w:after="40" w:before="60" w:line="259" w:lineRule="auto"/>
            </w:pPr>
            <w:r>
              <w:rPr>
                <w:rFonts w:ascii="Calibri" w:hAnsi="Calibri"/>
                <w:b w:val="0"/>
                <w:i w:val="0"/>
                <w:color w:val="212121"/>
                <w:sz w:val="19"/>
              </w:rPr>
              <w:t>The Odisha neglected-clubfoot cohort came predominantly from socially and economically disadvantaged rural communities, with socioeconomic status significantly associated with district of origin (p &lt; 0.001).</w:t>
            </w:r>
          </w:p>
          <w:p>
            <w:pPr>
              <w:spacing w:after="40" w:line="252" w:lineRule="auto"/>
            </w:pPr>
            <w:hyperlink r:id="rId10">
              <w:r>
                <w:rPr>
                  <w:rFonts w:ascii="Calibri" w:hAnsi="Calibri" w:cs="Calibri"/>
                  <w:sz w:val="18"/>
                  <w:color w:val="1155CC"/>
                  <w:u w:val="single"/>
                </w:rPr>
                <w:t xml:space="preserve">Indian J Orthopaedics - neglected clubfoot in rural Odisha</w:t>
              </w:r>
            </w:hyperlink>
          </w:p>
          <w:p>
            <w:pPr>
              <w:spacing w:before="60" w:after="40"/>
            </w:pPr>
            <w:r>
              <w:rPr>
                <w:rFonts w:ascii="Calibri" w:hAnsi="Calibri"/>
                <w:b w:val="0"/>
                <w:i w:val="0"/>
                <w:color w:val="5A5A5A"/>
                <w:sz w:val="18"/>
              </w:rPr>
              <w:t>#lowincome  #treatmentdropout  #travelbarrier  #disabilityprevention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Indian / South-East Asian newborns</w:t>
            </w:r>
          </w:p>
        </w:tc>
        <w:tc>
          <w:tcPr>
            <w:tcW w:type="dxa" w:w="4276"/>
            <w:vAlign w:val="top"/>
          </w:tcPr>
          <w:p>
            <w:pPr>
              <w:spacing w:after="60" w:line="259" w:lineRule="auto"/>
            </w:pPr>
            <w:r>
              <w:rPr>
                <w:rFonts w:ascii="Calibri" w:hAnsi="Calibri"/>
                <w:b w:val="0"/>
                <w:i w:val="0"/>
                <w:color w:val="212121"/>
                <w:sz w:val="19"/>
              </w:rPr>
              <w:t>The WHO South-East Asia Region, which includes India, has the highest measured regional birth prevalence of clubfoot; combined with India's very large birth cohort this produces one of the world's biggest national clubfoot caseloads.</w:t>
            </w:r>
          </w:p>
          <w:p>
            <w:pPr>
              <w:spacing w:after="40" w:before="60" w:line="259" w:lineRule="auto"/>
            </w:pPr>
            <w:r>
              <w:rPr>
                <w:rFonts w:ascii="Calibri" w:hAnsi="Calibri"/>
                <w:b w:val="0"/>
                <w:i w:val="0"/>
                <w:color w:val="212121"/>
                <w:sz w:val="19"/>
              </w:rPr>
              <w:t>Regional birth prevalence ~1.80 per 1,000 births (South-East Asia) versus a global pooled 1.18 per 1,000 (35 studies, ~44.8 million births).</w:t>
            </w:r>
          </w:p>
          <w:p>
            <w:pPr>
              <w:spacing w:after="40" w:line="252" w:lineRule="auto"/>
            </w:pPr>
            <w:hyperlink r:id="rId12">
              <w:r>
                <w:rPr>
                  <w:rFonts w:ascii="Calibri" w:hAnsi="Calibri" w:cs="Calibri"/>
                  <w:sz w:val="18"/>
                  <w:color w:val="1155CC"/>
                  <w:u w:val="single"/>
                </w:rPr>
                <w:t xml:space="preserve">lshtm.ac.uk - global birth prevalence of clubfoot (2023 meta-analysis)</w:t>
              </w:r>
            </w:hyperlink>
          </w:p>
          <w:p>
            <w:pPr>
              <w:spacing w:before="60" w:after="40"/>
            </w:pPr>
            <w:r>
              <w:rPr>
                <w:rFonts w:ascii="Calibri" w:hAnsi="Calibri"/>
                <w:b w:val="0"/>
                <w:i w:val="0"/>
                <w:color w:val="5A5A5A"/>
                <w:sz w:val="18"/>
              </w:rPr>
              <w:t>#searegion  #india  #birthprevalence  #globalburden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Population gradient (Polynesian highest, East Asian lowest)</w:t>
            </w:r>
          </w:p>
        </w:tc>
        <w:tc>
          <w:tcPr>
            <w:tcW w:type="dxa" w:w="4276"/>
            <w:vAlign w:val="top"/>
          </w:tcPr>
          <w:p>
            <w:pPr>
              <w:spacing w:after="60" w:line="259" w:lineRule="auto"/>
            </w:pPr>
            <w:r>
              <w:rPr>
                <w:rFonts w:ascii="Calibri" w:hAnsi="Calibri"/>
                <w:b w:val="0"/>
                <w:i w:val="0"/>
                <w:color w:val="212121"/>
                <w:sz w:val="19"/>
              </w:rPr>
              <w:t>Marked ethnic variation supports a strong genetic contribution: Polynesian/Maori populations show roughly 17 times the prevalence of Chinese populations, with South Asian rates intermediate-to-high.</w:t>
            </w:r>
          </w:p>
          <w:p>
            <w:pPr>
              <w:spacing w:after="40" w:before="60" w:line="259" w:lineRule="auto"/>
            </w:pPr>
            <w:r>
              <w:rPr>
                <w:rFonts w:ascii="Calibri" w:hAnsi="Calibri"/>
                <w:b w:val="0"/>
                <w:i w:val="0"/>
                <w:color w:val="212121"/>
                <w:sz w:val="19"/>
              </w:rPr>
              <w:t>Reported prevalence ranges from 0.39 per 1,000 (Chinese) to about 7 per 1,000 (Native Hawaiian/Maori) against a global norm of 1-2 per 1,000.</w:t>
            </w:r>
          </w:p>
          <w:p>
            <w:pPr>
              <w:spacing w:after="40" w:line="252" w:lineRule="auto"/>
            </w:pPr>
            <w:hyperlink r:id="rId13">
              <w:r>
                <w:rPr>
                  <w:rFonts w:ascii="Calibri" w:hAnsi="Calibri" w:cs="Calibri"/>
                  <w:sz w:val="18"/>
                  <w:color w:val="1155CC"/>
                  <w:u w:val="single"/>
                </w:rPr>
                <w:t xml:space="preserve">ncbi.nlm.nih.gov - StatPearls, Talipes Equinovarus</w:t>
              </w:r>
            </w:hyperlink>
          </w:p>
          <w:p>
            <w:pPr>
              <w:spacing w:before="60" w:after="40"/>
            </w:pPr>
            <w:r>
              <w:rPr>
                <w:rFonts w:ascii="Calibri" w:hAnsi="Calibri"/>
                <w:b w:val="0"/>
                <w:i w:val="0"/>
                <w:color w:val="5A5A5A"/>
                <w:sz w:val="18"/>
              </w:rPr>
              <w:t>#ethnicvariation  #geneticloading  #polynesian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Rural / remote residence</w:t>
            </w:r>
          </w:p>
        </w:tc>
        <w:tc>
          <w:tcPr>
            <w:tcW w:type="dxa" w:w="2160"/>
            <w:vAlign w:val="top"/>
          </w:tcPr>
          <w:p>
            <w:pPr>
              <w:spacing w:after="40" w:before="0" w:line="259" w:lineRule="auto"/>
            </w:pPr>
            <w:r>
              <w:rPr>
                <w:rFonts w:ascii="Calibri" w:hAnsi="Calibri"/>
                <w:b w:val="0"/>
                <w:i w:val="0"/>
                <w:color w:val="212121"/>
                <w:sz w:val="19"/>
              </w:rPr>
              <w:t>Families far from district Ponseti clinics</w:t>
            </w:r>
          </w:p>
        </w:tc>
        <w:tc>
          <w:tcPr>
            <w:tcW w:type="dxa" w:w="4276"/>
            <w:vAlign w:val="top"/>
          </w:tcPr>
          <w:p>
            <w:pPr>
              <w:spacing w:after="60" w:line="259" w:lineRule="auto"/>
            </w:pPr>
            <w:r>
              <w:rPr>
                <w:rFonts w:ascii="Calibri" w:hAnsi="Calibri"/>
                <w:b w:val="0"/>
                <w:i w:val="0"/>
                <w:color w:val="212121"/>
                <w:sz w:val="19"/>
              </w:rPr>
              <w:t>Weekly plaster changes for 4-8 weeks followed by years of brace reviews demand repeated travel; distance and seasonal inaccessibility drive missed casts, brace abandonment and relapse in rural and tribal belts.</w:t>
            </w:r>
          </w:p>
          <w:p>
            <w:pPr>
              <w:spacing w:after="40" w:before="60" w:line="259" w:lineRule="auto"/>
            </w:pPr>
            <w:r>
              <w:rPr>
                <w:rFonts w:ascii="Calibri" w:hAnsi="Calibri"/>
                <w:b w:val="0"/>
                <w:i w:val="0"/>
                <w:color w:val="212121"/>
                <w:sz w:val="19"/>
              </w:rPr>
              <w:t>Across surveyed low- and middle-income countries only about 14% of infants born with clubfoot received Ponseti treatment before age one - the essence of the neglected-clubfoot problem.</w:t>
            </w:r>
          </w:p>
          <w:p>
            <w:pPr>
              <w:spacing w:after="40" w:line="252" w:lineRule="auto"/>
            </w:pPr>
            <w:hyperlink r:id="rId14">
              <w:r>
                <w:rPr>
                  <w:rFonts w:ascii="Calibri" w:hAnsi="Calibri" w:cs="Calibri"/>
                  <w:sz w:val="18"/>
                  <w:color w:val="1155CC"/>
                  <w:u w:val="single"/>
                </w:rPr>
                <w:t xml:space="preserve">givewell.org - Ponseti casting for clubfoot (programme review)</w:t>
              </w:r>
            </w:hyperlink>
          </w:p>
          <w:p>
            <w:pPr>
              <w:spacing w:before="60" w:after="40"/>
            </w:pPr>
            <w:r>
              <w:rPr>
                <w:rFonts w:ascii="Calibri" w:hAnsi="Calibri"/>
                <w:b w:val="0"/>
                <w:i w:val="0"/>
                <w:color w:val="5A5A5A"/>
                <w:sz w:val="18"/>
              </w:rPr>
              <w:t>#accessgap  #weeklycasting  #ruralhealth  #followuploss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Mothers who smoke or use tobacco in pregnancy</w:t>
            </w:r>
          </w:p>
        </w:tc>
        <w:tc>
          <w:tcPr>
            <w:tcW w:type="dxa" w:w="4276"/>
            <w:vAlign w:val="top"/>
          </w:tcPr>
          <w:p>
            <w:pPr>
              <w:spacing w:after="60" w:line="259" w:lineRule="auto"/>
            </w:pPr>
            <w:r>
              <w:rPr>
                <w:rFonts w:ascii="Calibri" w:hAnsi="Calibri"/>
                <w:b w:val="0"/>
                <w:i w:val="0"/>
                <w:color w:val="212121"/>
                <w:sz w:val="19"/>
              </w:rPr>
              <w:t>Nicotine and combustion toxins impair fetal limb vasculature and interact with clubfoot susceptibility genes; in India smokeless tobacco (khaini, gutkha, mishri) and second-hand smoke are the dominant maternal exposures.</w:t>
            </w:r>
          </w:p>
          <w:p>
            <w:pPr>
              <w:spacing w:after="40" w:before="60" w:line="259" w:lineRule="auto"/>
            </w:pPr>
            <w:r>
              <w:rPr>
                <w:rFonts w:ascii="Calibri" w:hAnsi="Calibri"/>
                <w:b w:val="0"/>
                <w:i w:val="0"/>
                <w:color w:val="212121"/>
                <w:sz w:val="19"/>
              </w:rPr>
              <w:t>Maternal smoking alone: adjusted OR 1.34 (95% CI 1.04-1.72); smoking plus family history: OR 20.30 (95% CI 7.90-52.17).</w:t>
            </w:r>
          </w:p>
          <w:p>
            <w:pPr>
              <w:spacing w:after="40" w:line="252" w:lineRule="auto"/>
            </w:pPr>
            <w:hyperlink r:id="rId15">
              <w:r>
                <w:rPr>
                  <w:rFonts w:ascii="Calibri" w:hAnsi="Calibri" w:cs="Calibri"/>
                  <w:sz w:val="18"/>
                  <w:color w:val="1155CC"/>
                  <w:u w:val="single"/>
                </w:rPr>
                <w:t xml:space="preserve">academic.oup.com - Am J Epidemiol, family history, smoking and clubfoot</w:t>
              </w:r>
            </w:hyperlink>
          </w:p>
          <w:p>
            <w:pPr>
              <w:spacing w:before="60" w:after="40"/>
            </w:pPr>
            <w:r>
              <w:rPr>
                <w:rFonts w:ascii="Calibri" w:hAnsi="Calibri"/>
                <w:b w:val="0"/>
                <w:i w:val="0"/>
                <w:color w:val="5A5A5A"/>
                <w:sz w:val="18"/>
              </w:rPr>
              <w:t>#maternalsmoking  #geneenvironment  #smokelesstobacco  #pregnancy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Mothers consuming alcohol in pregnancy</w:t>
            </w:r>
          </w:p>
        </w:tc>
        <w:tc>
          <w:tcPr>
            <w:tcW w:type="dxa" w:w="4276"/>
            <w:vAlign w:val="top"/>
          </w:tcPr>
          <w:p>
            <w:pPr>
              <w:spacing w:after="60" w:line="259" w:lineRule="auto"/>
            </w:pPr>
            <w:r>
              <w:rPr>
                <w:rFonts w:ascii="Calibri" w:hAnsi="Calibri"/>
                <w:b w:val="0"/>
                <w:i w:val="0"/>
                <w:color w:val="212121"/>
                <w:sz w:val="19"/>
              </w:rPr>
              <w:t>Evidence linking maternal alcohol to isolated clubfoot is inconsistent, but alcohol is a proven teratogen for other defects and complete abstinence in pregnancy is the standard advice; heavy exposure accompanies fetal alcohol spectrum disorders that can include limb contractures.</w:t>
            </w:r>
          </w:p>
          <w:p>
            <w:pPr>
              <w:spacing w:after="40" w:before="60" w:line="259" w:lineRule="auto"/>
            </w:pPr>
            <w:r>
              <w:rPr>
                <w:rFonts w:ascii="Calibri" w:hAnsi="Calibri"/>
                <w:b w:val="0"/>
                <w:i w:val="0"/>
                <w:color w:val="212121"/>
                <w:sz w:val="19"/>
              </w:rPr>
              <w:t>No consistent independent effect size established for isolated CTEV; abstinence remains the universal antenatal recommendation.</w:t>
            </w:r>
          </w:p>
          <w:p>
            <w:pPr>
              <w:spacing w:before="60" w:after="40"/>
            </w:pPr>
            <w:r>
              <w:rPr>
                <w:rFonts w:ascii="Calibri" w:hAnsi="Calibri"/>
                <w:b w:val="0"/>
                <w:i w:val="0"/>
                <w:color w:val="5A5A5A"/>
                <w:sz w:val="18"/>
              </w:rPr>
              <w:t>#maternalalcohol  #teratogen  #abstinence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children after correction</w:t>
            </w:r>
          </w:p>
        </w:tc>
        <w:tc>
          <w:tcPr>
            <w:tcW w:type="dxa" w:w="4276"/>
            <w:vAlign w:val="top"/>
          </w:tcPr>
          <w:p>
            <w:pPr>
              <w:spacing w:after="60" w:line="259" w:lineRule="auto"/>
            </w:pPr>
            <w:r>
              <w:rPr>
                <w:rFonts w:ascii="Calibri" w:hAnsi="Calibri"/>
                <w:b w:val="0"/>
                <w:i w:val="0"/>
                <w:color w:val="212121"/>
                <w:sz w:val="19"/>
              </w:rPr>
              <w:t>Inactivity does not cause clubfoot, but after correction regular stretching, play and weight-bearing activity maintain foot flexibility and calf strength; a sedentary child in a brace-refusing household loses correction faster.</w:t>
            </w:r>
          </w:p>
          <w:p>
            <w:pPr>
              <w:spacing w:after="40" w:before="60" w:line="259" w:lineRule="auto"/>
            </w:pPr>
            <w:r>
              <w:rPr>
                <w:rFonts w:ascii="Calibri" w:hAnsi="Calibri"/>
                <w:b w:val="0"/>
                <w:i w:val="0"/>
                <w:color w:val="212121"/>
                <w:sz w:val="19"/>
              </w:rPr>
              <w:t>Relapse is driven mainly by brace non-adherence (recurrence ~80% with poor compliance vs ~6% with good compliance) - active, supervised routines protect the result.</w:t>
            </w:r>
          </w:p>
          <w:p>
            <w:pPr>
              <w:spacing w:after="40" w:line="252" w:lineRule="auto"/>
            </w:pPr>
            <w:hyperlink r:id="rId11">
              <w:r>
                <w:rPr>
                  <w:rFonts w:ascii="Calibri" w:hAnsi="Calibri" w:cs="Calibri"/>
                  <w:sz w:val="18"/>
                  <w:color w:val="1155CC"/>
                  <w:u w:val="single"/>
                </w:rPr>
                <w:t xml:space="preserve">ncbi.nlm.nih.gov - StatPearls, Clubfoot</w:t>
              </w:r>
            </w:hyperlink>
          </w:p>
          <w:p>
            <w:pPr>
              <w:spacing w:before="60" w:after="40"/>
            </w:pPr>
            <w:r>
              <w:rPr>
                <w:rFonts w:ascii="Calibri" w:hAnsi="Calibri"/>
                <w:b w:val="0"/>
                <w:i w:val="0"/>
                <w:color w:val="5A5A5A"/>
                <w:sz w:val="18"/>
              </w:rPr>
              <w:t>#postcorrection  #stretching  #bracecompliance  #relapseprevention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Mothers with obesity or diabetes; overweight treated children</w:t>
            </w:r>
          </w:p>
        </w:tc>
        <w:tc>
          <w:tcPr>
            <w:tcW w:type="dxa" w:w="4276"/>
            <w:vAlign w:val="top"/>
          </w:tcPr>
          <w:p>
            <w:pPr>
              <w:spacing w:after="60" w:line="259" w:lineRule="auto"/>
            </w:pPr>
            <w:r>
              <w:rPr>
                <w:rFonts w:ascii="Calibri" w:hAnsi="Calibri"/>
                <w:b w:val="0"/>
                <w:i w:val="0"/>
                <w:color w:val="212121"/>
                <w:sz w:val="19"/>
              </w:rPr>
              <w:t>Some epidemiological studies report modestly higher clubfoot risk with maternal obesity and pre-gestational diabetes, although findings are inconsistent; in the treated child excess weight overloads the smaller, stiffer corrected foot and complicates brace fitting.</w:t>
            </w:r>
          </w:p>
          <w:p>
            <w:pPr>
              <w:spacing w:after="40" w:before="60" w:line="259" w:lineRule="auto"/>
            </w:pPr>
            <w:r>
              <w:rPr>
                <w:rFonts w:ascii="Calibri" w:hAnsi="Calibri"/>
                <w:b w:val="0"/>
                <w:i w:val="0"/>
                <w:color w:val="212121"/>
                <w:sz w:val="19"/>
              </w:rPr>
              <w:t>Association with maternal obesity/diabetes is reported but not consistently confirmed across studies; it is not an established major risk factor.</w:t>
            </w:r>
          </w:p>
          <w:p>
            <w:pPr>
              <w:spacing w:before="60" w:after="40"/>
            </w:pPr>
            <w:r>
              <w:rPr>
                <w:rFonts w:ascii="Calibri" w:hAnsi="Calibri"/>
                <w:b w:val="0"/>
                <w:i w:val="0"/>
                <w:color w:val="5A5A5A"/>
                <w:sz w:val="18"/>
              </w:rPr>
              <w:t>#maternalobesity  #gestationaldiabetes  #bracefit  #footloading</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Maternal nutrition</w:t>
            </w:r>
          </w:p>
        </w:tc>
        <w:tc>
          <w:tcPr>
            <w:tcW w:type="dxa" w:w="2160"/>
            <w:vAlign w:val="top"/>
          </w:tcPr>
          <w:p>
            <w:pPr>
              <w:spacing w:after="40" w:before="0" w:line="259" w:lineRule="auto"/>
            </w:pPr>
            <w:r>
              <w:rPr>
                <w:rFonts w:ascii="Calibri" w:hAnsi="Calibri"/>
                <w:b w:val="0"/>
                <w:i w:val="0"/>
                <w:color w:val="212121"/>
                <w:sz w:val="19"/>
              </w:rPr>
              <w:t>Women with poor periconceptional micronutrient status</w:t>
            </w:r>
          </w:p>
        </w:tc>
        <w:tc>
          <w:tcPr>
            <w:tcW w:type="dxa" w:w="4276"/>
            <w:vAlign w:val="top"/>
          </w:tcPr>
          <w:p>
            <w:pPr>
              <w:spacing w:after="60" w:line="259" w:lineRule="auto"/>
            </w:pPr>
            <w:r>
              <w:rPr>
                <w:rFonts w:ascii="Calibri" w:hAnsi="Calibri"/>
                <w:b w:val="0"/>
                <w:i w:val="0"/>
                <w:color w:val="212121"/>
                <w:sz w:val="19"/>
              </w:rPr>
              <w:t>No specific dietary cause of idiopathic clubfoot is proven, but periconceptional folic acid prevents neural tube defects - a major cause of neurogenic clubfoot in India - and balanced maternal nutrition supports normal fetal muscle and connective-tissue development.</w:t>
            </w:r>
          </w:p>
          <w:p>
            <w:pPr>
              <w:spacing w:after="40" w:before="60" w:line="259" w:lineRule="auto"/>
            </w:pPr>
            <w:r>
              <w:rPr>
                <w:rFonts w:ascii="Calibri" w:hAnsi="Calibri"/>
                <w:b w:val="0"/>
                <w:i w:val="0"/>
                <w:color w:val="212121"/>
                <w:sz w:val="19"/>
              </w:rPr>
              <w:t>Standard antenatal advice: 400 micrograms folic acid daily from before conception; neural tube defects remain among the commonest birth defects in Indian surveillance.</w:t>
            </w:r>
          </w:p>
          <w:p>
            <w:pPr>
              <w:spacing w:before="60" w:after="40"/>
            </w:pPr>
            <w:r>
              <w:rPr>
                <w:rFonts w:ascii="Calibri" w:hAnsi="Calibri"/>
                <w:b w:val="0"/>
                <w:i w:val="0"/>
                <w:color w:val="5A5A5A"/>
                <w:sz w:val="18"/>
              </w:rPr>
              <w:t>#folicacid  #neuraltubedefect  #maternalnutrition  #periconceptional</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of an affected child</w:t>
            </w:r>
          </w:p>
        </w:tc>
        <w:tc>
          <w:tcPr>
            <w:tcW w:type="dxa" w:w="4276"/>
            <w:vAlign w:val="top"/>
          </w:tcPr>
          <w:p>
            <w:pPr>
              <w:spacing w:after="60" w:line="259" w:lineRule="auto"/>
            </w:pPr>
            <w:r>
              <w:rPr>
                <w:rFonts w:ascii="Calibri" w:hAnsi="Calibri"/>
                <w:b w:val="0"/>
                <w:i w:val="0"/>
                <w:color w:val="212121"/>
                <w:sz w:val="19"/>
              </w:rPr>
              <w:t>Clubfoot is strongly heritable in a multifactorial pattern: risk to siblings and offspring is many-fold above background, and family history multiplies the harm of maternal smoking.</w:t>
            </w:r>
          </w:p>
          <w:p>
            <w:pPr>
              <w:spacing w:after="40" w:before="60" w:line="259" w:lineRule="auto"/>
            </w:pPr>
            <w:r>
              <w:rPr>
                <w:rFonts w:ascii="Calibri" w:hAnsi="Calibri"/>
                <w:b w:val="0"/>
                <w:i w:val="0"/>
                <w:color w:val="212121"/>
                <w:sz w:val="19"/>
              </w:rPr>
              <w:t>24.4% of cases have an associated family history; positive family history alone carries OR 6.52 (95% CI 2.95-14.41), and identical-twin concordance is 33% versus 3% in fraternal twins.</w:t>
            </w:r>
          </w:p>
          <w:p>
            <w:pPr>
              <w:spacing w:after="40" w:line="252" w:lineRule="auto"/>
            </w:pPr>
            <w:hyperlink r:id="rId11">
              <w:r>
                <w:rPr>
                  <w:rFonts w:ascii="Calibri" w:hAnsi="Calibri" w:cs="Calibri"/>
                  <w:sz w:val="18"/>
                  <w:color w:val="1155CC"/>
                  <w:u w:val="single"/>
                </w:rPr>
                <w:t xml:space="preserve">ncbi.nlm.nih.gov - StatPearls, Clubfoot</w:t>
              </w:r>
            </w:hyperlink>
          </w:p>
          <w:p>
            <w:pPr>
              <w:spacing w:before="60" w:after="40"/>
            </w:pPr>
            <w:r>
              <w:rPr>
                <w:rFonts w:ascii="Calibri" w:hAnsi="Calibri"/>
                <w:b w:val="0"/>
                <w:i w:val="0"/>
                <w:color w:val="5A5A5A"/>
                <w:sz w:val="18"/>
              </w:rPr>
              <w:t>#familyhistory  #heritability  #twinstudies  #recurrencerisk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Consanguinity</w:t>
            </w:r>
          </w:p>
        </w:tc>
        <w:tc>
          <w:tcPr>
            <w:tcW w:type="dxa" w:w="2160"/>
            <w:vAlign w:val="top"/>
          </w:tcPr>
          <w:p>
            <w:pPr>
              <w:spacing w:after="40" w:before="0" w:line="259" w:lineRule="auto"/>
            </w:pPr>
            <w:r>
              <w:rPr>
                <w:rFonts w:ascii="Calibri" w:hAnsi="Calibri"/>
                <w:b w:val="0"/>
                <w:i w:val="0"/>
                <w:color w:val="212121"/>
                <w:sz w:val="19"/>
              </w:rPr>
              <w:t>Children of consanguineous marriages</w:t>
            </w:r>
          </w:p>
        </w:tc>
        <w:tc>
          <w:tcPr>
            <w:tcW w:type="dxa" w:w="4276"/>
            <w:vAlign w:val="top"/>
          </w:tcPr>
          <w:p>
            <w:pPr>
              <w:spacing w:after="60" w:line="259" w:lineRule="auto"/>
            </w:pPr>
            <w:r>
              <w:rPr>
                <w:rFonts w:ascii="Calibri" w:hAnsi="Calibri"/>
                <w:b w:val="0"/>
                <w:i w:val="0"/>
                <w:color w:val="212121"/>
                <w:sz w:val="19"/>
              </w:rPr>
              <w:t>Parental consanguinity, still customary in several Indian communities, concentrates recessive and polygenic susceptibility alleles and is over-represented in Indian CTEV series.</w:t>
            </w:r>
          </w:p>
          <w:p>
            <w:pPr>
              <w:spacing w:after="40" w:before="60" w:line="259" w:lineRule="auto"/>
            </w:pPr>
            <w:r>
              <w:rPr>
                <w:rFonts w:ascii="Calibri" w:hAnsi="Calibri"/>
                <w:b w:val="0"/>
                <w:i w:val="0"/>
                <w:color w:val="212121"/>
                <w:sz w:val="19"/>
              </w:rPr>
              <w:t>29% of 200 CTEV children in a central-India hospital series were born of consanguineous unions.</w:t>
            </w:r>
          </w:p>
          <w:p>
            <w:pPr>
              <w:spacing w:after="40" w:line="252" w:lineRule="auto"/>
            </w:pPr>
            <w:hyperlink r:id="rId9">
              <w:r>
                <w:rPr>
                  <w:rFonts w:ascii="Calibri" w:hAnsi="Calibri" w:cs="Calibri"/>
                  <w:sz w:val="18"/>
                  <w:color w:val="1155CC"/>
                  <w:u w:val="single"/>
                </w:rPr>
                <w:t xml:space="preserve">msjonline.org - demographic study of CTEV in central India</w:t>
              </w:r>
            </w:hyperlink>
          </w:p>
          <w:p>
            <w:pPr>
              <w:spacing w:before="60" w:after="40"/>
            </w:pPr>
            <w:r>
              <w:rPr>
                <w:rFonts w:ascii="Calibri" w:hAnsi="Calibri"/>
                <w:b w:val="0"/>
                <w:i w:val="0"/>
                <w:color w:val="5A5A5A"/>
                <w:sz w:val="18"/>
              </w:rPr>
              <w:t>#consanguinity  #recessivealleles  #geneticcounselling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Gene variants</w:t>
            </w:r>
          </w:p>
        </w:tc>
        <w:tc>
          <w:tcPr>
            <w:tcW w:type="dxa" w:w="2160"/>
            <w:vAlign w:val="top"/>
          </w:tcPr>
          <w:p>
            <w:pPr>
              <w:spacing w:after="40" w:before="0" w:line="259" w:lineRule="auto"/>
            </w:pPr>
            <w:r>
              <w:rPr>
                <w:rFonts w:ascii="Calibri" w:hAnsi="Calibri"/>
                <w:b w:val="0"/>
                <w:i w:val="0"/>
                <w:color w:val="212121"/>
                <w:sz w:val="19"/>
              </w:rPr>
              <w:t>Carriers of PITX1-TBX4 / HOXA-HOXD pathway variants</w:t>
            </w:r>
          </w:p>
        </w:tc>
        <w:tc>
          <w:tcPr>
            <w:tcW w:type="dxa" w:w="4276"/>
            <w:vAlign w:val="top"/>
          </w:tcPr>
          <w:p>
            <w:pPr>
              <w:spacing w:after="60" w:line="259" w:lineRule="auto"/>
            </w:pPr>
            <w:r>
              <w:rPr>
                <w:rFonts w:ascii="Calibri" w:hAnsi="Calibri"/>
                <w:b w:val="0"/>
                <w:i w:val="0"/>
                <w:color w:val="212121"/>
                <w:sz w:val="19"/>
              </w:rPr>
              <w:t>The PITX1-TBX4 transcription-factor axis specifies hindlimb identity, and HOXA/HOXD genes pattern the limb; rare variants and copy-number changes in these pathways segregate with familial clubfoot, though no single gene explains most cases.</w:t>
            </w:r>
          </w:p>
          <w:p>
            <w:pPr>
              <w:spacing w:after="40" w:before="60" w:line="259" w:lineRule="auto"/>
            </w:pPr>
            <w:r>
              <w:rPr>
                <w:rFonts w:ascii="Calibri" w:hAnsi="Calibri"/>
                <w:b w:val="0"/>
                <w:i w:val="0"/>
                <w:color w:val="212121"/>
                <w:sz w:val="19"/>
              </w:rPr>
              <w:t>Multiple susceptibility genes identified (PITX1-TBX4 pathway, HOXA/HOXD clusters); clubfoot remains polygenic/multifactorial in the large majority.</w:t>
            </w:r>
          </w:p>
          <w:p>
            <w:pPr>
              <w:spacing w:after="40" w:line="252" w:lineRule="auto"/>
            </w:pPr>
            <w:hyperlink r:id="rId13">
              <w:r>
                <w:rPr>
                  <w:rFonts w:ascii="Calibri" w:hAnsi="Calibri" w:cs="Calibri"/>
                  <w:sz w:val="18"/>
                  <w:color w:val="1155CC"/>
                  <w:u w:val="single"/>
                </w:rPr>
                <w:t xml:space="preserve">ncbi.nlm.nih.gov - StatPearls, Talipes Equinovarus</w:t>
              </w:r>
            </w:hyperlink>
          </w:p>
          <w:p>
            <w:pPr>
              <w:spacing w:before="60" w:after="40"/>
            </w:pPr>
            <w:r>
              <w:rPr>
                <w:rFonts w:ascii="Calibri" w:hAnsi="Calibri"/>
                <w:b w:val="0"/>
                <w:i w:val="0"/>
                <w:color w:val="5A5A5A"/>
                <w:sz w:val="18"/>
              </w:rPr>
              <w:t>#pitx1  #tbx4  #hoxgenes  #limbdevelopment</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Breech presentation / multiple pregnancy</w:t>
            </w:r>
          </w:p>
        </w:tc>
        <w:tc>
          <w:tcPr>
            <w:tcW w:type="dxa" w:w="2160"/>
            <w:vAlign w:val="top"/>
          </w:tcPr>
          <w:p>
            <w:pPr>
              <w:spacing w:after="40" w:before="0" w:line="259" w:lineRule="auto"/>
            </w:pPr>
            <w:r>
              <w:rPr>
                <w:rFonts w:ascii="Calibri" w:hAnsi="Calibri"/>
                <w:b w:val="0"/>
                <w:i w:val="0"/>
                <w:color w:val="212121"/>
                <w:sz w:val="19"/>
              </w:rPr>
              <w:t>Breech and twin pregnancies</w:t>
            </w:r>
          </w:p>
        </w:tc>
        <w:tc>
          <w:tcPr>
            <w:tcW w:type="dxa" w:w="4276"/>
            <w:vAlign w:val="top"/>
          </w:tcPr>
          <w:p>
            <w:pPr>
              <w:spacing w:after="60" w:line="259" w:lineRule="auto"/>
            </w:pPr>
            <w:r>
              <w:rPr>
                <w:rFonts w:ascii="Calibri" w:hAnsi="Calibri"/>
                <w:b w:val="0"/>
                <w:i w:val="0"/>
                <w:color w:val="212121"/>
                <w:sz w:val="19"/>
              </w:rPr>
              <w:t>Restricted intrauterine space in breech lie and multiple gestation is over-represented among clubfoot births and is one plank of the mechanical-constraint theory; such feet may also be positional, so rigidity must be confirmed.</w:t>
            </w:r>
          </w:p>
          <w:p>
            <w:pPr>
              <w:spacing w:after="40" w:before="60" w:line="259" w:lineRule="auto"/>
            </w:pPr>
            <w:r>
              <w:rPr>
                <w:rFonts w:ascii="Calibri" w:hAnsi="Calibri"/>
                <w:b w:val="0"/>
                <w:i w:val="0"/>
                <w:color w:val="212121"/>
                <w:sz w:val="19"/>
              </w:rPr>
              <w:t>An Indian (Kolkata) 100-patient CTEV series identified twin pregnancy and breech presentation as the key maternal factors, alongside frequent positive family history.</w:t>
            </w:r>
          </w:p>
          <w:p>
            <w:pPr>
              <w:spacing w:after="40" w:line="252" w:lineRule="auto"/>
            </w:pPr>
            <w:hyperlink r:id="rId16">
              <w:r>
                <w:rPr>
                  <w:rFonts w:ascii="Calibri" w:hAnsi="Calibri" w:cs="Calibri"/>
                  <w:sz w:val="18"/>
                  <w:color w:val="1155CC"/>
                  <w:u w:val="single"/>
                </w:rPr>
                <w:t xml:space="preserve">medicopublication.com - CTEV prevalence &amp; outcomes, Kolkata</w:t>
              </w:r>
            </w:hyperlink>
          </w:p>
          <w:p>
            <w:pPr>
              <w:spacing w:before="60" w:after="40"/>
            </w:pPr>
            <w:r>
              <w:rPr>
                <w:rFonts w:ascii="Calibri" w:hAnsi="Calibri"/>
                <w:b w:val="0"/>
                <w:i w:val="0"/>
                <w:color w:val="5A5A5A"/>
                <w:sz w:val="18"/>
              </w:rPr>
              <w:t>#breech  #twinpregnancy  #uterineconstraint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Neural tube defect</w:t>
            </w:r>
          </w:p>
        </w:tc>
        <w:tc>
          <w:tcPr>
            <w:tcW w:type="dxa" w:w="2160"/>
            <w:vAlign w:val="top"/>
          </w:tcPr>
          <w:p>
            <w:pPr>
              <w:spacing w:after="40" w:before="0" w:line="259" w:lineRule="auto"/>
            </w:pPr>
            <w:r>
              <w:rPr>
                <w:rFonts w:ascii="Calibri" w:hAnsi="Calibri"/>
                <w:b w:val="0"/>
                <w:i w:val="0"/>
                <w:color w:val="212121"/>
                <w:sz w:val="19"/>
              </w:rPr>
              <w:t>Infants with myelomeningocele / spina bifida</w:t>
            </w:r>
          </w:p>
        </w:tc>
        <w:tc>
          <w:tcPr>
            <w:tcW w:type="dxa" w:w="4276"/>
            <w:vAlign w:val="top"/>
          </w:tcPr>
          <w:p>
            <w:pPr>
              <w:spacing w:after="60" w:line="259" w:lineRule="auto"/>
            </w:pPr>
            <w:r>
              <w:rPr>
                <w:rFonts w:ascii="Calibri" w:hAnsi="Calibri"/>
                <w:b w:val="0"/>
                <w:i w:val="0"/>
                <w:color w:val="212121"/>
                <w:sz w:val="19"/>
              </w:rPr>
              <w:t>Paralytic muscle imbalance around the ankle in spina bifida produces rigid neurogenic clubfoot that is stiffer, relapse-prone and complicated by insensate skin, demanding modified casting and close skin surveillance.</w:t>
            </w:r>
          </w:p>
          <w:p>
            <w:pPr>
              <w:spacing w:after="40" w:before="60" w:line="259" w:lineRule="auto"/>
            </w:pPr>
            <w:r>
              <w:rPr>
                <w:rFonts w:ascii="Calibri" w:hAnsi="Calibri"/>
                <w:b w:val="0"/>
                <w:i w:val="0"/>
                <w:color w:val="212121"/>
                <w:sz w:val="19"/>
              </w:rPr>
              <w:t>Myelomeningocele is one of the standard conditions accompanying clubfoot; about 20% of all clubfoot cases occur with at least one associated condition such as this.</w:t>
            </w:r>
          </w:p>
          <w:p>
            <w:pPr>
              <w:spacing w:after="40" w:line="252" w:lineRule="auto"/>
            </w:pPr>
            <w:hyperlink r:id="rId11">
              <w:r>
                <w:rPr>
                  <w:rFonts w:ascii="Calibri" w:hAnsi="Calibri" w:cs="Calibri"/>
                  <w:sz w:val="18"/>
                  <w:color w:val="1155CC"/>
                  <w:u w:val="single"/>
                </w:rPr>
                <w:t xml:space="preserve">ncbi.nlm.nih.gov - StatPearls, Clubfoot</w:t>
              </w:r>
            </w:hyperlink>
          </w:p>
          <w:p>
            <w:pPr>
              <w:spacing w:before="60" w:after="40"/>
            </w:pPr>
            <w:r>
              <w:rPr>
                <w:rFonts w:ascii="Calibri" w:hAnsi="Calibri"/>
                <w:b w:val="0"/>
                <w:i w:val="0"/>
                <w:color w:val="5A5A5A"/>
                <w:sz w:val="18"/>
              </w:rPr>
              <w:t>#spinabifida  #neurogenic  #insensateskin  #relapserisk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Arthrogryposis / myotonic dystrophy</w:t>
            </w:r>
          </w:p>
        </w:tc>
        <w:tc>
          <w:tcPr>
            <w:tcW w:type="dxa" w:w="2160"/>
            <w:vAlign w:val="top"/>
          </w:tcPr>
          <w:p>
            <w:pPr>
              <w:spacing w:after="40" w:before="0" w:line="259" w:lineRule="auto"/>
            </w:pPr>
            <w:r>
              <w:rPr>
                <w:rFonts w:ascii="Calibri" w:hAnsi="Calibri"/>
                <w:b w:val="0"/>
                <w:i w:val="0"/>
                <w:color w:val="212121"/>
                <w:sz w:val="19"/>
              </w:rPr>
              <w:t>Infants with distal arthrogryposis or congenital myotonic dystrophy</w:t>
            </w:r>
          </w:p>
        </w:tc>
        <w:tc>
          <w:tcPr>
            <w:tcW w:type="dxa" w:w="4276"/>
            <w:vAlign w:val="top"/>
          </w:tcPr>
          <w:p>
            <w:pPr>
              <w:spacing w:after="60" w:line="259" w:lineRule="auto"/>
            </w:pPr>
            <w:r>
              <w:rPr>
                <w:rFonts w:ascii="Calibri" w:hAnsi="Calibri"/>
                <w:b w:val="0"/>
                <w:i w:val="0"/>
                <w:color w:val="212121"/>
                <w:sz w:val="19"/>
              </w:rPr>
              <w:t>Contracture syndromes and congenital myopathies cause teratologic clubfoot - very rigid feet with other joint contractures - that need more casts, earlier surgery and lifelong follow-up; recognising the syndrome changes counselling and anaesthetic risk.</w:t>
            </w:r>
          </w:p>
          <w:p>
            <w:pPr>
              <w:spacing w:after="40" w:before="60" w:line="259" w:lineRule="auto"/>
            </w:pPr>
            <w:r>
              <w:rPr>
                <w:rFonts w:ascii="Calibri" w:hAnsi="Calibri"/>
                <w:b w:val="0"/>
                <w:i w:val="0"/>
                <w:color w:val="212121"/>
                <w:sz w:val="19"/>
              </w:rPr>
              <w:t>Distal arthrogryposis and congenital myotonic dystrophy are among the conditions accompanying clubfoot in the ~20% non-isolated group; ~7% of clubfoot cases have another anomaly at birth.</w:t>
            </w:r>
          </w:p>
          <w:p>
            <w:pPr>
              <w:spacing w:after="40" w:line="252" w:lineRule="auto"/>
            </w:pPr>
            <w:hyperlink r:id="rId11">
              <w:r>
                <w:rPr>
                  <w:rFonts w:ascii="Calibri" w:hAnsi="Calibri" w:cs="Calibri"/>
                  <w:sz w:val="18"/>
                  <w:color w:val="1155CC"/>
                  <w:u w:val="single"/>
                </w:rPr>
                <w:t xml:space="preserve">ncbi.nlm.nih.gov - StatPearls, Clubfoot</w:t>
              </w:r>
            </w:hyperlink>
          </w:p>
          <w:p>
            <w:pPr>
              <w:spacing w:before="60" w:after="40"/>
            </w:pPr>
            <w:r>
              <w:rPr>
                <w:rFonts w:ascii="Calibri" w:hAnsi="Calibri"/>
                <w:b w:val="0"/>
                <w:i w:val="0"/>
                <w:color w:val="5A5A5A"/>
                <w:sz w:val="18"/>
              </w:rPr>
              <w:t>#arthrogryposis  #myotonicdystrophy  #teratologic  #rigidfoot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Early amniocentesis exposure</w:t>
            </w:r>
          </w:p>
        </w:tc>
        <w:tc>
          <w:tcPr>
            <w:tcW w:type="dxa" w:w="2160"/>
            <w:vAlign w:val="top"/>
          </w:tcPr>
          <w:p>
            <w:pPr>
              <w:spacing w:after="40" w:before="0" w:line="259" w:lineRule="auto"/>
            </w:pPr>
            <w:r>
              <w:rPr>
                <w:rFonts w:ascii="Calibri" w:hAnsi="Calibri"/>
                <w:b w:val="0"/>
                <w:i w:val="0"/>
                <w:color w:val="212121"/>
                <w:sz w:val="19"/>
              </w:rPr>
              <w:t>Fetuses sampled before 14 weeks' gestation</w:t>
            </w:r>
          </w:p>
        </w:tc>
        <w:tc>
          <w:tcPr>
            <w:tcW w:type="dxa" w:w="4276"/>
            <w:vAlign w:val="top"/>
          </w:tcPr>
          <w:p>
            <w:pPr>
              <w:spacing w:after="60" w:line="259" w:lineRule="auto"/>
            </w:pPr>
            <w:r>
              <w:rPr>
                <w:rFonts w:ascii="Calibri" w:hAnsi="Calibri"/>
                <w:b w:val="0"/>
                <w:i w:val="0"/>
                <w:color w:val="212121"/>
                <w:sz w:val="19"/>
              </w:rPr>
              <w:t>Amniotic fluid drainage at 11-13 weeks deforms or disrupts the developing foot; this iatrogenic risk is why invasive prenatal testing is deferred to 15 weeks or later.</w:t>
            </w:r>
          </w:p>
          <w:p>
            <w:pPr>
              <w:spacing w:after="40" w:before="60" w:line="259" w:lineRule="auto"/>
            </w:pPr>
            <w:r>
              <w:rPr>
                <w:rFonts w:ascii="Calibri" w:hAnsi="Calibri"/>
                <w:b w:val="0"/>
                <w:i w:val="0"/>
                <w:color w:val="212121"/>
                <w:sz w:val="19"/>
              </w:rPr>
              <w:t>CEMAT randomised trial: talipes equinovarus in 1.3% after early amniocentesis versus 0.1% after mid-trimester amniocentesis.</w:t>
            </w:r>
          </w:p>
          <w:p>
            <w:pPr>
              <w:spacing w:after="40" w:line="252" w:lineRule="auto"/>
            </w:pPr>
            <w:hyperlink r:id="rId17">
              <w:r>
                <w:rPr>
                  <w:rFonts w:ascii="Calibri" w:hAnsi="Calibri" w:cs="Calibri"/>
                  <w:sz w:val="18"/>
                  <w:color w:val="1155CC"/>
                  <w:u w:val="single"/>
                </w:rPr>
                <w:t xml:space="preserve">wjgnet.com - amniocentesis: a contemporary review</w:t>
              </w:r>
            </w:hyperlink>
          </w:p>
          <w:p>
            <w:pPr>
              <w:spacing w:before="60" w:after="40"/>
            </w:pPr>
            <w:r>
              <w:rPr>
                <w:rFonts w:ascii="Calibri" w:hAnsi="Calibri"/>
                <w:b w:val="0"/>
                <w:i w:val="0"/>
                <w:color w:val="5A5A5A"/>
                <w:sz w:val="18"/>
              </w:rPr>
              <w:t>#earlyamniocentesis  #cemat  #iatrogenic  #prenataltesting</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Activity does not cause clubfoot, but after correction daily stretching, normal play and weight-bearing maintain flexibility and calf strength; structured home programmes plus bracing keep relapse low, and corrected children reach near-normal sport participation.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specific dietary cause of idiopathic CTEV is established; periconceptional folic acid (400 mcg/day) prevents the neural tube defects that underlie neurogenic clubfoot, and balanced maternal nutrition supports fetal musculoskeletal development.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Relapse prevention rests on night-time foot-abduction bracing (23 h/day for ~3 months, then 12-14 h every night until age 4-5); recurrence is ~80% with poor brace compliance versus ~6% with good compliance, making the bedtime brace routine the single most decisive habit.</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Maternal smoking in pregnancy raises clubfoot odds by ~34% and by ~20-fold when combined with family history (AJE gene-environment study); avoiding all tobacco - smoked and smokeless - before and during pregnancy is a proven preventive lever.</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linking maternal alcohol to isolated clubfoot is inconsistent; abstinence in pregnancy remains standard advice because alcohol is teratogenic for other fetal systems.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Caregiver distress, fatalism and stigma are major drivers of casting dropout and brace abandonment in India; counselling at diagnosis ('not your fault, &gt;90% correctable') and peer-parent support measurably improve completion of the multi-year pathway.</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role for hydration; historically low amniotic fluid (oligohydramnios) was blamed via uterine constraint, but controlled studies have not shown a statistically significant association.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Maternal caffeine has no consistent, confirmed association with clubfoot; moderation in pregnancy (&lt;200 mg/day) is advised on general obstetric grounds.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Daily skin checks and cast/brace hygiene prevent plaster sores, dermatitis and secondary infection - the commonest reasons families abandon casts and braces; wet or soiled casts must be changed promptly.</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Breech presentation, twin pregnancy and intrauterine constraint are over-represented, and early (&lt;14-week) amniocentesis raises talipes risk (1.3% vs 0.1% in CEMAT); brace abandonment and missed follow-up provoke relapse after correction.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Intrauterine posture (moulding) explains positional talipes and contributes to the constraint theory of CTEV; after correction, the abduction brace holds the feet in an externally rotated, dorsiflexed posture - maintaining this corrected posture nightly for years is what prevents recurrence.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Maternal cigarettes/bidis per day (pregnancy)</w:t>
            </w:r>
          </w:p>
        </w:tc>
        <w:tc>
          <w:tcPr>
            <w:tcW w:type="dxa" w:w="1655"/>
            <w:vAlign w:val="top"/>
          </w:tcPr>
          <w:p>
            <w:pPr>
              <w:spacing w:after="40" w:before="0" w:line="259" w:lineRule="auto"/>
            </w:pPr>
            <w:r>
              <w:rPr>
                <w:rFonts w:ascii="Calibri" w:hAnsi="Calibri"/>
                <w:b w:val="0"/>
                <w:i w:val="0"/>
                <w:color w:val="212121"/>
                <w:sz w:val="19"/>
              </w:rPr>
              <w:t>Pregnant women; women planning pregnancy</w:t>
            </w:r>
          </w:p>
        </w:tc>
        <w:tc>
          <w:tcPr>
            <w:tcW w:type="dxa" w:w="1512"/>
            <w:vAlign w:val="top"/>
          </w:tcPr>
          <w:p>
            <w:pPr>
              <w:spacing w:after="40" w:before="0" w:line="259" w:lineRule="auto"/>
            </w:pPr>
            <w:r>
              <w:rPr>
                <w:rFonts w:ascii="Calibri" w:hAnsi="Calibri"/>
                <w:b w:val="0"/>
                <w:i w:val="0"/>
                <w:color w:val="212121"/>
                <w:sz w:val="19"/>
              </w:rPr>
              <w:t>0 (no smoked or smokeless tobacco)</w:t>
            </w:r>
          </w:p>
        </w:tc>
        <w:tc>
          <w:tcPr>
            <w:tcW w:type="dxa" w:w="1512"/>
            <w:vAlign w:val="top"/>
          </w:tcPr>
          <w:p>
            <w:pPr>
              <w:spacing w:after="40" w:before="0" w:line="259" w:lineRule="auto"/>
            </w:pPr>
            <w:r>
              <w:rPr>
                <w:rFonts w:ascii="Calibri" w:hAnsi="Calibri"/>
                <w:b w:val="0"/>
                <w:i w:val="0"/>
                <w:color w:val="212121"/>
                <w:sz w:val="19"/>
              </w:rPr>
              <w:t>Any use (&gt;= 1/day or regular smokeless tobacco)</w:t>
            </w:r>
          </w:p>
        </w:tc>
        <w:tc>
          <w:tcPr>
            <w:tcW w:type="dxa" w:w="1468"/>
            <w:vAlign w:val="top"/>
          </w:tcPr>
          <w:p>
            <w:pPr>
              <w:spacing w:after="60" w:line="259" w:lineRule="auto"/>
            </w:pPr>
            <w:r>
              <w:rPr>
                <w:rFonts w:ascii="Calibri" w:hAnsi="Calibri"/>
                <w:b w:val="0"/>
                <w:i w:val="0"/>
                <w:color w:val="212121"/>
                <w:sz w:val="19"/>
              </w:rPr>
              <w:t>OR 1.34 for clubfoot; ~20x with positive family history</w:t>
            </w:r>
          </w:p>
          <w:p>
            <w:pPr>
              <w:spacing w:after="40" w:line="252" w:lineRule="auto"/>
            </w:pPr>
            <w:hyperlink r:id="rId15">
              <w:r>
                <w:rPr>
                  <w:rFonts w:ascii="Calibri" w:hAnsi="Calibri" w:cs="Calibri"/>
                  <w:sz w:val="18"/>
                  <w:color w:val="1155CC"/>
                  <w:u w:val="single"/>
                </w:rPr>
                <w:t xml:space="preserve">https://academic.oup.com/aje/article/152/7/658/75215</w:t>
              </w:r>
            </w:hyperlink>
          </w:p>
        </w:tc>
      </w:tr>
      <w:tr>
        <w:trPr>
          <w:cantSplit/>
        </w:trPr>
        <w:tc>
          <w:tcPr>
            <w:tcW w:type="dxa" w:w="1512"/>
            <w:vMerge w:val="restart"/>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Foot-abduction brace wear - initial phase (h/day)</w:t>
            </w:r>
          </w:p>
        </w:tc>
        <w:tc>
          <w:tcPr>
            <w:tcW w:type="dxa" w:w="1655"/>
            <w:vAlign w:val="top"/>
          </w:tcPr>
          <w:p>
            <w:pPr>
              <w:spacing w:after="40" w:before="0" w:line="259" w:lineRule="auto"/>
            </w:pPr>
            <w:r>
              <w:rPr>
                <w:rFonts w:ascii="Calibri" w:hAnsi="Calibri"/>
                <w:b w:val="0"/>
                <w:i w:val="0"/>
                <w:color w:val="212121"/>
                <w:sz w:val="19"/>
              </w:rPr>
              <w:t>Infants immediately after final cast/tenotomy</w:t>
            </w:r>
          </w:p>
        </w:tc>
        <w:tc>
          <w:tcPr>
            <w:tcW w:type="dxa" w:w="1512"/>
            <w:vAlign w:val="top"/>
          </w:tcPr>
          <w:p>
            <w:pPr>
              <w:spacing w:after="40" w:before="0" w:line="259" w:lineRule="auto"/>
            </w:pPr>
            <w:r>
              <w:rPr>
                <w:rFonts w:ascii="Calibri" w:hAnsi="Calibri"/>
                <w:b w:val="0"/>
                <w:i w:val="0"/>
                <w:color w:val="212121"/>
                <w:sz w:val="19"/>
              </w:rPr>
              <w:t>23 h/day for first ~3 months</w:t>
            </w:r>
          </w:p>
        </w:tc>
        <w:tc>
          <w:tcPr>
            <w:tcW w:type="dxa" w:w="1512"/>
            <w:vAlign w:val="top"/>
          </w:tcPr>
          <w:p>
            <w:pPr>
              <w:spacing w:after="40" w:before="0" w:line="259" w:lineRule="auto"/>
            </w:pPr>
            <w:r>
              <w:rPr>
                <w:rFonts w:ascii="Calibri" w:hAnsi="Calibri"/>
                <w:b w:val="0"/>
                <w:i w:val="0"/>
                <w:color w:val="212121"/>
                <w:sz w:val="19"/>
              </w:rPr>
              <w:t>&lt; 20 h/day or repeated brace-free days</w:t>
            </w:r>
          </w:p>
        </w:tc>
        <w:tc>
          <w:tcPr>
            <w:tcW w:type="dxa" w:w="1468"/>
            <w:vAlign w:val="top"/>
          </w:tcPr>
          <w:p>
            <w:pPr>
              <w:spacing w:after="60" w:line="259" w:lineRule="auto"/>
            </w:pPr>
            <w:r>
              <w:rPr>
                <w:rFonts w:ascii="Calibri" w:hAnsi="Calibri"/>
                <w:b w:val="0"/>
                <w:i w:val="0"/>
                <w:color w:val="212121"/>
                <w:sz w:val="19"/>
              </w:rPr>
              <w:t>Full-time bracing consolidates the Ponseti correction</w:t>
            </w:r>
          </w:p>
          <w:p>
            <w:pPr>
              <w:spacing w:after="40" w:line="252" w:lineRule="auto"/>
            </w:pPr>
            <w:hyperlink r:id="rId13">
              <w:r>
                <w:rPr>
                  <w:rFonts w:ascii="Calibri" w:hAnsi="Calibri" w:cs="Calibri"/>
                  <w:sz w:val="18"/>
                  <w:color w:val="1155CC"/>
                  <w:u w:val="single"/>
                </w:rPr>
                <w:t xml:space="preserve">https://www.ncbi.nlm.nih.gov/books/NBK557841/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Night-time brace wear (h/night)</w:t>
            </w:r>
          </w:p>
        </w:tc>
        <w:tc>
          <w:tcPr>
            <w:tcW w:type="dxa" w:w="1655"/>
            <w:vAlign w:val="top"/>
          </w:tcPr>
          <w:p>
            <w:pPr>
              <w:spacing w:after="40" w:before="0" w:line="259" w:lineRule="auto"/>
            </w:pPr>
            <w:r>
              <w:rPr>
                <w:rFonts w:ascii="Calibri" w:hAnsi="Calibri"/>
                <w:b w:val="0"/>
                <w:i w:val="0"/>
                <w:color w:val="212121"/>
                <w:sz w:val="19"/>
              </w:rPr>
              <w:t>Children from ~9 months to 4-5 years post correction</w:t>
            </w:r>
          </w:p>
        </w:tc>
        <w:tc>
          <w:tcPr>
            <w:tcW w:type="dxa" w:w="1512"/>
            <w:vAlign w:val="top"/>
          </w:tcPr>
          <w:p>
            <w:pPr>
              <w:spacing w:after="40" w:before="0" w:line="259" w:lineRule="auto"/>
            </w:pPr>
            <w:r>
              <w:rPr>
                <w:rFonts w:ascii="Calibri" w:hAnsi="Calibri"/>
                <w:b w:val="0"/>
                <w:i w:val="0"/>
                <w:color w:val="212121"/>
                <w:sz w:val="19"/>
              </w:rPr>
              <w:t>12-14 h every night (all naps + night sleep) until age 4-5</w:t>
            </w:r>
          </w:p>
        </w:tc>
        <w:tc>
          <w:tcPr>
            <w:tcW w:type="dxa" w:w="1512"/>
            <w:vAlign w:val="top"/>
          </w:tcPr>
          <w:p>
            <w:pPr>
              <w:spacing w:after="40" w:before="0" w:line="259" w:lineRule="auto"/>
            </w:pPr>
            <w:r>
              <w:rPr>
                <w:rFonts w:ascii="Calibri" w:hAnsi="Calibri"/>
                <w:b w:val="0"/>
                <w:i w:val="0"/>
                <w:color w:val="212121"/>
                <w:sz w:val="19"/>
              </w:rPr>
              <w:t>&lt; 10 h/night or skipped nights</w:t>
            </w:r>
          </w:p>
        </w:tc>
        <w:tc>
          <w:tcPr>
            <w:tcW w:type="dxa" w:w="1468"/>
            <w:vAlign w:val="top"/>
          </w:tcPr>
          <w:p>
            <w:pPr>
              <w:spacing w:after="60" w:line="259" w:lineRule="auto"/>
            </w:pPr>
            <w:r>
              <w:rPr>
                <w:rFonts w:ascii="Calibri" w:hAnsi="Calibri"/>
                <w:b w:val="0"/>
                <w:i w:val="0"/>
                <w:color w:val="212121"/>
                <w:sz w:val="19"/>
              </w:rPr>
              <w:t>Non-adherence predicts relapse: ~80% vs ~6% with good compliance</w:t>
            </w:r>
          </w:p>
          <w:p>
            <w:pPr>
              <w:spacing w:after="40" w:line="252" w:lineRule="auto"/>
            </w:pPr>
            <w:hyperlink r:id="rId11">
              <w:r>
                <w:rPr>
                  <w:rFonts w:ascii="Calibri" w:hAnsi="Calibri" w:cs="Calibri"/>
                  <w:sz w:val="18"/>
                  <w:color w:val="1155CC"/>
                  <w:u w:val="single"/>
                </w:rPr>
                <w:t xml:space="preserve">https://www.ncbi.nlm.nih.gov/books/NBK551574/</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Home stretching / exercise sessions (per day)</w:t>
            </w:r>
          </w:p>
        </w:tc>
        <w:tc>
          <w:tcPr>
            <w:tcW w:type="dxa" w:w="1655"/>
            <w:vAlign w:val="top"/>
          </w:tcPr>
          <w:p>
            <w:pPr>
              <w:spacing w:after="40" w:before="0" w:line="259" w:lineRule="auto"/>
            </w:pPr>
            <w:r>
              <w:rPr>
                <w:rFonts w:ascii="Calibri" w:hAnsi="Calibri"/>
                <w:b w:val="0"/>
                <w:i w:val="0"/>
                <w:color w:val="212121"/>
                <w:sz w:val="19"/>
              </w:rPr>
              <w:t>Children in and after bracing; post-tenotomy</w:t>
            </w:r>
          </w:p>
        </w:tc>
        <w:tc>
          <w:tcPr>
            <w:tcW w:type="dxa" w:w="1512"/>
            <w:vAlign w:val="top"/>
          </w:tcPr>
          <w:p>
            <w:pPr>
              <w:spacing w:after="40" w:before="0" w:line="259" w:lineRule="auto"/>
            </w:pPr>
            <w:r>
              <w:rPr>
                <w:rFonts w:ascii="Calibri" w:hAnsi="Calibri"/>
                <w:b w:val="0"/>
                <w:i w:val="0"/>
                <w:color w:val="212121"/>
                <w:sz w:val="19"/>
              </w:rPr>
              <w:t>Daily gentle dorsiflexion-eversion stretches and free play</w:t>
            </w:r>
          </w:p>
        </w:tc>
        <w:tc>
          <w:tcPr>
            <w:tcW w:type="dxa" w:w="1512"/>
            <w:vAlign w:val="top"/>
          </w:tcPr>
          <w:p>
            <w:pPr>
              <w:spacing w:after="40" w:before="0" w:line="259" w:lineRule="auto"/>
            </w:pPr>
            <w:r>
              <w:rPr>
                <w:rFonts w:ascii="Calibri" w:hAnsi="Calibri"/>
                <w:b w:val="0"/>
                <w:i w:val="0"/>
                <w:color w:val="212121"/>
                <w:sz w:val="19"/>
              </w:rPr>
              <w:t>No home programme; child avoids weight-bearing</w:t>
            </w:r>
          </w:p>
        </w:tc>
        <w:tc>
          <w:tcPr>
            <w:tcW w:type="dxa" w:w="1468"/>
            <w:vAlign w:val="top"/>
          </w:tcPr>
          <w:p>
            <w:pPr>
              <w:spacing w:after="40" w:before="0" w:line="259" w:lineRule="auto"/>
            </w:pPr>
            <w:r>
              <w:rPr>
                <w:rFonts w:ascii="Calibri" w:hAnsi="Calibri"/>
                <w:b w:val="0"/>
                <w:i w:val="0"/>
                <w:color w:val="212121"/>
                <w:sz w:val="19"/>
              </w:rPr>
              <w:t>Maintains flexibility and calf strength; supports brace tolerance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Casting-visit interval (days)</w:t>
            </w:r>
          </w:p>
        </w:tc>
        <w:tc>
          <w:tcPr>
            <w:tcW w:type="dxa" w:w="1655"/>
            <w:vAlign w:val="top"/>
          </w:tcPr>
          <w:p>
            <w:pPr>
              <w:spacing w:after="40" w:before="0" w:line="259" w:lineRule="auto"/>
            </w:pPr>
            <w:r>
              <w:rPr>
                <w:rFonts w:ascii="Calibri" w:hAnsi="Calibri"/>
                <w:b w:val="0"/>
                <w:i w:val="0"/>
                <w:color w:val="212121"/>
                <w:sz w:val="19"/>
              </w:rPr>
              <w:t>Infants in serial Ponseti casts</w:t>
            </w:r>
          </w:p>
        </w:tc>
        <w:tc>
          <w:tcPr>
            <w:tcW w:type="dxa" w:w="1512"/>
            <w:vAlign w:val="top"/>
          </w:tcPr>
          <w:p>
            <w:pPr>
              <w:spacing w:after="40" w:before="0" w:line="259" w:lineRule="auto"/>
            </w:pPr>
            <w:r>
              <w:rPr>
                <w:rFonts w:ascii="Calibri" w:hAnsi="Calibri"/>
                <w:b w:val="0"/>
                <w:i w:val="0"/>
                <w:color w:val="212121"/>
                <w:sz w:val="19"/>
              </w:rPr>
              <w:t>Cast change every 5-7 days</w:t>
            </w:r>
          </w:p>
        </w:tc>
        <w:tc>
          <w:tcPr>
            <w:tcW w:type="dxa" w:w="1512"/>
            <w:vAlign w:val="top"/>
          </w:tcPr>
          <w:p>
            <w:pPr>
              <w:spacing w:after="40" w:before="0" w:line="259" w:lineRule="auto"/>
            </w:pPr>
            <w:r>
              <w:rPr>
                <w:rFonts w:ascii="Calibri" w:hAnsi="Calibri"/>
                <w:b w:val="0"/>
                <w:i w:val="0"/>
                <w:color w:val="212121"/>
                <w:sz w:val="19"/>
              </w:rPr>
              <w:t>Gap &gt; 14 days or slipped/soiled cast</w:t>
            </w:r>
          </w:p>
        </w:tc>
        <w:tc>
          <w:tcPr>
            <w:tcW w:type="dxa" w:w="1468"/>
            <w:vAlign w:val="top"/>
          </w:tcPr>
          <w:p>
            <w:pPr>
              <w:spacing w:after="60" w:line="259" w:lineRule="auto"/>
            </w:pPr>
            <w:r>
              <w:rPr>
                <w:rFonts w:ascii="Calibri" w:hAnsi="Calibri"/>
                <w:b w:val="0"/>
                <w:i w:val="0"/>
                <w:color w:val="212121"/>
                <w:sz w:val="19"/>
              </w:rPr>
              <w:t>Typically 4-8 casts in infants (mean ~4 in early presenters; ~13 in neglected feet)</w:t>
            </w:r>
          </w:p>
          <w:p>
            <w:pPr>
              <w:spacing w:after="40" w:line="252" w:lineRule="auto"/>
            </w:pPr>
            <w:hyperlink r:id="rId18">
              <w:r>
                <w:rPr>
                  <w:rFonts w:ascii="Calibri" w:hAnsi="Calibri" w:cs="Calibri"/>
                  <w:sz w:val="18"/>
                  <w:color w:val="1155CC"/>
                  <w:u w:val="single"/>
                </w:rPr>
                <w:t xml:space="preserve">https://link.springer.com/article/10.4103/0019-5413.189597</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Periconceptional folic acid (mcg/day)</w:t>
            </w:r>
          </w:p>
        </w:tc>
        <w:tc>
          <w:tcPr>
            <w:tcW w:type="dxa" w:w="1655"/>
            <w:vAlign w:val="top"/>
          </w:tcPr>
          <w:p>
            <w:pPr>
              <w:spacing w:after="40" w:before="0" w:line="259" w:lineRule="auto"/>
            </w:pPr>
            <w:r>
              <w:rPr>
                <w:rFonts w:ascii="Calibri" w:hAnsi="Calibri"/>
                <w:b w:val="0"/>
                <w:i w:val="0"/>
                <w:color w:val="212121"/>
                <w:sz w:val="19"/>
              </w:rPr>
              <w:t>Women planning pregnancy; first trimester</w:t>
            </w:r>
          </w:p>
        </w:tc>
        <w:tc>
          <w:tcPr>
            <w:tcW w:type="dxa" w:w="1512"/>
            <w:vAlign w:val="top"/>
          </w:tcPr>
          <w:p>
            <w:pPr>
              <w:spacing w:after="40" w:before="0" w:line="259" w:lineRule="auto"/>
            </w:pPr>
            <w:r>
              <w:rPr>
                <w:rFonts w:ascii="Calibri" w:hAnsi="Calibri"/>
                <w:b w:val="0"/>
                <w:i w:val="0"/>
                <w:color w:val="212121"/>
                <w:sz w:val="19"/>
              </w:rPr>
              <w:t>400 mcg daily from &gt;= 1 month before conception</w:t>
            </w:r>
          </w:p>
        </w:tc>
        <w:tc>
          <w:tcPr>
            <w:tcW w:type="dxa" w:w="1512"/>
            <w:vAlign w:val="top"/>
          </w:tcPr>
          <w:p>
            <w:pPr>
              <w:spacing w:after="40" w:before="0" w:line="259" w:lineRule="auto"/>
            </w:pPr>
            <w:r>
              <w:rPr>
                <w:rFonts w:ascii="Calibri" w:hAnsi="Calibri"/>
                <w:b w:val="0"/>
                <w:i w:val="0"/>
                <w:color w:val="212121"/>
                <w:sz w:val="19"/>
              </w:rPr>
              <w:t>No supplementation in a planned pregnancy</w:t>
            </w:r>
          </w:p>
        </w:tc>
        <w:tc>
          <w:tcPr>
            <w:tcW w:type="dxa" w:w="1468"/>
            <w:vAlign w:val="top"/>
          </w:tcPr>
          <w:p>
            <w:pPr>
              <w:spacing w:after="40" w:before="0" w:line="259" w:lineRule="auto"/>
            </w:pPr>
            <w:r>
              <w:rPr>
                <w:rFonts w:ascii="Calibri" w:hAnsi="Calibri"/>
                <w:b w:val="0"/>
                <w:i w:val="0"/>
                <w:color w:val="212121"/>
                <w:sz w:val="19"/>
              </w:rPr>
              <w:t>Prevents neural tube defects that cause neurogenic clubfoot</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Maternal alcohol (drinks/week, pregnancy)</w:t>
            </w:r>
          </w:p>
        </w:tc>
        <w:tc>
          <w:tcPr>
            <w:tcW w:type="dxa" w:w="1655"/>
            <w:vAlign w:val="top"/>
          </w:tcPr>
          <w:p>
            <w:pPr>
              <w:spacing w:after="40" w:before="0" w:line="259" w:lineRule="auto"/>
            </w:pPr>
            <w:r>
              <w:rPr>
                <w:rFonts w:ascii="Calibri" w:hAnsi="Calibri"/>
                <w:b w:val="0"/>
                <w:i w:val="0"/>
                <w:color w:val="212121"/>
                <w:sz w:val="19"/>
              </w:rPr>
              <w:t>Pregnant women</w:t>
            </w:r>
          </w:p>
        </w:tc>
        <w:tc>
          <w:tcPr>
            <w:tcW w:type="dxa" w:w="1512"/>
            <w:vAlign w:val="top"/>
          </w:tcPr>
          <w:p>
            <w:pPr>
              <w:spacing w:after="40" w:before="0" w:line="259" w:lineRule="auto"/>
            </w:pPr>
            <w:r>
              <w:rPr>
                <w:rFonts w:ascii="Calibri" w:hAnsi="Calibri"/>
                <w:b w:val="0"/>
                <w:i w:val="0"/>
                <w:color w:val="212121"/>
                <w:sz w:val="19"/>
              </w:rPr>
              <w:t>0 - complete abstinence</w:t>
            </w:r>
          </w:p>
        </w:tc>
        <w:tc>
          <w:tcPr>
            <w:tcW w:type="dxa" w:w="1512"/>
            <w:vAlign w:val="top"/>
          </w:tcPr>
          <w:p>
            <w:pPr>
              <w:spacing w:after="40" w:before="0" w:line="259" w:lineRule="auto"/>
            </w:pPr>
            <w:r>
              <w:rPr>
                <w:rFonts w:ascii="Calibri" w:hAnsi="Calibri"/>
                <w:b w:val="0"/>
                <w:i w:val="0"/>
                <w:color w:val="212121"/>
                <w:sz w:val="19"/>
              </w:rPr>
              <w:t>Any drinking in pregnancy</w:t>
            </w:r>
          </w:p>
        </w:tc>
        <w:tc>
          <w:tcPr>
            <w:tcW w:type="dxa" w:w="1468"/>
            <w:vAlign w:val="top"/>
          </w:tcPr>
          <w:p>
            <w:pPr>
              <w:spacing w:after="40" w:before="0" w:line="259" w:lineRule="auto"/>
            </w:pPr>
            <w:r>
              <w:rPr>
                <w:rFonts w:ascii="Calibri" w:hAnsi="Calibri"/>
                <w:b w:val="0"/>
                <w:i w:val="0"/>
                <w:color w:val="212121"/>
                <w:sz w:val="19"/>
              </w:rPr>
              <w:t>Evidence for CTEV inconsistent, but abstinence is standard antenatal advice</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Cast/brace skin inspection (times per day)</w:t>
            </w:r>
          </w:p>
        </w:tc>
        <w:tc>
          <w:tcPr>
            <w:tcW w:type="dxa" w:w="1655"/>
            <w:vAlign w:val="top"/>
          </w:tcPr>
          <w:p>
            <w:pPr>
              <w:spacing w:after="40" w:before="0" w:line="259" w:lineRule="auto"/>
            </w:pPr>
            <w:r>
              <w:rPr>
                <w:rFonts w:ascii="Calibri" w:hAnsi="Calibri"/>
                <w:b w:val="0"/>
                <w:i w:val="0"/>
                <w:color w:val="212121"/>
                <w:sz w:val="19"/>
              </w:rPr>
              <w:t>Infants in casts; children in night braces</w:t>
            </w:r>
          </w:p>
        </w:tc>
        <w:tc>
          <w:tcPr>
            <w:tcW w:type="dxa" w:w="1512"/>
            <w:vAlign w:val="top"/>
          </w:tcPr>
          <w:p>
            <w:pPr>
              <w:spacing w:after="40" w:before="0" w:line="259" w:lineRule="auto"/>
            </w:pPr>
            <w:r>
              <w:rPr>
                <w:rFonts w:ascii="Calibri" w:hAnsi="Calibri"/>
                <w:b w:val="0"/>
                <w:i w:val="0"/>
                <w:color w:val="212121"/>
                <w:sz w:val="19"/>
              </w:rPr>
              <w:t>At least once daily (toes pink, warm, wiggling; no odour)</w:t>
            </w:r>
          </w:p>
        </w:tc>
        <w:tc>
          <w:tcPr>
            <w:tcW w:type="dxa" w:w="1512"/>
            <w:vAlign w:val="top"/>
          </w:tcPr>
          <w:p>
            <w:pPr>
              <w:spacing w:after="40" w:before="0" w:line="259" w:lineRule="auto"/>
            </w:pPr>
            <w:r>
              <w:rPr>
                <w:rFonts w:ascii="Calibri" w:hAnsi="Calibri"/>
                <w:b w:val="0"/>
                <w:i w:val="0"/>
                <w:color w:val="212121"/>
                <w:sz w:val="19"/>
              </w:rPr>
              <w:t>Swollen/dusky toes, foul smell, wet or cracked cast, red pressure areas</w:t>
            </w:r>
          </w:p>
        </w:tc>
        <w:tc>
          <w:tcPr>
            <w:tcW w:type="dxa" w:w="1468"/>
            <w:vAlign w:val="top"/>
          </w:tcPr>
          <w:p>
            <w:pPr>
              <w:spacing w:after="40" w:before="0" w:line="259" w:lineRule="auto"/>
            </w:pPr>
            <w:r>
              <w:rPr>
                <w:rFonts w:ascii="Calibri" w:hAnsi="Calibri"/>
                <w:b w:val="0"/>
                <w:i w:val="0"/>
                <w:color w:val="212121"/>
                <w:sz w:val="19"/>
              </w:rPr>
              <w:t>Prevents plaster sores and infection - key causes of dropout</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Caregiver counselling / support contact (per visit)</w:t>
            </w:r>
          </w:p>
        </w:tc>
        <w:tc>
          <w:tcPr>
            <w:tcW w:type="dxa" w:w="1655"/>
            <w:vAlign w:val="top"/>
          </w:tcPr>
          <w:p>
            <w:pPr>
              <w:spacing w:after="40" w:before="0" w:line="259" w:lineRule="auto"/>
            </w:pPr>
            <w:r>
              <w:rPr>
                <w:rFonts w:ascii="Calibri" w:hAnsi="Calibri"/>
                <w:b w:val="0"/>
                <w:i w:val="0"/>
                <w:color w:val="212121"/>
                <w:sz w:val="19"/>
              </w:rPr>
              <w:t>Parents of newly diagnosed and bracing-phase children</w:t>
            </w:r>
          </w:p>
        </w:tc>
        <w:tc>
          <w:tcPr>
            <w:tcW w:type="dxa" w:w="1512"/>
            <w:vAlign w:val="top"/>
          </w:tcPr>
          <w:p>
            <w:pPr>
              <w:spacing w:after="40" w:before="0" w:line="259" w:lineRule="auto"/>
            </w:pPr>
            <w:r>
              <w:rPr>
                <w:rFonts w:ascii="Calibri" w:hAnsi="Calibri"/>
                <w:b w:val="0"/>
                <w:i w:val="0"/>
                <w:color w:val="212121"/>
                <w:sz w:val="19"/>
              </w:rPr>
              <w:t>Counselling at diagnosis and every review; peer-parent group contact</w:t>
            </w:r>
          </w:p>
        </w:tc>
        <w:tc>
          <w:tcPr>
            <w:tcW w:type="dxa" w:w="1512"/>
            <w:vAlign w:val="top"/>
          </w:tcPr>
          <w:p>
            <w:pPr>
              <w:spacing w:after="40" w:before="0" w:line="259" w:lineRule="auto"/>
            </w:pPr>
            <w:r>
              <w:rPr>
                <w:rFonts w:ascii="Calibri" w:hAnsi="Calibri"/>
                <w:b w:val="0"/>
                <w:i w:val="0"/>
                <w:color w:val="212121"/>
                <w:sz w:val="19"/>
              </w:rPr>
              <w:t>Missed appointments, expressed hopelessness, plan to stop bracing</w:t>
            </w:r>
          </w:p>
        </w:tc>
        <w:tc>
          <w:tcPr>
            <w:tcW w:type="dxa" w:w="1468"/>
            <w:vAlign w:val="top"/>
          </w:tcPr>
          <w:p>
            <w:pPr>
              <w:spacing w:after="40" w:before="0" w:line="259" w:lineRule="auto"/>
            </w:pPr>
            <w:r>
              <w:rPr>
                <w:rFonts w:ascii="Calibri" w:hAnsi="Calibri"/>
                <w:b w:val="0"/>
                <w:i w:val="0"/>
                <w:color w:val="212121"/>
                <w:sz w:val="19"/>
              </w:rPr>
              <w:t>Adherence support is the strongest modifiable determinant of outcome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Timing of amniocentesis (weeks of gestation)</w:t>
            </w:r>
          </w:p>
        </w:tc>
        <w:tc>
          <w:tcPr>
            <w:tcW w:type="dxa" w:w="1655"/>
            <w:vAlign w:val="top"/>
          </w:tcPr>
          <w:p>
            <w:pPr>
              <w:spacing w:after="40" w:before="0" w:line="259" w:lineRule="auto"/>
            </w:pPr>
            <w:r>
              <w:rPr>
                <w:rFonts w:ascii="Calibri" w:hAnsi="Calibri"/>
                <w:b w:val="0"/>
                <w:i w:val="0"/>
                <w:color w:val="212121"/>
                <w:sz w:val="19"/>
              </w:rPr>
              <w:t>Pregnancies needing invasive prenatal testing</w:t>
            </w:r>
          </w:p>
        </w:tc>
        <w:tc>
          <w:tcPr>
            <w:tcW w:type="dxa" w:w="1512"/>
            <w:vAlign w:val="top"/>
          </w:tcPr>
          <w:p>
            <w:pPr>
              <w:spacing w:after="40" w:before="0" w:line="259" w:lineRule="auto"/>
            </w:pPr>
            <w:r>
              <w:rPr>
                <w:rFonts w:ascii="Calibri" w:hAnsi="Calibri"/>
                <w:b w:val="0"/>
                <w:i w:val="0"/>
                <w:color w:val="212121"/>
                <w:sz w:val="19"/>
              </w:rPr>
              <w:t>&gt;= 15 weeks (mid-trimester)</w:t>
            </w:r>
          </w:p>
        </w:tc>
        <w:tc>
          <w:tcPr>
            <w:tcW w:type="dxa" w:w="1512"/>
            <w:vAlign w:val="top"/>
          </w:tcPr>
          <w:p>
            <w:pPr>
              <w:spacing w:after="40" w:before="0" w:line="259" w:lineRule="auto"/>
            </w:pPr>
            <w:r>
              <w:rPr>
                <w:rFonts w:ascii="Calibri" w:hAnsi="Calibri"/>
                <w:b w:val="0"/>
                <w:i w:val="0"/>
                <w:color w:val="212121"/>
                <w:sz w:val="19"/>
              </w:rPr>
              <w:t>&lt; 14 weeks (early amniocentesis)</w:t>
            </w:r>
          </w:p>
        </w:tc>
        <w:tc>
          <w:tcPr>
            <w:tcW w:type="dxa" w:w="1468"/>
            <w:vAlign w:val="top"/>
          </w:tcPr>
          <w:p>
            <w:pPr>
              <w:spacing w:after="60" w:line="259" w:lineRule="auto"/>
            </w:pPr>
            <w:r>
              <w:rPr>
                <w:rFonts w:ascii="Calibri" w:hAnsi="Calibri"/>
                <w:b w:val="0"/>
                <w:i w:val="0"/>
                <w:color w:val="212121"/>
                <w:sz w:val="19"/>
              </w:rPr>
              <w:t>Talipes 1.3% after early vs 0.1% after mid-trimester amniocentesis (CEMAT)</w:t>
            </w:r>
          </w:p>
          <w:p>
            <w:pPr>
              <w:spacing w:after="40" w:line="252" w:lineRule="auto"/>
            </w:pPr>
            <w:hyperlink r:id="rId17">
              <w:r>
                <w:rPr>
                  <w:rFonts w:ascii="Calibri" w:hAnsi="Calibri" w:cs="Calibri"/>
                  <w:sz w:val="18"/>
                  <w:color w:val="1155CC"/>
                  <w:u w:val="single"/>
                </w:rPr>
                <w:t xml:space="preserve">https://www.wjgnet.com/2218-6220/full/v5/i1/58.htm</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Fetal foot alignment (18-20 week anomaly scan)</w:t>
            </w:r>
          </w:p>
        </w:tc>
        <w:tc>
          <w:tcPr>
            <w:tcW w:type="dxa" w:w="892"/>
            <w:vAlign w:val="top"/>
          </w:tcPr>
          <w:p>
            <w:pPr>
              <w:spacing w:after="40" w:before="0" w:line="259" w:lineRule="auto"/>
            </w:pPr>
            <w:r>
              <w:rPr>
                <w:rFonts w:ascii="Calibri" w:hAnsi="Calibri"/>
                <w:b w:val="0"/>
                <w:i w:val="0"/>
                <w:color w:val="212121"/>
                <w:sz w:val="16"/>
              </w:rPr>
              <w:t>Antenatal ultrasound</w:t>
            </w:r>
          </w:p>
        </w:tc>
        <w:tc>
          <w:tcPr>
            <w:tcW w:type="dxa" w:w="950"/>
            <w:vAlign w:val="top"/>
          </w:tcPr>
          <w:p>
            <w:pPr>
              <w:spacing w:after="40" w:before="0" w:line="259" w:lineRule="auto"/>
            </w:pPr>
            <w:r>
              <w:rPr>
                <w:rFonts w:ascii="Calibri" w:hAnsi="Calibri"/>
                <w:b w:val="0"/>
                <w:i w:val="0"/>
                <w:color w:val="212121"/>
                <w:sz w:val="16"/>
              </w:rPr>
              <w:t>Normal foot-leg alignment in all planes</w:t>
            </w:r>
          </w:p>
        </w:tc>
        <w:tc>
          <w:tcPr>
            <w:tcW w:type="dxa" w:w="950"/>
            <w:vAlign w:val="top"/>
          </w:tcPr>
          <w:p>
            <w:pPr>
              <w:spacing w:after="40" w:before="0" w:line="259" w:lineRule="auto"/>
            </w:pPr>
            <w:r>
              <w:rPr>
                <w:rFonts w:ascii="Calibri" w:hAnsi="Calibri"/>
                <w:b w:val="0"/>
                <w:i w:val="0"/>
                <w:color w:val="212121"/>
                <w:sz w:val="16"/>
              </w:rPr>
              <w:t>Persistently inturned, plantarflexed foot (TEV)</w:t>
            </w:r>
          </w:p>
        </w:tc>
        <w:tc>
          <w:tcPr>
            <w:tcW w:type="dxa" w:w="1036"/>
            <w:vAlign w:val="top"/>
          </w:tcPr>
          <w:p>
            <w:pPr>
              <w:spacing w:after="40" w:before="0" w:line="259" w:lineRule="auto"/>
            </w:pPr>
            <w:r>
              <w:rPr>
                <w:rFonts w:ascii="Calibri" w:hAnsi="Calibri"/>
                <w:b w:val="0"/>
                <w:i w:val="0"/>
                <w:color w:val="212121"/>
                <w:sz w:val="16"/>
              </w:rPr>
              <w:t>Detects clubfoot prenatally (about 90% of prenatal diagnoses are made in the first/second trimester); false-positive rate 10-19%, so always confirm after birth</w:t>
            </w:r>
          </w:p>
        </w:tc>
        <w:tc>
          <w:tcPr>
            <w:tcW w:type="dxa" w:w="1036"/>
            <w:vAlign w:val="top"/>
          </w:tcPr>
          <w:p>
            <w:pPr>
              <w:spacing w:after="40" w:before="0" w:line="259" w:lineRule="auto"/>
            </w:pPr>
            <w:r>
              <w:rPr>
                <w:rFonts w:ascii="Calibri" w:hAnsi="Calibri"/>
                <w:b w:val="0"/>
                <w:i w:val="0"/>
                <w:color w:val="212121"/>
                <w:sz w:val="16"/>
              </w:rPr>
              <w:t>All pregnancies; high-risk (family history, previously affected child)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Isolated TEV -&gt; orthopaedic counselling; TEV with other anomalies -&gt; fetal genetic work-up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Clinical scoring</w:t>
            </w:r>
          </w:p>
        </w:tc>
        <w:tc>
          <w:tcPr>
            <w:tcW w:type="dxa" w:w="1036"/>
            <w:vAlign w:val="top"/>
          </w:tcPr>
          <w:p>
            <w:pPr>
              <w:spacing w:after="40" w:before="0" w:line="259" w:lineRule="auto"/>
            </w:pPr>
            <w:r>
              <w:rPr>
                <w:rFonts w:ascii="Calibri" w:hAnsi="Calibri"/>
                <w:b w:val="0"/>
                <w:i w:val="0"/>
                <w:color w:val="212121"/>
                <w:sz w:val="16"/>
              </w:rPr>
              <w:t>Pirani score (0-6)</w:t>
            </w:r>
          </w:p>
        </w:tc>
        <w:tc>
          <w:tcPr>
            <w:tcW w:type="dxa" w:w="892"/>
            <w:vAlign w:val="top"/>
          </w:tcPr>
          <w:p>
            <w:pPr>
              <w:spacing w:after="40" w:before="0" w:line="259" w:lineRule="auto"/>
            </w:pPr>
            <w:r>
              <w:rPr>
                <w:rFonts w:ascii="Calibri" w:hAnsi="Calibri"/>
                <w:b w:val="0"/>
                <w:i w:val="0"/>
                <w:color w:val="212121"/>
                <w:sz w:val="16"/>
              </w:rPr>
              <w:t>Severity scoring</w:t>
            </w:r>
          </w:p>
        </w:tc>
        <w:tc>
          <w:tcPr>
            <w:tcW w:type="dxa" w:w="950"/>
            <w:vAlign w:val="top"/>
          </w:tcPr>
          <w:p>
            <w:pPr>
              <w:spacing w:after="40" w:before="0" w:line="259" w:lineRule="auto"/>
            </w:pPr>
            <w:r>
              <w:rPr>
                <w:rFonts w:ascii="Calibri" w:hAnsi="Calibri"/>
                <w:b w:val="0"/>
                <w:i w:val="0"/>
                <w:color w:val="212121"/>
                <w:sz w:val="16"/>
              </w:rPr>
              <w:t>0 (no signs of clubfoot)</w:t>
            </w:r>
          </w:p>
        </w:tc>
        <w:tc>
          <w:tcPr>
            <w:tcW w:type="dxa" w:w="950"/>
            <w:vAlign w:val="top"/>
          </w:tcPr>
          <w:p>
            <w:pPr>
              <w:spacing w:after="40" w:before="0" w:line="259" w:lineRule="auto"/>
            </w:pPr>
            <w:r>
              <w:rPr>
                <w:rFonts w:ascii="Calibri" w:hAnsi="Calibri"/>
                <w:b w:val="0"/>
                <w:i w:val="0"/>
                <w:color w:val="212121"/>
                <w:sz w:val="16"/>
              </w:rPr>
              <w:t>&gt;= 1; &gt; 5 indicates very severe deformity</w:t>
            </w:r>
          </w:p>
        </w:tc>
        <w:tc>
          <w:tcPr>
            <w:tcW w:type="dxa" w:w="1036"/>
            <w:vAlign w:val="top"/>
          </w:tcPr>
          <w:p>
            <w:pPr>
              <w:spacing w:after="40" w:before="0" w:line="259" w:lineRule="auto"/>
            </w:pPr>
            <w:r>
              <w:rPr>
                <w:rFonts w:ascii="Calibri" w:hAnsi="Calibri"/>
                <w:b w:val="0"/>
                <w:i w:val="0"/>
                <w:color w:val="212121"/>
                <w:sz w:val="16"/>
              </w:rPr>
              <w:t>Six signs (three midfoot: curved lateral border, medial crease, uncovered talar head; three hindfoot: posterior crease, empty heel, rigid equinus) each 0/0.5/1; higher scores predict more casts and relapse; tenotomy when midfoot &lt; 0.5 but hindfoot &gt; 1</w:t>
            </w:r>
          </w:p>
        </w:tc>
        <w:tc>
          <w:tcPr>
            <w:tcW w:type="dxa" w:w="1036"/>
            <w:vAlign w:val="top"/>
          </w:tcPr>
          <w:p>
            <w:pPr>
              <w:spacing w:after="40" w:before="0" w:line="259" w:lineRule="auto"/>
            </w:pPr>
            <w:r>
              <w:rPr>
                <w:rFonts w:ascii="Calibri" w:hAnsi="Calibri"/>
                <w:b w:val="0"/>
                <w:i w:val="0"/>
                <w:color w:val="212121"/>
                <w:sz w:val="16"/>
              </w:rPr>
              <w:t>Every clubfoot at presentation and each casting visit</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Gold standard (monitoring)</w:t>
            </w:r>
          </w:p>
        </w:tc>
        <w:tc>
          <w:tcPr>
            <w:tcW w:type="dxa" w:w="720"/>
            <w:vAlign w:val="top"/>
          </w:tcPr>
          <w:p>
            <w:pPr>
              <w:spacing w:after="40" w:before="0" w:line="259" w:lineRule="auto"/>
            </w:pPr>
            <w:r>
              <w:rPr>
                <w:rFonts w:ascii="Calibri" w:hAnsi="Calibri"/>
                <w:b w:val="0"/>
                <w:i w:val="0"/>
                <w:color w:val="212121"/>
                <w:sz w:val="16"/>
              </w:rPr>
              <w:t>Indian infant cohorts: mean pre-treatment ~5.5 falling to ~0.3 after casting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Clinical scoring</w:t>
            </w:r>
          </w:p>
        </w:tc>
        <w:tc>
          <w:tcPr>
            <w:tcW w:type="dxa" w:w="1036"/>
            <w:vAlign w:val="top"/>
          </w:tcPr>
          <w:p>
            <w:pPr>
              <w:spacing w:after="40" w:before="0" w:line="259" w:lineRule="auto"/>
            </w:pPr>
            <w:r>
              <w:rPr>
                <w:rFonts w:ascii="Calibri" w:hAnsi="Calibri"/>
                <w:b w:val="0"/>
                <w:i w:val="0"/>
                <w:color w:val="212121"/>
                <w:sz w:val="16"/>
              </w:rPr>
              <w:t>Dimeglio score (0-20, grades I-IV)</w:t>
            </w:r>
          </w:p>
        </w:tc>
        <w:tc>
          <w:tcPr>
            <w:tcW w:type="dxa" w:w="892"/>
            <w:vAlign w:val="top"/>
          </w:tcPr>
          <w:p>
            <w:pPr>
              <w:spacing w:after="40" w:before="0" w:line="259" w:lineRule="auto"/>
            </w:pPr>
            <w:r>
              <w:rPr>
                <w:rFonts w:ascii="Calibri" w:hAnsi="Calibri"/>
                <w:b w:val="0"/>
                <w:i w:val="0"/>
                <w:color w:val="212121"/>
                <w:sz w:val="16"/>
              </w:rPr>
              <w:t>Severity scoring</w:t>
            </w:r>
          </w:p>
        </w:tc>
        <w:tc>
          <w:tcPr>
            <w:tcW w:type="dxa" w:w="950"/>
            <w:vAlign w:val="top"/>
          </w:tcPr>
          <w:p>
            <w:pPr>
              <w:spacing w:after="40" w:before="0" w:line="259" w:lineRule="auto"/>
            </w:pPr>
            <w:r>
              <w:rPr>
                <w:rFonts w:ascii="Calibri" w:hAnsi="Calibri"/>
                <w:b w:val="0"/>
                <w:i w:val="0"/>
                <w:color w:val="212121"/>
                <w:sz w:val="16"/>
              </w:rPr>
              <w:t>Grade I (0-5): benign, fully reducible</w:t>
            </w:r>
          </w:p>
        </w:tc>
        <w:tc>
          <w:tcPr>
            <w:tcW w:type="dxa" w:w="950"/>
            <w:vAlign w:val="top"/>
          </w:tcPr>
          <w:p>
            <w:pPr>
              <w:spacing w:after="40" w:before="0" w:line="259" w:lineRule="auto"/>
            </w:pPr>
            <w:r>
              <w:rPr>
                <w:rFonts w:ascii="Calibri" w:hAnsi="Calibri"/>
                <w:b w:val="0"/>
                <w:i w:val="0"/>
                <w:color w:val="212121"/>
                <w:sz w:val="16"/>
              </w:rPr>
              <w:t>Grade III (11-15) severe; Grade IV (&gt; 15) very severe/'stiff-stiff'</w:t>
            </w:r>
          </w:p>
        </w:tc>
        <w:tc>
          <w:tcPr>
            <w:tcW w:type="dxa" w:w="1036"/>
            <w:vAlign w:val="top"/>
          </w:tcPr>
          <w:p>
            <w:pPr>
              <w:spacing w:after="40" w:before="0" w:line="259" w:lineRule="auto"/>
            </w:pPr>
            <w:r>
              <w:rPr>
                <w:rFonts w:ascii="Calibri" w:hAnsi="Calibri"/>
                <w:b w:val="0"/>
                <w:i w:val="0"/>
                <w:color w:val="212121"/>
                <w:sz w:val="16"/>
              </w:rPr>
              <w:t>Scores derotation, adduction, varus, equinus plus creases and muscle status; higher grades predict resistant feet, more casts and surgical need</w:t>
            </w:r>
          </w:p>
        </w:tc>
        <w:tc>
          <w:tcPr>
            <w:tcW w:type="dxa" w:w="1036"/>
            <w:vAlign w:val="top"/>
          </w:tcPr>
          <w:p>
            <w:pPr>
              <w:spacing w:after="40" w:before="0" w:line="259" w:lineRule="auto"/>
            </w:pPr>
            <w:r>
              <w:rPr>
                <w:rFonts w:ascii="Calibri" w:hAnsi="Calibri"/>
                <w:b w:val="0"/>
                <w:i w:val="0"/>
                <w:color w:val="212121"/>
                <w:sz w:val="16"/>
              </w:rPr>
              <w:t>All clubfeet, especially syndromic/neglected</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Diagnostic/prognostic</w:t>
            </w:r>
          </w:p>
        </w:tc>
        <w:tc>
          <w:tcPr>
            <w:tcW w:type="dxa" w:w="720"/>
            <w:vAlign w:val="top"/>
          </w:tcPr>
          <w:p>
            <w:pPr>
              <w:spacing w:after="40" w:before="0" w:line="259" w:lineRule="auto"/>
            </w:pPr>
            <w:r>
              <w:rPr>
                <w:rFonts w:ascii="Calibri" w:hAnsi="Calibri"/>
                <w:b w:val="0"/>
                <w:i w:val="0"/>
                <w:color w:val="212121"/>
                <w:sz w:val="16"/>
              </w:rPr>
              <w:t>Neglected Indian feet improved from mean 15.9 to 2.07 with extended Ponseti casting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Talocalcaneal (Kite) angles on AP + stress-lateral foot radiographs</w:t>
            </w:r>
          </w:p>
        </w:tc>
        <w:tc>
          <w:tcPr>
            <w:tcW w:type="dxa" w:w="892"/>
            <w:vAlign w:val="top"/>
          </w:tcPr>
          <w:p>
            <w:pPr>
              <w:spacing w:after="40" w:before="0" w:line="259" w:lineRule="auto"/>
            </w:pPr>
            <w:r>
              <w:rPr>
                <w:rFonts w:ascii="Calibri" w:hAnsi="Calibri"/>
                <w:b w:val="0"/>
                <w:i w:val="0"/>
                <w:color w:val="212121"/>
                <w:sz w:val="16"/>
              </w:rPr>
              <w:t>Plain radiography</w:t>
            </w:r>
          </w:p>
        </w:tc>
        <w:tc>
          <w:tcPr>
            <w:tcW w:type="dxa" w:w="950"/>
            <w:vAlign w:val="top"/>
          </w:tcPr>
          <w:p>
            <w:pPr>
              <w:spacing w:after="40" w:before="0" w:line="259" w:lineRule="auto"/>
            </w:pPr>
            <w:r>
              <w:rPr>
                <w:rFonts w:ascii="Calibri" w:hAnsi="Calibri"/>
                <w:b w:val="0"/>
                <w:i w:val="0"/>
                <w:color w:val="212121"/>
                <w:sz w:val="16"/>
              </w:rPr>
              <w:t>AP talocalcaneal angle 20-40 degrees; lateral talocalcaneal 25-50 degrees</w:t>
            </w:r>
          </w:p>
        </w:tc>
        <w:tc>
          <w:tcPr>
            <w:tcW w:type="dxa" w:w="950"/>
            <w:vAlign w:val="top"/>
          </w:tcPr>
          <w:p>
            <w:pPr>
              <w:spacing w:after="40" w:before="0" w:line="259" w:lineRule="auto"/>
            </w:pPr>
            <w:r>
              <w:rPr>
                <w:rFonts w:ascii="Calibri" w:hAnsi="Calibri"/>
                <w:b w:val="0"/>
                <w:i w:val="0"/>
                <w:color w:val="212121"/>
                <w:sz w:val="16"/>
              </w:rPr>
              <w:t>Angle &lt; 20 degrees (talocalcaneal parallelism); flat-top talus in over-treated feet</w:t>
            </w:r>
          </w:p>
        </w:tc>
        <w:tc>
          <w:tcPr>
            <w:tcW w:type="dxa" w:w="1036"/>
            <w:vAlign w:val="top"/>
          </w:tcPr>
          <w:p>
            <w:pPr>
              <w:spacing w:after="40" w:before="0" w:line="259" w:lineRule="auto"/>
            </w:pPr>
            <w:r>
              <w:rPr>
                <w:rFonts w:ascii="Calibri" w:hAnsi="Calibri"/>
                <w:b w:val="0"/>
                <w:i w:val="0"/>
                <w:color w:val="212121"/>
                <w:sz w:val="16"/>
              </w:rPr>
              <w:t>Confirms hindfoot varus/parallelism in atypical, relapsed or older feet; not needed in typical infants because tarsal bones are largely cartilaginous</w:t>
            </w:r>
          </w:p>
        </w:tc>
        <w:tc>
          <w:tcPr>
            <w:tcW w:type="dxa" w:w="1036"/>
            <w:vAlign w:val="top"/>
          </w:tcPr>
          <w:p>
            <w:pPr>
              <w:spacing w:after="40" w:before="0" w:line="259" w:lineRule="auto"/>
            </w:pPr>
            <w:r>
              <w:rPr>
                <w:rFonts w:ascii="Calibri" w:hAnsi="Calibri"/>
                <w:b w:val="0"/>
                <w:i w:val="0"/>
                <w:color w:val="212121"/>
                <w:sz w:val="16"/>
              </w:rPr>
              <w:t>Neglected, relapsed, syndromic or surgically planned feet</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Dorsiflexion stress lateral assesses true equinus correction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Hip ultrasound (Graf) / hip examination imaging</w:t>
            </w:r>
          </w:p>
        </w:tc>
        <w:tc>
          <w:tcPr>
            <w:tcW w:type="dxa" w:w="892"/>
            <w:vAlign w:val="top"/>
          </w:tcPr>
          <w:p>
            <w:pPr>
              <w:spacing w:after="40" w:before="0" w:line="259" w:lineRule="auto"/>
            </w:pPr>
            <w:r>
              <w:rPr>
                <w:rFonts w:ascii="Calibri" w:hAnsi="Calibri"/>
                <w:b w:val="0"/>
                <w:i w:val="0"/>
                <w:color w:val="212121"/>
                <w:sz w:val="16"/>
              </w:rPr>
              <w:t>DDH screening</w:t>
            </w:r>
          </w:p>
        </w:tc>
        <w:tc>
          <w:tcPr>
            <w:tcW w:type="dxa" w:w="950"/>
            <w:vAlign w:val="top"/>
          </w:tcPr>
          <w:p>
            <w:pPr>
              <w:spacing w:after="40" w:before="0" w:line="259" w:lineRule="auto"/>
            </w:pPr>
            <w:r>
              <w:rPr>
                <w:rFonts w:ascii="Calibri" w:hAnsi="Calibri"/>
                <w:b w:val="0"/>
                <w:i w:val="0"/>
                <w:color w:val="212121"/>
                <w:sz w:val="16"/>
              </w:rPr>
              <w:t>Graf alpha angle &gt;= 60 degrees (mature hip)</w:t>
            </w:r>
          </w:p>
        </w:tc>
        <w:tc>
          <w:tcPr>
            <w:tcW w:type="dxa" w:w="950"/>
            <w:vAlign w:val="top"/>
          </w:tcPr>
          <w:p>
            <w:pPr>
              <w:spacing w:after="40" w:before="0" w:line="259" w:lineRule="auto"/>
            </w:pPr>
            <w:r>
              <w:rPr>
                <w:rFonts w:ascii="Calibri" w:hAnsi="Calibri"/>
                <w:b w:val="0"/>
                <w:i w:val="0"/>
                <w:color w:val="212121"/>
                <w:sz w:val="16"/>
              </w:rPr>
              <w:t>Alpha &lt; 60 degrees, dislocatable or dislocated hip</w:t>
            </w:r>
          </w:p>
        </w:tc>
        <w:tc>
          <w:tcPr>
            <w:tcW w:type="dxa" w:w="1036"/>
            <w:vAlign w:val="top"/>
          </w:tcPr>
          <w:p>
            <w:pPr>
              <w:spacing w:after="40" w:before="0" w:line="259" w:lineRule="auto"/>
            </w:pPr>
            <w:r>
              <w:rPr>
                <w:rFonts w:ascii="Calibri" w:hAnsi="Calibri"/>
                <w:b w:val="0"/>
                <w:i w:val="0"/>
                <w:color w:val="212121"/>
                <w:sz w:val="16"/>
              </w:rPr>
              <w:t>Clubfoot is listed among packaging/positioning-associated conditions; clinical hip examination at every visit with imaging when abnormal detects developmental dysplasia early</w:t>
            </w:r>
          </w:p>
        </w:tc>
        <w:tc>
          <w:tcPr>
            <w:tcW w:type="dxa" w:w="1036"/>
            <w:vAlign w:val="top"/>
          </w:tcPr>
          <w:p>
            <w:pPr>
              <w:spacing w:after="40" w:before="0" w:line="259" w:lineRule="auto"/>
            </w:pPr>
            <w:r>
              <w:rPr>
                <w:rFonts w:ascii="Calibri" w:hAnsi="Calibri"/>
                <w:b w:val="0"/>
                <w:i w:val="0"/>
                <w:color w:val="212121"/>
                <w:sz w:val="16"/>
              </w:rPr>
              <w:t>Clubfoot infants with abnormal hip exam, breech birth or family history of DDH</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Routine imaging of all clubfoot hips is debated; targeted screening is standard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Spinal ultrasound (&lt; 3-6 months) or MRI</w:t>
            </w:r>
          </w:p>
        </w:tc>
        <w:tc>
          <w:tcPr>
            <w:tcW w:type="dxa" w:w="892"/>
            <w:vAlign w:val="top"/>
          </w:tcPr>
          <w:p>
            <w:pPr>
              <w:spacing w:after="40" w:before="0" w:line="259" w:lineRule="auto"/>
            </w:pPr>
            <w:r>
              <w:rPr>
                <w:rFonts w:ascii="Calibri" w:hAnsi="Calibri"/>
                <w:b w:val="0"/>
                <w:i w:val="0"/>
                <w:color w:val="212121"/>
                <w:sz w:val="16"/>
              </w:rPr>
              <w:t>Neuraxis imaging</w:t>
            </w:r>
          </w:p>
        </w:tc>
        <w:tc>
          <w:tcPr>
            <w:tcW w:type="dxa" w:w="950"/>
            <w:vAlign w:val="top"/>
          </w:tcPr>
          <w:p>
            <w:pPr>
              <w:spacing w:after="40" w:before="0" w:line="259" w:lineRule="auto"/>
            </w:pPr>
            <w:r>
              <w:rPr>
                <w:rFonts w:ascii="Calibri" w:hAnsi="Calibri"/>
                <w:b w:val="0"/>
                <w:i w:val="0"/>
                <w:color w:val="212121"/>
                <w:sz w:val="16"/>
              </w:rPr>
              <w:t>Normal conus and filum; no dysraphism</w:t>
            </w:r>
          </w:p>
        </w:tc>
        <w:tc>
          <w:tcPr>
            <w:tcW w:type="dxa" w:w="950"/>
            <w:vAlign w:val="top"/>
          </w:tcPr>
          <w:p>
            <w:pPr>
              <w:spacing w:after="40" w:before="0" w:line="259" w:lineRule="auto"/>
            </w:pPr>
            <w:r>
              <w:rPr>
                <w:rFonts w:ascii="Calibri" w:hAnsi="Calibri"/>
                <w:b w:val="0"/>
                <w:i w:val="0"/>
                <w:color w:val="212121"/>
                <w:sz w:val="16"/>
              </w:rPr>
              <w:t>Tethered cord, lipoma, syrinx, spinal dysraphism</w:t>
            </w:r>
          </w:p>
        </w:tc>
        <w:tc>
          <w:tcPr>
            <w:tcW w:type="dxa" w:w="1036"/>
            <w:vAlign w:val="top"/>
          </w:tcPr>
          <w:p>
            <w:pPr>
              <w:spacing w:after="40" w:before="0" w:line="259" w:lineRule="auto"/>
            </w:pPr>
            <w:r>
              <w:rPr>
                <w:rFonts w:ascii="Calibri" w:hAnsi="Calibri"/>
                <w:b w:val="0"/>
                <w:i w:val="0"/>
                <w:color w:val="212121"/>
                <w:sz w:val="16"/>
              </w:rPr>
              <w:t>Excludes neurogenic cause when midline cutaneous markers, weak dorsiflexors, atypical rigidity or early relapse suggest an underlying cord lesion</w:t>
            </w:r>
          </w:p>
        </w:tc>
        <w:tc>
          <w:tcPr>
            <w:tcW w:type="dxa" w:w="1036"/>
            <w:vAlign w:val="top"/>
          </w:tcPr>
          <w:p>
            <w:pPr>
              <w:spacing w:after="40" w:before="0" w:line="259" w:lineRule="auto"/>
            </w:pPr>
            <w:r>
              <w:rPr>
                <w:rFonts w:ascii="Calibri" w:hAnsi="Calibri"/>
                <w:b w:val="0"/>
                <w:i w:val="0"/>
                <w:color w:val="212121"/>
                <w:sz w:val="16"/>
              </w:rPr>
              <w:t>Atypical/rigid, rapidly relapsing or neurologically abnormal clubfeet</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Neurogenic feet need modified casting and neurosurgical referral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Genetic</w:t>
            </w:r>
          </w:p>
        </w:tc>
        <w:tc>
          <w:tcPr>
            <w:tcW w:type="dxa" w:w="1036"/>
            <w:vAlign w:val="top"/>
          </w:tcPr>
          <w:p>
            <w:pPr>
              <w:spacing w:after="40" w:before="0" w:line="259" w:lineRule="auto"/>
            </w:pPr>
            <w:r>
              <w:rPr>
                <w:rFonts w:ascii="Calibri" w:hAnsi="Calibri"/>
                <w:b w:val="0"/>
                <w:i w:val="0"/>
                <w:color w:val="212121"/>
                <w:sz w:val="16"/>
              </w:rPr>
              <w:t>Karyotype / chromosomal microarray</w:t>
            </w:r>
          </w:p>
        </w:tc>
        <w:tc>
          <w:tcPr>
            <w:tcW w:type="dxa" w:w="892"/>
            <w:vAlign w:val="top"/>
          </w:tcPr>
          <w:p>
            <w:pPr>
              <w:spacing w:after="40" w:before="0" w:line="259" w:lineRule="auto"/>
            </w:pPr>
            <w:r>
              <w:rPr>
                <w:rFonts w:ascii="Calibri" w:hAnsi="Calibri"/>
                <w:b w:val="0"/>
                <w:i w:val="0"/>
                <w:color w:val="212121"/>
                <w:sz w:val="16"/>
              </w:rPr>
              <w:t>Genetic testing</w:t>
            </w:r>
          </w:p>
        </w:tc>
        <w:tc>
          <w:tcPr>
            <w:tcW w:type="dxa" w:w="950"/>
            <w:vAlign w:val="top"/>
          </w:tcPr>
          <w:p>
            <w:pPr>
              <w:spacing w:after="40" w:before="0" w:line="259" w:lineRule="auto"/>
            </w:pPr>
            <w:r>
              <w:rPr>
                <w:rFonts w:ascii="Calibri" w:hAnsi="Calibri"/>
                <w:b w:val="0"/>
                <w:i w:val="0"/>
                <w:color w:val="212121"/>
                <w:sz w:val="16"/>
              </w:rPr>
              <w:t>Normal karyotype/microarray</w:t>
            </w:r>
          </w:p>
        </w:tc>
        <w:tc>
          <w:tcPr>
            <w:tcW w:type="dxa" w:w="950"/>
            <w:vAlign w:val="top"/>
          </w:tcPr>
          <w:p>
            <w:pPr>
              <w:spacing w:after="40" w:before="0" w:line="259" w:lineRule="auto"/>
            </w:pPr>
            <w:r>
              <w:rPr>
                <w:rFonts w:ascii="Calibri" w:hAnsi="Calibri"/>
                <w:b w:val="0"/>
                <w:i w:val="0"/>
                <w:color w:val="212121"/>
                <w:sz w:val="16"/>
              </w:rPr>
              <w:t>Trisomy 18, 22q11.2 deletion or other pathogenic variant</w:t>
            </w:r>
          </w:p>
        </w:tc>
        <w:tc>
          <w:tcPr>
            <w:tcW w:type="dxa" w:w="1036"/>
            <w:vAlign w:val="top"/>
          </w:tcPr>
          <w:p>
            <w:pPr>
              <w:spacing w:after="40" w:before="0" w:line="259" w:lineRule="auto"/>
            </w:pPr>
            <w:r>
              <w:rPr>
                <w:rFonts w:ascii="Calibri" w:hAnsi="Calibri"/>
                <w:b w:val="0"/>
                <w:i w:val="0"/>
                <w:color w:val="212121"/>
                <w:sz w:val="16"/>
              </w:rPr>
              <w:t>Indicated for complex (non-isolated) clubfoot: aneuploidy risk ~30% with additional anomalies versus 1.7-3.6% when isolated</w:t>
            </w:r>
          </w:p>
        </w:tc>
        <w:tc>
          <w:tcPr>
            <w:tcW w:type="dxa" w:w="1036"/>
            <w:vAlign w:val="top"/>
          </w:tcPr>
          <w:p>
            <w:pPr>
              <w:spacing w:after="40" w:before="0" w:line="259" w:lineRule="auto"/>
            </w:pPr>
            <w:r>
              <w:rPr>
                <w:rFonts w:ascii="Calibri" w:hAnsi="Calibri"/>
                <w:b w:val="0"/>
                <w:i w:val="0"/>
                <w:color w:val="212121"/>
                <w:sz w:val="16"/>
              </w:rPr>
              <w:t>Clubfoot with other structural anomalies, dysmorphism or contractures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Guides prognosis, counselling and recurrence-risk advice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Antenatal &amp; birth history</w:t>
            </w:r>
          </w:p>
        </w:tc>
        <w:tc>
          <w:tcPr>
            <w:tcW w:type="dxa" w:w="979"/>
            <w:vAlign w:val="top"/>
          </w:tcPr>
          <w:p>
            <w:pPr>
              <w:spacing w:after="40" w:before="0" w:line="259" w:lineRule="auto"/>
            </w:pPr>
            <w:r>
              <w:rPr>
                <w:rFonts w:ascii="Calibri" w:hAnsi="Calibri"/>
                <w:b w:val="0"/>
                <w:i w:val="0"/>
                <w:color w:val="212121"/>
                <w:sz w:val="16"/>
              </w:rPr>
              <w:t>Breech lie, twin pregnancy, oligohydramnios, early amniocentesis, maternal tobacco use</w:t>
            </w:r>
          </w:p>
        </w:tc>
        <w:tc>
          <w:tcPr>
            <w:tcW w:type="dxa" w:w="950"/>
            <w:vAlign w:val="top"/>
          </w:tcPr>
          <w:p>
            <w:pPr>
              <w:spacing w:after="40" w:before="0" w:line="259" w:lineRule="auto"/>
            </w:pPr>
            <w:r>
              <w:rPr>
                <w:rFonts w:ascii="Calibri" w:hAnsi="Calibri"/>
                <w:b w:val="0"/>
                <w:i w:val="0"/>
                <w:color w:val="212121"/>
                <w:sz w:val="16"/>
              </w:rPr>
              <w:t>Uncomplicated singleton pregnancy, no invasive testing &lt; 15 weeks, no tobacco</w:t>
            </w:r>
          </w:p>
        </w:tc>
        <w:tc>
          <w:tcPr>
            <w:tcW w:type="dxa" w:w="950"/>
            <w:vAlign w:val="top"/>
          </w:tcPr>
          <w:p>
            <w:pPr>
              <w:spacing w:after="40" w:before="0" w:line="259" w:lineRule="auto"/>
            </w:pPr>
            <w:r>
              <w:rPr>
                <w:rFonts w:ascii="Calibri" w:hAnsi="Calibri"/>
                <w:b w:val="0"/>
                <w:i w:val="0"/>
                <w:color w:val="212121"/>
                <w:sz w:val="16"/>
              </w:rPr>
              <w:t>Any constraint factor, early amniocentesis or maternal tobacco exposure</w:t>
            </w:r>
          </w:p>
        </w:tc>
        <w:tc>
          <w:tcPr>
            <w:tcW w:type="dxa" w:w="1036"/>
            <w:vAlign w:val="top"/>
          </w:tcPr>
          <w:p>
            <w:pPr>
              <w:spacing w:after="40" w:before="0" w:line="259" w:lineRule="auto"/>
            </w:pPr>
            <w:r>
              <w:rPr>
                <w:rFonts w:ascii="Calibri" w:hAnsi="Calibri"/>
                <w:b w:val="0"/>
                <w:i w:val="0"/>
                <w:color w:val="212121"/>
                <w:sz w:val="16"/>
              </w:rPr>
              <w:t>Identifies mechanical and gene-environment contributors and separates deformation (positional) from true CTEV</w:t>
            </w:r>
          </w:p>
        </w:tc>
        <w:tc>
          <w:tcPr>
            <w:tcW w:type="dxa" w:w="1036"/>
            <w:vAlign w:val="top"/>
          </w:tcPr>
          <w:p>
            <w:pPr>
              <w:spacing w:after="40" w:before="0" w:line="259" w:lineRule="auto"/>
            </w:pPr>
            <w:r>
              <w:rPr>
                <w:rFonts w:ascii="Calibri" w:hAnsi="Calibri"/>
                <w:b w:val="0"/>
                <w:i w:val="0"/>
                <w:color w:val="212121"/>
                <w:sz w:val="16"/>
              </w:rPr>
              <w:t>All newly diagnosed infants</w:t>
            </w:r>
          </w:p>
        </w:tc>
        <w:tc>
          <w:tcPr>
            <w:tcW w:type="dxa" w:w="720"/>
            <w:vAlign w:val="top"/>
          </w:tcPr>
          <w:p>
            <w:pPr>
              <w:spacing w:after="40" w:before="0" w:line="259" w:lineRule="auto"/>
            </w:pPr>
            <w:r>
              <w:rPr>
                <w:rFonts w:ascii="Calibri" w:hAnsi="Calibri"/>
                <w:b w:val="0"/>
                <w:i w:val="0"/>
                <w:color w:val="212121"/>
                <w:sz w:val="16"/>
              </w:rPr>
              <w:t>Provoking factors; Smoking</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Twin pregnancy and breech presentation were the key maternal factors in an Indian series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Clubfoot in first-degree relatives; parental consanguinity</w:t>
            </w:r>
          </w:p>
        </w:tc>
        <w:tc>
          <w:tcPr>
            <w:tcW w:type="dxa" w:w="950"/>
            <w:vAlign w:val="top"/>
          </w:tcPr>
          <w:p>
            <w:pPr>
              <w:spacing w:after="40" w:before="0" w:line="259" w:lineRule="auto"/>
            </w:pPr>
            <w:r>
              <w:rPr>
                <w:rFonts w:ascii="Calibri" w:hAnsi="Calibri"/>
                <w:b w:val="0"/>
                <w:i w:val="0"/>
                <w:color w:val="212121"/>
                <w:sz w:val="16"/>
              </w:rPr>
              <w:t>No affected relatives, non-consanguineous parents</w:t>
            </w:r>
          </w:p>
        </w:tc>
        <w:tc>
          <w:tcPr>
            <w:tcW w:type="dxa" w:w="950"/>
            <w:vAlign w:val="top"/>
          </w:tcPr>
          <w:p>
            <w:pPr>
              <w:spacing w:after="40" w:before="0" w:line="259" w:lineRule="auto"/>
            </w:pPr>
            <w:r>
              <w:rPr>
                <w:rFonts w:ascii="Calibri" w:hAnsi="Calibri"/>
                <w:b w:val="0"/>
                <w:i w:val="0"/>
                <w:color w:val="212121"/>
                <w:sz w:val="16"/>
              </w:rPr>
              <w:t>&gt;= 1 affected first-degree relative and/or consanguineous union</w:t>
            </w:r>
          </w:p>
        </w:tc>
        <w:tc>
          <w:tcPr>
            <w:tcW w:type="dxa" w:w="1036"/>
            <w:vAlign w:val="top"/>
          </w:tcPr>
          <w:p>
            <w:pPr>
              <w:spacing w:after="40" w:before="0" w:line="259" w:lineRule="auto"/>
            </w:pPr>
            <w:r>
              <w:rPr>
                <w:rFonts w:ascii="Calibri" w:hAnsi="Calibri"/>
                <w:b w:val="0"/>
                <w:i w:val="0"/>
                <w:color w:val="212121"/>
                <w:sz w:val="16"/>
              </w:rPr>
              <w:t>24.4% of cases are familial; family history multiplies smoking-related risk ~20-fold and raises sibling recurrence risk</w:t>
            </w:r>
          </w:p>
        </w:tc>
        <w:tc>
          <w:tcPr>
            <w:tcW w:type="dxa" w:w="1036"/>
            <w:vAlign w:val="top"/>
          </w:tcPr>
          <w:p>
            <w:pPr>
              <w:spacing w:after="40" w:before="0" w:line="259" w:lineRule="auto"/>
            </w:pPr>
            <w:r>
              <w:rPr>
                <w:rFonts w:ascii="Calibri" w:hAnsi="Calibri"/>
                <w:b w:val="0"/>
                <w:i w:val="0"/>
                <w:color w:val="212121"/>
                <w:sz w:val="16"/>
              </w:rPr>
              <w:t>All families; genetic counselling if positive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29% consanguinity reported in a central-India CTEV series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Foot inspection</w:t>
            </w:r>
          </w:p>
        </w:tc>
        <w:tc>
          <w:tcPr>
            <w:tcW w:type="dxa" w:w="979"/>
            <w:vAlign w:val="top"/>
          </w:tcPr>
          <w:p>
            <w:pPr>
              <w:spacing w:after="40" w:before="0" w:line="259" w:lineRule="auto"/>
            </w:pPr>
            <w:r>
              <w:rPr>
                <w:rFonts w:ascii="Calibri" w:hAnsi="Calibri"/>
                <w:b w:val="0"/>
                <w:i w:val="0"/>
                <w:color w:val="212121"/>
                <w:sz w:val="16"/>
              </w:rPr>
              <w:t>CAVE components, deep medial/posterior creases, small foot, thin calf</w:t>
            </w:r>
          </w:p>
        </w:tc>
        <w:tc>
          <w:tcPr>
            <w:tcW w:type="dxa" w:w="950"/>
            <w:vAlign w:val="top"/>
          </w:tcPr>
          <w:p>
            <w:pPr>
              <w:spacing w:after="40" w:before="0" w:line="259" w:lineRule="auto"/>
            </w:pPr>
            <w:r>
              <w:rPr>
                <w:rFonts w:ascii="Calibri" w:hAnsi="Calibri"/>
                <w:b w:val="0"/>
                <w:i w:val="0"/>
                <w:color w:val="212121"/>
                <w:sz w:val="16"/>
              </w:rPr>
              <w:t>Straight lateral border, neutral heel, dorsiflexion beyond neutral</w:t>
            </w:r>
          </w:p>
        </w:tc>
        <w:tc>
          <w:tcPr>
            <w:tcW w:type="dxa" w:w="950"/>
            <w:vAlign w:val="top"/>
          </w:tcPr>
          <w:p>
            <w:pPr>
              <w:spacing w:after="40" w:before="0" w:line="259" w:lineRule="auto"/>
            </w:pPr>
            <w:r>
              <w:rPr>
                <w:rFonts w:ascii="Calibri" w:hAnsi="Calibri"/>
                <w:b w:val="0"/>
                <w:i w:val="0"/>
                <w:color w:val="212121"/>
                <w:sz w:val="16"/>
              </w:rPr>
              <w:t>Cavus, adductus, varus, equinus with creases and calf wasting</w:t>
            </w:r>
          </w:p>
        </w:tc>
        <w:tc>
          <w:tcPr>
            <w:tcW w:type="dxa" w:w="1036"/>
            <w:vAlign w:val="top"/>
          </w:tcPr>
          <w:p>
            <w:pPr>
              <w:spacing w:after="40" w:before="0" w:line="259" w:lineRule="auto"/>
            </w:pPr>
            <w:r>
              <w:rPr>
                <w:rFonts w:ascii="Calibri" w:hAnsi="Calibri"/>
                <w:b w:val="0"/>
                <w:i w:val="0"/>
                <w:color w:val="212121"/>
                <w:sz w:val="16"/>
              </w:rPr>
              <w:t>Establishes the diagnosis and baseline severity; both feet and whole limb must be examined</w:t>
            </w:r>
          </w:p>
        </w:tc>
        <w:tc>
          <w:tcPr>
            <w:tcW w:type="dxa" w:w="1036"/>
            <w:vAlign w:val="top"/>
          </w:tcPr>
          <w:p>
            <w:pPr>
              <w:spacing w:after="40" w:before="0" w:line="259" w:lineRule="auto"/>
            </w:pPr>
            <w:r>
              <w:rPr>
                <w:rFonts w:ascii="Calibri" w:hAnsi="Calibri"/>
                <w:b w:val="0"/>
                <w:i w:val="0"/>
                <w:color w:val="212121"/>
                <w:sz w:val="16"/>
              </w:rPr>
              <w:t>Every newborn (part of routine newborn examination / RBSK birth-defect screen)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Photograph/score feet at baseline for progress tracking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Passive correctability test</w:t>
            </w:r>
          </w:p>
        </w:tc>
        <w:tc>
          <w:tcPr>
            <w:tcW w:type="dxa" w:w="979"/>
            <w:vAlign w:val="top"/>
          </w:tcPr>
          <w:p>
            <w:pPr>
              <w:spacing w:after="40" w:before="0" w:line="259" w:lineRule="auto"/>
            </w:pPr>
            <w:r>
              <w:rPr>
                <w:rFonts w:ascii="Calibri" w:hAnsi="Calibri"/>
                <w:b w:val="0"/>
                <w:i w:val="0"/>
                <w:color w:val="212121"/>
                <w:sz w:val="16"/>
              </w:rPr>
              <w:t>Reducibility of each deformity component to neutral</w:t>
            </w:r>
          </w:p>
        </w:tc>
        <w:tc>
          <w:tcPr>
            <w:tcW w:type="dxa" w:w="950"/>
            <w:vAlign w:val="top"/>
          </w:tcPr>
          <w:p>
            <w:pPr>
              <w:spacing w:after="40" w:before="0" w:line="259" w:lineRule="auto"/>
            </w:pPr>
            <w:r>
              <w:rPr>
                <w:rFonts w:ascii="Calibri" w:hAnsi="Calibri"/>
                <w:b w:val="0"/>
                <w:i w:val="0"/>
                <w:color w:val="212121"/>
                <w:sz w:val="16"/>
              </w:rPr>
              <w:t>Fully correctable, springy foot (positional talipes)</w:t>
            </w:r>
          </w:p>
        </w:tc>
        <w:tc>
          <w:tcPr>
            <w:tcW w:type="dxa" w:w="950"/>
            <w:vAlign w:val="top"/>
          </w:tcPr>
          <w:p>
            <w:pPr>
              <w:spacing w:after="40" w:before="0" w:line="259" w:lineRule="auto"/>
            </w:pPr>
            <w:r>
              <w:rPr>
                <w:rFonts w:ascii="Calibri" w:hAnsi="Calibri"/>
                <w:b w:val="0"/>
                <w:i w:val="0"/>
                <w:color w:val="212121"/>
                <w:sz w:val="16"/>
              </w:rPr>
              <w:t>Rigid, only partially correctable foot (structural CTEV)</w:t>
            </w:r>
          </w:p>
        </w:tc>
        <w:tc>
          <w:tcPr>
            <w:tcW w:type="dxa" w:w="1036"/>
            <w:vAlign w:val="top"/>
          </w:tcPr>
          <w:p>
            <w:pPr>
              <w:spacing w:after="40" w:before="0" w:line="259" w:lineRule="auto"/>
            </w:pPr>
            <w:r>
              <w:rPr>
                <w:rFonts w:ascii="Calibri" w:hAnsi="Calibri"/>
                <w:b w:val="0"/>
                <w:i w:val="0"/>
                <w:color w:val="212121"/>
                <w:sz w:val="16"/>
              </w:rPr>
              <w:t>Differentiates positional talipes (reassurance/stretching) from true clubfoot (serial casting); also grades stiffness for Dimeglio scoring</w:t>
            </w:r>
          </w:p>
        </w:tc>
        <w:tc>
          <w:tcPr>
            <w:tcW w:type="dxa" w:w="1036"/>
            <w:vAlign w:val="top"/>
          </w:tcPr>
          <w:p>
            <w:pPr>
              <w:spacing w:after="40" w:before="0" w:line="259" w:lineRule="auto"/>
            </w:pPr>
            <w:r>
              <w:rPr>
                <w:rFonts w:ascii="Calibri" w:hAnsi="Calibri"/>
                <w:b w:val="0"/>
                <w:i w:val="0"/>
                <w:color w:val="212121"/>
                <w:sz w:val="16"/>
              </w:rPr>
              <w:t>All inturned feet in neonates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Never label a rigid foot 'positional' - delay wastes the elastic newborn window</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Syndrome screen</w:t>
            </w:r>
          </w:p>
        </w:tc>
        <w:tc>
          <w:tcPr>
            <w:tcW w:type="dxa" w:w="979"/>
            <w:vAlign w:val="top"/>
          </w:tcPr>
          <w:p>
            <w:pPr>
              <w:spacing w:after="40" w:before="0" w:line="259" w:lineRule="auto"/>
            </w:pPr>
            <w:r>
              <w:rPr>
                <w:rFonts w:ascii="Calibri" w:hAnsi="Calibri"/>
                <w:b w:val="0"/>
                <w:i w:val="0"/>
                <w:color w:val="212121"/>
                <w:sz w:val="16"/>
              </w:rPr>
              <w:t>Hips (Ortolani/Barlow), spine (dimple, tuft, lipoma), neurology, other joints, hands</w:t>
            </w:r>
          </w:p>
        </w:tc>
        <w:tc>
          <w:tcPr>
            <w:tcW w:type="dxa" w:w="950"/>
            <w:vAlign w:val="top"/>
          </w:tcPr>
          <w:p>
            <w:pPr>
              <w:spacing w:after="40" w:before="0" w:line="259" w:lineRule="auto"/>
            </w:pPr>
            <w:r>
              <w:rPr>
                <w:rFonts w:ascii="Calibri" w:hAnsi="Calibri"/>
                <w:b w:val="0"/>
                <w:i w:val="0"/>
                <w:color w:val="212121"/>
                <w:sz w:val="16"/>
              </w:rPr>
              <w:t>Stable hips, normal spine and neurology, no other contractures</w:t>
            </w:r>
          </w:p>
        </w:tc>
        <w:tc>
          <w:tcPr>
            <w:tcW w:type="dxa" w:w="950"/>
            <w:vAlign w:val="top"/>
          </w:tcPr>
          <w:p>
            <w:pPr>
              <w:spacing w:after="40" w:before="0" w:line="259" w:lineRule="auto"/>
            </w:pPr>
            <w:r>
              <w:rPr>
                <w:rFonts w:ascii="Calibri" w:hAnsi="Calibri"/>
                <w:b w:val="0"/>
                <w:i w:val="0"/>
                <w:color w:val="212121"/>
                <w:sz w:val="16"/>
              </w:rPr>
              <w:t>Hip instability, midline spinal markers, weak dorsiflexors, multiple contractures, dysmorphism</w:t>
            </w:r>
          </w:p>
        </w:tc>
        <w:tc>
          <w:tcPr>
            <w:tcW w:type="dxa" w:w="1036"/>
            <w:vAlign w:val="top"/>
          </w:tcPr>
          <w:p>
            <w:pPr>
              <w:spacing w:after="40" w:before="0" w:line="259" w:lineRule="auto"/>
            </w:pPr>
            <w:r>
              <w:rPr>
                <w:rFonts w:ascii="Calibri" w:hAnsi="Calibri"/>
                <w:b w:val="0"/>
                <w:i w:val="0"/>
                <w:color w:val="212121"/>
                <w:sz w:val="16"/>
              </w:rPr>
              <w:t>Separates idiopathic from neurogenic/syndromic clubfoot (~20% have an associated condition), redirecting work-up and counselling</w:t>
            </w:r>
          </w:p>
        </w:tc>
        <w:tc>
          <w:tcPr>
            <w:tcW w:type="dxa" w:w="1036"/>
            <w:vAlign w:val="top"/>
          </w:tcPr>
          <w:p>
            <w:pPr>
              <w:spacing w:after="40" w:before="0" w:line="259" w:lineRule="auto"/>
            </w:pPr>
            <w:r>
              <w:rPr>
                <w:rFonts w:ascii="Calibri" w:hAnsi="Calibri"/>
                <w:b w:val="0"/>
                <w:i w:val="0"/>
                <w:color w:val="212121"/>
                <w:sz w:val="16"/>
              </w:rPr>
              <w:t>All clubfoot infants at first visit and during follow-up</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Re-examine at each visit - some syndromes declare themselves later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Gait &amp; skin assessment (walking child)</w:t>
            </w:r>
          </w:p>
        </w:tc>
        <w:tc>
          <w:tcPr>
            <w:tcW w:type="dxa" w:w="979"/>
            <w:vAlign w:val="top"/>
          </w:tcPr>
          <w:p>
            <w:pPr>
              <w:spacing w:after="40" w:before="0" w:line="259" w:lineRule="auto"/>
            </w:pPr>
            <w:r>
              <w:rPr>
                <w:rFonts w:ascii="Calibri" w:hAnsi="Calibri"/>
                <w:b w:val="0"/>
                <w:i w:val="0"/>
                <w:color w:val="212121"/>
                <w:sz w:val="16"/>
              </w:rPr>
              <w:t>Weight-bearing surface, callosities, shoe wear, in-toeing, heel contact</w:t>
            </w:r>
          </w:p>
        </w:tc>
        <w:tc>
          <w:tcPr>
            <w:tcW w:type="dxa" w:w="950"/>
            <w:vAlign w:val="top"/>
          </w:tcPr>
          <w:p>
            <w:pPr>
              <w:spacing w:after="40" w:before="0" w:line="259" w:lineRule="auto"/>
            </w:pPr>
            <w:r>
              <w:rPr>
                <w:rFonts w:ascii="Calibri" w:hAnsi="Calibri"/>
                <w:b w:val="0"/>
                <w:i w:val="0"/>
                <w:color w:val="212121"/>
                <w:sz w:val="16"/>
              </w:rPr>
              <w:t>Plantigrade heel-toe gait, sole-bearing skin</w:t>
            </w:r>
          </w:p>
        </w:tc>
        <w:tc>
          <w:tcPr>
            <w:tcW w:type="dxa" w:w="950"/>
            <w:vAlign w:val="top"/>
          </w:tcPr>
          <w:p>
            <w:pPr>
              <w:spacing w:after="40" w:before="0" w:line="259" w:lineRule="auto"/>
            </w:pPr>
            <w:r>
              <w:rPr>
                <w:rFonts w:ascii="Calibri" w:hAnsi="Calibri"/>
                <w:b w:val="0"/>
                <w:i w:val="0"/>
                <w:color w:val="212121"/>
                <w:sz w:val="16"/>
              </w:rPr>
              <w:t>Walking on lateral border/dorsum, dorsolateral callosity or bursa, absent heel strike</w:t>
            </w:r>
          </w:p>
        </w:tc>
        <w:tc>
          <w:tcPr>
            <w:tcW w:type="dxa" w:w="1036"/>
            <w:vAlign w:val="top"/>
          </w:tcPr>
          <w:p>
            <w:pPr>
              <w:spacing w:after="40" w:before="0" w:line="259" w:lineRule="auto"/>
            </w:pPr>
            <w:r>
              <w:rPr>
                <w:rFonts w:ascii="Calibri" w:hAnsi="Calibri"/>
                <w:b w:val="0"/>
                <w:i w:val="0"/>
                <w:color w:val="212121"/>
                <w:sz w:val="16"/>
              </w:rPr>
              <w:t>Stages neglected or relapsed clubfoot and measures functional impact; guides extended casting versus surgery</w:t>
            </w:r>
          </w:p>
        </w:tc>
        <w:tc>
          <w:tcPr>
            <w:tcW w:type="dxa" w:w="1036"/>
            <w:vAlign w:val="top"/>
          </w:tcPr>
          <w:p>
            <w:pPr>
              <w:spacing w:after="40" w:before="0" w:line="259" w:lineRule="auto"/>
            </w:pPr>
            <w:r>
              <w:rPr>
                <w:rFonts w:ascii="Calibri" w:hAnsi="Calibri"/>
                <w:b w:val="0"/>
                <w:i w:val="0"/>
                <w:color w:val="212121"/>
                <w:sz w:val="16"/>
              </w:rPr>
              <w:t>Untreated walking-age children; treated children at brace reviews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Early relapse shows as loss of abduction/dorsiflexion and dynamic supination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Inward-and-downward turned foot noticed at birth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sole faces medially (towards the other leg); present from birth in one or both feet - the presenting complaint in nearly all cases.</w:t>
            </w:r>
          </w:p>
        </w:tc>
      </w:tr>
      <w:tr>
        <w:trPr>
          <w:cantSplit/>
        </w:trPr>
        <w:tc>
          <w:tcPr>
            <w:tcW w:type="dxa" w:w="2304"/>
            <w:vAlign w:val="top"/>
          </w:tcPr>
          <w:p>
            <w:pPr>
              <w:spacing w:after="40" w:before="0" w:line="259" w:lineRule="auto"/>
            </w:pPr>
            <w:r>
              <w:rPr>
                <w:rFonts w:ascii="Calibri" w:hAnsi="Calibri"/>
                <w:b/>
                <w:i w:val="0"/>
                <w:color w:val="212121"/>
                <w:sz w:val="19"/>
              </w:rPr>
              <w:t>Smaller foot and thinner calf on the affected side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Foot is short and broad with a thin calf; the size difference persists even after successful correction.</w:t>
            </w:r>
          </w:p>
        </w:tc>
      </w:tr>
      <w:tr>
        <w:trPr>
          <w:cantSplit/>
        </w:trPr>
        <w:tc>
          <w:tcPr>
            <w:tcW w:type="dxa" w:w="2304"/>
            <w:vAlign w:val="top"/>
          </w:tcPr>
          <w:p>
            <w:pPr>
              <w:spacing w:after="40" w:before="0" w:line="259" w:lineRule="auto"/>
            </w:pPr>
            <w:r>
              <w:rPr>
                <w:rFonts w:ascii="Calibri" w:hAnsi="Calibri"/>
                <w:b/>
                <w:i w:val="0"/>
                <w:color w:val="212121"/>
                <w:sz w:val="19"/>
              </w:rPr>
              <w:t>Painless deformity in infancy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newborn foot is not painful; absence of pain often falsely reassures families and delays care.</w:t>
            </w:r>
          </w:p>
        </w:tc>
      </w:tr>
      <w:tr>
        <w:trPr>
          <w:cantSplit/>
        </w:trPr>
        <w:tc>
          <w:tcPr>
            <w:tcW w:type="dxa" w:w="2304"/>
            <w:vAlign w:val="top"/>
          </w:tcPr>
          <w:p>
            <w:pPr>
              <w:spacing w:after="40" w:before="0" w:line="259" w:lineRule="auto"/>
            </w:pPr>
            <w:r>
              <w:rPr>
                <w:rFonts w:ascii="Calibri" w:hAnsi="Calibri"/>
                <w:b/>
                <w:i w:val="0"/>
                <w:color w:val="212121"/>
                <w:sz w:val="19"/>
              </w:rPr>
              <w:t>Inability to place the sole flat when standing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 the untreated older infant/toddler the heel cannot reach the ground and weight falls on the outer border.</w:t>
            </w:r>
          </w:p>
        </w:tc>
      </w:tr>
      <w:tr>
        <w:trPr>
          <w:cantSplit/>
        </w:trPr>
        <w:tc>
          <w:tcPr>
            <w:tcW w:type="dxa" w:w="2304"/>
            <w:vAlign w:val="top"/>
          </w:tcPr>
          <w:p>
            <w:pPr>
              <w:spacing w:after="40" w:before="0" w:line="259" w:lineRule="auto"/>
            </w:pPr>
            <w:r>
              <w:rPr>
                <w:rFonts w:ascii="Calibri" w:hAnsi="Calibri"/>
                <w:b/>
                <w:i w:val="0"/>
                <w:color w:val="212121"/>
                <w:sz w:val="19"/>
              </w:rPr>
              <w:t>Walking on the outer border or top of the foot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Hallmark of neglected clubfoot after walking age; produces a lurching, unstable gait.</w:t>
            </w:r>
          </w:p>
        </w:tc>
      </w:tr>
      <w:tr>
        <w:trPr>
          <w:cantSplit/>
        </w:trPr>
        <w:tc>
          <w:tcPr>
            <w:tcW w:type="dxa" w:w="2304"/>
            <w:vAlign w:val="top"/>
          </w:tcPr>
          <w:p>
            <w:pPr>
              <w:spacing w:after="40" w:before="0" w:line="259" w:lineRule="auto"/>
            </w:pPr>
            <w:r>
              <w:rPr>
                <w:rFonts w:ascii="Calibri" w:hAnsi="Calibri"/>
                <w:b/>
                <w:i w:val="0"/>
                <w:color w:val="212121"/>
                <w:sz w:val="19"/>
              </w:rPr>
              <w:t>Hard skin (callosities) over the outer/top of the foot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Pressure keratoses and adventitious bursae form over the abnormal weight-bearing surface in neglected feet.</w:t>
            </w:r>
          </w:p>
        </w:tc>
      </w:tr>
      <w:tr>
        <w:trPr>
          <w:cantSplit/>
        </w:trPr>
        <w:tc>
          <w:tcPr>
            <w:tcW w:type="dxa" w:w="2304"/>
            <w:vAlign w:val="top"/>
          </w:tcPr>
          <w:p>
            <w:pPr>
              <w:spacing w:after="40" w:before="0" w:line="259" w:lineRule="auto"/>
            </w:pPr>
            <w:r>
              <w:rPr>
                <w:rFonts w:ascii="Calibri" w:hAnsi="Calibri"/>
                <w:b/>
                <w:i w:val="0"/>
                <w:color w:val="212121"/>
                <w:sz w:val="19"/>
              </w:rPr>
              <w:t>Difficulty finding or wearing footwear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Rigid deformity and mismatched foot sizes make standard chappals/shoes impossible - a major practical disability in school-age children.</w:t>
            </w:r>
          </w:p>
        </w:tc>
      </w:tr>
      <w:tr>
        <w:trPr>
          <w:cantSplit/>
        </w:trPr>
        <w:tc>
          <w:tcPr>
            <w:tcW w:type="dxa" w:w="2304"/>
            <w:vAlign w:val="top"/>
          </w:tcPr>
          <w:p>
            <w:pPr>
              <w:spacing w:after="40" w:before="0" w:line="259" w:lineRule="auto"/>
            </w:pPr>
            <w:r>
              <w:rPr>
                <w:rFonts w:ascii="Calibri" w:hAnsi="Calibri"/>
                <w:b/>
                <w:i w:val="0"/>
                <w:color w:val="212121"/>
                <w:sz w:val="19"/>
              </w:rPr>
              <w:t>Limp or awkward gait after treatment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Mild in-toeing, reduced push-off or early fatigue can persist, especially after relapse or extensive surgery.</w:t>
            </w:r>
          </w:p>
        </w:tc>
      </w:tr>
      <w:tr>
        <w:trPr>
          <w:cantSplit/>
        </w:trPr>
        <w:tc>
          <w:tcPr>
            <w:tcW w:type="dxa" w:w="2304"/>
            <w:vAlign w:val="top"/>
          </w:tcPr>
          <w:p>
            <w:pPr>
              <w:spacing w:after="40" w:before="0" w:line="259" w:lineRule="auto"/>
            </w:pPr>
            <w:r>
              <w:rPr>
                <w:rFonts w:ascii="Calibri" w:hAnsi="Calibri"/>
                <w:b/>
                <w:i w:val="0"/>
                <w:color w:val="212121"/>
                <w:sz w:val="19"/>
              </w:rPr>
              <w:t>Foot or ankle pain in adolescence/adulthood</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Overload of residual deformity or post-surgical stiffness causes activity-related pain in later years.</w:t>
            </w:r>
          </w:p>
        </w:tc>
      </w:tr>
      <w:tr>
        <w:trPr>
          <w:cantSplit/>
        </w:trPr>
        <w:tc>
          <w:tcPr>
            <w:tcW w:type="dxa" w:w="2304"/>
            <w:vAlign w:val="top"/>
          </w:tcPr>
          <w:p>
            <w:pPr>
              <w:spacing w:after="40" w:before="0" w:line="259" w:lineRule="auto"/>
            </w:pPr>
            <w:r>
              <w:rPr>
                <w:rFonts w:ascii="Calibri" w:hAnsi="Calibri"/>
                <w:b/>
                <w:i w:val="0"/>
                <w:color w:val="212121"/>
                <w:sz w:val="19"/>
              </w:rPr>
              <w:t>Recurrent skin breakdown or ulceration over callosities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Neglected feet may ulcerate and become secondarily infected over bony prominences.</w:t>
            </w:r>
          </w:p>
        </w:tc>
      </w:tr>
      <w:tr>
        <w:trPr>
          <w:cantSplit/>
        </w:trPr>
        <w:tc>
          <w:tcPr>
            <w:tcW w:type="dxa" w:w="2304"/>
            <w:vAlign w:val="top"/>
          </w:tcPr>
          <w:p>
            <w:pPr>
              <w:spacing w:after="40" w:before="0" w:line="259" w:lineRule="auto"/>
            </w:pPr>
            <w:r>
              <w:rPr>
                <w:rFonts w:ascii="Calibri" w:hAnsi="Calibri"/>
                <w:b/>
                <w:i w:val="0"/>
                <w:color w:val="212121"/>
                <w:sz w:val="19"/>
              </w:rPr>
              <w:t>Social embarrassment, teasing and school avoidance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Visible deformity and gait attract stigma in the community; psychosocial burden falls on child and parents alike.</w:t>
            </w:r>
          </w:p>
        </w:tc>
      </w:tr>
      <w:tr>
        <w:trPr>
          <w:cantSplit/>
        </w:trPr>
        <w:tc>
          <w:tcPr>
            <w:tcW w:type="dxa" w:w="2304"/>
            <w:vAlign w:val="top"/>
          </w:tcPr>
          <w:p>
            <w:pPr>
              <w:spacing w:after="40" w:before="0" w:line="259" w:lineRule="auto"/>
            </w:pPr>
            <w:r>
              <w:rPr>
                <w:rFonts w:ascii="Calibri" w:hAnsi="Calibri"/>
                <w:b/>
                <w:i w:val="0"/>
                <w:color w:val="212121"/>
                <w:sz w:val="19"/>
              </w:rPr>
              <w:t>Deformity returning after correction (relapse)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Parents notice the heel drifting inward, tip-toe walking or dynamic supination - usually after brace wear lapses.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Fixed equinus (foot cannot be dorsiflexed to neutral)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Tight tendo-Achilles holds the ankle plantarflexed; rigid equinus scores on the Pirani hindfoot scale.</w:t>
            </w:r>
          </w:p>
        </w:tc>
      </w:tr>
      <w:tr>
        <w:trPr>
          <w:cantSplit/>
        </w:trPr>
        <w:tc>
          <w:tcPr>
            <w:tcW w:type="dxa" w:w="3456"/>
            <w:vAlign w:val="top"/>
          </w:tcPr>
          <w:p>
            <w:pPr>
              <w:spacing w:after="40" w:before="0" w:line="259" w:lineRule="auto"/>
            </w:pPr>
            <w:r>
              <w:rPr>
                <w:rFonts w:ascii="Calibri" w:hAnsi="Calibri"/>
                <w:b/>
                <w:i w:val="0"/>
                <w:color w:val="212121"/>
                <w:sz w:val="19"/>
              </w:rPr>
              <w:t>Hindfoot varus (heel inverted)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calcaneus is rotated inward under the talus; viewed from behind, the heel points medially.</w:t>
            </w:r>
          </w:p>
        </w:tc>
      </w:tr>
      <w:tr>
        <w:trPr>
          <w:cantSplit/>
        </w:trPr>
        <w:tc>
          <w:tcPr>
            <w:tcW w:type="dxa" w:w="3456"/>
            <w:vAlign w:val="top"/>
          </w:tcPr>
          <w:p>
            <w:pPr>
              <w:spacing w:after="40" w:before="0" w:line="259" w:lineRule="auto"/>
            </w:pPr>
            <w:r>
              <w:rPr>
                <w:rFonts w:ascii="Calibri" w:hAnsi="Calibri"/>
                <w:b/>
                <w:i w:val="0"/>
                <w:color w:val="212121"/>
                <w:sz w:val="19"/>
              </w:rPr>
              <w:t>Forefoot adductus with curved lateral border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'Bean-shaped' foot; the lateral border is convex rather than straight - a Pirani midfoot sign.</w:t>
            </w:r>
          </w:p>
        </w:tc>
      </w:tr>
      <w:tr>
        <w:trPr>
          <w:cantSplit/>
        </w:trPr>
        <w:tc>
          <w:tcPr>
            <w:tcW w:type="dxa" w:w="3456"/>
            <w:vAlign w:val="top"/>
          </w:tcPr>
          <w:p>
            <w:pPr>
              <w:spacing w:after="40" w:before="0" w:line="259" w:lineRule="auto"/>
            </w:pPr>
            <w:r>
              <w:rPr>
                <w:rFonts w:ascii="Calibri" w:hAnsi="Calibri"/>
                <w:b/>
                <w:i w:val="0"/>
                <w:color w:val="212121"/>
                <w:sz w:val="19"/>
              </w:rPr>
              <w:t>Midfoot cavus with deep medial crease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High medial arch from first-ray plantarflexion; a deep medial crease marks severity.</w:t>
            </w:r>
          </w:p>
        </w:tc>
      </w:tr>
      <w:tr>
        <w:trPr>
          <w:cantSplit/>
        </w:trPr>
        <w:tc>
          <w:tcPr>
            <w:tcW w:type="dxa" w:w="3456"/>
            <w:vAlign w:val="top"/>
          </w:tcPr>
          <w:p>
            <w:pPr>
              <w:spacing w:after="40" w:before="0" w:line="259" w:lineRule="auto"/>
            </w:pPr>
            <w:r>
              <w:rPr>
                <w:rFonts w:ascii="Calibri" w:hAnsi="Calibri"/>
                <w:b/>
                <w:i w:val="0"/>
                <w:color w:val="212121"/>
                <w:sz w:val="19"/>
              </w:rPr>
              <w:t>Deep posterior ankle crease and 'empty heel' sign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calcaneus is drawn up so the heel pad feels empty; both are Pirani hindfoot signs.</w:t>
            </w:r>
          </w:p>
        </w:tc>
      </w:tr>
      <w:tr>
        <w:trPr>
          <w:cantSplit/>
        </w:trPr>
        <w:tc>
          <w:tcPr>
            <w:tcW w:type="dxa" w:w="3456"/>
            <w:vAlign w:val="top"/>
          </w:tcPr>
          <w:p>
            <w:pPr>
              <w:spacing w:after="40" w:before="0" w:line="259" w:lineRule="auto"/>
            </w:pPr>
            <w:r>
              <w:rPr>
                <w:rFonts w:ascii="Calibri" w:hAnsi="Calibri"/>
                <w:b/>
                <w:i w:val="0"/>
                <w:color w:val="212121"/>
                <w:sz w:val="19"/>
              </w:rPr>
              <w:t>Laterally palpable, uncovered talar head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navicular is displaced medially, leaving the talar head palpable in the sinus tarsi area.</w:t>
            </w:r>
          </w:p>
        </w:tc>
      </w:tr>
      <w:tr>
        <w:trPr>
          <w:cantSplit/>
        </w:trPr>
        <w:tc>
          <w:tcPr>
            <w:tcW w:type="dxa" w:w="3456"/>
            <w:vAlign w:val="top"/>
          </w:tcPr>
          <w:p>
            <w:pPr>
              <w:spacing w:after="40" w:before="0" w:line="259" w:lineRule="auto"/>
            </w:pPr>
            <w:r>
              <w:rPr>
                <w:rFonts w:ascii="Calibri" w:hAnsi="Calibri"/>
                <w:b/>
                <w:i w:val="0"/>
                <w:color w:val="212121"/>
                <w:sz w:val="19"/>
              </w:rPr>
              <w:t>Calf-muscle atrophy and shortened foot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from infancy and persists lifelong even after full correction; more marked in unilateral cases.</w:t>
            </w:r>
          </w:p>
        </w:tc>
      </w:tr>
      <w:tr>
        <w:trPr>
          <w:cantSplit/>
        </w:trPr>
        <w:tc>
          <w:tcPr>
            <w:tcW w:type="dxa" w:w="3456"/>
            <w:vAlign w:val="top"/>
          </w:tcPr>
          <w:p>
            <w:pPr>
              <w:spacing w:after="40" w:before="0" w:line="259" w:lineRule="auto"/>
            </w:pPr>
            <w:r>
              <w:rPr>
                <w:rFonts w:ascii="Calibri" w:hAnsi="Calibri"/>
                <w:b/>
                <w:i w:val="0"/>
                <w:color w:val="212121"/>
                <w:sz w:val="19"/>
              </w:rPr>
              <w:t>Rigidity on attempted passive correction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Distinguishes structural CTEV from positional talipes, which corrects fully with gentle stretching.</w:t>
            </w:r>
          </w:p>
        </w:tc>
      </w:tr>
      <w:tr>
        <w:trPr>
          <w:cantSplit/>
        </w:trPr>
        <w:tc>
          <w:tcPr>
            <w:tcW w:type="dxa" w:w="3456"/>
            <w:vAlign w:val="top"/>
          </w:tcPr>
          <w:p>
            <w:pPr>
              <w:spacing w:after="40" w:before="0" w:line="259" w:lineRule="auto"/>
            </w:pPr>
            <w:r>
              <w:rPr>
                <w:rFonts w:ascii="Calibri" w:hAnsi="Calibri"/>
                <w:b/>
                <w:i w:val="0"/>
                <w:color w:val="212121"/>
                <w:sz w:val="19"/>
              </w:rPr>
              <w:t>Internal tibial torsion / in-toeing gait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Whole-limb internal rotation accompanies the foot deformity; obvious once the child walks.</w:t>
            </w:r>
          </w:p>
        </w:tc>
      </w:tr>
      <w:tr>
        <w:trPr>
          <w:cantSplit/>
        </w:trPr>
        <w:tc>
          <w:tcPr>
            <w:tcW w:type="dxa" w:w="3456"/>
            <w:vAlign w:val="top"/>
          </w:tcPr>
          <w:p>
            <w:pPr>
              <w:spacing w:after="40" w:before="0" w:line="259" w:lineRule="auto"/>
            </w:pPr>
            <w:r>
              <w:rPr>
                <w:rFonts w:ascii="Calibri" w:hAnsi="Calibri"/>
                <w:b/>
                <w:i w:val="0"/>
                <w:color w:val="212121"/>
                <w:sz w:val="19"/>
              </w:rPr>
              <w:t>Dorsolateral callosity or bursa (walking child)</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Marker of neglected clubfoot bearing weight on the outer border/dorsum.</w:t>
            </w:r>
          </w:p>
        </w:tc>
      </w:tr>
      <w:tr>
        <w:trPr>
          <w:cantSplit/>
        </w:trPr>
        <w:tc>
          <w:tcPr>
            <w:tcW w:type="dxa" w:w="3456"/>
            <w:vAlign w:val="top"/>
          </w:tcPr>
          <w:p>
            <w:pPr>
              <w:spacing w:after="40" w:before="0" w:line="259" w:lineRule="auto"/>
            </w:pPr>
            <w:r>
              <w:rPr>
                <w:rFonts w:ascii="Calibri" w:hAnsi="Calibri"/>
                <w:b/>
                <w:i w:val="0"/>
                <w:color w:val="212121"/>
                <w:sz w:val="19"/>
              </w:rPr>
              <w:t>Midline spinal markers, hip instability or multiple contractures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Sacral dimple/hairy patch, positive Ortolani/Barlow or arthrogrypotic contractures flag neurogenic/syndromic clubfoot.</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rigid deformity of the growing foot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Abnormal weight-bearing on the lateral border/dorsum with callosities and bursae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Unstable, energy-costly gait and reduced 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Footwear impossibility and skin breakdown over pressure points</w:t>
            </w:r>
          </w:p>
        </w:tc>
        <w:tc>
          <w:tcPr>
            <w:tcW w:type="dxa" w:w="2980"/>
            <w:vAlign w:val="top"/>
          </w:tcPr>
          <w:p>
            <w:pPr>
              <w:spacing w:after="40" w:before="0" w:line="259" w:lineRule="auto"/>
            </w:pPr>
            <w:r>
              <w:rPr>
                <w:rFonts w:ascii="Calibri" w:hAnsi="Calibri"/>
                <w:b w:val="0"/>
                <w:i w:val="0"/>
                <w:color w:val="212121"/>
                <w:sz w:val="19"/>
              </w:rPr>
              <w:t>Natural history of the untreated or neglected foot - the deformity never self-corrects and stiffens with age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Relapse/recurrence after correction (about 47% over long-term follow-up; ~80% with poor brace compliance vs ~6% with good compliance)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Cast complications - plaster sores, slippage, dermatitis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Rocker-bottom (iatrogenic) deformity from forcing dorsiflexion before adduction/varus are corrected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Bleeding or neurovascular injury after percutaneous tenotomy (~2% serious bleeding in one series)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Overcorrection - pes planovalgus, dorsal bunion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Residual deformity, stiffness and calf weakness; dynamic supination needing tibialis anterior tendon transfer</w:t>
            </w:r>
          </w:p>
        </w:tc>
        <w:tc>
          <w:tcPr>
            <w:tcW w:type="dxa" w:w="2980"/>
            <w:vAlign w:val="top"/>
          </w:tcPr>
          <w:p>
            <w:pPr>
              <w:spacing w:after="40" w:before="0" w:line="259" w:lineRule="auto"/>
            </w:pPr>
            <w:r>
              <w:rPr>
                <w:rFonts w:ascii="Calibri" w:hAnsi="Calibri"/>
                <w:b w:val="0"/>
                <w:i w:val="0"/>
                <w:color w:val="212121"/>
                <w:sz w:val="19"/>
              </w:rPr>
              <w:t>Consequences of treatment, incomplete correction or non-adherence; most relapses are brace-related and 79% of relapsed feet need further surgery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Early degenerative arthritis of the foot and ankle in adult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pain and stiff, scarred feet after extensive soft-tissue release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Fixed deformity requiring salvage procedures (osteotomies, triple arthrodesis, Ilizarov correction)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locomotor disability with lost schooling, employment and marriage prospects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Entrenched psychosocial harm - stigma, low self-esteem, social exclusion</w:t>
            </w:r>
          </w:p>
        </w:tc>
        <w:tc>
          <w:tcPr>
            <w:tcW w:type="dxa" w:w="2980"/>
            <w:vAlign w:val="top"/>
          </w:tcPr>
          <w:p>
            <w:pPr>
              <w:spacing w:after="40" w:before="0" w:line="259" w:lineRule="auto"/>
            </w:pPr>
            <w:r>
              <w:rPr>
                <w:rFonts w:ascii="Calibri" w:hAnsi="Calibri"/>
                <w:b w:val="0"/>
                <w:i w:val="0"/>
                <w:color w:val="212121"/>
                <w:sz w:val="19"/>
              </w:rPr>
              <w:t>End-stage outcomes of neglected, repeatedly relapsed or over-operated clubfoot - largely preventable with early Ponseti care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Developmental dysplasia of the hip (DDH)</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Both are reported within the constrained-intrauterine-'packaging' spectrum; hips must be examined at every clubfoot visit, with ultrasound/imaging when the exam, breech history or family history is abnormal. Routine imaging of all clubfoot hips remains debated.</w:t>
            </w:r>
          </w:p>
        </w:tc>
      </w:tr>
      <w:tr>
        <w:trPr>
          <w:cantSplit/>
        </w:trPr>
        <w:tc>
          <w:tcPr>
            <w:tcW w:type="dxa" w:w="2232"/>
            <w:vAlign w:val="top"/>
          </w:tcPr>
          <w:p>
            <w:pPr>
              <w:spacing w:after="40" w:before="0" w:line="259" w:lineRule="auto"/>
            </w:pPr>
            <w:r>
              <w:rPr>
                <w:rFonts w:ascii="Calibri" w:hAnsi="Calibri"/>
                <w:b/>
                <w:i w:val="0"/>
                <w:color w:val="212121"/>
                <w:sz w:val="19"/>
              </w:rPr>
              <w:t>Myelomeningocele / spina bifida (neurogenic clubfoot)</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Paralytic imbalance produces rigid, relapse-prone clubfeet with insensate skin that ulcerates under casts; management needs modified casting, neurosurgical care and lifelong orthotic follow-up. Periconceptional folic acid prevents the underlying defect.</w:t>
            </w:r>
          </w:p>
        </w:tc>
      </w:tr>
      <w:tr>
        <w:trPr>
          <w:cantSplit/>
        </w:trPr>
        <w:tc>
          <w:tcPr>
            <w:tcW w:type="dxa" w:w="2232"/>
            <w:vAlign w:val="top"/>
          </w:tcPr>
          <w:p>
            <w:pPr>
              <w:spacing w:after="40" w:before="0" w:line="259" w:lineRule="auto"/>
            </w:pPr>
            <w:r>
              <w:rPr>
                <w:rFonts w:ascii="Calibri" w:hAnsi="Calibri"/>
                <w:b/>
                <w:i w:val="0"/>
                <w:color w:val="212121"/>
                <w:sz w:val="19"/>
              </w:rPr>
              <w:t>Arthrogryposis (including distal arthrogryposis)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Teratologic clubfeet in contracture syndromes are the stiffest subgroup - more casts, earlier tenotomy/surgery and higher recurrence; other joints and hand deformities need parallel treatment.</w:t>
            </w:r>
          </w:p>
        </w:tc>
      </w:tr>
      <w:tr>
        <w:trPr>
          <w:cantSplit/>
        </w:trPr>
        <w:tc>
          <w:tcPr>
            <w:tcW w:type="dxa" w:w="2232"/>
            <w:vAlign w:val="top"/>
          </w:tcPr>
          <w:p>
            <w:pPr>
              <w:spacing w:after="40" w:before="0" w:line="259" w:lineRule="auto"/>
            </w:pPr>
            <w:r>
              <w:rPr>
                <w:rFonts w:ascii="Calibri" w:hAnsi="Calibri"/>
                <w:b/>
                <w:i w:val="0"/>
                <w:color w:val="212121"/>
                <w:sz w:val="19"/>
              </w:rPr>
              <w:t>Congenital myotonic dystrophy (DM1)</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Hypotonia with talipes at birth should prompt examination of the mother (grip myotonia) and genetic testing; anaesthetic risk during tenotomy/surgery is increased in DM1.</w:t>
            </w:r>
          </w:p>
        </w:tc>
      </w:tr>
      <w:tr>
        <w:trPr>
          <w:cantSplit/>
        </w:trPr>
        <w:tc>
          <w:tcPr>
            <w:tcW w:type="dxa" w:w="2232"/>
            <w:vAlign w:val="top"/>
          </w:tcPr>
          <w:p>
            <w:pPr>
              <w:spacing w:after="40" w:before="0" w:line="259" w:lineRule="auto"/>
            </w:pPr>
            <w:r>
              <w:rPr>
                <w:rFonts w:ascii="Calibri" w:hAnsi="Calibri"/>
                <w:b/>
                <w:i w:val="0"/>
                <w:color w:val="212121"/>
                <w:sz w:val="19"/>
              </w:rPr>
              <w:t>Chromosomal and syndromic disorders (trisomy 18, 22q11.2 deletion, amniotic band sequence)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Clubfoot accompanies at least one associated condition in about one fifth of cases and ~7% have another anomaly at birth; complex (non-isolated) prenatal clubfoot carries ~30% aneuploidy risk versus 1.7-3.6% when isolated, mandating genetic evaluation.</w:t>
            </w:r>
          </w:p>
          <w:p>
            <w:pPr>
              <w:spacing w:after="40" w:before="0" w:line="259" w:lineRule="auto"/>
            </w:pPr>
            <w:r>
              <w:rPr>
                <w:rFonts w:ascii="Calibri" w:hAnsi="Calibri"/>
                <w:b/>
                <w:i w:val="0"/>
                <w:color w:val="212121"/>
                <w:sz w:val="19"/>
              </w:rPr>
              <w:t>Up to 20%</w:t>
            </w:r>
          </w:p>
        </w:tc>
      </w:tr>
      <w:tr>
        <w:trPr>
          <w:cantSplit/>
        </w:trPr>
        <w:tc>
          <w:tcPr>
            <w:tcW w:type="dxa" w:w="2232"/>
            <w:vAlign w:val="top"/>
          </w:tcPr>
          <w:p>
            <w:pPr>
              <w:spacing w:after="40" w:before="0" w:line="259" w:lineRule="auto"/>
            </w:pPr>
            <w:r>
              <w:rPr>
                <w:rFonts w:ascii="Calibri" w:hAnsi="Calibri"/>
                <w:b/>
                <w:i w:val="0"/>
                <w:color w:val="212121"/>
                <w:sz w:val="19"/>
              </w:rPr>
              <w:t>Congenital muscular torticollis and metatarsus adductus ('packaging' anomalies)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Moulding-related anomalies co-occur with talipes in constrained pregnancies (breech, twins, first-born); each newborn with one packaging anomaly deserves a head-to-toe check for the others.</w:t>
            </w:r>
          </w:p>
        </w:tc>
      </w:tr>
      <w:tr>
        <w:trPr>
          <w:cantSplit/>
        </w:trPr>
        <w:tc>
          <w:tcPr>
            <w:tcW w:type="dxa" w:w="2232"/>
            <w:vAlign w:val="top"/>
          </w:tcPr>
          <w:p>
            <w:pPr>
              <w:spacing w:after="40" w:before="0" w:line="259" w:lineRule="auto"/>
            </w:pPr>
            <w:r>
              <w:rPr>
                <w:rFonts w:ascii="Calibri" w:hAnsi="Calibri"/>
                <w:b/>
                <w:i w:val="0"/>
                <w:color w:val="212121"/>
                <w:sz w:val="19"/>
              </w:rPr>
              <w:t>Caregiver anxiety, depression and psychosocial stress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visible birth defect plus years of weekly casting and night bracing generate guilt, blame (often directed at mothers), financial strain and stigma; unaddressed caregiver distress is a leading cause of treatment dropout and hence of relapse.</w:t>
            </w:r>
          </w:p>
        </w:tc>
      </w:tr>
      <w:tr>
        <w:trPr>
          <w:cantSplit/>
        </w:trPr>
        <w:tc>
          <w:tcPr>
            <w:tcW w:type="dxa" w:w="2232"/>
            <w:vAlign w:val="top"/>
          </w:tcPr>
          <w:p>
            <w:pPr>
              <w:spacing w:after="40" w:before="0" w:line="259" w:lineRule="auto"/>
            </w:pPr>
            <w:r>
              <w:rPr>
                <w:rFonts w:ascii="Calibri" w:hAnsi="Calibri"/>
                <w:b/>
                <w:i w:val="0"/>
                <w:color w:val="212121"/>
                <w:sz w:val="19"/>
              </w:rPr>
              <w:t>Early-onset foot and ankle osteoarthritis (adult sequela)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Residual or relapsed deformity concentrates load on abnormal joint surfaces; extensive childhood soft-tissue release adds stiffness, and painful degenerative change may need fusion surgery in adulthood.</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clubfoot is a birth defect, not the result of anything the mother 'did wrong' - and that with early treatment more than 90% of feet are fully corrected without major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all tobacco (cigarettes, bidis, khaini/gutkha, second-hand smoke) from before conception - maternal smoking raises clubfoot risk ~34% and ~20-fold when family history is present.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periconceptional folic acid (400 mcg/day) to prevent the neural tube defects that cause neurogenic clubfoot.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the 18-20-week anomaly scan; if fetal talipes is seen, get orthopaedic counselling before delivery and genetic evaluation when other anomalies coexist.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invasive prenatal testing is needed, ensure amniocentesis is done at 15 weeks or later - early amniocentesis raises talipes risk (1.3% vs 0.1%).</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every newborn's feet checked at birth (RBSK/newborn examination); a foot that cannot be gently brought to the neutral position needs orthopaedic referral within the first 1-2 weeks.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genetic counselling when there is a family history, a previously affected child or parental consanguinity.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with an affected relative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ASHA/ANM and birth attendants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newborns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the Ponseti roadmap: weekly gentle manipulation and casting (usually 4-8 casts in infants), a minor percutaneous Achilles tenotomy in ~80%, then a foot-abduction brace for years - completing every step is what delivers a normal-looking, working foot.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stop at 'the foot looks straight' - stopping the brace early is the commonest cause of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danger signs during casting: swollen/blue toes, toes disappearing into the cast, foul smell, fever or a slipped cast - return immediately.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relapse warning signs after correction: heel drifting inward, tip-toe walking, the foot turning in during running - report at the next visit without delay.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government and NGO support: clubfoot is covered under the Rashtriya Bal Swasthya Karyakram (RBSK) birth-defect list, and dedicated clubfoot clinics run in district hospitals with partner organisations - treatment and braces are free in these programmes.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treatment card/photo record so any clinic can continue care if the family migrates for work.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children in casting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in the bracing phase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Migrant and rural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Community health workers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the taught home stretches (gentle dorsiflexion and eversion holds) daily during and after bracing to keep the foot supple.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free floor play, crawling, standing and walking - the brace and corrected foot do not stop motor development, and activity strengthens the thin calf.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the bracing years, promote normal games, running, cycling and swimming; corrected clubfoot children can play sport like their peers.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dynamic supination or relapse, follow the physiotherapy programme and, if tibialis anterior tendon transfer is advised (usually after age 2.5-3 years), complete post-operative rehabilitation fully.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neglected/late-treated children, graded weight-bearing and gait training after extended casting rebuild a plantigrade, functional gait.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in the bracing phase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Corrected clubfoot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Relapsed/operated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Walking-age neglected clubfoot</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 balanced maternal diet in pregnancy - adequate protein, iron, iodine and B-vitamins - to support fetal musculoskeletal development.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Start folic acid 400 mcg daily at least one month before conception and continue through the first trimester.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the treated child a normal, calcium- and vitamin-D-adequate diet for bone health, and keep body weight healthy so the smaller corrected foot is not overloaded and braces fit correctly.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exclusive breastfeeding for the first six months - casting and bracing are no barrier to feeding and bonding.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treated children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the night brace like brushing teeth - a non-negotiable bedtime routine: brace on for every night sleep and nap until age 4-5 years (12-14 hours), after the initial 3 months of 23-hour wear.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Check the skin every morning for red pressure marks; redness that does not fade in 20 minutes means the fit needs review - do not simply abandon the brace.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Replace outgrown boots promptly (feet are re-measured at reviews); a painful, tight boot is the fastest route to refusal and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comfort strategies for the first brace weeks - padded straps, bedtime play with the bar ('brace games'), both feet booted simultaneously - most children adapt within 1-2 weeks.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Remember the numbers: recurrence ~80% when bracing lapses versus ~6% with good compliance - the brace, not repeat surgery, protects the result.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after final cast/tenotomy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Toddlers in night bracing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struggling with brace refusal</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smoked and smokeless tobacco before conception - risk applies to bidis, cigarettes, hookah and chewing products alike.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Make the home and vehicle smoke-free; protect the pregnant mother from second-hand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with a history of clubfoot should treat tobacco avoidance as critical - the combination multiplies risk about 20-fold.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(national tobacco quitline 1800-112-356, mCessation, nicotine replacement on medical advice) rather than willpower alone.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 and partners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with clubfoot history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Tobacco-using household members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complete alcohol abstinence throughout pregnancy - no safe dose or safe trimester is established for the fetus.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Plan abstinence from the time conception is attempted, since limb development occurs in the first trimester, often before pregnancy is recognised.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Partners and family should support an alcohol-free pregnancy environment, especially where home-brewed liquor use is customary.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Partners and family members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parents on the day of diagnosis: clubfoot is common, nobody is to blame, and treatment started early gives an excellent result - this single conversation prevents guilt, blame of the mother and treatment refusal.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Connect new families to a peer parent (a family that completed treatment) or a clubfoot-clinic support group.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community stigma and myths (curses, maternal fault, 'incurable') through ASHA/ANM-led awareness so families present early instead of hiding the child.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discuss financial stress early - link families to RBSK/free-treatment pathways before costs cause dropout.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newly diagnosed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Mothers facing blame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and tribal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Frontline health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Watch for caregiver burnout during the years of bracing - missed reviews and 'brace holidays' are often distress signals, not carelessness; respond with support, not scolding.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the school-age child's self-esteem: address teasing, involve teachers, and emphasise what the child can do (sport, play) after correction.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for adolescents and adults with residual deformity or chronic pain, in whom body-image concerns and activity limitation can drive anxiety and low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neglected clubfoot treated late, celebrate milestones (first plantigrade steps, first shoes) to sustain family motivation through long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Bracing-phase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School-age treated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Adolescents/adults with residual deformity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Late-treated children</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sjonline.org/index.php/ijrms/article/view/9527" TargetMode="External"/><Relationship Id="rId10" Type="http://schemas.openxmlformats.org/officeDocument/2006/relationships/hyperlink" Target="https://link.springer.com/article/10.1007/s43465-023-00923-5" TargetMode="External"/><Relationship Id="rId11" Type="http://schemas.openxmlformats.org/officeDocument/2006/relationships/hyperlink" Target="https://www.ncbi.nlm.nih.gov/books/NBK551574/" TargetMode="External"/><Relationship Id="rId12" Type="http://schemas.openxmlformats.org/officeDocument/2006/relationships/hyperlink" Target="https://www.lshtm.ac.uk/newsevents/news/2023/new-estimates-global-prevalence-clubfoot" TargetMode="External"/><Relationship Id="rId13" Type="http://schemas.openxmlformats.org/officeDocument/2006/relationships/hyperlink" Target="https://www.ncbi.nlm.nih.gov/books/NBK557841/" TargetMode="External"/><Relationship Id="rId14" Type="http://schemas.openxmlformats.org/officeDocument/2006/relationships/hyperlink" Target="https://www.givewell.org/international/technical/programs/ponseti-casting-for-clubfoot" TargetMode="External"/><Relationship Id="rId15" Type="http://schemas.openxmlformats.org/officeDocument/2006/relationships/hyperlink" Target="https://academic.oup.com/aje/article/152/7/658/75215" TargetMode="External"/><Relationship Id="rId16" Type="http://schemas.openxmlformats.org/officeDocument/2006/relationships/hyperlink" Target="https://medicopublication.com/index.php/ijphrd/article/view/21399" TargetMode="External"/><Relationship Id="rId17" Type="http://schemas.openxmlformats.org/officeDocument/2006/relationships/hyperlink" Target="https://www.wjgnet.com/2218-6220/full/v5/i1/58.htm" TargetMode="External"/><Relationship Id="rId18" Type="http://schemas.openxmlformats.org/officeDocument/2006/relationships/hyperlink" Target="https://link.springer.com/article/10.4103/0019-5413.1895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