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Sarcopenia</w:t>
      </w:r>
    </w:p>
    <w:p>
      <w:pPr>
        <w:spacing w:before="0" w:after="160"/>
      </w:pPr>
      <w:r>
        <w:rPr>
          <w:rFonts w:ascii="Calibri" w:hAnsi="Calibri"/>
          <w:b/>
          <w:i w:val="0"/>
          <w:color w:val="212121"/>
          <w:sz w:val="22"/>
        </w:rPr>
        <w:t xml:space="preserve">AKA </w:t>
      </w:r>
      <w:r>
        <w:rPr>
          <w:rFonts w:ascii="Calibri" w:hAnsi="Calibri"/>
          <w:b w:val="0"/>
          <w:i w:val="0"/>
          <w:color w:val="212121"/>
          <w:sz w:val="22"/>
        </w:rPr>
        <w:t>i.e., Age-related muscle loss, Skeletal muscle wasting, Muscle-wasting disease; sarcopenic obesity (low-muscle/high-fat variant)</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Sarcopenia is a progressive and generalized skeletal muscle disorder characterized by the accelerated loss of muscle mass together with loss of muscle strength and/or physical performance. It is now recognized as a distinct muscle disease (ICD-10-CM code M62.84) rather than an inevitable part of ageing, and is associated with falls, fractures, physical disability, loss of independence and increased mortality. Although most common in the elderly, it may begin in mid-life and is accelerated by inactivity, poor protein intake and chronic illness.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Sarcopenia affects roughly 1 in 6 to 1 in 4 older Indians in community settings, with prevalence climbing steeply with age, chronic disease and undernutrition. In the nationally representative LASI-DAD cohort of community-dwelling adults aged 60 and above, 53.1% met AWGS-2019 criteria for sarcopenia and 38.6% for severe sarcopenia, reflecting India's high burden of low muscle mass, low protein intake and the 'thin-fat' body-composition phenotype.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Sarcopenia is diagnosed using a case-finding then assess-confirm-severity pathway. In India and the rest of Asia the Asian Working Group for Sarcopenia (AWGS) 2019 criteria are preferred (population-specific cut-offs); the European EWGSOP2 algorithm is an accepted alternative. Diagnosis requires documented low muscle mass PLUS low strength and/or low physical performance: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Case-finding / screening: SARC-F questionnaire ≥ 4 (or SARC-CalF ≥ 11), or a low calf circumference (&lt; 34 cm in men, &lt; 33 cm in women);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Low muscle strength: handgrip dynamometry &lt; 28 kg in men or &lt; 18 kg in women (AWGS-2019); EWGSOP2 cut-offs are &lt; 27 kg men, &lt; 16 kg women;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Low physical performance: 6-metre gait speed &lt; 1.0 m/s, OR 5-time chair-stand ≥ 12 s, OR Short Physical Performance Battery (SPPB) ≤ 9;</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Low muscle mass (appendicular skeletal muscle mass index, ASMI): DXA &lt; 7.0 kg/m² (men) or &lt; 5.4 kg/m² (women); BIA &lt; 7.0 kg/m² (men) or &lt; 5.7 kg/m² (women);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Sarcopenia = low muscle mass PLUS (low strength OR low performance); Severe sarcopenia = low muscle mass PLUS low strength PLUS low performance;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'Probable sarcopenia' (EWGSOP2) may be assigned on low strength alone to allow early intervention when DXA/BIA is unavailable.</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Sarcopenia is classified by cause, severity, and time-course, and increasingly by body-composition phenotype:</w:t>
      </w:r>
    </w:p>
    <w:p>
      <w:pPr>
        <w:spacing w:before="0" w:after="80"/>
      </w:pPr>
      <w:r>
        <w:rPr>
          <w:rFonts w:ascii="Calibri" w:hAnsi="Calibri"/>
          <w:b w:val="0"/>
          <w:i w:val="0"/>
          <w:color w:val="212121"/>
          <w:sz w:val="21"/>
        </w:rPr>
        <w:t>(1) Primary (age-related) sarcopenia, in which no cause other than ageing is evident, driven by anabolic resistance, motor-unit loss and hormonal decline;</w:t>
      </w:r>
    </w:p>
    <w:p>
      <w:pPr>
        <w:spacing w:before="0" w:after="80"/>
      </w:pPr>
      <w:r>
        <w:rPr>
          <w:rFonts w:ascii="Calibri" w:hAnsi="Calibri"/>
          <w:b w:val="0"/>
          <w:i w:val="0"/>
          <w:color w:val="212121"/>
          <w:sz w:val="21"/>
        </w:rPr>
        <w:t>(2) Secondary sarcopenia, attributable to a specific cause and further subdivided into activity-related (inactivity, bed-rest, deconditioning), disease-related (organ failure such as heart failure, COPD, CKD, cirrhosis; malignancy; inflammatory or endocrine disease) and nutrition-related (inadequate protein/energy intake, malabsorption, anorexia of ageing);</w:t>
      </w:r>
    </w:p>
    <w:p>
      <w:pPr>
        <w:spacing w:before="0" w:after="80"/>
      </w:pPr>
      <w:r>
        <w:rPr>
          <w:rFonts w:ascii="Calibri" w:hAnsi="Calibri"/>
          <w:b w:val="0"/>
          <w:i w:val="0"/>
          <w:color w:val="212121"/>
          <w:sz w:val="21"/>
        </w:rPr>
        <w:t>(3) By severity: probable sarcopenia (low strength only), confirmed sarcopenia (low strength/performance plus low muscle mass), and severe sarcopenia (all three domains impaired);</w:t>
      </w:r>
    </w:p>
    <w:p>
      <w:pPr>
        <w:spacing w:before="0" w:after="80"/>
      </w:pPr>
      <w:r>
        <w:rPr>
          <w:rFonts w:ascii="Calibri" w:hAnsi="Calibri"/>
          <w:b w:val="0"/>
          <w:i w:val="0"/>
          <w:color w:val="212121"/>
          <w:sz w:val="21"/>
        </w:rPr>
        <w:t>(4) By time-course: acute sarcopenia (present &lt; 6 months, usually precipitated by acute illness, hospitalization or injury) versus chronic sarcopenia (≥ 6 months, requiring evaluation for chronic disease); and</w:t>
      </w:r>
    </w:p>
    <w:p>
      <w:pPr>
        <w:spacing w:before="0" w:after="80"/>
      </w:pPr>
      <w:r>
        <w:rPr>
          <w:rFonts w:ascii="Calibri" w:hAnsi="Calibri"/>
          <w:b w:val="0"/>
          <w:i w:val="0"/>
          <w:color w:val="212121"/>
          <w:sz w:val="21"/>
        </w:rPr>
        <w:t>(5) Sarcopenic obesity, a distinct high-risk phenotype combining low muscle mass with excess adiposity, particularly relevant to the Indian 'thin-fat' body composition and normal-weight muscle deficiency.</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Ageing and anabolic resistance: With age, skeletal muscle mounts a blunted muscle-protein-synthesis response to dietary protein/leucine and to exercise, tilting the balance toward net muscle loss.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Physical inactivity and disuse: Sedentary behaviour, immobilization and bed-rest cause rapid loss of muscle mass and strength, preferentially of type II (fast-twitch) fibres.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Inadequate protein and energy intake: Low total and low good-quality (leucine-rich) protein intake, common in cereal-based and vegetarian Indian diets, limits muscle protein synthesis.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Hormonal decline: Falling testosterone, growth hormone/IGF-1 and (in women) post-menopausal oestrogen reduce anabolic drive; rising myostatin promotes atrophy.</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Chronic low-grade inflammation ('inflammaging') and oxidative stress: Elevated IL-6, TNF-α and CRP, with mitochondrial dysfunction, accelerate muscle-protein breakdown.</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Neuromuscular degeneration: Age-related loss of alpha-motor neurons and neuromuscular-junction remodeling cause denervation and fibre loss.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Chronic disease and micronutrient deficiency: Type 2 diabetes, organ failure, malignancy and widespread vitamin D deficiency in India each independently drive muscle catabolism.</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Middle-aged adults (45-59)</w:t>
            </w:r>
          </w:p>
        </w:tc>
        <w:tc>
          <w:tcPr>
            <w:tcW w:type="dxa" w:w="4276"/>
            <w:vAlign w:val="top"/>
          </w:tcPr>
          <w:p>
            <w:pPr>
              <w:spacing w:after="60" w:line="259" w:lineRule="auto"/>
            </w:pPr>
            <w:r>
              <w:rPr>
                <w:rFonts w:ascii="Calibri" w:hAnsi="Calibri"/>
                <w:b w:val="0"/>
                <w:i w:val="0"/>
                <w:color w:val="212121"/>
                <w:sz w:val="19"/>
              </w:rPr>
              <w:t>Muscle mass peaks by the third decade and declines ~1% per year after 40, with strength falling faster; anabolic resistance and reduced activity begin the slide well before old age, so prevention must start in mid-life.</w:t>
            </w:r>
          </w:p>
          <w:p>
            <w:pPr>
              <w:spacing w:after="40" w:before="60" w:line="259" w:lineRule="auto"/>
            </w:pPr>
            <w:r>
              <w:rPr>
                <w:rFonts w:ascii="Calibri" w:hAnsi="Calibri"/>
                <w:b w:val="0"/>
                <w:i w:val="0"/>
                <w:color w:val="212121"/>
                <w:sz w:val="19"/>
              </w:rPr>
              <w:t>AWGS-2025 for the first time proposes diagnostic thresholds for middle-aged people, recognizing that muscle decline and 'probable sarcopenia' are already detectable before 60.</w:t>
            </w:r>
          </w:p>
          <w:p>
            <w:pPr>
              <w:spacing w:after="40" w:line="252" w:lineRule="auto"/>
            </w:pPr>
            <w:hyperlink r:id="rId9">
              <w:r>
                <w:rPr>
                  <w:rFonts w:ascii="Calibri" w:hAnsi="Calibri" w:cs="Calibri"/>
                  <w:sz w:val="18"/>
                  <w:color w:val="1155CC"/>
                  <w:u w:val="single"/>
                </w:rPr>
                <w:t xml:space="preserve">pubmed.ncbi.nlm.nih.gov/42130757 — AWGS 2025 update</w:t>
              </w:r>
            </w:hyperlink>
          </w:p>
          <w:p>
            <w:pPr>
              <w:spacing w:before="60" w:after="40"/>
            </w:pPr>
            <w:r>
              <w:rPr>
                <w:rFonts w:ascii="Calibri" w:hAnsi="Calibri"/>
                <w:b w:val="0"/>
                <w:i w:val="0"/>
                <w:color w:val="5A5A5A"/>
                <w:sz w:val="18"/>
              </w:rPr>
              <w:t>#musclemass  #anabolicresistance  #midlife  #prevention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 60)</w:t>
            </w:r>
          </w:p>
        </w:tc>
        <w:tc>
          <w:tcPr>
            <w:tcW w:type="dxa" w:w="4276"/>
            <w:vAlign w:val="top"/>
          </w:tcPr>
          <w:p>
            <w:pPr>
              <w:spacing w:after="60" w:line="259" w:lineRule="auto"/>
            </w:pPr>
            <w:r>
              <w:rPr>
                <w:rFonts w:ascii="Calibri" w:hAnsi="Calibri"/>
                <w:b w:val="0"/>
                <w:i w:val="0"/>
                <w:color w:val="212121"/>
                <w:sz w:val="19"/>
              </w:rPr>
              <w:t>The dominant risk group. Cumulative motor-neuron loss, hormonal decline, multimorbidity and the anorexia of ageing converge to accelerate muscle loss, driving falls, fractures and dependence.</w:t>
            </w:r>
          </w:p>
          <w:p>
            <w:pPr>
              <w:spacing w:after="40" w:before="60" w:line="259" w:lineRule="auto"/>
            </w:pPr>
            <w:r>
              <w:rPr>
                <w:rFonts w:ascii="Calibri" w:hAnsi="Calibri"/>
                <w:b w:val="0"/>
                <w:i w:val="0"/>
                <w:color w:val="212121"/>
                <w:sz w:val="19"/>
              </w:rPr>
              <w:t>In the nationally representative LASI-DAD cohort of Indians aged ≥ 60, 53.1% had sarcopenia and 38.6% had severe sarcopenia by AWGS-2019 criteria.</w:t>
            </w:r>
          </w:p>
          <w:p>
            <w:pPr>
              <w:spacing w:after="40" w:line="252" w:lineRule="auto"/>
            </w:pPr>
            <w:hyperlink r:id="rId10">
              <w:r>
                <w:rPr>
                  <w:rFonts w:ascii="Calibri" w:hAnsi="Calibri" w:cs="Calibri"/>
                  <w:sz w:val="18"/>
                  <w:color w:val="1155CC"/>
                  <w:u w:val="single"/>
                </w:rPr>
                <w:t xml:space="preserve">pubmed.ncbi.nlm.nih.gov/41667994 — LASI-DAD</w:t>
              </w:r>
            </w:hyperlink>
          </w:p>
          <w:p>
            <w:pPr>
              <w:spacing w:before="60" w:after="40"/>
            </w:pPr>
            <w:r>
              <w:rPr>
                <w:rFonts w:ascii="Calibri" w:hAnsi="Calibri"/>
                <w:b w:val="0"/>
                <w:i w:val="0"/>
                <w:color w:val="5A5A5A"/>
                <w:sz w:val="18"/>
              </w:rPr>
              <w:t>#ageing  #elderly  #falls  #frailty  #severe</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Post-menopausal women</w:t>
            </w:r>
          </w:p>
        </w:tc>
        <w:tc>
          <w:tcPr>
            <w:tcW w:type="dxa" w:w="4276"/>
            <w:vAlign w:val="top"/>
          </w:tcPr>
          <w:p>
            <w:pPr>
              <w:spacing w:after="60" w:line="259" w:lineRule="auto"/>
            </w:pPr>
            <w:r>
              <w:rPr>
                <w:rFonts w:ascii="Calibri" w:hAnsi="Calibri"/>
                <w:b w:val="0"/>
                <w:i w:val="0"/>
                <w:color w:val="212121"/>
                <w:sz w:val="19"/>
              </w:rPr>
              <w:t>The sharp fall in oestrogen at menopause removes an anabolic and anti-inflammatory influence on muscle, accelerating loss of mass and strength and compounding co-existing osteoporosis.</w:t>
            </w:r>
          </w:p>
          <w:p>
            <w:pPr>
              <w:spacing w:after="40" w:before="60" w:line="259" w:lineRule="auto"/>
            </w:pPr>
            <w:r>
              <w:rPr>
                <w:rFonts w:ascii="Calibri" w:hAnsi="Calibri"/>
                <w:b w:val="0"/>
                <w:i w:val="0"/>
                <w:color w:val="212121"/>
                <w:sz w:val="19"/>
              </w:rPr>
              <w:t>Sarcopenia affects up to 80% of menopausal women presenting with musculoskeletal complaints; the burden is amplified in India where ~71% of the population is rural with high rates of poor nutrition and inactivity.</w:t>
            </w:r>
          </w:p>
          <w:p>
            <w:pPr>
              <w:spacing w:after="40" w:line="252" w:lineRule="auto"/>
            </w:pPr>
            <w:hyperlink r:id="rId11">
              <w:r>
                <w:rPr>
                  <w:rFonts w:ascii="Calibri" w:hAnsi="Calibri" w:cs="Calibri"/>
                  <w:sz w:val="18"/>
                  <w:color w:val="1155CC"/>
                  <w:u w:val="single"/>
                </w:rPr>
                <w:t xml:space="preserve">pubmed.ncbi.nlm.nih.gov/41415137 — J Midlife Health</w:t>
              </w:r>
            </w:hyperlink>
          </w:p>
          <w:p>
            <w:pPr>
              <w:spacing w:before="60" w:after="40"/>
            </w:pPr>
            <w:r>
              <w:rPr>
                <w:rFonts w:ascii="Calibri" w:hAnsi="Calibri"/>
                <w:b w:val="0"/>
                <w:i w:val="0"/>
                <w:color w:val="5A5A5A"/>
                <w:sz w:val="18"/>
              </w:rPr>
              <w:t>#menopause  #oestrogen  #osteosarcopenia  #women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Older men</w:t>
            </w:r>
          </w:p>
        </w:tc>
        <w:tc>
          <w:tcPr>
            <w:tcW w:type="dxa" w:w="4276"/>
            <w:vAlign w:val="top"/>
          </w:tcPr>
          <w:p>
            <w:pPr>
              <w:spacing w:after="60" w:line="259" w:lineRule="auto"/>
            </w:pPr>
            <w:r>
              <w:rPr>
                <w:rFonts w:ascii="Calibri" w:hAnsi="Calibri"/>
                <w:b w:val="0"/>
                <w:i w:val="0"/>
                <w:color w:val="212121"/>
                <w:sz w:val="19"/>
              </w:rPr>
              <w:t>Men have greater absolute muscle mass but lose it steeply with the age-related fall in testosterone and IGF-1; low grip strength in men is a strong predictor of disability and mortality.</w:t>
            </w:r>
          </w:p>
          <w:p>
            <w:pPr>
              <w:spacing w:after="40" w:before="60" w:line="259" w:lineRule="auto"/>
            </w:pPr>
            <w:r>
              <w:rPr>
                <w:rFonts w:ascii="Calibri" w:hAnsi="Calibri"/>
                <w:b w:val="0"/>
                <w:i w:val="0"/>
                <w:color w:val="212121"/>
                <w:sz w:val="19"/>
              </w:rPr>
              <w:t>Circulating anabolic markers (free/total testosterone, IGF-1) are lower and catabolic markers (myostatin, GDF-15) higher in older adults with sarcopenia versus without.</w:t>
            </w:r>
          </w:p>
          <w:p>
            <w:pPr>
              <w:spacing w:after="40" w:line="252" w:lineRule="auto"/>
            </w:pPr>
            <w:hyperlink r:id="rId12">
              <w:r>
                <w:rPr>
                  <w:rFonts w:ascii="Calibri" w:hAnsi="Calibri" w:cs="Calibri"/>
                  <w:sz w:val="18"/>
                  <w:color w:val="1155CC"/>
                  <w:u w:val="single"/>
                </w:rPr>
                <w:t xml:space="preserve">pubmed.ncbi.nlm.nih.gov/42202210 — biomarkers meta-analysis</w:t>
              </w:r>
            </w:hyperlink>
          </w:p>
          <w:p>
            <w:pPr>
              <w:spacing w:before="60" w:after="40"/>
            </w:pPr>
            <w:r>
              <w:rPr>
                <w:rFonts w:ascii="Calibri" w:hAnsi="Calibri"/>
                <w:b w:val="0"/>
                <w:i w:val="0"/>
                <w:color w:val="5A5A5A"/>
                <w:sz w:val="18"/>
              </w:rPr>
              <w:t>#testosterone  #IGF1  #myostatin  #gripstrength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&amp; food-insecure elderly</w:t>
            </w:r>
          </w:p>
        </w:tc>
        <w:tc>
          <w:tcPr>
            <w:tcW w:type="dxa" w:w="4276"/>
            <w:vAlign w:val="top"/>
          </w:tcPr>
          <w:p>
            <w:pPr>
              <w:spacing w:after="60" w:line="259" w:lineRule="auto"/>
            </w:pPr>
            <w:r>
              <w:rPr>
                <w:rFonts w:ascii="Calibri" w:hAnsi="Calibri"/>
                <w:b w:val="0"/>
                <w:i w:val="0"/>
                <w:color w:val="212121"/>
                <w:sz w:val="19"/>
              </w:rPr>
              <w:t>Poverty, food insecurity and limited access to protein-rich foods and healthcare drive protein-energy undernutrition and untreated chronic disease, both of which accelerate muscle loss.</w:t>
            </w:r>
          </w:p>
          <w:p>
            <w:pPr>
              <w:spacing w:after="40" w:before="60" w:line="259" w:lineRule="auto"/>
            </w:pPr>
            <w:r>
              <w:rPr>
                <w:rFonts w:ascii="Calibri" w:hAnsi="Calibri"/>
                <w:b w:val="0"/>
                <w:i w:val="0"/>
                <w:color w:val="212121"/>
                <w:sz w:val="19"/>
              </w:rPr>
              <w:t>Rural residence, low income and poor nutrition are repeatedly identified as risk amplifiers for sarcopenia in Indian older adults.</w:t>
            </w:r>
          </w:p>
          <w:p>
            <w:pPr>
              <w:spacing w:after="40" w:line="252" w:lineRule="auto"/>
            </w:pPr>
            <w:hyperlink r:id="rId11">
              <w:r>
                <w:rPr>
                  <w:rFonts w:ascii="Calibri" w:hAnsi="Calibri" w:cs="Calibri"/>
                  <w:sz w:val="18"/>
                  <w:color w:val="1155CC"/>
                  <w:u w:val="single"/>
                </w:rPr>
                <w:t xml:space="preserve">pubmed.ncbi.nlm.nih.gov/41415137 — J Midlife Health</w:t>
              </w:r>
            </w:hyperlink>
          </w:p>
          <w:p>
            <w:pPr>
              <w:spacing w:before="60" w:after="40"/>
            </w:pPr>
            <w:r>
              <w:rPr>
                <w:rFonts w:ascii="Calibri" w:hAnsi="Calibri"/>
                <w:b w:val="0"/>
                <w:i w:val="0"/>
                <w:color w:val="5A5A5A"/>
                <w:sz w:val="18"/>
              </w:rPr>
              <w:t>#foodinsecurity  #undernutrition  #proteingap  #ruralhealth</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South Asian / Indian 'thin-fat' phenotype</w:t>
            </w:r>
          </w:p>
        </w:tc>
        <w:tc>
          <w:tcPr>
            <w:tcW w:type="dxa" w:w="4276"/>
            <w:vAlign w:val="top"/>
          </w:tcPr>
          <w:p>
            <w:pPr>
              <w:spacing w:after="60" w:line="259" w:lineRule="auto"/>
            </w:pPr>
            <w:r>
              <w:rPr>
                <w:rFonts w:ascii="Calibri" w:hAnsi="Calibri"/>
                <w:b w:val="0"/>
                <w:i w:val="0"/>
                <w:color w:val="212121"/>
                <w:sz w:val="19"/>
              </w:rPr>
              <w:t>South Asians characteristically carry lower skeletal muscle mass and higher body fat at any given BMI ('thin-fat'), predisposing to sarcopenia and sarcopenic obesity even when body weight looks normal.</w:t>
            </w:r>
          </w:p>
          <w:p>
            <w:pPr>
              <w:spacing w:after="40" w:before="60" w:line="259" w:lineRule="auto"/>
            </w:pPr>
            <w:r>
              <w:rPr>
                <w:rFonts w:ascii="Calibri" w:hAnsi="Calibri"/>
                <w:b w:val="0"/>
                <w:i w:val="0"/>
                <w:color w:val="212121"/>
                <w:sz w:val="19"/>
              </w:rPr>
              <w:t>The Indian obesity paradox — 'low in muscle, high in fat' — means normal-BMI Indians can have clinically low muscle mass and are under-detected by weight-based screening.</w:t>
            </w:r>
          </w:p>
          <w:p>
            <w:pPr>
              <w:spacing w:after="40" w:line="252" w:lineRule="auto"/>
            </w:pPr>
            <w:hyperlink r:id="rId13">
              <w:r>
                <w:rPr>
                  <w:rFonts w:ascii="Calibri" w:hAnsi="Calibri" w:cs="Calibri"/>
                  <w:sz w:val="18"/>
                  <w:color w:val="1155CC"/>
                  <w:u w:val="single"/>
                </w:rPr>
                <w:t xml:space="preserve">pubmed.ncbi.nlm.nih.gov/42238564 — Indian obesity paradox</w:t>
              </w:r>
            </w:hyperlink>
          </w:p>
          <w:p>
            <w:pPr>
              <w:spacing w:before="60" w:after="40"/>
            </w:pPr>
            <w:r>
              <w:rPr>
                <w:rFonts w:ascii="Calibri" w:hAnsi="Calibri"/>
                <w:b w:val="0"/>
                <w:i w:val="0"/>
                <w:color w:val="5A5A5A"/>
                <w:sz w:val="18"/>
              </w:rPr>
              <w:t>#thinfat  #southasian  #sarcopenicobesity  #bodycomposition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Rural Indian communities</w:t>
            </w:r>
          </w:p>
        </w:tc>
        <w:tc>
          <w:tcPr>
            <w:tcW w:type="dxa" w:w="4276"/>
            <w:vAlign w:val="top"/>
          </w:tcPr>
          <w:p>
            <w:pPr>
              <w:spacing w:after="60" w:line="259" w:lineRule="auto"/>
            </w:pPr>
            <w:r>
              <w:rPr>
                <w:rFonts w:ascii="Calibri" w:hAnsi="Calibri"/>
                <w:b w:val="0"/>
                <w:i w:val="0"/>
                <w:color w:val="212121"/>
                <w:sz w:val="19"/>
              </w:rPr>
              <w:t>Rural elderly face higher rates of dietary protein inadequacy, manual-labour cessation with age, untreated comorbidity and vitamin D deficiency despite sun exposure, raising sarcopenia risk.</w:t>
            </w:r>
          </w:p>
          <w:p>
            <w:pPr>
              <w:spacing w:after="40" w:before="60" w:line="259" w:lineRule="auto"/>
            </w:pPr>
            <w:r>
              <w:rPr>
                <w:rFonts w:ascii="Calibri" w:hAnsi="Calibri"/>
                <w:b w:val="0"/>
                <w:i w:val="0"/>
                <w:color w:val="212121"/>
                <w:sz w:val="19"/>
              </w:rPr>
              <w:t>Around 71% of India's population lives in rural areas with a high prevalence of sarcopenia risk factors such as poor nutrition and physical inactivity.</w:t>
            </w:r>
          </w:p>
          <w:p>
            <w:pPr>
              <w:spacing w:after="40" w:line="252" w:lineRule="auto"/>
            </w:pPr>
            <w:hyperlink r:id="rId11">
              <w:r>
                <w:rPr>
                  <w:rFonts w:ascii="Calibri" w:hAnsi="Calibri" w:cs="Calibri"/>
                  <w:sz w:val="18"/>
                  <w:color w:val="1155CC"/>
                  <w:u w:val="single"/>
                </w:rPr>
                <w:t xml:space="preserve">pubmed.ncbi.nlm.nih.gov/41415137 — J Midlife Health</w:t>
              </w:r>
            </w:hyperlink>
          </w:p>
          <w:p>
            <w:pPr>
              <w:spacing w:before="60" w:after="40"/>
            </w:pPr>
            <w:r>
              <w:rPr>
                <w:rFonts w:ascii="Calibri" w:hAnsi="Calibri"/>
                <w:b w:val="0"/>
                <w:i w:val="0"/>
                <w:color w:val="5A5A5A"/>
                <w:sz w:val="18"/>
              </w:rPr>
              <w:t>#rural  #vitaminD  #proteingap  #india</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w:t>
            </w:r>
          </w:p>
        </w:tc>
        <w:tc>
          <w:tcPr>
            <w:tcW w:type="dxa" w:w="2160"/>
            <w:vAlign w:val="top"/>
          </w:tcPr>
          <w:p>
            <w:pPr>
              <w:spacing w:after="40" w:before="0" w:line="259" w:lineRule="auto"/>
            </w:pPr>
            <w:r>
              <w:rPr>
                <w:rFonts w:ascii="Calibri" w:hAnsi="Calibri"/>
                <w:b w:val="0"/>
                <w:i w:val="0"/>
                <w:color w:val="212121"/>
                <w:sz w:val="19"/>
              </w:rPr>
              <w:t>Physically inactive / immobilized / bed-bound</w:t>
            </w:r>
          </w:p>
        </w:tc>
        <w:tc>
          <w:tcPr>
            <w:tcW w:type="dxa" w:w="4276"/>
            <w:vAlign w:val="top"/>
          </w:tcPr>
          <w:p>
            <w:pPr>
              <w:spacing w:after="60" w:line="259" w:lineRule="auto"/>
            </w:pPr>
            <w:r>
              <w:rPr>
                <w:rFonts w:ascii="Calibri" w:hAnsi="Calibri"/>
                <w:b w:val="0"/>
                <w:i w:val="0"/>
                <w:color w:val="212121"/>
                <w:sz w:val="19"/>
              </w:rPr>
              <w:t>Disuse is one of the most powerful and reversible drivers of muscle loss; even a few days of bed-rest or hospitalization causes measurable loss of leg muscle mass and strength in older adults.</w:t>
            </w:r>
          </w:p>
          <w:p>
            <w:pPr>
              <w:spacing w:after="40" w:before="60" w:line="259" w:lineRule="auto"/>
            </w:pPr>
            <w:r>
              <w:rPr>
                <w:rFonts w:ascii="Calibri" w:hAnsi="Calibri"/>
                <w:b w:val="0"/>
                <w:i w:val="0"/>
                <w:color w:val="212121"/>
                <w:sz w:val="19"/>
              </w:rPr>
              <w:t>Acute illness, hospitalization and immobilization precipitate rapid 'acute sarcopenia'; resistance exercise is the single most effective intervention to reverse it.</w:t>
            </w:r>
          </w:p>
          <w:p>
            <w:pPr>
              <w:spacing w:after="40" w:line="252" w:lineRule="auto"/>
            </w:pPr>
            <w:hyperlink r:id="rId14">
              <w:r>
                <w:rPr>
                  <w:rFonts w:ascii="Calibri" w:hAnsi="Calibri" w:cs="Calibri"/>
                  <w:sz w:val="18"/>
                  <w:color w:val="1155CC"/>
                  <w:u w:val="single"/>
                </w:rPr>
                <w:t xml:space="preserve">pubmed.ncbi.nlm.nih.gov/42208412 — exercise/nutrition umbrella review</w:t>
              </w:r>
            </w:hyperlink>
          </w:p>
          <w:p>
            <w:pPr>
              <w:spacing w:before="60" w:after="40"/>
            </w:pPr>
            <w:r>
              <w:rPr>
                <w:rFonts w:ascii="Calibri" w:hAnsi="Calibri"/>
                <w:b w:val="0"/>
                <w:i w:val="0"/>
                <w:color w:val="5A5A5A"/>
                <w:sz w:val="18"/>
              </w:rPr>
              <w:t>#sedentary  #disuse  #bedrest  #deconditioning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smokers</w:t>
            </w:r>
          </w:p>
        </w:tc>
        <w:tc>
          <w:tcPr>
            <w:tcW w:type="dxa" w:w="4276"/>
            <w:vAlign w:val="top"/>
          </w:tcPr>
          <w:p>
            <w:pPr>
              <w:spacing w:after="60" w:line="259" w:lineRule="auto"/>
            </w:pPr>
            <w:r>
              <w:rPr>
                <w:rFonts w:ascii="Calibri" w:hAnsi="Calibri"/>
                <w:b w:val="0"/>
                <w:i w:val="0"/>
                <w:color w:val="212121"/>
                <w:sz w:val="19"/>
              </w:rPr>
              <w:t>Nicotine and tobacco-related oxidative stress and systemic inflammation impair muscle protein synthesis and mitochondrial function, and smoking-related COPD adds a strong disease-related driver.</w:t>
            </w:r>
          </w:p>
          <w:p>
            <w:pPr>
              <w:spacing w:after="40" w:before="60" w:line="259" w:lineRule="auto"/>
            </w:pPr>
            <w:r>
              <w:rPr>
                <w:rFonts w:ascii="Calibri" w:hAnsi="Calibri"/>
                <w:b w:val="0"/>
                <w:i w:val="0"/>
                <w:color w:val="212121"/>
                <w:sz w:val="19"/>
              </w:rPr>
              <w:t>Smoking is a recognized modifiable risk factor for low muscle mass and strength and clusters with COPD, in which sarcopenia is highly prevalent.</w:t>
            </w:r>
          </w:p>
          <w:p>
            <w:pPr>
              <w:spacing w:after="40" w:line="252" w:lineRule="auto"/>
            </w:pPr>
            <w:hyperlink r:id="rId15">
              <w:r>
                <w:rPr>
                  <w:rFonts w:ascii="Calibri" w:hAnsi="Calibri" w:cs="Calibri"/>
                  <w:sz w:val="18"/>
                  <w:color w:val="1155CC"/>
                  <w:u w:val="single"/>
                </w:rPr>
                <w:t xml:space="preserve">pubmed.ncbi.nlm.nih.gov/42363095 — COPD sarcopenia meta-analysis</w:t>
              </w:r>
            </w:hyperlink>
          </w:p>
          <w:p>
            <w:pPr>
              <w:spacing w:before="60" w:after="40"/>
            </w:pPr>
            <w:r>
              <w:rPr>
                <w:rFonts w:ascii="Calibri" w:hAnsi="Calibri"/>
                <w:b w:val="0"/>
                <w:i w:val="0"/>
                <w:color w:val="5A5A5A"/>
                <w:sz w:val="18"/>
              </w:rPr>
              <w:t>#smoking  #oxidativestress  #COPD  #inflammation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Chronic heavy drinkers</w:t>
            </w:r>
          </w:p>
        </w:tc>
        <w:tc>
          <w:tcPr>
            <w:tcW w:type="dxa" w:w="4276"/>
            <w:vAlign w:val="top"/>
          </w:tcPr>
          <w:p>
            <w:pPr>
              <w:spacing w:after="60" w:line="259" w:lineRule="auto"/>
            </w:pPr>
            <w:r>
              <w:rPr>
                <w:rFonts w:ascii="Calibri" w:hAnsi="Calibri"/>
                <w:b w:val="0"/>
                <w:i w:val="0"/>
                <w:color w:val="212121"/>
                <w:sz w:val="19"/>
              </w:rPr>
              <w:t>Chronic excess alcohol causes a toxic alcoholic myopathy, suppresses muscle protein synthesis, and drives poor nutrition and liver disease — all converging on muscle wasting.</w:t>
            </w:r>
          </w:p>
          <w:p>
            <w:pPr>
              <w:spacing w:after="40" w:before="60" w:line="259" w:lineRule="auto"/>
            </w:pPr>
            <w:r>
              <w:rPr>
                <w:rFonts w:ascii="Calibri" w:hAnsi="Calibri"/>
                <w:b w:val="0"/>
                <w:i w:val="0"/>
                <w:color w:val="212121"/>
                <w:sz w:val="19"/>
              </w:rPr>
              <w:t>Sarcopenia is highly prevalent in alcohol-related and other decompensated cirrhosis and strongly predicts adverse outcomes.</w:t>
            </w:r>
          </w:p>
          <w:p>
            <w:pPr>
              <w:spacing w:after="40" w:line="252" w:lineRule="auto"/>
            </w:pPr>
            <w:hyperlink r:id="rId16">
              <w:r>
                <w:rPr>
                  <w:rFonts w:ascii="Calibri" w:hAnsi="Calibri" w:cs="Calibri"/>
                  <w:sz w:val="18"/>
                  <w:color w:val="1155CC"/>
                  <w:u w:val="single"/>
                </w:rPr>
                <w:t xml:space="preserve">pubmed.ncbi.nlm.nih.gov/42520924 — cirrhosis sarcopenia</w:t>
              </w:r>
            </w:hyperlink>
          </w:p>
          <w:p>
            <w:pPr>
              <w:spacing w:before="60" w:after="40"/>
            </w:pPr>
            <w:r>
              <w:rPr>
                <w:rFonts w:ascii="Calibri" w:hAnsi="Calibri"/>
                <w:b w:val="0"/>
                <w:i w:val="0"/>
                <w:color w:val="5A5A5A"/>
                <w:sz w:val="18"/>
              </w:rPr>
              <w:t>#alcohol  #myopathy  #cirrhosis  #malnutrition</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Low-protein / predominantly vegetarian diets</w:t>
            </w:r>
          </w:p>
        </w:tc>
        <w:tc>
          <w:tcPr>
            <w:tcW w:type="dxa" w:w="4276"/>
            <w:vAlign w:val="top"/>
          </w:tcPr>
          <w:p>
            <w:pPr>
              <w:spacing w:after="60" w:line="259" w:lineRule="auto"/>
            </w:pPr>
            <w:r>
              <w:rPr>
                <w:rFonts w:ascii="Calibri" w:hAnsi="Calibri"/>
                <w:b w:val="0"/>
                <w:i w:val="0"/>
                <w:color w:val="212121"/>
                <w:sz w:val="19"/>
              </w:rPr>
              <w:t>Cereal-dominant Indian diets are often low in total and leucine-rich protein; without careful combining, plant-predominant intake supplies insufficient essential amino acids to overcome anabolic resistance.</w:t>
            </w:r>
          </w:p>
          <w:p>
            <w:pPr>
              <w:spacing w:after="40" w:before="60" w:line="259" w:lineRule="auto"/>
            </w:pPr>
            <w:r>
              <w:rPr>
                <w:rFonts w:ascii="Calibri" w:hAnsi="Calibri"/>
                <w:b w:val="0"/>
                <w:i w:val="0"/>
                <w:color w:val="212121"/>
                <w:sz w:val="19"/>
              </w:rPr>
              <w:t>Protein intake below ~1.0-1.2 g/kg/day is insufficient for older adults; German and other guidelines raised the elderly (≥65) target from 0.8 to at least 1.0 g/kg/day.</w:t>
            </w:r>
          </w:p>
          <w:p>
            <w:pPr>
              <w:spacing w:after="40" w:line="252" w:lineRule="auto"/>
            </w:pPr>
            <w:hyperlink r:id="rId17">
              <w:r>
                <w:rPr>
                  <w:rFonts w:ascii="Calibri" w:hAnsi="Calibri" w:cs="Calibri"/>
                  <w:sz w:val="18"/>
                  <w:color w:val="1155CC"/>
                  <w:u w:val="single"/>
                </w:rPr>
                <w:t xml:space="preserve">pubmed.ncbi.nlm.nih.gov/42209888 — protein in old age</w:t>
              </w:r>
            </w:hyperlink>
          </w:p>
          <w:p>
            <w:pPr>
              <w:spacing w:before="60" w:after="40"/>
            </w:pPr>
            <w:r>
              <w:rPr>
                <w:rFonts w:ascii="Calibri" w:hAnsi="Calibri"/>
                <w:b w:val="0"/>
                <w:i w:val="0"/>
                <w:color w:val="5A5A5A"/>
                <w:sz w:val="18"/>
              </w:rPr>
              <w:t>#proteingap  #leucine  #vegetarian  #nutrition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Obese</w:t>
            </w:r>
          </w:p>
        </w:tc>
        <w:tc>
          <w:tcPr>
            <w:tcW w:type="dxa" w:w="2160"/>
            <w:vAlign w:val="top"/>
          </w:tcPr>
          <w:p>
            <w:pPr>
              <w:spacing w:after="40" w:before="0" w:line="259" w:lineRule="auto"/>
            </w:pPr>
            <w:r>
              <w:rPr>
                <w:rFonts w:ascii="Calibri" w:hAnsi="Calibri"/>
                <w:b w:val="0"/>
                <w:i w:val="0"/>
                <w:color w:val="212121"/>
                <w:sz w:val="19"/>
              </w:rPr>
              <w:t>Sarcopenic obesity</w:t>
            </w:r>
          </w:p>
        </w:tc>
        <w:tc>
          <w:tcPr>
            <w:tcW w:type="dxa" w:w="4276"/>
            <w:vAlign w:val="top"/>
          </w:tcPr>
          <w:p>
            <w:pPr>
              <w:spacing w:after="60" w:line="259" w:lineRule="auto"/>
            </w:pPr>
            <w:r>
              <w:rPr>
                <w:rFonts w:ascii="Calibri" w:hAnsi="Calibri"/>
                <w:b w:val="0"/>
                <w:i w:val="0"/>
                <w:color w:val="212121"/>
                <w:sz w:val="19"/>
              </w:rPr>
              <w:t>Excess fat with low muscle mass creates a vicious cycle: intramuscular fat (myosteatosis) and adipokine-driven inflammation worsen insulin resistance and muscle catabolism, while low muscle worsens metabolism.</w:t>
            </w:r>
          </w:p>
          <w:p>
            <w:pPr>
              <w:spacing w:after="40" w:before="60" w:line="259" w:lineRule="auto"/>
            </w:pPr>
            <w:r>
              <w:rPr>
                <w:rFonts w:ascii="Calibri" w:hAnsi="Calibri"/>
                <w:b w:val="0"/>
                <w:i w:val="0"/>
                <w:color w:val="212121"/>
                <w:sz w:val="19"/>
              </w:rPr>
              <w:t>Sarcopenic obesity is associated with higher cardiovascular disease and all-cause mortality than either condition alone.</w:t>
            </w:r>
          </w:p>
          <w:p>
            <w:pPr>
              <w:spacing w:after="40" w:line="252" w:lineRule="auto"/>
            </w:pPr>
            <w:hyperlink r:id="rId18">
              <w:r>
                <w:rPr>
                  <w:rFonts w:ascii="Calibri" w:hAnsi="Calibri" w:cs="Calibri"/>
                  <w:sz w:val="18"/>
                  <w:color w:val="1155CC"/>
                  <w:u w:val="single"/>
                </w:rPr>
                <w:t xml:space="preserve">pubmed.ncbi.nlm.nih.gov/41963841 — sarcopenic obesity &amp; CVD</w:t>
              </w:r>
            </w:hyperlink>
          </w:p>
          <w:p>
            <w:pPr>
              <w:spacing w:before="60" w:after="40"/>
            </w:pPr>
            <w:r>
              <w:rPr>
                <w:rFonts w:ascii="Calibri" w:hAnsi="Calibri"/>
                <w:b w:val="0"/>
                <w:i w:val="0"/>
                <w:color w:val="5A5A5A"/>
                <w:sz w:val="18"/>
              </w:rPr>
              <w:t>#sarcopenicobesity  #myosteatosis  #insulinresistance  #CVD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Malnutrition</w:t>
            </w:r>
          </w:p>
        </w:tc>
        <w:tc>
          <w:tcPr>
            <w:tcW w:type="dxa" w:w="2160"/>
            <w:vAlign w:val="top"/>
          </w:tcPr>
          <w:p>
            <w:pPr>
              <w:spacing w:after="40" w:before="0" w:line="259" w:lineRule="auto"/>
            </w:pPr>
            <w:r>
              <w:rPr>
                <w:rFonts w:ascii="Calibri" w:hAnsi="Calibri"/>
                <w:b w:val="0"/>
                <w:i w:val="0"/>
                <w:color w:val="212121"/>
                <w:sz w:val="19"/>
              </w:rPr>
              <w:t>Underweight / protein-energy undernourished</w:t>
            </w:r>
          </w:p>
        </w:tc>
        <w:tc>
          <w:tcPr>
            <w:tcW w:type="dxa" w:w="4276"/>
            <w:vAlign w:val="top"/>
          </w:tcPr>
          <w:p>
            <w:pPr>
              <w:spacing w:after="60" w:line="259" w:lineRule="auto"/>
            </w:pPr>
            <w:r>
              <w:rPr>
                <w:rFonts w:ascii="Calibri" w:hAnsi="Calibri"/>
                <w:b w:val="0"/>
                <w:i w:val="0"/>
                <w:color w:val="212121"/>
                <w:sz w:val="19"/>
              </w:rPr>
              <w:t>Low BMI, unintentional weight loss and the anorexia of ageing signal inadequate protein-energy intake, a leading nutrition-related cause of secondary sarcopenia.</w:t>
            </w:r>
          </w:p>
          <w:p>
            <w:pPr>
              <w:spacing w:after="40" w:before="60" w:line="259" w:lineRule="auto"/>
            </w:pPr>
            <w:r>
              <w:rPr>
                <w:rFonts w:ascii="Calibri" w:hAnsi="Calibri"/>
                <w:b w:val="0"/>
                <w:i w:val="0"/>
                <w:color w:val="212121"/>
                <w:sz w:val="19"/>
              </w:rPr>
              <w:t>Nutritional interventions (protein/leucine, vitamin D) combined with resistance exercise improve muscle mass, strength and reduce falls in sarcopenic older adults.</w:t>
            </w:r>
          </w:p>
          <w:p>
            <w:pPr>
              <w:spacing w:after="40" w:line="252" w:lineRule="auto"/>
            </w:pPr>
            <w:hyperlink r:id="rId14">
              <w:r>
                <w:rPr>
                  <w:rFonts w:ascii="Calibri" w:hAnsi="Calibri" w:cs="Calibri"/>
                  <w:sz w:val="18"/>
                  <w:color w:val="1155CC"/>
                  <w:u w:val="single"/>
                </w:rPr>
                <w:t xml:space="preserve">pubmed.ncbi.nlm.nih.gov/42208412 — exercise/nutrition umbrella review</w:t>
              </w:r>
            </w:hyperlink>
          </w:p>
          <w:p>
            <w:pPr>
              <w:spacing w:before="60" w:after="40"/>
            </w:pPr>
            <w:r>
              <w:rPr>
                <w:rFonts w:ascii="Calibri" w:hAnsi="Calibri"/>
                <w:b w:val="0"/>
                <w:i w:val="0"/>
                <w:color w:val="5A5A5A"/>
                <w:sz w:val="18"/>
              </w:rPr>
              <w:t>#malnutrition  #lowBMI  #weightloss  #anorexiaofageing</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 heritability</w:t>
            </w:r>
          </w:p>
        </w:tc>
        <w:tc>
          <w:tcPr>
            <w:tcW w:type="dxa" w:w="2160"/>
            <w:vAlign w:val="top"/>
          </w:tcPr>
          <w:p>
            <w:pPr>
              <w:spacing w:after="40" w:before="0" w:line="259" w:lineRule="auto"/>
            </w:pPr>
            <w:r>
              <w:rPr>
                <w:rFonts w:ascii="Calibri" w:hAnsi="Calibri"/>
                <w:b w:val="0"/>
                <w:i w:val="0"/>
                <w:color w:val="212121"/>
                <w:sz w:val="19"/>
              </w:rPr>
              <w:t>Genetic predisposition to low muscle mass</w:t>
            </w:r>
          </w:p>
        </w:tc>
        <w:tc>
          <w:tcPr>
            <w:tcW w:type="dxa" w:w="4276"/>
            <w:vAlign w:val="top"/>
          </w:tcPr>
          <w:p>
            <w:pPr>
              <w:spacing w:after="60" w:line="259" w:lineRule="auto"/>
            </w:pPr>
            <w:r>
              <w:rPr>
                <w:rFonts w:ascii="Calibri" w:hAnsi="Calibri"/>
                <w:b w:val="0"/>
                <w:i w:val="0"/>
                <w:color w:val="212121"/>
                <w:sz w:val="19"/>
              </w:rPr>
              <w:t>Muscle mass and strength are substantially heritable; polymorphisms in genes governing muscle growth (e.g. myostatin/GDF-8, ACTN3, ACE, IGF-1 pathways) influence peak muscle mass and rate of decline.</w:t>
            </w:r>
          </w:p>
          <w:p>
            <w:pPr>
              <w:spacing w:after="40" w:before="60" w:line="259" w:lineRule="auto"/>
            </w:pPr>
            <w:r>
              <w:rPr>
                <w:rFonts w:ascii="Calibri" w:hAnsi="Calibri"/>
                <w:b w:val="0"/>
                <w:i w:val="0"/>
                <w:color w:val="212121"/>
                <w:sz w:val="19"/>
              </w:rPr>
              <w:t>Higher circulating myostatin and GDF-15 and lower IGF-1 are consistently associated with sarcopenia, reflecting genetically and biologically regulated anabolic-catabolic balance.</w:t>
            </w:r>
          </w:p>
          <w:p>
            <w:pPr>
              <w:spacing w:after="40" w:line="252" w:lineRule="auto"/>
            </w:pPr>
            <w:hyperlink r:id="rId12">
              <w:r>
                <w:rPr>
                  <w:rFonts w:ascii="Calibri" w:hAnsi="Calibri" w:cs="Calibri"/>
                  <w:sz w:val="18"/>
                  <w:color w:val="1155CC"/>
                  <w:u w:val="single"/>
                </w:rPr>
                <w:t xml:space="preserve">pubmed.ncbi.nlm.nih.gov/42202210 — biomarkers meta-analysis</w:t>
              </w:r>
            </w:hyperlink>
          </w:p>
          <w:p>
            <w:pPr>
              <w:spacing w:before="60" w:after="40"/>
            </w:pPr>
            <w:r>
              <w:rPr>
                <w:rFonts w:ascii="Calibri" w:hAnsi="Calibri"/>
                <w:b w:val="0"/>
                <w:i w:val="0"/>
                <w:color w:val="5A5A5A"/>
                <w:sz w:val="18"/>
              </w:rPr>
              <w:t>#heritability  #myostatin  #ACTN3  #peakmusclemass</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Type 2 diabetes mellitus</w:t>
            </w:r>
          </w:p>
        </w:tc>
        <w:tc>
          <w:tcPr>
            <w:tcW w:type="dxa" w:w="2160"/>
            <w:vAlign w:val="top"/>
          </w:tcPr>
          <w:p>
            <w:pPr>
              <w:spacing w:after="40" w:before="0" w:line="259" w:lineRule="auto"/>
            </w:pPr>
            <w:r>
              <w:rPr>
                <w:rFonts w:ascii="Calibri" w:hAnsi="Calibri"/>
                <w:b w:val="0"/>
                <w:i w:val="0"/>
                <w:color w:val="212121"/>
                <w:sz w:val="19"/>
              </w:rPr>
              <w:t>Older adults with T2DM</w:t>
            </w:r>
          </w:p>
        </w:tc>
        <w:tc>
          <w:tcPr>
            <w:tcW w:type="dxa" w:w="4276"/>
            <w:vAlign w:val="top"/>
          </w:tcPr>
          <w:p>
            <w:pPr>
              <w:spacing w:after="60" w:line="259" w:lineRule="auto"/>
            </w:pPr>
            <w:r>
              <w:rPr>
                <w:rFonts w:ascii="Calibri" w:hAnsi="Calibri"/>
                <w:b w:val="0"/>
                <w:i w:val="0"/>
                <w:color w:val="212121"/>
                <w:sz w:val="19"/>
              </w:rPr>
              <w:t>Insulin resistance, chronic hyperglycaemia, advanced glycation end-products and myosteatosis accelerate muscle loss; diabetes and sarcopenia reinforce each other bidirectionally.</w:t>
            </w:r>
          </w:p>
          <w:p>
            <w:pPr>
              <w:spacing w:after="40" w:before="60" w:line="259" w:lineRule="auto"/>
            </w:pPr>
            <w:r>
              <w:rPr>
                <w:rFonts w:ascii="Calibri" w:hAnsi="Calibri"/>
                <w:b w:val="0"/>
                <w:i w:val="0"/>
                <w:color w:val="212121"/>
                <w:sz w:val="19"/>
              </w:rPr>
              <w:t>Among ambulatory Indian patients ≥ 65 with T2DM, 30% had sarcopenia (17% severe) and 27% were frail (AWGS-2019 / Fried).</w:t>
            </w:r>
          </w:p>
          <w:p>
            <w:pPr>
              <w:spacing w:after="40" w:line="252" w:lineRule="auto"/>
            </w:pPr>
            <w:hyperlink r:id="rId19">
              <w:r>
                <w:rPr>
                  <w:rFonts w:ascii="Calibri" w:hAnsi="Calibri" w:cs="Calibri"/>
                  <w:sz w:val="18"/>
                  <w:color w:val="1155CC"/>
                  <w:u w:val="single"/>
                </w:rPr>
                <w:t xml:space="preserve">pubmed.ncbi.nlm.nih.gov/41191808 — T2DM sarcopenia India</w:t>
              </w:r>
            </w:hyperlink>
          </w:p>
          <w:p>
            <w:pPr>
              <w:spacing w:before="60" w:after="40"/>
            </w:pPr>
            <w:r>
              <w:rPr>
                <w:rFonts w:ascii="Calibri" w:hAnsi="Calibri"/>
                <w:b w:val="0"/>
                <w:i w:val="0"/>
                <w:color w:val="5A5A5A"/>
                <w:sz w:val="18"/>
              </w:rPr>
              <w:t>#diabetes  #insulinresistance  #myosteatosis  #frailty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COPD</w:t>
            </w:r>
          </w:p>
        </w:tc>
        <w:tc>
          <w:tcPr>
            <w:tcW w:type="dxa" w:w="2160"/>
            <w:vAlign w:val="top"/>
          </w:tcPr>
          <w:p>
            <w:pPr>
              <w:spacing w:after="40" w:before="0" w:line="259" w:lineRule="auto"/>
            </w:pPr>
            <w:r>
              <w:rPr>
                <w:rFonts w:ascii="Calibri" w:hAnsi="Calibri"/>
                <w:b w:val="0"/>
                <w:i w:val="0"/>
                <w:color w:val="212121"/>
                <w:sz w:val="19"/>
              </w:rPr>
              <w:t>Patients with chronic obstructive pulmonary disease</w:t>
            </w:r>
          </w:p>
        </w:tc>
        <w:tc>
          <w:tcPr>
            <w:tcW w:type="dxa" w:w="4276"/>
            <w:vAlign w:val="top"/>
          </w:tcPr>
          <w:p>
            <w:pPr>
              <w:spacing w:after="60" w:line="259" w:lineRule="auto"/>
            </w:pPr>
            <w:r>
              <w:rPr>
                <w:rFonts w:ascii="Calibri" w:hAnsi="Calibri"/>
                <w:b w:val="0"/>
                <w:i w:val="0"/>
                <w:color w:val="212121"/>
                <w:sz w:val="19"/>
              </w:rPr>
              <w:t>Systemic inflammation, hypoxia, corticosteroid use, inactivity and increased work of breathing make skeletal muscle wasting a defining extrapulmonary feature of COPD.</w:t>
            </w:r>
          </w:p>
          <w:p>
            <w:pPr>
              <w:spacing w:after="40" w:before="60" w:line="259" w:lineRule="auto"/>
            </w:pPr>
            <w:r>
              <w:rPr>
                <w:rFonts w:ascii="Calibri" w:hAnsi="Calibri"/>
                <w:b w:val="0"/>
                <w:i w:val="0"/>
                <w:color w:val="212121"/>
                <w:sz w:val="19"/>
              </w:rPr>
              <w:t>Sarcopenia is highly prevalent in Asian COPD patients by AWGS criteria and worsens exercise capacity and prognosis.</w:t>
            </w:r>
          </w:p>
          <w:p>
            <w:pPr>
              <w:spacing w:after="40" w:line="252" w:lineRule="auto"/>
            </w:pPr>
            <w:hyperlink r:id="rId15">
              <w:r>
                <w:rPr>
                  <w:rFonts w:ascii="Calibri" w:hAnsi="Calibri" w:cs="Calibri"/>
                  <w:sz w:val="18"/>
                  <w:color w:val="1155CC"/>
                  <w:u w:val="single"/>
                </w:rPr>
                <w:t xml:space="preserve">pubmed.ncbi.nlm.nih.gov/42363095 — COPD sarcopenia meta-analysis</w:t>
              </w:r>
            </w:hyperlink>
          </w:p>
          <w:p>
            <w:pPr>
              <w:spacing w:before="60" w:after="40"/>
            </w:pPr>
            <w:r>
              <w:rPr>
                <w:rFonts w:ascii="Calibri" w:hAnsi="Calibri"/>
                <w:b w:val="0"/>
                <w:i w:val="0"/>
                <w:color w:val="5A5A5A"/>
                <w:sz w:val="18"/>
              </w:rPr>
              <w:t>#COPD  #hypoxia  #steroids  #cachexia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kidney disease</w:t>
            </w:r>
          </w:p>
        </w:tc>
        <w:tc>
          <w:tcPr>
            <w:tcW w:type="dxa" w:w="2160"/>
            <w:vAlign w:val="top"/>
          </w:tcPr>
          <w:p>
            <w:pPr>
              <w:spacing w:after="40" w:before="0" w:line="259" w:lineRule="auto"/>
            </w:pPr>
            <w:r>
              <w:rPr>
                <w:rFonts w:ascii="Calibri" w:hAnsi="Calibri"/>
                <w:b w:val="0"/>
                <w:i w:val="0"/>
                <w:color w:val="212121"/>
                <w:sz w:val="19"/>
              </w:rPr>
              <w:t>CKD / dialysis patients</w:t>
            </w:r>
          </w:p>
        </w:tc>
        <w:tc>
          <w:tcPr>
            <w:tcW w:type="dxa" w:w="4276"/>
            <w:vAlign w:val="top"/>
          </w:tcPr>
          <w:p>
            <w:pPr>
              <w:spacing w:after="60" w:line="259" w:lineRule="auto"/>
            </w:pPr>
            <w:r>
              <w:rPr>
                <w:rFonts w:ascii="Calibri" w:hAnsi="Calibri"/>
                <w:b w:val="0"/>
                <w:i w:val="0"/>
                <w:color w:val="212121"/>
                <w:sz w:val="19"/>
              </w:rPr>
              <w:t>Uraemia, metabolic acidosis, protein-energy wasting, inflammation and dialysis-related catabolism make sarcopenia a common and prognostically important complication of CKD.</w:t>
            </w:r>
          </w:p>
          <w:p>
            <w:pPr>
              <w:spacing w:after="40" w:before="60" w:line="259" w:lineRule="auto"/>
            </w:pPr>
            <w:r>
              <w:rPr>
                <w:rFonts w:ascii="Calibri" w:hAnsi="Calibri"/>
                <w:b w:val="0"/>
                <w:i w:val="0"/>
                <w:color w:val="212121"/>
                <w:sz w:val="19"/>
              </w:rPr>
              <w:t>Sarcopenia is highly prevalent in CKD, with inflammation, malnutrition, older age and dialysis identified as key associated risk factors.</w:t>
            </w:r>
          </w:p>
          <w:p>
            <w:pPr>
              <w:spacing w:after="40" w:line="252" w:lineRule="auto"/>
            </w:pPr>
            <w:hyperlink r:id="rId20">
              <w:r>
                <w:rPr>
                  <w:rFonts w:ascii="Calibri" w:hAnsi="Calibri" w:cs="Calibri"/>
                  <w:sz w:val="18"/>
                  <w:color w:val="1155CC"/>
                  <w:u w:val="single"/>
                </w:rPr>
                <w:t xml:space="preserve">pubmed.ncbi.nlm.nih.gov/41457350 — CKD sarcopenia meta-analysis</w:t>
              </w:r>
            </w:hyperlink>
          </w:p>
          <w:p>
            <w:pPr>
              <w:spacing w:before="60" w:after="40"/>
            </w:pPr>
            <w:r>
              <w:rPr>
                <w:rFonts w:ascii="Calibri" w:hAnsi="Calibri"/>
                <w:b w:val="0"/>
                <w:i w:val="0"/>
                <w:color w:val="5A5A5A"/>
                <w:sz w:val="18"/>
              </w:rPr>
              <w:t>#CKD  #dialysis  #PEW  #uraemia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heart failure</w:t>
            </w:r>
          </w:p>
        </w:tc>
        <w:tc>
          <w:tcPr>
            <w:tcW w:type="dxa" w:w="2160"/>
            <w:vAlign w:val="top"/>
          </w:tcPr>
          <w:p>
            <w:pPr>
              <w:spacing w:after="40" w:before="0" w:line="259" w:lineRule="auto"/>
            </w:pPr>
            <w:r>
              <w:rPr>
                <w:rFonts w:ascii="Calibri" w:hAnsi="Calibri"/>
                <w:b w:val="0"/>
                <w:i w:val="0"/>
                <w:color w:val="212121"/>
                <w:sz w:val="19"/>
              </w:rPr>
              <w:t>Patients with heart failure</w:t>
            </w:r>
          </w:p>
        </w:tc>
        <w:tc>
          <w:tcPr>
            <w:tcW w:type="dxa" w:w="4276"/>
            <w:vAlign w:val="top"/>
          </w:tcPr>
          <w:p>
            <w:pPr>
              <w:spacing w:after="60" w:line="259" w:lineRule="auto"/>
            </w:pPr>
            <w:r>
              <w:rPr>
                <w:rFonts w:ascii="Calibri" w:hAnsi="Calibri"/>
                <w:b w:val="0"/>
                <w:i w:val="0"/>
                <w:color w:val="212121"/>
                <w:sz w:val="19"/>
              </w:rPr>
              <w:t>Neurohormonal activation, inflammation, hypoperfusion and reduced activity in heart failure drive skeletal-muscle loss, reducing exercise capacity and worsening outcomes.</w:t>
            </w:r>
          </w:p>
          <w:p>
            <w:pPr>
              <w:spacing w:after="40" w:before="60" w:line="259" w:lineRule="auto"/>
            </w:pPr>
            <w:r>
              <w:rPr>
                <w:rFonts w:ascii="Calibri" w:hAnsi="Calibri"/>
                <w:b w:val="0"/>
                <w:i w:val="0"/>
                <w:color w:val="212121"/>
                <w:sz w:val="19"/>
              </w:rPr>
              <w:t>Heart failure is associated with a high prevalence of sarcopenia through inflammatory, hormonal and metabolic mechanisms.</w:t>
            </w:r>
          </w:p>
          <w:p>
            <w:pPr>
              <w:spacing w:after="40" w:line="252" w:lineRule="auto"/>
            </w:pPr>
            <w:hyperlink r:id="rId21">
              <w:r>
                <w:rPr>
                  <w:rFonts w:ascii="Calibri" w:hAnsi="Calibri" w:cs="Calibri"/>
                  <w:sz w:val="18"/>
                  <w:color w:val="1155CC"/>
                  <w:u w:val="single"/>
                </w:rPr>
                <w:t xml:space="preserve">pubmed.ncbi.nlm.nih.gov/41835364 — HF &amp; skeletal muscle</w:t>
              </w:r>
            </w:hyperlink>
          </w:p>
          <w:p>
            <w:pPr>
              <w:spacing w:before="60" w:after="40"/>
            </w:pPr>
            <w:r>
              <w:rPr>
                <w:rFonts w:ascii="Calibri" w:hAnsi="Calibri"/>
                <w:b w:val="0"/>
                <w:i w:val="0"/>
                <w:color w:val="5A5A5A"/>
                <w:sz w:val="18"/>
              </w:rPr>
              <w:t>#heartfailure  #cardiaccachexia  #exercisecapacity  #inflammation</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Progressive resistance exercise is the most effective intervention to build muscle mass and strength; conversely, inactivity, bed-rest and immobilization cause rapid loss, especially of type II fibres. Exercise plus nutrition reduces sarcopenia-related falls.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Adequate protein (≥ 1.0-1.2 g/kg/day, leucine-rich, evenly distributed) with sufficient energy and vitamin D is essential for muscle protein synthesis; low-protein cereal-based diets and undernutrition accelerate loss. Protein plus resistance exercise benefits established sarcopenia.</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Poor sleep quality and short/long duration are linked to lower muscle mass and strength, mediated by reduced nocturnal growth-hormone secretion and increased catabolism and inflammation.</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is associated with lower muscle mass and strength through nicotine effects, oxidative stress and systemic inflammation, and clusters with COPD-related muscle wasting.</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Chronic heavy alcohol use causes a direct toxic myopathy, suppresses muscle protein synthesis and drives malnutrition and liver disease; light intake has no established benefit for muscle.</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Depression reduces appetite and physical activity and shares inflammatory pathways with muscle loss; sarcopenia and depression/cognitive decline show a bidirectional relationship in older adults.</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Hydration affects cell volume and physical performance and dehydration can transiently worsen weakness, but direct evidence linking water intake to muscle mass is weak.</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has a modest acute ergogenic effect on muscle strength and fatigue during exercise but no established effect on muscle mass or on preventing sarcopenia.</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Indirect: poor oral/dental hygiene and tooth loss impair chewing and protein intake in the elderly, contributing to undernutrition-related muscle loss.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Acute illness, sepsis, surgery, hospitalization and immobilization can precipitate rapid 'acute sarcopenia' within days to weeks; catabolic drugs (long-term corticosteroids, androgen-deprivation therapy) are additional provokers.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Loss of trunk and lower-limb muscle contributes to kyphosis, reduced mobility and instability; posture is a consequence and marker rather than a primary cause of sarcopenia.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Handgrip strength (kg)</w:t>
            </w:r>
          </w:p>
        </w:tc>
        <w:tc>
          <w:tcPr>
            <w:tcW w:type="dxa" w:w="1655"/>
            <w:vAlign w:val="top"/>
          </w:tcPr>
          <w:p>
            <w:pPr>
              <w:spacing w:after="40" w:before="0" w:line="259" w:lineRule="auto"/>
            </w:pPr>
            <w:r>
              <w:rPr>
                <w:rFonts w:ascii="Calibri" w:hAnsi="Calibri"/>
                <w:b w:val="0"/>
                <w:i w:val="0"/>
                <w:color w:val="212121"/>
                <w:sz w:val="19"/>
              </w:rPr>
              <w:t>Older men; older women</w:t>
            </w:r>
          </w:p>
        </w:tc>
        <w:tc>
          <w:tcPr>
            <w:tcW w:type="dxa" w:w="1512"/>
            <w:vAlign w:val="top"/>
          </w:tcPr>
          <w:p>
            <w:pPr>
              <w:spacing w:after="40" w:before="0" w:line="259" w:lineRule="auto"/>
            </w:pPr>
            <w:r>
              <w:rPr>
                <w:rFonts w:ascii="Calibri" w:hAnsi="Calibri"/>
                <w:b w:val="0"/>
                <w:i w:val="0"/>
                <w:color w:val="212121"/>
                <w:sz w:val="19"/>
              </w:rPr>
              <w:t>≥ 28 kg (men); ≥ 18 kg (women)</w:t>
            </w:r>
          </w:p>
        </w:tc>
        <w:tc>
          <w:tcPr>
            <w:tcW w:type="dxa" w:w="1512"/>
            <w:vAlign w:val="top"/>
          </w:tcPr>
          <w:p>
            <w:pPr>
              <w:spacing w:after="40" w:before="0" w:line="259" w:lineRule="auto"/>
            </w:pPr>
            <w:r>
              <w:rPr>
                <w:rFonts w:ascii="Calibri" w:hAnsi="Calibri"/>
                <w:b w:val="0"/>
                <w:i w:val="0"/>
                <w:color w:val="212121"/>
                <w:sz w:val="19"/>
              </w:rPr>
              <w:t>&lt; 28 kg (men); &lt; 18 kg (women)</w:t>
            </w:r>
          </w:p>
        </w:tc>
        <w:tc>
          <w:tcPr>
            <w:tcW w:type="dxa" w:w="1468"/>
            <w:vAlign w:val="top"/>
          </w:tcPr>
          <w:p>
            <w:pPr>
              <w:spacing w:after="60" w:line="259" w:lineRule="auto"/>
            </w:pPr>
            <w:r>
              <w:rPr>
                <w:rFonts w:ascii="Calibri" w:hAnsi="Calibri"/>
                <w:b w:val="0"/>
                <w:i w:val="0"/>
                <w:color w:val="212121"/>
                <w:sz w:val="19"/>
              </w:rPr>
              <w:t>AWGS-2019 strength cut-off; EWGSOP2 uses &lt; 27 kg / &lt; 16 kg</w:t>
            </w:r>
          </w:p>
          <w:p>
            <w:pPr>
              <w:spacing w:after="40" w:line="252" w:lineRule="auto"/>
            </w:pPr>
            <w:hyperlink r:id="rId9">
              <w:r>
                <w:rPr>
                  <w:rFonts w:ascii="Calibri" w:hAnsi="Calibri" w:cs="Calibri"/>
                  <w:sz w:val="18"/>
                  <w:color w:val="1155CC"/>
                  <w:u w:val="single"/>
                </w:rPr>
                <w:t xml:space="preserve">https://pubmed.ncbi.nlm.nih.gov/42130757/</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6-metre gait speed (m/s)</w:t>
            </w:r>
          </w:p>
        </w:tc>
        <w:tc>
          <w:tcPr>
            <w:tcW w:type="dxa" w:w="1655"/>
            <w:vAlign w:val="top"/>
          </w:tcPr>
          <w:p>
            <w:pPr>
              <w:spacing w:after="40" w:before="0" w:line="259" w:lineRule="auto"/>
            </w:pPr>
            <w:r>
              <w:rPr>
                <w:rFonts w:ascii="Calibri" w:hAnsi="Calibri"/>
                <w:b w:val="0"/>
                <w:i w:val="0"/>
                <w:color w:val="212121"/>
                <w:sz w:val="19"/>
              </w:rPr>
              <w:t>Elderly</w:t>
            </w:r>
          </w:p>
        </w:tc>
        <w:tc>
          <w:tcPr>
            <w:tcW w:type="dxa" w:w="1512"/>
            <w:vAlign w:val="top"/>
          </w:tcPr>
          <w:p>
            <w:pPr>
              <w:spacing w:after="40" w:before="0" w:line="259" w:lineRule="auto"/>
            </w:pPr>
            <w:r>
              <w:rPr>
                <w:rFonts w:ascii="Calibri" w:hAnsi="Calibri"/>
                <w:b w:val="0"/>
                <w:i w:val="0"/>
                <w:color w:val="212121"/>
                <w:sz w:val="19"/>
              </w:rPr>
              <w:t>≥ 1.0 m/s</w:t>
            </w:r>
          </w:p>
        </w:tc>
        <w:tc>
          <w:tcPr>
            <w:tcW w:type="dxa" w:w="1512"/>
            <w:vAlign w:val="top"/>
          </w:tcPr>
          <w:p>
            <w:pPr>
              <w:spacing w:after="40" w:before="0" w:line="259" w:lineRule="auto"/>
            </w:pPr>
            <w:r>
              <w:rPr>
                <w:rFonts w:ascii="Calibri" w:hAnsi="Calibri"/>
                <w:b w:val="0"/>
                <w:i w:val="0"/>
                <w:color w:val="212121"/>
                <w:sz w:val="19"/>
              </w:rPr>
              <w:t>&lt; 1.0 m/s</w:t>
            </w:r>
          </w:p>
        </w:tc>
        <w:tc>
          <w:tcPr>
            <w:tcW w:type="dxa" w:w="1468"/>
            <w:vAlign w:val="top"/>
          </w:tcPr>
          <w:p>
            <w:pPr>
              <w:spacing w:after="60" w:line="259" w:lineRule="auto"/>
            </w:pPr>
            <w:r>
              <w:rPr>
                <w:rFonts w:ascii="Calibri" w:hAnsi="Calibri"/>
                <w:b w:val="0"/>
                <w:i w:val="0"/>
                <w:color w:val="212121"/>
                <w:sz w:val="19"/>
              </w:rPr>
              <w:t>Marker of low physical performance and severity</w:t>
            </w:r>
          </w:p>
          <w:p>
            <w:pPr>
              <w:spacing w:after="40" w:line="252" w:lineRule="auto"/>
            </w:pPr>
            <w:hyperlink r:id="rId10">
              <w:r>
                <w:rPr>
                  <w:rFonts w:ascii="Calibri" w:hAnsi="Calibri" w:cs="Calibri"/>
                  <w:sz w:val="18"/>
                  <w:color w:val="1155CC"/>
                  <w:u w:val="single"/>
                </w:rPr>
                <w:t xml:space="preserve">https://pubmed.ncbi.nlm.nih.gov/41667994/</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5-time chair-stand test (s)</w:t>
            </w:r>
          </w:p>
        </w:tc>
        <w:tc>
          <w:tcPr>
            <w:tcW w:type="dxa" w:w="1655"/>
            <w:vAlign w:val="top"/>
          </w:tcPr>
          <w:p>
            <w:pPr>
              <w:spacing w:after="40" w:before="0" w:line="259" w:lineRule="auto"/>
            </w:pPr>
            <w:r>
              <w:rPr>
                <w:rFonts w:ascii="Calibri" w:hAnsi="Calibri"/>
                <w:b w:val="0"/>
                <w:i w:val="0"/>
                <w:color w:val="212121"/>
                <w:sz w:val="19"/>
              </w:rPr>
              <w:t>Elderly, fall-risk</w:t>
            </w:r>
          </w:p>
        </w:tc>
        <w:tc>
          <w:tcPr>
            <w:tcW w:type="dxa" w:w="1512"/>
            <w:vAlign w:val="top"/>
          </w:tcPr>
          <w:p>
            <w:pPr>
              <w:spacing w:after="40" w:before="0" w:line="259" w:lineRule="auto"/>
            </w:pPr>
            <w:r>
              <w:rPr>
                <w:rFonts w:ascii="Calibri" w:hAnsi="Calibri"/>
                <w:b w:val="0"/>
                <w:i w:val="0"/>
                <w:color w:val="212121"/>
                <w:sz w:val="19"/>
              </w:rPr>
              <w:t>&lt; 12 s</w:t>
            </w:r>
          </w:p>
        </w:tc>
        <w:tc>
          <w:tcPr>
            <w:tcW w:type="dxa" w:w="1512"/>
            <w:vAlign w:val="top"/>
          </w:tcPr>
          <w:p>
            <w:pPr>
              <w:spacing w:after="40" w:before="0" w:line="259" w:lineRule="auto"/>
            </w:pPr>
            <w:r>
              <w:rPr>
                <w:rFonts w:ascii="Calibri" w:hAnsi="Calibri"/>
                <w:b w:val="0"/>
                <w:i w:val="0"/>
                <w:color w:val="212121"/>
                <w:sz w:val="19"/>
              </w:rPr>
              <w:t>≥ 12 s</w:t>
            </w:r>
          </w:p>
        </w:tc>
        <w:tc>
          <w:tcPr>
            <w:tcW w:type="dxa" w:w="1468"/>
            <w:vAlign w:val="top"/>
          </w:tcPr>
          <w:p>
            <w:pPr>
              <w:spacing w:after="40" w:before="0" w:line="259" w:lineRule="auto"/>
            </w:pPr>
            <w:r>
              <w:rPr>
                <w:rFonts w:ascii="Calibri" w:hAnsi="Calibri"/>
                <w:b w:val="0"/>
                <w:i w:val="0"/>
                <w:color w:val="212121"/>
                <w:sz w:val="19"/>
              </w:rPr>
              <w:t>Practical lower-limb strength/performance screen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Appendicular skeletal muscle mass index (ASMI, DXA)</w:t>
            </w:r>
          </w:p>
        </w:tc>
        <w:tc>
          <w:tcPr>
            <w:tcW w:type="dxa" w:w="1655"/>
            <w:vAlign w:val="top"/>
          </w:tcPr>
          <w:p>
            <w:pPr>
              <w:spacing w:after="40" w:before="0" w:line="259" w:lineRule="auto"/>
            </w:pPr>
            <w:r>
              <w:rPr>
                <w:rFonts w:ascii="Calibri" w:hAnsi="Calibri"/>
                <w:b w:val="0"/>
                <w:i w:val="0"/>
                <w:color w:val="212121"/>
                <w:sz w:val="19"/>
              </w:rPr>
              <w:t>Adults, elderly</w:t>
            </w:r>
          </w:p>
        </w:tc>
        <w:tc>
          <w:tcPr>
            <w:tcW w:type="dxa" w:w="1512"/>
            <w:vAlign w:val="top"/>
          </w:tcPr>
          <w:p>
            <w:pPr>
              <w:spacing w:after="40" w:before="0" w:line="259" w:lineRule="auto"/>
            </w:pPr>
            <w:r>
              <w:rPr>
                <w:rFonts w:ascii="Calibri" w:hAnsi="Calibri"/>
                <w:b w:val="0"/>
                <w:i w:val="0"/>
                <w:color w:val="212121"/>
                <w:sz w:val="19"/>
              </w:rPr>
              <w:t>≥ 7.0 kg/m² (men); ≥ 5.4 kg/m² (women)</w:t>
            </w:r>
          </w:p>
        </w:tc>
        <w:tc>
          <w:tcPr>
            <w:tcW w:type="dxa" w:w="1512"/>
            <w:vAlign w:val="top"/>
          </w:tcPr>
          <w:p>
            <w:pPr>
              <w:spacing w:after="40" w:before="0" w:line="259" w:lineRule="auto"/>
            </w:pPr>
            <w:r>
              <w:rPr>
                <w:rFonts w:ascii="Calibri" w:hAnsi="Calibri"/>
                <w:b w:val="0"/>
                <w:i w:val="0"/>
                <w:color w:val="212121"/>
                <w:sz w:val="19"/>
              </w:rPr>
              <w:t>&lt; 7.0 (men); &lt; 5.4 (women)</w:t>
            </w:r>
          </w:p>
        </w:tc>
        <w:tc>
          <w:tcPr>
            <w:tcW w:type="dxa" w:w="1468"/>
            <w:vAlign w:val="top"/>
          </w:tcPr>
          <w:p>
            <w:pPr>
              <w:spacing w:after="40" w:before="0" w:line="259" w:lineRule="auto"/>
            </w:pPr>
            <w:r>
              <w:rPr>
                <w:rFonts w:ascii="Calibri" w:hAnsi="Calibri"/>
                <w:b w:val="0"/>
                <w:i w:val="0"/>
                <w:color w:val="212121"/>
                <w:sz w:val="19"/>
              </w:rPr>
              <w:t>BIA cut-offs: &lt; 7.0 (men), &lt; 5.7 (women)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Calf circumference (cm)</w:t>
            </w:r>
          </w:p>
        </w:tc>
        <w:tc>
          <w:tcPr>
            <w:tcW w:type="dxa" w:w="1655"/>
            <w:vAlign w:val="top"/>
          </w:tcPr>
          <w:p>
            <w:pPr>
              <w:spacing w:after="40" w:before="0" w:line="259" w:lineRule="auto"/>
            </w:pPr>
            <w:r>
              <w:rPr>
                <w:rFonts w:ascii="Calibri" w:hAnsi="Calibri"/>
                <w:b w:val="0"/>
                <w:i w:val="0"/>
                <w:color w:val="212121"/>
                <w:sz w:val="19"/>
              </w:rPr>
              <w:t>Community screening</w:t>
            </w:r>
          </w:p>
        </w:tc>
        <w:tc>
          <w:tcPr>
            <w:tcW w:type="dxa" w:w="1512"/>
            <w:vAlign w:val="top"/>
          </w:tcPr>
          <w:p>
            <w:pPr>
              <w:spacing w:after="40" w:before="0" w:line="259" w:lineRule="auto"/>
            </w:pPr>
            <w:r>
              <w:rPr>
                <w:rFonts w:ascii="Calibri" w:hAnsi="Calibri"/>
                <w:b w:val="0"/>
                <w:i w:val="0"/>
                <w:color w:val="212121"/>
                <w:sz w:val="19"/>
              </w:rPr>
              <w:t>≥ 34 cm (men); ≥ 33 cm (women)</w:t>
            </w:r>
          </w:p>
        </w:tc>
        <w:tc>
          <w:tcPr>
            <w:tcW w:type="dxa" w:w="1512"/>
            <w:vAlign w:val="top"/>
          </w:tcPr>
          <w:p>
            <w:pPr>
              <w:spacing w:after="40" w:before="0" w:line="259" w:lineRule="auto"/>
            </w:pPr>
            <w:r>
              <w:rPr>
                <w:rFonts w:ascii="Calibri" w:hAnsi="Calibri"/>
                <w:b w:val="0"/>
                <w:i w:val="0"/>
                <w:color w:val="212121"/>
                <w:sz w:val="19"/>
              </w:rPr>
              <w:t>&lt; 34 cm (men); &lt; 33 cm (women)</w:t>
            </w:r>
          </w:p>
        </w:tc>
        <w:tc>
          <w:tcPr>
            <w:tcW w:type="dxa" w:w="1468"/>
            <w:vAlign w:val="top"/>
          </w:tcPr>
          <w:p>
            <w:pPr>
              <w:spacing w:after="40" w:before="0" w:line="259" w:lineRule="auto"/>
            </w:pPr>
            <w:r>
              <w:rPr>
                <w:rFonts w:ascii="Calibri" w:hAnsi="Calibri"/>
                <w:b w:val="0"/>
                <w:i w:val="0"/>
                <w:color w:val="212121"/>
                <w:sz w:val="19"/>
              </w:rPr>
              <w:t>Low-cost surrogate for muscle mass in field/rural settings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Resistance training (sessions/week)</w:t>
            </w:r>
          </w:p>
        </w:tc>
        <w:tc>
          <w:tcPr>
            <w:tcW w:type="dxa" w:w="1655"/>
            <w:vAlign w:val="top"/>
          </w:tcPr>
          <w:p>
            <w:pPr>
              <w:spacing w:after="40" w:before="0" w:line="259" w:lineRule="auto"/>
            </w:pPr>
            <w:r>
              <w:rPr>
                <w:rFonts w:ascii="Calibri" w:hAnsi="Calibri"/>
                <w:b w:val="0"/>
                <w:i w:val="0"/>
                <w:color w:val="212121"/>
                <w:sz w:val="19"/>
              </w:rPr>
              <w:t>All older adults</w:t>
            </w:r>
          </w:p>
        </w:tc>
        <w:tc>
          <w:tcPr>
            <w:tcW w:type="dxa" w:w="1512"/>
            <w:vAlign w:val="top"/>
          </w:tcPr>
          <w:p>
            <w:pPr>
              <w:spacing w:after="40" w:before="0" w:line="259" w:lineRule="auto"/>
            </w:pPr>
            <w:r>
              <w:rPr>
                <w:rFonts w:ascii="Calibri" w:hAnsi="Calibri"/>
                <w:b w:val="0"/>
                <w:i w:val="0"/>
                <w:color w:val="212121"/>
                <w:sz w:val="19"/>
              </w:rPr>
              <w:t>≥ 2-3 sessions/week</w:t>
            </w:r>
          </w:p>
        </w:tc>
        <w:tc>
          <w:tcPr>
            <w:tcW w:type="dxa" w:w="1512"/>
            <w:vAlign w:val="top"/>
          </w:tcPr>
          <w:p>
            <w:pPr>
              <w:spacing w:after="40" w:before="0" w:line="259" w:lineRule="auto"/>
            </w:pPr>
            <w:r>
              <w:rPr>
                <w:rFonts w:ascii="Calibri" w:hAnsi="Calibri"/>
                <w:b w:val="0"/>
                <w:i w:val="0"/>
                <w:color w:val="212121"/>
                <w:sz w:val="19"/>
              </w:rPr>
              <w:t>0 sessions/week</w:t>
            </w:r>
          </w:p>
        </w:tc>
        <w:tc>
          <w:tcPr>
            <w:tcW w:type="dxa" w:w="1468"/>
            <w:vAlign w:val="top"/>
          </w:tcPr>
          <w:p>
            <w:pPr>
              <w:spacing w:after="60" w:line="259" w:lineRule="auto"/>
            </w:pPr>
            <w:r>
              <w:rPr>
                <w:rFonts w:ascii="Calibri" w:hAnsi="Calibri"/>
                <w:b w:val="0"/>
                <w:i w:val="0"/>
                <w:color w:val="212121"/>
                <w:sz w:val="19"/>
              </w:rPr>
              <w:t>Progressive resistance training is first-line therapy</w:t>
            </w:r>
          </w:p>
          <w:p>
            <w:pPr>
              <w:spacing w:after="40" w:line="252" w:lineRule="auto"/>
            </w:pPr>
            <w:hyperlink r:id="rId14">
              <w:r>
                <w:rPr>
                  <w:rFonts w:ascii="Calibri" w:hAnsi="Calibri" w:cs="Calibri"/>
                  <w:sz w:val="18"/>
                  <w:color w:val="1155CC"/>
                  <w:u w:val="single"/>
                </w:rPr>
                <w:t xml:space="preserve">https://pubmed.ncbi.nlm.nih.gov/42208412/</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Dietary protein intake (g/kg/day)</w:t>
            </w:r>
          </w:p>
        </w:tc>
        <w:tc>
          <w:tcPr>
            <w:tcW w:type="dxa" w:w="1655"/>
            <w:vAlign w:val="top"/>
          </w:tcPr>
          <w:p>
            <w:pPr>
              <w:spacing w:after="40" w:before="0" w:line="259" w:lineRule="auto"/>
            </w:pPr>
            <w:r>
              <w:rPr>
                <w:rFonts w:ascii="Calibri" w:hAnsi="Calibri"/>
                <w:b w:val="0"/>
                <w:i w:val="0"/>
                <w:color w:val="212121"/>
                <w:sz w:val="19"/>
              </w:rPr>
              <w:t>Elderly, undernourished</w:t>
            </w:r>
          </w:p>
        </w:tc>
        <w:tc>
          <w:tcPr>
            <w:tcW w:type="dxa" w:w="1512"/>
            <w:vAlign w:val="top"/>
          </w:tcPr>
          <w:p>
            <w:pPr>
              <w:spacing w:after="40" w:before="0" w:line="259" w:lineRule="auto"/>
            </w:pPr>
            <w:r>
              <w:rPr>
                <w:rFonts w:ascii="Calibri" w:hAnsi="Calibri"/>
                <w:b w:val="0"/>
                <w:i w:val="0"/>
                <w:color w:val="212121"/>
                <w:sz w:val="19"/>
              </w:rPr>
              <w:t>1.0-1.2 g/kg/day (up to 1.5 if ill)</w:t>
            </w:r>
          </w:p>
        </w:tc>
        <w:tc>
          <w:tcPr>
            <w:tcW w:type="dxa" w:w="1512"/>
            <w:vAlign w:val="top"/>
          </w:tcPr>
          <w:p>
            <w:pPr>
              <w:spacing w:after="40" w:before="0" w:line="259" w:lineRule="auto"/>
            </w:pPr>
            <w:r>
              <w:rPr>
                <w:rFonts w:ascii="Calibri" w:hAnsi="Calibri"/>
                <w:b w:val="0"/>
                <w:i w:val="0"/>
                <w:color w:val="212121"/>
                <w:sz w:val="19"/>
              </w:rPr>
              <w:t>&lt; 0.8 g/kg/day</w:t>
            </w:r>
          </w:p>
        </w:tc>
        <w:tc>
          <w:tcPr>
            <w:tcW w:type="dxa" w:w="1468"/>
            <w:vAlign w:val="top"/>
          </w:tcPr>
          <w:p>
            <w:pPr>
              <w:spacing w:after="60" w:line="259" w:lineRule="auto"/>
            </w:pPr>
            <w:r>
              <w:rPr>
                <w:rFonts w:ascii="Calibri" w:hAnsi="Calibri"/>
                <w:b w:val="0"/>
                <w:i w:val="0"/>
                <w:color w:val="212121"/>
                <w:sz w:val="19"/>
              </w:rPr>
              <w:t>Distribute 25-30 g quality protein/leucine per meal</w:t>
            </w:r>
          </w:p>
          <w:p>
            <w:pPr>
              <w:spacing w:after="40" w:line="252" w:lineRule="auto"/>
            </w:pPr>
            <w:hyperlink r:id="rId17">
              <w:r>
                <w:rPr>
                  <w:rFonts w:ascii="Calibri" w:hAnsi="Calibri" w:cs="Calibri"/>
                  <w:sz w:val="18"/>
                  <w:color w:val="1155CC"/>
                  <w:u w:val="single"/>
                </w:rPr>
                <w:t xml:space="preserve">https://pubmed.ncbi.nlm.nih.gov/42209888/</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Elderly</w:t>
            </w:r>
          </w:p>
        </w:tc>
        <w:tc>
          <w:tcPr>
            <w:tcW w:type="dxa" w:w="1512"/>
            <w:vAlign w:val="top"/>
          </w:tcPr>
          <w:p>
            <w:pPr>
              <w:spacing w:after="40" w:before="0" w:line="259" w:lineRule="auto"/>
            </w:pPr>
            <w:r>
              <w:rPr>
                <w:rFonts w:ascii="Calibri" w:hAnsi="Calibri"/>
                <w:b w:val="0"/>
                <w:i w:val="0"/>
                <w:color w:val="212121"/>
                <w:sz w:val="19"/>
              </w:rPr>
              <w:t>~22-27 kg/m² in elderly</w:t>
            </w:r>
          </w:p>
        </w:tc>
        <w:tc>
          <w:tcPr>
            <w:tcW w:type="dxa" w:w="1512"/>
            <w:vAlign w:val="top"/>
          </w:tcPr>
          <w:p>
            <w:pPr>
              <w:spacing w:after="40" w:before="0" w:line="259" w:lineRule="auto"/>
            </w:pPr>
            <w:r>
              <w:rPr>
                <w:rFonts w:ascii="Calibri" w:hAnsi="Calibri"/>
                <w:b w:val="0"/>
                <w:i w:val="0"/>
                <w:color w:val="212121"/>
                <w:sz w:val="19"/>
              </w:rPr>
              <w:t>&lt; 20 (undernutrition) or high with low muscle (sarcopenic obesity)</w:t>
            </w:r>
          </w:p>
        </w:tc>
        <w:tc>
          <w:tcPr>
            <w:tcW w:type="dxa" w:w="1468"/>
            <w:vAlign w:val="top"/>
          </w:tcPr>
          <w:p>
            <w:pPr>
              <w:spacing w:after="60" w:line="259" w:lineRule="auto"/>
            </w:pPr>
            <w:r>
              <w:rPr>
                <w:rFonts w:ascii="Calibri" w:hAnsi="Calibri"/>
                <w:b w:val="0"/>
                <w:i w:val="0"/>
                <w:color w:val="212121"/>
                <w:sz w:val="19"/>
              </w:rPr>
              <w:t>Both low BMI and sarcopenic obesity raise risk; BMI misses low muscle</w:t>
            </w:r>
          </w:p>
          <w:p>
            <w:pPr>
              <w:spacing w:after="40" w:line="252" w:lineRule="auto"/>
            </w:pPr>
            <w:hyperlink r:id="rId13">
              <w:r>
                <w:rPr>
                  <w:rFonts w:ascii="Calibri" w:hAnsi="Calibri" w:cs="Calibri"/>
                  <w:sz w:val="18"/>
                  <w:color w:val="1155CC"/>
                  <w:u w:val="single"/>
                </w:rPr>
                <w:t xml:space="preserve">https://pubmed.ncbi.nlm.nih.gov/42238564/</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25-hydroxy-vitamin D (ng/mL)</w:t>
            </w:r>
          </w:p>
        </w:tc>
        <w:tc>
          <w:tcPr>
            <w:tcW w:type="dxa" w:w="1655"/>
            <w:vAlign w:val="top"/>
          </w:tcPr>
          <w:p>
            <w:pPr>
              <w:spacing w:after="40" w:before="0" w:line="259" w:lineRule="auto"/>
            </w:pPr>
            <w:r>
              <w:rPr>
                <w:rFonts w:ascii="Calibri" w:hAnsi="Calibri"/>
                <w:b w:val="0"/>
                <w:i w:val="0"/>
                <w:color w:val="212121"/>
                <w:sz w:val="19"/>
              </w:rPr>
              <w:t>Elderly, rural, housebound</w:t>
            </w:r>
          </w:p>
        </w:tc>
        <w:tc>
          <w:tcPr>
            <w:tcW w:type="dxa" w:w="1512"/>
            <w:vAlign w:val="top"/>
          </w:tcPr>
          <w:p>
            <w:pPr>
              <w:spacing w:after="40" w:before="0" w:line="259" w:lineRule="auto"/>
            </w:pPr>
            <w:r>
              <w:rPr>
                <w:rFonts w:ascii="Calibri" w:hAnsi="Calibri"/>
                <w:b w:val="0"/>
                <w:i w:val="0"/>
                <w:color w:val="212121"/>
                <w:sz w:val="19"/>
              </w:rPr>
              <w:t>≥ 30 ng/mL</w:t>
            </w:r>
          </w:p>
        </w:tc>
        <w:tc>
          <w:tcPr>
            <w:tcW w:type="dxa" w:w="1512"/>
            <w:vAlign w:val="top"/>
          </w:tcPr>
          <w:p>
            <w:pPr>
              <w:spacing w:after="40" w:before="0" w:line="259" w:lineRule="auto"/>
            </w:pPr>
            <w:r>
              <w:rPr>
                <w:rFonts w:ascii="Calibri" w:hAnsi="Calibri"/>
                <w:b w:val="0"/>
                <w:i w:val="0"/>
                <w:color w:val="212121"/>
                <w:sz w:val="19"/>
              </w:rPr>
              <w:t>&lt; 20 ng/mL (deficient)</w:t>
            </w:r>
          </w:p>
        </w:tc>
        <w:tc>
          <w:tcPr>
            <w:tcW w:type="dxa" w:w="1468"/>
            <w:vAlign w:val="top"/>
          </w:tcPr>
          <w:p>
            <w:pPr>
              <w:spacing w:after="40" w:before="0" w:line="259" w:lineRule="auto"/>
            </w:pPr>
            <w:r>
              <w:rPr>
                <w:rFonts w:ascii="Calibri" w:hAnsi="Calibri"/>
                <w:b w:val="0"/>
                <w:i w:val="0"/>
                <w:color w:val="212121"/>
                <w:sz w:val="19"/>
              </w:rPr>
              <w:t>Deficiency is widespread in India and impairs muscle function</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Older adults</w:t>
            </w:r>
          </w:p>
        </w:tc>
        <w:tc>
          <w:tcPr>
            <w:tcW w:type="dxa" w:w="1512"/>
            <w:vAlign w:val="top"/>
          </w:tcPr>
          <w:p>
            <w:pPr>
              <w:spacing w:after="40" w:before="0" w:line="259" w:lineRule="auto"/>
            </w:pPr>
            <w:r>
              <w:rPr>
                <w:rFonts w:ascii="Calibri" w:hAnsi="Calibri"/>
                <w:b w:val="0"/>
                <w:i w:val="0"/>
                <w:color w:val="212121"/>
                <w:sz w:val="19"/>
              </w:rPr>
              <w:t>7-8 hours/night</w:t>
            </w:r>
          </w:p>
        </w:tc>
        <w:tc>
          <w:tcPr>
            <w:tcW w:type="dxa" w:w="1512"/>
            <w:vAlign w:val="top"/>
          </w:tcPr>
          <w:p>
            <w:pPr>
              <w:spacing w:after="40" w:before="0" w:line="259" w:lineRule="auto"/>
            </w:pPr>
            <w:r>
              <w:rPr>
                <w:rFonts w:ascii="Calibri" w:hAnsi="Calibri"/>
                <w:b w:val="0"/>
                <w:i w:val="0"/>
                <w:color w:val="212121"/>
                <w:sz w:val="19"/>
              </w:rPr>
              <w:t>&lt; 6 h or &gt; 9 h/night</w:t>
            </w:r>
          </w:p>
        </w:tc>
        <w:tc>
          <w:tcPr>
            <w:tcW w:type="dxa" w:w="1468"/>
            <w:vAlign w:val="top"/>
          </w:tcPr>
          <w:p>
            <w:pPr>
              <w:spacing w:after="40" w:before="0" w:line="259" w:lineRule="auto"/>
            </w:pPr>
            <w:r>
              <w:rPr>
                <w:rFonts w:ascii="Calibri" w:hAnsi="Calibri"/>
                <w:b w:val="0"/>
                <w:i w:val="0"/>
                <w:color w:val="212121"/>
                <w:sz w:val="19"/>
              </w:rPr>
              <w:t>Poor sleep lowers growth-hormone-driven muscle repair</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Adults, elderly</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40" w:before="0" w:line="259" w:lineRule="auto"/>
            </w:pPr>
            <w:r>
              <w:rPr>
                <w:rFonts w:ascii="Calibri" w:hAnsi="Calibri"/>
                <w:b w:val="0"/>
                <w:i w:val="0"/>
                <w:color w:val="212121"/>
                <w:sz w:val="19"/>
              </w:rPr>
              <w:t>Smoking lowers muscle mass and worsens COPD-related wasting</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 (drinks/week)</w:t>
            </w:r>
          </w:p>
        </w:tc>
        <w:tc>
          <w:tcPr>
            <w:tcW w:type="dxa" w:w="1655"/>
            <w:vAlign w:val="top"/>
          </w:tcPr>
          <w:p>
            <w:pPr>
              <w:spacing w:after="40" w:before="0" w:line="259" w:lineRule="auto"/>
            </w:pPr>
            <w:r>
              <w:rPr>
                <w:rFonts w:ascii="Calibri" w:hAnsi="Calibri"/>
                <w:b w:val="0"/>
                <w:i w:val="0"/>
                <w:color w:val="212121"/>
                <w:sz w:val="19"/>
              </w:rPr>
              <w:t>Adults, elderly</w:t>
            </w:r>
          </w:p>
        </w:tc>
        <w:tc>
          <w:tcPr>
            <w:tcW w:type="dxa" w:w="1512"/>
            <w:vAlign w:val="top"/>
          </w:tcPr>
          <w:p>
            <w:pPr>
              <w:spacing w:after="40" w:before="0" w:line="259" w:lineRule="auto"/>
            </w:pPr>
            <w:r>
              <w:rPr>
                <w:rFonts w:ascii="Calibri" w:hAnsi="Calibri"/>
                <w:b w:val="0"/>
                <w:i w:val="0"/>
                <w:color w:val="212121"/>
                <w:sz w:val="19"/>
              </w:rPr>
              <w:t>0-≤ 7 drinks/week</w:t>
            </w:r>
          </w:p>
        </w:tc>
        <w:tc>
          <w:tcPr>
            <w:tcW w:type="dxa" w:w="1512"/>
            <w:vAlign w:val="top"/>
          </w:tcPr>
          <w:p>
            <w:pPr>
              <w:spacing w:after="40" w:before="0" w:line="259" w:lineRule="auto"/>
            </w:pPr>
            <w:r>
              <w:rPr>
                <w:rFonts w:ascii="Calibri" w:hAnsi="Calibri"/>
                <w:b w:val="0"/>
                <w:i w:val="0"/>
                <w:color w:val="212121"/>
                <w:sz w:val="19"/>
              </w:rPr>
              <w:t>&gt; 14 drinks/week</w:t>
            </w:r>
          </w:p>
        </w:tc>
        <w:tc>
          <w:tcPr>
            <w:tcW w:type="dxa" w:w="1468"/>
            <w:vAlign w:val="top"/>
          </w:tcPr>
          <w:p>
            <w:pPr>
              <w:spacing w:after="40" w:before="0" w:line="259" w:lineRule="auto"/>
            </w:pPr>
            <w:r>
              <w:rPr>
                <w:rFonts w:ascii="Calibri" w:hAnsi="Calibri"/>
                <w:b w:val="0"/>
                <w:i w:val="0"/>
                <w:color w:val="212121"/>
                <w:sz w:val="19"/>
              </w:rPr>
              <w:t>Heavy intake causes toxic myopathy and malnutrition</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Body composition</w:t>
            </w:r>
          </w:p>
        </w:tc>
        <w:tc>
          <w:tcPr>
            <w:tcW w:type="dxa" w:w="1036"/>
            <w:vAlign w:val="top"/>
          </w:tcPr>
          <w:p>
            <w:pPr>
              <w:spacing w:after="40" w:before="0" w:line="259" w:lineRule="auto"/>
            </w:pPr>
            <w:r>
              <w:rPr>
                <w:rFonts w:ascii="Calibri" w:hAnsi="Calibri"/>
                <w:b w:val="0"/>
                <w:i w:val="0"/>
                <w:color w:val="212121"/>
                <w:sz w:val="16"/>
              </w:rPr>
              <w:t>Appendicular Skeletal Muscle Mass Index (ASMI)</w:t>
            </w:r>
          </w:p>
        </w:tc>
        <w:tc>
          <w:tcPr>
            <w:tcW w:type="dxa" w:w="892"/>
            <w:vAlign w:val="top"/>
          </w:tcPr>
          <w:p>
            <w:pPr>
              <w:spacing w:after="40" w:before="0" w:line="259" w:lineRule="auto"/>
            </w:pPr>
            <w:r>
              <w:rPr>
                <w:rFonts w:ascii="Calibri" w:hAnsi="Calibri"/>
                <w:b w:val="0"/>
                <w:i w:val="0"/>
                <w:color w:val="212121"/>
                <w:sz w:val="16"/>
              </w:rPr>
              <w:t>DXA scan</w:t>
            </w:r>
          </w:p>
        </w:tc>
        <w:tc>
          <w:tcPr>
            <w:tcW w:type="dxa" w:w="950"/>
            <w:vAlign w:val="top"/>
          </w:tcPr>
          <w:p>
            <w:pPr>
              <w:spacing w:after="40" w:before="0" w:line="259" w:lineRule="auto"/>
            </w:pPr>
            <w:r>
              <w:rPr>
                <w:rFonts w:ascii="Calibri" w:hAnsi="Calibri"/>
                <w:b w:val="0"/>
                <w:i w:val="0"/>
                <w:color w:val="212121"/>
                <w:sz w:val="16"/>
              </w:rPr>
              <w:t>≥ 7.0 kg/m² (M); ≥ 5.4 kg/m² (F)</w:t>
            </w:r>
          </w:p>
        </w:tc>
        <w:tc>
          <w:tcPr>
            <w:tcW w:type="dxa" w:w="950"/>
            <w:vAlign w:val="top"/>
          </w:tcPr>
          <w:p>
            <w:pPr>
              <w:spacing w:after="40" w:before="0" w:line="259" w:lineRule="auto"/>
            </w:pPr>
            <w:r>
              <w:rPr>
                <w:rFonts w:ascii="Calibri" w:hAnsi="Calibri"/>
                <w:b w:val="0"/>
                <w:i w:val="0"/>
                <w:color w:val="212121"/>
                <w:sz w:val="16"/>
              </w:rPr>
              <w:t>&lt; 7.0 (M); &lt; 5.4 (F)</w:t>
            </w:r>
          </w:p>
        </w:tc>
        <w:tc>
          <w:tcPr>
            <w:tcW w:type="dxa" w:w="1036"/>
            <w:vAlign w:val="top"/>
          </w:tcPr>
          <w:p>
            <w:pPr>
              <w:spacing w:after="40" w:before="0" w:line="259" w:lineRule="auto"/>
            </w:pPr>
            <w:r>
              <w:rPr>
                <w:rFonts w:ascii="Calibri" w:hAnsi="Calibri"/>
                <w:b w:val="0"/>
                <w:i w:val="0"/>
                <w:color w:val="212121"/>
                <w:sz w:val="16"/>
              </w:rPr>
              <w:t>Confirms low muscle mass; reference standard for muscle quantity</w:t>
            </w:r>
          </w:p>
        </w:tc>
        <w:tc>
          <w:tcPr>
            <w:tcW w:type="dxa" w:w="1036"/>
            <w:vAlign w:val="top"/>
          </w:tcPr>
          <w:p>
            <w:pPr>
              <w:spacing w:after="40" w:before="0" w:line="259" w:lineRule="auto"/>
            </w:pPr>
            <w:r>
              <w:rPr>
                <w:rFonts w:ascii="Calibri" w:hAnsi="Calibri"/>
                <w:b w:val="0"/>
                <w:i w:val="0"/>
                <w:color w:val="212121"/>
                <w:sz w:val="16"/>
              </w:rPr>
              <w:t>Elderly, T2DM, CKD, COPD, HF, post-menopausal women</w:t>
            </w:r>
          </w:p>
        </w:tc>
        <w:tc>
          <w:tcPr>
            <w:tcW w:type="dxa" w:w="720"/>
            <w:vAlign w:val="top"/>
          </w:tcPr>
          <w:p>
            <w:pPr>
              <w:spacing w:after="40" w:before="0" w:line="259" w:lineRule="auto"/>
            </w:pPr>
            <w:r>
              <w:rPr>
                <w:rFonts w:ascii="Calibri" w:hAnsi="Calibri"/>
                <w:b w:val="0"/>
                <w:i w:val="0"/>
                <w:color w:val="212121"/>
                <w:sz w:val="16"/>
              </w:rPr>
              <w:t>Physical activity; Food</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BIA is an accessible field alternative (cut-offs &lt; 7.0 M / &lt; 5.7 F)</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Body composition</w:t>
            </w:r>
          </w:p>
        </w:tc>
        <w:tc>
          <w:tcPr>
            <w:tcW w:type="dxa" w:w="1036"/>
            <w:vAlign w:val="top"/>
          </w:tcPr>
          <w:p>
            <w:pPr>
              <w:spacing w:after="40" w:before="0" w:line="259" w:lineRule="auto"/>
            </w:pPr>
            <w:r>
              <w:rPr>
                <w:rFonts w:ascii="Calibri" w:hAnsi="Calibri"/>
                <w:b w:val="0"/>
                <w:i w:val="0"/>
                <w:color w:val="212121"/>
                <w:sz w:val="16"/>
              </w:rPr>
              <w:t>Muscle mass / phase angle</w:t>
            </w:r>
          </w:p>
        </w:tc>
        <w:tc>
          <w:tcPr>
            <w:tcW w:type="dxa" w:w="892"/>
            <w:vAlign w:val="top"/>
          </w:tcPr>
          <w:p>
            <w:pPr>
              <w:spacing w:after="40" w:before="0" w:line="259" w:lineRule="auto"/>
            </w:pPr>
            <w:r>
              <w:rPr>
                <w:rFonts w:ascii="Calibri" w:hAnsi="Calibri"/>
                <w:b w:val="0"/>
                <w:i w:val="0"/>
                <w:color w:val="212121"/>
                <w:sz w:val="16"/>
              </w:rPr>
              <w:t>Bioelectrical impedance analysis (BIA)</w:t>
            </w:r>
          </w:p>
        </w:tc>
        <w:tc>
          <w:tcPr>
            <w:tcW w:type="dxa" w:w="950"/>
            <w:vAlign w:val="top"/>
          </w:tcPr>
          <w:p>
            <w:pPr>
              <w:spacing w:after="40" w:before="0" w:line="259" w:lineRule="auto"/>
            </w:pPr>
            <w:r>
              <w:rPr>
                <w:rFonts w:ascii="Calibri" w:hAnsi="Calibri"/>
                <w:b w:val="0"/>
                <w:i w:val="0"/>
                <w:color w:val="212121"/>
                <w:sz w:val="16"/>
              </w:rPr>
              <w:t>ASMI ≥ 7.0 (M) / ≥ 5.7 (F)</w:t>
            </w:r>
          </w:p>
        </w:tc>
        <w:tc>
          <w:tcPr>
            <w:tcW w:type="dxa" w:w="950"/>
            <w:vAlign w:val="top"/>
          </w:tcPr>
          <w:p>
            <w:pPr>
              <w:spacing w:after="40" w:before="0" w:line="259" w:lineRule="auto"/>
            </w:pPr>
            <w:r>
              <w:rPr>
                <w:rFonts w:ascii="Calibri" w:hAnsi="Calibri"/>
                <w:b w:val="0"/>
                <w:i w:val="0"/>
                <w:color w:val="212121"/>
                <w:sz w:val="16"/>
              </w:rPr>
              <w:t>Below cut-off; low phase angle</w:t>
            </w:r>
          </w:p>
        </w:tc>
        <w:tc>
          <w:tcPr>
            <w:tcW w:type="dxa" w:w="1036"/>
            <w:vAlign w:val="top"/>
          </w:tcPr>
          <w:p>
            <w:pPr>
              <w:spacing w:after="40" w:before="0" w:line="259" w:lineRule="auto"/>
            </w:pPr>
            <w:r>
              <w:rPr>
                <w:rFonts w:ascii="Calibri" w:hAnsi="Calibri"/>
                <w:b w:val="0"/>
                <w:i w:val="0"/>
                <w:color w:val="212121"/>
                <w:sz w:val="16"/>
              </w:rPr>
              <w:t>Portable estimate of muscle mass where DXA unavailable</w:t>
            </w:r>
          </w:p>
        </w:tc>
        <w:tc>
          <w:tcPr>
            <w:tcW w:type="dxa" w:w="1036"/>
            <w:vAlign w:val="top"/>
          </w:tcPr>
          <w:p>
            <w:pPr>
              <w:spacing w:after="40" w:before="0" w:line="259" w:lineRule="auto"/>
            </w:pPr>
            <w:r>
              <w:rPr>
                <w:rFonts w:ascii="Calibri" w:hAnsi="Calibri"/>
                <w:b w:val="0"/>
                <w:i w:val="0"/>
                <w:color w:val="212121"/>
                <w:sz w:val="16"/>
              </w:rPr>
              <w:t>Community, rural, dialysis, cirrhosis</w:t>
            </w:r>
          </w:p>
        </w:tc>
        <w:tc>
          <w:tcPr>
            <w:tcW w:type="dxa" w:w="720"/>
            <w:vAlign w:val="top"/>
          </w:tcPr>
          <w:p>
            <w:pPr>
              <w:spacing w:after="40" w:before="0" w:line="259" w:lineRule="auto"/>
            </w:pPr>
            <w:r>
              <w:rPr>
                <w:rFonts w:ascii="Calibri" w:hAnsi="Calibri"/>
                <w:b w:val="0"/>
                <w:i w:val="0"/>
                <w:color w:val="212121"/>
                <w:sz w:val="16"/>
              </w:rPr>
              <w:t>Physical activity; Food</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Hydration-dependent; standardize timing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Functional / strength</w:t>
            </w:r>
          </w:p>
        </w:tc>
        <w:tc>
          <w:tcPr>
            <w:tcW w:type="dxa" w:w="1036"/>
            <w:vAlign w:val="top"/>
          </w:tcPr>
          <w:p>
            <w:pPr>
              <w:spacing w:after="40" w:before="0" w:line="259" w:lineRule="auto"/>
            </w:pPr>
            <w:r>
              <w:rPr>
                <w:rFonts w:ascii="Calibri" w:hAnsi="Calibri"/>
                <w:b w:val="0"/>
                <w:i w:val="0"/>
                <w:color w:val="212121"/>
                <w:sz w:val="16"/>
              </w:rPr>
              <w:t>Handgrip strength</w:t>
            </w:r>
          </w:p>
        </w:tc>
        <w:tc>
          <w:tcPr>
            <w:tcW w:type="dxa" w:w="892"/>
            <w:vAlign w:val="top"/>
          </w:tcPr>
          <w:p>
            <w:pPr>
              <w:spacing w:after="40" w:before="0" w:line="259" w:lineRule="auto"/>
            </w:pPr>
            <w:r>
              <w:rPr>
                <w:rFonts w:ascii="Calibri" w:hAnsi="Calibri"/>
                <w:b w:val="0"/>
                <w:i w:val="0"/>
                <w:color w:val="212121"/>
                <w:sz w:val="16"/>
              </w:rPr>
              <w:t>Hand dynamometry</w:t>
            </w:r>
          </w:p>
        </w:tc>
        <w:tc>
          <w:tcPr>
            <w:tcW w:type="dxa" w:w="950"/>
            <w:vAlign w:val="top"/>
          </w:tcPr>
          <w:p>
            <w:pPr>
              <w:spacing w:after="40" w:before="0" w:line="259" w:lineRule="auto"/>
            </w:pPr>
            <w:r>
              <w:rPr>
                <w:rFonts w:ascii="Calibri" w:hAnsi="Calibri"/>
                <w:b w:val="0"/>
                <w:i w:val="0"/>
                <w:color w:val="212121"/>
                <w:sz w:val="16"/>
              </w:rPr>
              <w:t>≥ 28 kg (M); ≥ 18 kg (F)</w:t>
            </w:r>
          </w:p>
        </w:tc>
        <w:tc>
          <w:tcPr>
            <w:tcW w:type="dxa" w:w="950"/>
            <w:vAlign w:val="top"/>
          </w:tcPr>
          <w:p>
            <w:pPr>
              <w:spacing w:after="40" w:before="0" w:line="259" w:lineRule="auto"/>
            </w:pPr>
            <w:r>
              <w:rPr>
                <w:rFonts w:ascii="Calibri" w:hAnsi="Calibri"/>
                <w:b w:val="0"/>
                <w:i w:val="0"/>
                <w:color w:val="212121"/>
                <w:sz w:val="16"/>
              </w:rPr>
              <w:t>&lt; 28 kg (M); &lt; 18 kg (F)</w:t>
            </w:r>
          </w:p>
        </w:tc>
        <w:tc>
          <w:tcPr>
            <w:tcW w:type="dxa" w:w="1036"/>
            <w:vAlign w:val="top"/>
          </w:tcPr>
          <w:p>
            <w:pPr>
              <w:spacing w:after="40" w:before="0" w:line="259" w:lineRule="auto"/>
            </w:pPr>
            <w:r>
              <w:rPr>
                <w:rFonts w:ascii="Calibri" w:hAnsi="Calibri"/>
                <w:b w:val="0"/>
                <w:i w:val="0"/>
                <w:color w:val="212121"/>
                <w:sz w:val="16"/>
              </w:rPr>
              <w:t>Low muscle strength — the primary defining criterion (AWGS-2019)</w:t>
            </w:r>
          </w:p>
        </w:tc>
        <w:tc>
          <w:tcPr>
            <w:tcW w:type="dxa" w:w="1036"/>
            <w:vAlign w:val="top"/>
          </w:tcPr>
          <w:p>
            <w:pPr>
              <w:spacing w:after="40" w:before="0" w:line="259" w:lineRule="auto"/>
            </w:pPr>
            <w:r>
              <w:rPr>
                <w:rFonts w:ascii="Calibri" w:hAnsi="Calibri"/>
                <w:b w:val="0"/>
                <w:i w:val="0"/>
                <w:color w:val="212121"/>
                <w:sz w:val="16"/>
              </w:rPr>
              <w:t>All older adults, screening</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Best of 2-3 attempts, dominant hand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25-hydroxy-vitamin D</w:t>
            </w:r>
          </w:p>
        </w:tc>
        <w:tc>
          <w:tcPr>
            <w:tcW w:type="dxa" w:w="892"/>
            <w:vAlign w:val="top"/>
          </w:tcPr>
          <w:p>
            <w:pPr>
              <w:spacing w:after="40" w:before="0" w:line="259" w:lineRule="auto"/>
            </w:pPr>
            <w:r>
              <w:rPr>
                <w:rFonts w:ascii="Calibri" w:hAnsi="Calibri"/>
                <w:b w:val="0"/>
                <w:i w:val="0"/>
                <w:color w:val="212121"/>
                <w:sz w:val="16"/>
              </w:rPr>
              <w:t>Vitamin D assay</w:t>
            </w:r>
          </w:p>
        </w:tc>
        <w:tc>
          <w:tcPr>
            <w:tcW w:type="dxa" w:w="950"/>
            <w:vAlign w:val="top"/>
          </w:tcPr>
          <w:p>
            <w:pPr>
              <w:spacing w:after="40" w:before="0" w:line="259" w:lineRule="auto"/>
            </w:pPr>
            <w:r>
              <w:rPr>
                <w:rFonts w:ascii="Calibri" w:hAnsi="Calibri"/>
                <w:b w:val="0"/>
                <w:i w:val="0"/>
                <w:color w:val="212121"/>
                <w:sz w:val="16"/>
              </w:rPr>
              <w:t>≥ 30 ng/mL</w:t>
            </w:r>
          </w:p>
        </w:tc>
        <w:tc>
          <w:tcPr>
            <w:tcW w:type="dxa" w:w="950"/>
            <w:vAlign w:val="top"/>
          </w:tcPr>
          <w:p>
            <w:pPr>
              <w:spacing w:after="40" w:before="0" w:line="259" w:lineRule="auto"/>
            </w:pPr>
            <w:r>
              <w:rPr>
                <w:rFonts w:ascii="Calibri" w:hAnsi="Calibri"/>
                <w:b w:val="0"/>
                <w:i w:val="0"/>
                <w:color w:val="212121"/>
                <w:sz w:val="16"/>
              </w:rPr>
              <w:t>&lt; 20 ng/mL</w:t>
            </w:r>
          </w:p>
        </w:tc>
        <w:tc>
          <w:tcPr>
            <w:tcW w:type="dxa" w:w="1036"/>
            <w:vAlign w:val="top"/>
          </w:tcPr>
          <w:p>
            <w:pPr>
              <w:spacing w:after="40" w:before="0" w:line="259" w:lineRule="auto"/>
            </w:pPr>
            <w:r>
              <w:rPr>
                <w:rFonts w:ascii="Calibri" w:hAnsi="Calibri"/>
                <w:b w:val="0"/>
                <w:i w:val="0"/>
                <w:color w:val="212121"/>
                <w:sz w:val="16"/>
              </w:rPr>
              <w:t>Deficiency impairs muscle strength and increases falls; correctable</w:t>
            </w:r>
          </w:p>
        </w:tc>
        <w:tc>
          <w:tcPr>
            <w:tcW w:type="dxa" w:w="1036"/>
            <w:vAlign w:val="top"/>
          </w:tcPr>
          <w:p>
            <w:pPr>
              <w:spacing w:after="40" w:before="0" w:line="259" w:lineRule="auto"/>
            </w:pPr>
            <w:r>
              <w:rPr>
                <w:rFonts w:ascii="Calibri" w:hAnsi="Calibri"/>
                <w:b w:val="0"/>
                <w:i w:val="0"/>
                <w:color w:val="212121"/>
                <w:sz w:val="16"/>
              </w:rPr>
              <w:t>Elderly, rural, housebound, veiled/low-sun</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Modifiable</w:t>
            </w:r>
          </w:p>
        </w:tc>
        <w:tc>
          <w:tcPr>
            <w:tcW w:type="dxa" w:w="720"/>
            <w:vAlign w:val="top"/>
          </w:tcPr>
          <w:p>
            <w:pPr>
              <w:spacing w:after="40" w:before="0" w:line="259" w:lineRule="auto"/>
            </w:pPr>
            <w:r>
              <w:rPr>
                <w:rFonts w:ascii="Calibri" w:hAnsi="Calibri"/>
                <w:b w:val="0"/>
                <w:i w:val="0"/>
                <w:color w:val="212121"/>
                <w:sz w:val="16"/>
              </w:rPr>
              <w:t>Very common deficiency in India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albumin / prealbumin</w:t>
            </w:r>
          </w:p>
        </w:tc>
        <w:tc>
          <w:tcPr>
            <w:tcW w:type="dxa" w:w="892"/>
            <w:vAlign w:val="top"/>
          </w:tcPr>
          <w:p>
            <w:pPr>
              <w:spacing w:after="40" w:before="0" w:line="259" w:lineRule="auto"/>
            </w:pPr>
            <w:r>
              <w:rPr>
                <w:rFonts w:ascii="Calibri" w:hAnsi="Calibri"/>
                <w:b w:val="0"/>
                <w:i w:val="0"/>
                <w:color w:val="212121"/>
                <w:sz w:val="16"/>
              </w:rPr>
              <w:t>Nutritional panel</w:t>
            </w:r>
          </w:p>
        </w:tc>
        <w:tc>
          <w:tcPr>
            <w:tcW w:type="dxa" w:w="950"/>
            <w:vAlign w:val="top"/>
          </w:tcPr>
          <w:p>
            <w:pPr>
              <w:spacing w:after="40" w:before="0" w:line="259" w:lineRule="auto"/>
            </w:pPr>
            <w:r>
              <w:rPr>
                <w:rFonts w:ascii="Calibri" w:hAnsi="Calibri"/>
                <w:b w:val="0"/>
                <w:i w:val="0"/>
                <w:color w:val="212121"/>
                <w:sz w:val="16"/>
              </w:rPr>
              <w:t>Albumin 3.5-5.0 g/dL</w:t>
            </w:r>
          </w:p>
        </w:tc>
        <w:tc>
          <w:tcPr>
            <w:tcW w:type="dxa" w:w="950"/>
            <w:vAlign w:val="top"/>
          </w:tcPr>
          <w:p>
            <w:pPr>
              <w:spacing w:after="40" w:before="0" w:line="259" w:lineRule="auto"/>
            </w:pPr>
            <w:r>
              <w:rPr>
                <w:rFonts w:ascii="Calibri" w:hAnsi="Calibri"/>
                <w:b w:val="0"/>
                <w:i w:val="0"/>
                <w:color w:val="212121"/>
                <w:sz w:val="16"/>
              </w:rPr>
              <w:t>&lt; 3.5 g/dL</w:t>
            </w:r>
          </w:p>
        </w:tc>
        <w:tc>
          <w:tcPr>
            <w:tcW w:type="dxa" w:w="1036"/>
            <w:vAlign w:val="top"/>
          </w:tcPr>
          <w:p>
            <w:pPr>
              <w:spacing w:after="40" w:before="0" w:line="259" w:lineRule="auto"/>
            </w:pPr>
            <w:r>
              <w:rPr>
                <w:rFonts w:ascii="Calibri" w:hAnsi="Calibri"/>
                <w:b w:val="0"/>
                <w:i w:val="0"/>
                <w:color w:val="212121"/>
                <w:sz w:val="16"/>
              </w:rPr>
              <w:t>Marker of protein-energy undernutrition and inflammation</w:t>
            </w:r>
          </w:p>
        </w:tc>
        <w:tc>
          <w:tcPr>
            <w:tcW w:type="dxa" w:w="1036"/>
            <w:vAlign w:val="top"/>
          </w:tcPr>
          <w:p>
            <w:pPr>
              <w:spacing w:after="40" w:before="0" w:line="259" w:lineRule="auto"/>
            </w:pPr>
            <w:r>
              <w:rPr>
                <w:rFonts w:ascii="Calibri" w:hAnsi="Calibri"/>
                <w:b w:val="0"/>
                <w:i w:val="0"/>
                <w:color w:val="212121"/>
                <w:sz w:val="16"/>
              </w:rPr>
              <w:t>Undernourished, chronic disease, dialysis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Low levels flag nutrition-related secondary sarcopenia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glucose / HbA1c</w:t>
            </w:r>
          </w:p>
        </w:tc>
        <w:tc>
          <w:tcPr>
            <w:tcW w:type="dxa" w:w="892"/>
            <w:vAlign w:val="top"/>
          </w:tcPr>
          <w:p>
            <w:pPr>
              <w:spacing w:after="40" w:before="0" w:line="259" w:lineRule="auto"/>
            </w:pPr>
            <w:r>
              <w:rPr>
                <w:rFonts w:ascii="Calibri" w:hAnsi="Calibri"/>
                <w:b w:val="0"/>
                <w:i w:val="0"/>
                <w:color w:val="212121"/>
                <w:sz w:val="16"/>
              </w:rPr>
              <w:t>Glycaemic panel</w:t>
            </w:r>
          </w:p>
        </w:tc>
        <w:tc>
          <w:tcPr>
            <w:tcW w:type="dxa" w:w="950"/>
            <w:vAlign w:val="top"/>
          </w:tcPr>
          <w:p>
            <w:pPr>
              <w:spacing w:after="40" w:before="0" w:line="259" w:lineRule="auto"/>
            </w:pPr>
            <w:r>
              <w:rPr>
                <w:rFonts w:ascii="Calibri" w:hAnsi="Calibri"/>
                <w:b w:val="0"/>
                <w:i w:val="0"/>
                <w:color w:val="212121"/>
                <w:sz w:val="16"/>
              </w:rPr>
              <w:t>HbA1c &lt; 5.7%</w:t>
            </w:r>
          </w:p>
        </w:tc>
        <w:tc>
          <w:tcPr>
            <w:tcW w:type="dxa" w:w="950"/>
            <w:vAlign w:val="top"/>
          </w:tcPr>
          <w:p>
            <w:pPr>
              <w:spacing w:after="40" w:before="0" w:line="259" w:lineRule="auto"/>
            </w:pPr>
            <w:r>
              <w:rPr>
                <w:rFonts w:ascii="Calibri" w:hAnsi="Calibri"/>
                <w:b w:val="0"/>
                <w:i w:val="0"/>
                <w:color w:val="212121"/>
                <w:sz w:val="16"/>
              </w:rPr>
              <w:t>HbA1c ≥ 6.5%</w:t>
            </w:r>
          </w:p>
        </w:tc>
        <w:tc>
          <w:tcPr>
            <w:tcW w:type="dxa" w:w="1036"/>
            <w:vAlign w:val="top"/>
          </w:tcPr>
          <w:p>
            <w:pPr>
              <w:spacing w:after="40" w:before="0" w:line="259" w:lineRule="auto"/>
            </w:pPr>
            <w:r>
              <w:rPr>
                <w:rFonts w:ascii="Calibri" w:hAnsi="Calibri"/>
                <w:b w:val="0"/>
                <w:i w:val="0"/>
                <w:color w:val="212121"/>
                <w:sz w:val="16"/>
              </w:rPr>
              <w:t>Screens for T2DM/insulin resistance driving muscle loss and sarcopenic obesity</w:t>
            </w:r>
          </w:p>
        </w:tc>
        <w:tc>
          <w:tcPr>
            <w:tcW w:type="dxa" w:w="1036"/>
            <w:vAlign w:val="top"/>
          </w:tcPr>
          <w:p>
            <w:pPr>
              <w:spacing w:after="40" w:before="0" w:line="259" w:lineRule="auto"/>
            </w:pPr>
            <w:r>
              <w:rPr>
                <w:rFonts w:ascii="Calibri" w:hAnsi="Calibri"/>
                <w:b w:val="0"/>
                <w:i w:val="0"/>
                <w:color w:val="212121"/>
                <w:sz w:val="16"/>
              </w:rPr>
              <w:t>Sarcopenic obesity, older adults</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Diabetes and sarcopenia are bidirectional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creatinine / eGFR</w:t>
            </w:r>
          </w:p>
        </w:tc>
        <w:tc>
          <w:tcPr>
            <w:tcW w:type="dxa" w:w="892"/>
            <w:vAlign w:val="top"/>
          </w:tcPr>
          <w:p>
            <w:pPr>
              <w:spacing w:after="40" w:before="0" w:line="259" w:lineRule="auto"/>
            </w:pPr>
            <w:r>
              <w:rPr>
                <w:rFonts w:ascii="Calibri" w:hAnsi="Calibri"/>
                <w:b w:val="0"/>
                <w:i w:val="0"/>
                <w:color w:val="212121"/>
                <w:sz w:val="16"/>
              </w:rPr>
              <w:t>Renal panel</w:t>
            </w:r>
          </w:p>
        </w:tc>
        <w:tc>
          <w:tcPr>
            <w:tcW w:type="dxa" w:w="950"/>
            <w:vAlign w:val="top"/>
          </w:tcPr>
          <w:p>
            <w:pPr>
              <w:spacing w:after="40" w:before="0" w:line="259" w:lineRule="auto"/>
            </w:pPr>
            <w:r>
              <w:rPr>
                <w:rFonts w:ascii="Calibri" w:hAnsi="Calibri"/>
                <w:b w:val="0"/>
                <w:i w:val="0"/>
                <w:color w:val="212121"/>
                <w:sz w:val="16"/>
              </w:rPr>
              <w:t>eGFR ≥ 60 mL/min/1.73m²</w:t>
            </w:r>
          </w:p>
        </w:tc>
        <w:tc>
          <w:tcPr>
            <w:tcW w:type="dxa" w:w="950"/>
            <w:vAlign w:val="top"/>
          </w:tcPr>
          <w:p>
            <w:pPr>
              <w:spacing w:after="40" w:before="0" w:line="259" w:lineRule="auto"/>
            </w:pPr>
            <w:r>
              <w:rPr>
                <w:rFonts w:ascii="Calibri" w:hAnsi="Calibri"/>
                <w:b w:val="0"/>
                <w:i w:val="0"/>
                <w:color w:val="212121"/>
                <w:sz w:val="16"/>
              </w:rPr>
              <w:t>eGFR &lt; 60</w:t>
            </w:r>
          </w:p>
        </w:tc>
        <w:tc>
          <w:tcPr>
            <w:tcW w:type="dxa" w:w="1036"/>
            <w:vAlign w:val="top"/>
          </w:tcPr>
          <w:p>
            <w:pPr>
              <w:spacing w:after="40" w:before="0" w:line="259" w:lineRule="auto"/>
            </w:pPr>
            <w:r>
              <w:rPr>
                <w:rFonts w:ascii="Calibri" w:hAnsi="Calibri"/>
                <w:b w:val="0"/>
                <w:i w:val="0"/>
                <w:color w:val="212121"/>
                <w:sz w:val="16"/>
              </w:rPr>
              <w:t>Assesses CKD (a driver); note low creatinine may itself reflect low muscle mass</w:t>
            </w:r>
          </w:p>
        </w:tc>
        <w:tc>
          <w:tcPr>
            <w:tcW w:type="dxa" w:w="1036"/>
            <w:vAlign w:val="top"/>
          </w:tcPr>
          <w:p>
            <w:pPr>
              <w:spacing w:after="40" w:before="0" w:line="259" w:lineRule="auto"/>
            </w:pPr>
            <w:r>
              <w:rPr>
                <w:rFonts w:ascii="Calibri" w:hAnsi="Calibri"/>
                <w:b w:val="0"/>
                <w:i w:val="0"/>
                <w:color w:val="212121"/>
                <w:sz w:val="16"/>
              </w:rPr>
              <w:t>CKD, dialysis, elderly</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Interpret creatinine in light of muscle mass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CRP / IL-6 (inflammatory markers)</w:t>
            </w:r>
          </w:p>
        </w:tc>
        <w:tc>
          <w:tcPr>
            <w:tcW w:type="dxa" w:w="892"/>
            <w:vAlign w:val="top"/>
          </w:tcPr>
          <w:p>
            <w:pPr>
              <w:spacing w:after="40" w:before="0" w:line="259" w:lineRule="auto"/>
            </w:pPr>
            <w:r>
              <w:rPr>
                <w:rFonts w:ascii="Calibri" w:hAnsi="Calibri"/>
                <w:b w:val="0"/>
                <w:i w:val="0"/>
                <w:color w:val="212121"/>
                <w:sz w:val="16"/>
              </w:rPr>
              <w:t>Inflammation panel</w:t>
            </w:r>
          </w:p>
        </w:tc>
        <w:tc>
          <w:tcPr>
            <w:tcW w:type="dxa" w:w="950"/>
            <w:vAlign w:val="top"/>
          </w:tcPr>
          <w:p>
            <w:pPr>
              <w:spacing w:after="40" w:before="0" w:line="259" w:lineRule="auto"/>
            </w:pPr>
            <w:r>
              <w:rPr>
                <w:rFonts w:ascii="Calibri" w:hAnsi="Calibri"/>
                <w:b w:val="0"/>
                <w:i w:val="0"/>
                <w:color w:val="212121"/>
                <w:sz w:val="16"/>
              </w:rPr>
              <w:t>CRP &lt; 3 mg/L</w:t>
            </w:r>
          </w:p>
        </w:tc>
        <w:tc>
          <w:tcPr>
            <w:tcW w:type="dxa" w:w="950"/>
            <w:vAlign w:val="top"/>
          </w:tcPr>
          <w:p>
            <w:pPr>
              <w:spacing w:after="40" w:before="0" w:line="259" w:lineRule="auto"/>
            </w:pPr>
            <w:r>
              <w:rPr>
                <w:rFonts w:ascii="Calibri" w:hAnsi="Calibri"/>
                <w:b w:val="0"/>
                <w:i w:val="0"/>
                <w:color w:val="212121"/>
                <w:sz w:val="16"/>
              </w:rPr>
              <w:t>Persistently elevated</w:t>
            </w:r>
          </w:p>
        </w:tc>
        <w:tc>
          <w:tcPr>
            <w:tcW w:type="dxa" w:w="1036"/>
            <w:vAlign w:val="top"/>
          </w:tcPr>
          <w:p>
            <w:pPr>
              <w:spacing w:after="40" w:before="0" w:line="259" w:lineRule="auto"/>
            </w:pPr>
            <w:r>
              <w:rPr>
                <w:rFonts w:ascii="Calibri" w:hAnsi="Calibri"/>
                <w:b w:val="0"/>
                <w:i w:val="0"/>
                <w:color w:val="212121"/>
                <w:sz w:val="16"/>
              </w:rPr>
              <w:t>Chronic inflammation ('inflammaging') indicates catabolic drive</w:t>
            </w:r>
          </w:p>
        </w:tc>
        <w:tc>
          <w:tcPr>
            <w:tcW w:type="dxa" w:w="1036"/>
            <w:vAlign w:val="top"/>
          </w:tcPr>
          <w:p>
            <w:pPr>
              <w:spacing w:after="40" w:before="0" w:line="259" w:lineRule="auto"/>
            </w:pPr>
            <w:r>
              <w:rPr>
                <w:rFonts w:ascii="Calibri" w:hAnsi="Calibri"/>
                <w:b w:val="0"/>
                <w:i w:val="0"/>
                <w:color w:val="212121"/>
                <w:sz w:val="16"/>
              </w:rPr>
              <w:t>Chronic disease, cancer, HF, COPD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Research/adjunct</w:t>
            </w:r>
          </w:p>
        </w:tc>
        <w:tc>
          <w:tcPr>
            <w:tcW w:type="dxa" w:w="720"/>
            <w:vAlign w:val="top"/>
          </w:tcPr>
          <w:p>
            <w:pPr>
              <w:spacing w:after="40" w:before="0" w:line="259" w:lineRule="auto"/>
            </w:pPr>
            <w:r>
              <w:rPr>
                <w:rFonts w:ascii="Calibri" w:hAnsi="Calibri"/>
                <w:b w:val="0"/>
                <w:i w:val="0"/>
                <w:color w:val="212121"/>
                <w:sz w:val="16"/>
              </w:rPr>
              <w:t>Supports secondary/disease-related sarcopenia</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Screening questionnaire</w:t>
            </w:r>
          </w:p>
        </w:tc>
        <w:tc>
          <w:tcPr>
            <w:tcW w:type="dxa" w:w="950"/>
            <w:vAlign w:val="top"/>
          </w:tcPr>
          <w:p>
            <w:pPr>
              <w:spacing w:after="40" w:before="0" w:line="259" w:lineRule="auto"/>
            </w:pPr>
            <w:r>
              <w:rPr>
                <w:rFonts w:ascii="Calibri" w:hAnsi="Calibri"/>
                <w:b w:val="0"/>
                <w:i w:val="0"/>
                <w:color w:val="212121"/>
                <w:sz w:val="16"/>
              </w:rPr>
              <w:t>SARC-F / SARC-CalF</w:t>
            </w:r>
          </w:p>
        </w:tc>
        <w:tc>
          <w:tcPr>
            <w:tcW w:type="dxa" w:w="979"/>
            <w:vAlign w:val="top"/>
          </w:tcPr>
          <w:p>
            <w:pPr>
              <w:spacing w:after="40" w:before="0" w:line="259" w:lineRule="auto"/>
            </w:pPr>
            <w:r>
              <w:rPr>
                <w:rFonts w:ascii="Calibri" w:hAnsi="Calibri"/>
                <w:b w:val="0"/>
                <w:i w:val="0"/>
                <w:color w:val="212121"/>
                <w:sz w:val="16"/>
              </w:rPr>
              <w:t>Strength, Assistance walking, Rise from chair, Climb stairs, Falls</w:t>
            </w:r>
          </w:p>
        </w:tc>
        <w:tc>
          <w:tcPr>
            <w:tcW w:type="dxa" w:w="950"/>
            <w:vAlign w:val="top"/>
          </w:tcPr>
          <w:p>
            <w:pPr>
              <w:spacing w:after="40" w:before="0" w:line="259" w:lineRule="auto"/>
            </w:pPr>
            <w:r>
              <w:rPr>
                <w:rFonts w:ascii="Calibri" w:hAnsi="Calibri"/>
                <w:b w:val="0"/>
                <w:i w:val="0"/>
                <w:color w:val="212121"/>
                <w:sz w:val="16"/>
              </w:rPr>
              <w:t>SARC-F &lt; 4</w:t>
            </w:r>
          </w:p>
        </w:tc>
        <w:tc>
          <w:tcPr>
            <w:tcW w:type="dxa" w:w="950"/>
            <w:vAlign w:val="top"/>
          </w:tcPr>
          <w:p>
            <w:pPr>
              <w:spacing w:after="40" w:before="0" w:line="259" w:lineRule="auto"/>
            </w:pPr>
            <w:r>
              <w:rPr>
                <w:rFonts w:ascii="Calibri" w:hAnsi="Calibri"/>
                <w:b w:val="0"/>
                <w:i w:val="0"/>
                <w:color w:val="212121"/>
                <w:sz w:val="16"/>
              </w:rPr>
              <w:t>SARC-F ≥ 4 (or SARC-CalF ≥ 11)</w:t>
            </w:r>
          </w:p>
        </w:tc>
        <w:tc>
          <w:tcPr>
            <w:tcW w:type="dxa" w:w="1036"/>
            <w:vAlign w:val="top"/>
          </w:tcPr>
          <w:p>
            <w:pPr>
              <w:spacing w:after="40" w:before="0" w:line="259" w:lineRule="auto"/>
            </w:pPr>
            <w:r>
              <w:rPr>
                <w:rFonts w:ascii="Calibri" w:hAnsi="Calibri"/>
                <w:b w:val="0"/>
                <w:i w:val="0"/>
                <w:color w:val="212121"/>
                <w:sz w:val="16"/>
              </w:rPr>
              <w:t>Case-finding tool triggering formal assessment</w:t>
            </w:r>
          </w:p>
        </w:tc>
        <w:tc>
          <w:tcPr>
            <w:tcW w:type="dxa" w:w="1036"/>
            <w:vAlign w:val="top"/>
          </w:tcPr>
          <w:p>
            <w:pPr>
              <w:spacing w:after="40" w:before="0" w:line="259" w:lineRule="auto"/>
            </w:pPr>
            <w:r>
              <w:rPr>
                <w:rFonts w:ascii="Calibri" w:hAnsi="Calibri"/>
                <w:b w:val="0"/>
                <w:i w:val="0"/>
                <w:color w:val="212121"/>
                <w:sz w:val="16"/>
              </w:rPr>
              <w:t>All older adults, primary care, community</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Simple, low-cost, self-reportable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Weakness, fatigue, falls, slow walking, difficulty rising</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present</w:t>
            </w:r>
          </w:p>
        </w:tc>
        <w:tc>
          <w:tcPr>
            <w:tcW w:type="dxa" w:w="1036"/>
            <w:vAlign w:val="top"/>
          </w:tcPr>
          <w:p>
            <w:pPr>
              <w:spacing w:after="40" w:before="0" w:line="259" w:lineRule="auto"/>
            </w:pPr>
            <w:r>
              <w:rPr>
                <w:rFonts w:ascii="Calibri" w:hAnsi="Calibri"/>
                <w:b w:val="0"/>
                <w:i w:val="0"/>
                <w:color w:val="212121"/>
                <w:sz w:val="16"/>
              </w:rPr>
              <w:t>Functional decline suggestive of sarcopenia</w:t>
            </w:r>
          </w:p>
        </w:tc>
        <w:tc>
          <w:tcPr>
            <w:tcW w:type="dxa" w:w="1036"/>
            <w:vAlign w:val="top"/>
          </w:tcPr>
          <w:p>
            <w:pPr>
              <w:spacing w:after="40" w:before="0" w:line="259" w:lineRule="auto"/>
            </w:pPr>
            <w:r>
              <w:rPr>
                <w:rFonts w:ascii="Calibri" w:hAnsi="Calibri"/>
                <w:b w:val="0"/>
                <w:i w:val="0"/>
                <w:color w:val="212121"/>
                <w:sz w:val="16"/>
              </w:rPr>
              <w:t>Elderly, chronic disease</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Often under-reported as 'just ageing'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Nutritional &amp; weight history</w:t>
            </w:r>
          </w:p>
        </w:tc>
        <w:tc>
          <w:tcPr>
            <w:tcW w:type="dxa" w:w="979"/>
            <w:vAlign w:val="top"/>
          </w:tcPr>
          <w:p>
            <w:pPr>
              <w:spacing w:after="40" w:before="0" w:line="259" w:lineRule="auto"/>
            </w:pPr>
            <w:r>
              <w:rPr>
                <w:rFonts w:ascii="Calibri" w:hAnsi="Calibri"/>
                <w:b w:val="0"/>
                <w:i w:val="0"/>
                <w:color w:val="212121"/>
                <w:sz w:val="16"/>
              </w:rPr>
              <w:t>Protein intake, appetite, unintentional weight loss</w:t>
            </w:r>
          </w:p>
        </w:tc>
        <w:tc>
          <w:tcPr>
            <w:tcW w:type="dxa" w:w="950"/>
            <w:vAlign w:val="top"/>
          </w:tcPr>
          <w:p>
            <w:pPr>
              <w:spacing w:after="40" w:before="0" w:line="259" w:lineRule="auto"/>
            </w:pPr>
            <w:r>
              <w:rPr>
                <w:rFonts w:ascii="Calibri" w:hAnsi="Calibri"/>
                <w:b w:val="0"/>
                <w:i w:val="0"/>
                <w:color w:val="212121"/>
                <w:sz w:val="16"/>
              </w:rPr>
              <w:t>Stable weight, adequate protein</w:t>
            </w:r>
          </w:p>
        </w:tc>
        <w:tc>
          <w:tcPr>
            <w:tcW w:type="dxa" w:w="950"/>
            <w:vAlign w:val="top"/>
          </w:tcPr>
          <w:p>
            <w:pPr>
              <w:spacing w:after="40" w:before="0" w:line="259" w:lineRule="auto"/>
            </w:pPr>
            <w:r>
              <w:rPr>
                <w:rFonts w:ascii="Calibri" w:hAnsi="Calibri"/>
                <w:b w:val="0"/>
                <w:i w:val="0"/>
                <w:color w:val="212121"/>
                <w:sz w:val="16"/>
              </w:rPr>
              <w:t>Weight loss, poor intake (MNA low)</w:t>
            </w:r>
          </w:p>
        </w:tc>
        <w:tc>
          <w:tcPr>
            <w:tcW w:type="dxa" w:w="1036"/>
            <w:vAlign w:val="top"/>
          </w:tcPr>
          <w:p>
            <w:pPr>
              <w:spacing w:after="40" w:before="0" w:line="259" w:lineRule="auto"/>
            </w:pPr>
            <w:r>
              <w:rPr>
                <w:rFonts w:ascii="Calibri" w:hAnsi="Calibri"/>
                <w:b w:val="0"/>
                <w:i w:val="0"/>
                <w:color w:val="212121"/>
                <w:sz w:val="16"/>
              </w:rPr>
              <w:t>Identifies nutrition-related secondary sarcopenia</w:t>
            </w:r>
          </w:p>
        </w:tc>
        <w:tc>
          <w:tcPr>
            <w:tcW w:type="dxa" w:w="1036"/>
            <w:vAlign w:val="top"/>
          </w:tcPr>
          <w:p>
            <w:pPr>
              <w:spacing w:after="40" w:before="0" w:line="259" w:lineRule="auto"/>
            </w:pPr>
            <w:r>
              <w:rPr>
                <w:rFonts w:ascii="Calibri" w:hAnsi="Calibri"/>
                <w:b w:val="0"/>
                <w:i w:val="0"/>
                <w:color w:val="212121"/>
                <w:sz w:val="16"/>
              </w:rPr>
              <w:t>Undernourished, vegetarian, food-insecure</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Use Mini Nutritional Assessment (MNA)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performance</w:t>
            </w:r>
          </w:p>
        </w:tc>
        <w:tc>
          <w:tcPr>
            <w:tcW w:type="dxa" w:w="950"/>
            <w:vAlign w:val="top"/>
          </w:tcPr>
          <w:p>
            <w:pPr>
              <w:spacing w:after="40" w:before="0" w:line="259" w:lineRule="auto"/>
            </w:pPr>
            <w:r>
              <w:rPr>
                <w:rFonts w:ascii="Calibri" w:hAnsi="Calibri"/>
                <w:b w:val="0"/>
                <w:i w:val="0"/>
                <w:color w:val="212121"/>
                <w:sz w:val="16"/>
              </w:rPr>
              <w:t>Functional testing</w:t>
            </w:r>
          </w:p>
        </w:tc>
        <w:tc>
          <w:tcPr>
            <w:tcW w:type="dxa" w:w="979"/>
            <w:vAlign w:val="top"/>
          </w:tcPr>
          <w:p>
            <w:pPr>
              <w:spacing w:after="40" w:before="0" w:line="259" w:lineRule="auto"/>
            </w:pPr>
            <w:r>
              <w:rPr>
                <w:rFonts w:ascii="Calibri" w:hAnsi="Calibri"/>
                <w:b w:val="0"/>
                <w:i w:val="0"/>
                <w:color w:val="212121"/>
                <w:sz w:val="16"/>
              </w:rPr>
              <w:t>Gait speed / SPPB / Timed Up-and-Go</w:t>
            </w:r>
          </w:p>
        </w:tc>
        <w:tc>
          <w:tcPr>
            <w:tcW w:type="dxa" w:w="950"/>
            <w:vAlign w:val="top"/>
          </w:tcPr>
          <w:p>
            <w:pPr>
              <w:spacing w:after="40" w:before="0" w:line="259" w:lineRule="auto"/>
            </w:pPr>
            <w:r>
              <w:rPr>
                <w:rFonts w:ascii="Calibri" w:hAnsi="Calibri"/>
                <w:b w:val="0"/>
                <w:i w:val="0"/>
                <w:color w:val="212121"/>
                <w:sz w:val="16"/>
              </w:rPr>
              <w:t>Gait ≥ 1.0 m/s; SPPB &gt; 9; TUG &lt; 12 s</w:t>
            </w:r>
          </w:p>
        </w:tc>
        <w:tc>
          <w:tcPr>
            <w:tcW w:type="dxa" w:w="950"/>
            <w:vAlign w:val="top"/>
          </w:tcPr>
          <w:p>
            <w:pPr>
              <w:spacing w:after="40" w:before="0" w:line="259" w:lineRule="auto"/>
            </w:pPr>
            <w:r>
              <w:rPr>
                <w:rFonts w:ascii="Calibri" w:hAnsi="Calibri"/>
                <w:b w:val="0"/>
                <w:i w:val="0"/>
                <w:color w:val="212121"/>
                <w:sz w:val="16"/>
              </w:rPr>
              <w:t>Gait &lt; 1.0 m/s; SPPB ≤ 9; TUG ≥ 12 s</w:t>
            </w:r>
          </w:p>
        </w:tc>
        <w:tc>
          <w:tcPr>
            <w:tcW w:type="dxa" w:w="1036"/>
            <w:vAlign w:val="top"/>
          </w:tcPr>
          <w:p>
            <w:pPr>
              <w:spacing w:after="40" w:before="0" w:line="259" w:lineRule="auto"/>
            </w:pPr>
            <w:r>
              <w:rPr>
                <w:rFonts w:ascii="Calibri" w:hAnsi="Calibri"/>
                <w:b w:val="0"/>
                <w:i w:val="0"/>
                <w:color w:val="212121"/>
                <w:sz w:val="16"/>
              </w:rPr>
              <w:t>Low physical performance defines severity and fall risk</w:t>
            </w:r>
          </w:p>
        </w:tc>
        <w:tc>
          <w:tcPr>
            <w:tcW w:type="dxa" w:w="1036"/>
            <w:vAlign w:val="top"/>
          </w:tcPr>
          <w:p>
            <w:pPr>
              <w:spacing w:after="40" w:before="0" w:line="259" w:lineRule="auto"/>
            </w:pPr>
            <w:r>
              <w:rPr>
                <w:rFonts w:ascii="Calibri" w:hAnsi="Calibri"/>
                <w:b w:val="0"/>
                <w:i w:val="0"/>
                <w:color w:val="212121"/>
                <w:sz w:val="16"/>
              </w:rPr>
              <w:t>Elderly, fall-risk, pre-op</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TUG also flags fall risk</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Anthropometry</w:t>
            </w:r>
          </w:p>
        </w:tc>
        <w:tc>
          <w:tcPr>
            <w:tcW w:type="dxa" w:w="950"/>
            <w:vAlign w:val="top"/>
          </w:tcPr>
          <w:p>
            <w:pPr>
              <w:spacing w:after="40" w:before="0" w:line="259" w:lineRule="auto"/>
            </w:pPr>
            <w:r>
              <w:rPr>
                <w:rFonts w:ascii="Calibri" w:hAnsi="Calibri"/>
                <w:b w:val="0"/>
                <w:i w:val="0"/>
                <w:color w:val="212121"/>
                <w:sz w:val="16"/>
              </w:rPr>
              <w:t>Tape measurement</w:t>
            </w:r>
          </w:p>
        </w:tc>
        <w:tc>
          <w:tcPr>
            <w:tcW w:type="dxa" w:w="979"/>
            <w:vAlign w:val="top"/>
          </w:tcPr>
          <w:p>
            <w:pPr>
              <w:spacing w:after="40" w:before="0" w:line="259" w:lineRule="auto"/>
            </w:pPr>
            <w:r>
              <w:rPr>
                <w:rFonts w:ascii="Calibri" w:hAnsi="Calibri"/>
                <w:b w:val="0"/>
                <w:i w:val="0"/>
                <w:color w:val="212121"/>
                <w:sz w:val="16"/>
              </w:rPr>
              <w:t>Calf circumference / mid-arm muscle circumference</w:t>
            </w:r>
          </w:p>
        </w:tc>
        <w:tc>
          <w:tcPr>
            <w:tcW w:type="dxa" w:w="950"/>
            <w:vAlign w:val="top"/>
          </w:tcPr>
          <w:p>
            <w:pPr>
              <w:spacing w:after="40" w:before="0" w:line="259" w:lineRule="auto"/>
            </w:pPr>
            <w:r>
              <w:rPr>
                <w:rFonts w:ascii="Calibri" w:hAnsi="Calibri"/>
                <w:b w:val="0"/>
                <w:i w:val="0"/>
                <w:color w:val="212121"/>
                <w:sz w:val="16"/>
              </w:rPr>
              <w:t>Calf ≥ 34 cm (M) / ≥ 33 cm (F)</w:t>
            </w:r>
          </w:p>
        </w:tc>
        <w:tc>
          <w:tcPr>
            <w:tcW w:type="dxa" w:w="950"/>
            <w:vAlign w:val="top"/>
          </w:tcPr>
          <w:p>
            <w:pPr>
              <w:spacing w:after="40" w:before="0" w:line="259" w:lineRule="auto"/>
            </w:pPr>
            <w:r>
              <w:rPr>
                <w:rFonts w:ascii="Calibri" w:hAnsi="Calibri"/>
                <w:b w:val="0"/>
                <w:i w:val="0"/>
                <w:color w:val="212121"/>
                <w:sz w:val="16"/>
              </w:rPr>
              <w:t>Below cut-off</w:t>
            </w:r>
          </w:p>
        </w:tc>
        <w:tc>
          <w:tcPr>
            <w:tcW w:type="dxa" w:w="1036"/>
            <w:vAlign w:val="top"/>
          </w:tcPr>
          <w:p>
            <w:pPr>
              <w:spacing w:after="40" w:before="0" w:line="259" w:lineRule="auto"/>
            </w:pPr>
            <w:r>
              <w:rPr>
                <w:rFonts w:ascii="Calibri" w:hAnsi="Calibri"/>
                <w:b w:val="0"/>
                <w:i w:val="0"/>
                <w:color w:val="212121"/>
                <w:sz w:val="16"/>
              </w:rPr>
              <w:t>Bedside surrogate for muscle mass in resource-limited settings</w:t>
            </w:r>
          </w:p>
        </w:tc>
        <w:tc>
          <w:tcPr>
            <w:tcW w:type="dxa" w:w="1036"/>
            <w:vAlign w:val="top"/>
          </w:tcPr>
          <w:p>
            <w:pPr>
              <w:spacing w:after="40" w:before="0" w:line="259" w:lineRule="auto"/>
            </w:pPr>
            <w:r>
              <w:rPr>
                <w:rFonts w:ascii="Calibri" w:hAnsi="Calibri"/>
                <w:b w:val="0"/>
                <w:i w:val="0"/>
                <w:color w:val="212121"/>
                <w:sz w:val="16"/>
              </w:rPr>
              <w:t>Rural, community, bedbound</w:t>
            </w:r>
          </w:p>
        </w:tc>
        <w:tc>
          <w:tcPr>
            <w:tcW w:type="dxa" w:w="720"/>
            <w:vAlign w:val="top"/>
          </w:tcPr>
          <w:p>
            <w:pPr>
              <w:spacing w:after="40" w:before="0" w:line="259" w:lineRule="auto"/>
            </w:pPr>
            <w:r>
              <w:rPr>
                <w:rFonts w:ascii="Calibri" w:hAnsi="Calibri"/>
                <w:b w:val="0"/>
                <w:i w:val="0"/>
                <w:color w:val="212121"/>
                <w:sz w:val="16"/>
              </w:rPr>
              <w:t>Physical activity; 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Adjust for oedema/obesity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Inspection/palpation</w:t>
            </w:r>
          </w:p>
        </w:tc>
        <w:tc>
          <w:tcPr>
            <w:tcW w:type="dxa" w:w="950"/>
            <w:vAlign w:val="top"/>
          </w:tcPr>
          <w:p>
            <w:pPr>
              <w:spacing w:after="40" w:before="0" w:line="259" w:lineRule="auto"/>
            </w:pPr>
            <w:r>
              <w:rPr>
                <w:rFonts w:ascii="Calibri" w:hAnsi="Calibri"/>
                <w:b w:val="0"/>
                <w:i w:val="0"/>
                <w:color w:val="212121"/>
                <w:sz w:val="16"/>
              </w:rPr>
              <w:t>General examination</w:t>
            </w:r>
          </w:p>
        </w:tc>
        <w:tc>
          <w:tcPr>
            <w:tcW w:type="dxa" w:w="979"/>
            <w:vAlign w:val="top"/>
          </w:tcPr>
          <w:p>
            <w:pPr>
              <w:spacing w:after="40" w:before="0" w:line="259" w:lineRule="auto"/>
            </w:pPr>
            <w:r>
              <w:rPr>
                <w:rFonts w:ascii="Calibri" w:hAnsi="Calibri"/>
                <w:b w:val="0"/>
                <w:i w:val="0"/>
                <w:color w:val="212121"/>
                <w:sz w:val="16"/>
              </w:rPr>
              <w:t>Muscle bulk (quadriceps, temporalis, interossei)</w:t>
            </w:r>
          </w:p>
        </w:tc>
        <w:tc>
          <w:tcPr>
            <w:tcW w:type="dxa" w:w="950"/>
            <w:vAlign w:val="top"/>
          </w:tcPr>
          <w:p>
            <w:pPr>
              <w:spacing w:after="40" w:before="0" w:line="259" w:lineRule="auto"/>
            </w:pPr>
            <w:r>
              <w:rPr>
                <w:rFonts w:ascii="Calibri" w:hAnsi="Calibri"/>
                <w:b w:val="0"/>
                <w:i w:val="0"/>
                <w:color w:val="212121"/>
                <w:sz w:val="16"/>
              </w:rPr>
              <w:t>Normal bulk &amp; tone</w:t>
            </w:r>
          </w:p>
        </w:tc>
        <w:tc>
          <w:tcPr>
            <w:tcW w:type="dxa" w:w="950"/>
            <w:vAlign w:val="top"/>
          </w:tcPr>
          <w:p>
            <w:pPr>
              <w:spacing w:after="40" w:before="0" w:line="259" w:lineRule="auto"/>
            </w:pPr>
            <w:r>
              <w:rPr>
                <w:rFonts w:ascii="Calibri" w:hAnsi="Calibri"/>
                <w:b w:val="0"/>
                <w:i w:val="0"/>
                <w:color w:val="212121"/>
                <w:sz w:val="16"/>
              </w:rPr>
              <w:t>Visible wasting/atrophy</w:t>
            </w:r>
          </w:p>
        </w:tc>
        <w:tc>
          <w:tcPr>
            <w:tcW w:type="dxa" w:w="1036"/>
            <w:vAlign w:val="top"/>
          </w:tcPr>
          <w:p>
            <w:pPr>
              <w:spacing w:after="40" w:before="0" w:line="259" w:lineRule="auto"/>
            </w:pPr>
            <w:r>
              <w:rPr>
                <w:rFonts w:ascii="Calibri" w:hAnsi="Calibri"/>
                <w:b w:val="0"/>
                <w:i w:val="0"/>
                <w:color w:val="212121"/>
                <w:sz w:val="16"/>
              </w:rPr>
              <w:t>Direct evidence of muscle loss</w:t>
            </w:r>
          </w:p>
        </w:tc>
        <w:tc>
          <w:tcPr>
            <w:tcW w:type="dxa" w:w="1036"/>
            <w:vAlign w:val="top"/>
          </w:tcPr>
          <w:p>
            <w:pPr>
              <w:spacing w:after="40" w:before="0" w:line="259" w:lineRule="auto"/>
            </w:pPr>
            <w:r>
              <w:rPr>
                <w:rFonts w:ascii="Calibri" w:hAnsi="Calibri"/>
                <w:b w:val="0"/>
                <w:i w:val="0"/>
                <w:color w:val="212121"/>
                <w:sz w:val="16"/>
              </w:rPr>
              <w:t>Advanced/severe, cachexia, cirrhosis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Assess alongside body-fat (sarcopenic obesity may mask it)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Comorbidity &amp; drug review</w:t>
            </w:r>
          </w:p>
        </w:tc>
        <w:tc>
          <w:tcPr>
            <w:tcW w:type="dxa" w:w="979"/>
            <w:vAlign w:val="top"/>
          </w:tcPr>
          <w:p>
            <w:pPr>
              <w:spacing w:after="40" w:before="0" w:line="259" w:lineRule="auto"/>
            </w:pPr>
            <w:r>
              <w:rPr>
                <w:rFonts w:ascii="Calibri" w:hAnsi="Calibri"/>
                <w:b w:val="0"/>
                <w:i w:val="0"/>
                <w:color w:val="212121"/>
                <w:sz w:val="16"/>
              </w:rPr>
              <w:t>T2DM, COPD, CKD, HF, cancer; steroids, ADT</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Chronic disease or catabolic drugs present</w:t>
            </w:r>
          </w:p>
        </w:tc>
        <w:tc>
          <w:tcPr>
            <w:tcW w:type="dxa" w:w="1036"/>
            <w:vAlign w:val="top"/>
          </w:tcPr>
          <w:p>
            <w:pPr>
              <w:spacing w:after="40" w:before="0" w:line="259" w:lineRule="auto"/>
            </w:pPr>
            <w:r>
              <w:rPr>
                <w:rFonts w:ascii="Calibri" w:hAnsi="Calibri"/>
                <w:b w:val="0"/>
                <w:i w:val="0"/>
                <w:color w:val="212121"/>
                <w:sz w:val="16"/>
              </w:rPr>
              <w:t>Identifies causes of secondary sarcopenia</w:t>
            </w:r>
          </w:p>
        </w:tc>
        <w:tc>
          <w:tcPr>
            <w:tcW w:type="dxa" w:w="1036"/>
            <w:vAlign w:val="top"/>
          </w:tcPr>
          <w:p>
            <w:pPr>
              <w:spacing w:after="40" w:before="0" w:line="259" w:lineRule="auto"/>
            </w:pPr>
            <w:r>
              <w:rPr>
                <w:rFonts w:ascii="Calibri" w:hAnsi="Calibri"/>
                <w:b w:val="0"/>
                <w:i w:val="0"/>
                <w:color w:val="212121"/>
                <w:sz w:val="16"/>
              </w:rPr>
              <w:t>Multimorbid elderly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Guides cause-directed management</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Muscle weakness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strength, especially in the legs and grip; the core clinical feature.</w:t>
            </w:r>
          </w:p>
        </w:tc>
      </w:tr>
      <w:tr>
        <w:trPr>
          <w:cantSplit/>
        </w:trPr>
        <w:tc>
          <w:tcPr>
            <w:tcW w:type="dxa" w:w="2304"/>
            <w:vAlign w:val="top"/>
          </w:tcPr>
          <w:p>
            <w:pPr>
              <w:spacing w:after="40" w:before="0" w:line="259" w:lineRule="auto"/>
            </w:pPr>
            <w:r>
              <w:rPr>
                <w:rFonts w:ascii="Calibri" w:hAnsi="Calibri"/>
                <w:b/>
                <w:i w:val="0"/>
                <w:color w:val="212121"/>
                <w:sz w:val="19"/>
              </w:rPr>
              <w:t>Fatigue and low energy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Early tiring and exhaustion with routine activity due to reduced muscle reserve.</w:t>
            </w:r>
          </w:p>
        </w:tc>
      </w:tr>
      <w:tr>
        <w:trPr>
          <w:cantSplit/>
        </w:trPr>
        <w:tc>
          <w:tcPr>
            <w:tcW w:type="dxa" w:w="2304"/>
            <w:vAlign w:val="top"/>
          </w:tcPr>
          <w:p>
            <w:pPr>
              <w:spacing w:after="40" w:before="0" w:line="259" w:lineRule="auto"/>
            </w:pPr>
            <w:r>
              <w:rPr>
                <w:rFonts w:ascii="Calibri" w:hAnsi="Calibri"/>
                <w:b/>
                <w:i w:val="0"/>
                <w:color w:val="212121"/>
                <w:sz w:val="19"/>
              </w:rPr>
              <w:t>Difficulty rising from a chair or toilet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Weak thigh/hip muscles; often needs to push up with arms.</w:t>
            </w:r>
          </w:p>
        </w:tc>
      </w:tr>
      <w:tr>
        <w:trPr>
          <w:cantSplit/>
        </w:trPr>
        <w:tc>
          <w:tcPr>
            <w:tcW w:type="dxa" w:w="2304"/>
            <w:vAlign w:val="top"/>
          </w:tcPr>
          <w:p>
            <w:pPr>
              <w:spacing w:after="40" w:before="0" w:line="259" w:lineRule="auto"/>
            </w:pPr>
            <w:r>
              <w:rPr>
                <w:rFonts w:ascii="Calibri" w:hAnsi="Calibri"/>
                <w:b/>
                <w:i w:val="0"/>
                <w:color w:val="212121"/>
                <w:sz w:val="19"/>
              </w:rPr>
              <w:t>Slow walking speed</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Gait slows below ~1.0 m/s, reflecting low lower-limb performance.</w:t>
            </w:r>
          </w:p>
        </w:tc>
      </w:tr>
      <w:tr>
        <w:trPr>
          <w:cantSplit/>
        </w:trPr>
        <w:tc>
          <w:tcPr>
            <w:tcW w:type="dxa" w:w="2304"/>
            <w:vAlign w:val="top"/>
          </w:tcPr>
          <w:p>
            <w:pPr>
              <w:spacing w:after="40" w:before="0" w:line="259" w:lineRule="auto"/>
            </w:pPr>
            <w:r>
              <w:rPr>
                <w:rFonts w:ascii="Calibri" w:hAnsi="Calibri"/>
                <w:b/>
                <w:i w:val="0"/>
                <w:color w:val="212121"/>
                <w:sz w:val="19"/>
              </w:rPr>
              <w:t>Difficulty climbing stairs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Lower-limb weakness makes stairs and inclines effortful.</w:t>
            </w:r>
          </w:p>
        </w:tc>
      </w:tr>
      <w:tr>
        <w:trPr>
          <w:cantSplit/>
        </w:trPr>
        <w:tc>
          <w:tcPr>
            <w:tcW w:type="dxa" w:w="2304"/>
            <w:vAlign w:val="top"/>
          </w:tcPr>
          <w:p>
            <w:pPr>
              <w:spacing w:after="40" w:before="0" w:line="259" w:lineRule="auto"/>
            </w:pPr>
            <w:r>
              <w:rPr>
                <w:rFonts w:ascii="Calibri" w:hAnsi="Calibri"/>
                <w:b/>
                <w:i w:val="0"/>
                <w:color w:val="212121"/>
                <w:sz w:val="19"/>
              </w:rPr>
              <w:t>Poor balance and falls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Loss of muscle and postural control increases falls and near-falls.</w:t>
            </w:r>
          </w:p>
        </w:tc>
      </w:tr>
      <w:tr>
        <w:trPr>
          <w:cantSplit/>
        </w:trPr>
        <w:tc>
          <w:tcPr>
            <w:tcW w:type="dxa" w:w="2304"/>
            <w:vAlign w:val="top"/>
          </w:tcPr>
          <w:p>
            <w:pPr>
              <w:spacing w:after="40" w:before="0" w:line="259" w:lineRule="auto"/>
            </w:pPr>
            <w:r>
              <w:rPr>
                <w:rFonts w:ascii="Calibri" w:hAnsi="Calibri"/>
                <w:b/>
                <w:i w:val="0"/>
                <w:color w:val="212121"/>
                <w:sz w:val="19"/>
              </w:rPr>
              <w:t>Reduced grip / difficulty with tasks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Trouble opening jars, carrying bags or holding objects firmly.</w:t>
            </w:r>
          </w:p>
        </w:tc>
      </w:tr>
      <w:tr>
        <w:trPr>
          <w:cantSplit/>
        </w:trPr>
        <w:tc>
          <w:tcPr>
            <w:tcW w:type="dxa" w:w="2304"/>
            <w:vAlign w:val="top"/>
          </w:tcPr>
          <w:p>
            <w:pPr>
              <w:spacing w:after="40" w:before="0" w:line="259" w:lineRule="auto"/>
            </w:pPr>
            <w:r>
              <w:rPr>
                <w:rFonts w:ascii="Calibri" w:hAnsi="Calibri"/>
                <w:b/>
                <w:i w:val="0"/>
                <w:color w:val="212121"/>
                <w:sz w:val="19"/>
              </w:rPr>
              <w:t>Loss of muscle bulk (thin limbs)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Visible thinning of arms/legs; may be masked by fat in sarcopenic obesity.</w:t>
            </w:r>
          </w:p>
        </w:tc>
      </w:tr>
      <w:tr>
        <w:trPr>
          <w:cantSplit/>
        </w:trPr>
        <w:tc>
          <w:tcPr>
            <w:tcW w:type="dxa" w:w="2304"/>
            <w:vAlign w:val="top"/>
          </w:tcPr>
          <w:p>
            <w:pPr>
              <w:spacing w:after="40" w:before="0" w:line="259" w:lineRule="auto"/>
            </w:pPr>
            <w:r>
              <w:rPr>
                <w:rFonts w:ascii="Calibri" w:hAnsi="Calibri"/>
                <w:b/>
                <w:i w:val="0"/>
                <w:color w:val="212121"/>
                <w:sz w:val="19"/>
              </w:rPr>
              <w:t>Unintentional weight loss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Suggests coexisting undernutrition, cachexia or chronic illness.</w:t>
            </w:r>
          </w:p>
        </w:tc>
      </w:tr>
      <w:tr>
        <w:trPr>
          <w:cantSplit/>
        </w:trPr>
        <w:tc>
          <w:tcPr>
            <w:tcW w:type="dxa" w:w="2304"/>
            <w:vAlign w:val="top"/>
          </w:tcPr>
          <w:p>
            <w:pPr>
              <w:spacing w:after="40" w:before="0" w:line="259" w:lineRule="auto"/>
            </w:pPr>
            <w:r>
              <w:rPr>
                <w:rFonts w:ascii="Calibri" w:hAnsi="Calibri"/>
                <w:b/>
                <w:i w:val="0"/>
                <w:color w:val="212121"/>
                <w:sz w:val="19"/>
              </w:rPr>
              <w:t>Reduced endurance / exhaustion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Self-reported low stamina; a component of overlapping frailty.</w:t>
            </w:r>
          </w:p>
        </w:tc>
      </w:tr>
      <w:tr>
        <w:trPr>
          <w:cantSplit/>
        </w:trPr>
        <w:tc>
          <w:tcPr>
            <w:tcW w:type="dxa" w:w="2304"/>
            <w:vAlign w:val="top"/>
          </w:tcPr>
          <w:p>
            <w:pPr>
              <w:spacing w:after="40" w:before="0" w:line="259" w:lineRule="auto"/>
            </w:pPr>
            <w:r>
              <w:rPr>
                <w:rFonts w:ascii="Calibri" w:hAnsi="Calibri"/>
                <w:b/>
                <w:i w:val="0"/>
                <w:color w:val="212121"/>
                <w:sz w:val="19"/>
              </w:rPr>
              <w:t>Recurrent or prolonged recovery after illness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Slow reconditioning after hospitalization signals acute-on-chronic muscle loss.</w:t>
            </w:r>
          </w:p>
        </w:tc>
      </w:tr>
      <w:tr>
        <w:trPr>
          <w:cantSplit/>
        </w:trPr>
        <w:tc>
          <w:tcPr>
            <w:tcW w:type="dxa" w:w="2304"/>
            <w:vAlign w:val="top"/>
          </w:tcPr>
          <w:p>
            <w:pPr>
              <w:spacing w:after="40" w:before="0" w:line="259" w:lineRule="auto"/>
            </w:pPr>
            <w:r>
              <w:rPr>
                <w:rFonts w:ascii="Calibri" w:hAnsi="Calibri"/>
                <w:b/>
                <w:i w:val="0"/>
                <w:color w:val="212121"/>
                <w:sz w:val="19"/>
              </w:rPr>
              <w:t>Reduced physical activity / housebound</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Progressive activity avoidance creates a disuse-atrophy cycle.</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Low handgrip strength on dynamometry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&lt; 28 kg (men) / &lt; 18 kg (women) by AWGS-2019 — objective low strength.</w:t>
            </w:r>
          </w:p>
        </w:tc>
      </w:tr>
      <w:tr>
        <w:trPr>
          <w:cantSplit/>
        </w:trPr>
        <w:tc>
          <w:tcPr>
            <w:tcW w:type="dxa" w:w="3456"/>
            <w:vAlign w:val="top"/>
          </w:tcPr>
          <w:p>
            <w:pPr>
              <w:spacing w:after="40" w:before="0" w:line="259" w:lineRule="auto"/>
            </w:pPr>
            <w:r>
              <w:rPr>
                <w:rFonts w:ascii="Calibri" w:hAnsi="Calibri"/>
                <w:b/>
                <w:i w:val="0"/>
                <w:color w:val="212121"/>
                <w:sz w:val="19"/>
              </w:rPr>
              <w:t>Slow gait speed</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6-metre gait speed &lt; 1.0 m/s indicates low physical performance.</w:t>
            </w:r>
          </w:p>
        </w:tc>
      </w:tr>
      <w:tr>
        <w:trPr>
          <w:cantSplit/>
        </w:trPr>
        <w:tc>
          <w:tcPr>
            <w:tcW w:type="dxa" w:w="3456"/>
            <w:vAlign w:val="top"/>
          </w:tcPr>
          <w:p>
            <w:pPr>
              <w:spacing w:after="40" w:before="0" w:line="259" w:lineRule="auto"/>
            </w:pPr>
            <w:r>
              <w:rPr>
                <w:rFonts w:ascii="Calibri" w:hAnsi="Calibri"/>
                <w:b/>
                <w:i w:val="0"/>
                <w:color w:val="212121"/>
                <w:sz w:val="19"/>
              </w:rPr>
              <w:t>Prolonged 5-time chair-stand / Timed Up-and-Go</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 12 s chair-stand or ≥ 12 s TUG reflects lower-limb weakness and fall risk.</w:t>
            </w:r>
          </w:p>
        </w:tc>
      </w:tr>
      <w:tr>
        <w:trPr>
          <w:cantSplit/>
        </w:trPr>
        <w:tc>
          <w:tcPr>
            <w:tcW w:type="dxa" w:w="3456"/>
            <w:vAlign w:val="top"/>
          </w:tcPr>
          <w:p>
            <w:pPr>
              <w:spacing w:after="40" w:before="0" w:line="259" w:lineRule="auto"/>
            </w:pPr>
            <w:r>
              <w:rPr>
                <w:rFonts w:ascii="Calibri" w:hAnsi="Calibri"/>
                <w:b/>
                <w:i w:val="0"/>
                <w:color w:val="212121"/>
                <w:sz w:val="19"/>
              </w:rPr>
              <w:t>Low calf circumference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&lt; 34 cm (men) / &lt; 33 cm (women) — bedside surrogate for low muscle mass.</w:t>
            </w:r>
          </w:p>
        </w:tc>
      </w:tr>
      <w:tr>
        <w:trPr>
          <w:cantSplit/>
        </w:trPr>
        <w:tc>
          <w:tcPr>
            <w:tcW w:type="dxa" w:w="3456"/>
            <w:vAlign w:val="top"/>
          </w:tcPr>
          <w:p>
            <w:pPr>
              <w:spacing w:after="40" w:before="0" w:line="259" w:lineRule="auto"/>
            </w:pPr>
            <w:r>
              <w:rPr>
                <w:rFonts w:ascii="Calibri" w:hAnsi="Calibri"/>
                <w:b/>
                <w:i w:val="0"/>
                <w:color w:val="212121"/>
                <w:sz w:val="19"/>
              </w:rPr>
              <w:t>Visible muscle wasting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Atrophy of quadriceps, temporalis, thenar and interosseous muscles.</w:t>
            </w:r>
          </w:p>
        </w:tc>
      </w:tr>
      <w:tr>
        <w:trPr>
          <w:cantSplit/>
        </w:trPr>
        <w:tc>
          <w:tcPr>
            <w:tcW w:type="dxa" w:w="3456"/>
            <w:vAlign w:val="top"/>
          </w:tcPr>
          <w:p>
            <w:pPr>
              <w:spacing w:after="40" w:before="0" w:line="259" w:lineRule="auto"/>
            </w:pPr>
            <w:r>
              <w:rPr>
                <w:rFonts w:ascii="Calibri" w:hAnsi="Calibri"/>
                <w:b/>
                <w:i w:val="0"/>
                <w:color w:val="212121"/>
                <w:sz w:val="19"/>
              </w:rPr>
              <w:t>Low ASMI on DXA/BIA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Appendicular skeletal muscle mass index below sex-specific cut-offs — confirms diagnosis.</w:t>
            </w:r>
          </w:p>
        </w:tc>
      </w:tr>
      <w:tr>
        <w:trPr>
          <w:cantSplit/>
        </w:trPr>
        <w:tc>
          <w:tcPr>
            <w:tcW w:type="dxa" w:w="3456"/>
            <w:vAlign w:val="top"/>
          </w:tcPr>
          <w:p>
            <w:pPr>
              <w:spacing w:after="40" w:before="0" w:line="259" w:lineRule="auto"/>
            </w:pPr>
            <w:r>
              <w:rPr>
                <w:rFonts w:ascii="Calibri" w:hAnsi="Calibri"/>
                <w:b/>
                <w:i w:val="0"/>
                <w:color w:val="212121"/>
                <w:sz w:val="19"/>
              </w:rPr>
              <w:t>Reduced SPPB score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Short Physical Performance Battery ≤ 9 indicates significant functional limitation.</w:t>
            </w:r>
          </w:p>
        </w:tc>
      </w:tr>
      <w:tr>
        <w:trPr>
          <w:cantSplit/>
        </w:trPr>
        <w:tc>
          <w:tcPr>
            <w:tcW w:type="dxa" w:w="3456"/>
            <w:vAlign w:val="top"/>
          </w:tcPr>
          <w:p>
            <w:pPr>
              <w:spacing w:after="40" w:before="0" w:line="259" w:lineRule="auto"/>
            </w:pPr>
            <w:r>
              <w:rPr>
                <w:rFonts w:ascii="Calibri" w:hAnsi="Calibri"/>
                <w:b/>
                <w:i w:val="0"/>
                <w:color w:val="212121"/>
                <w:sz w:val="19"/>
              </w:rPr>
              <w:t>Unsteady gait / impaired balance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Widened base, unsteadiness and difficulty with tandem stance.</w:t>
            </w:r>
          </w:p>
        </w:tc>
      </w:tr>
      <w:tr>
        <w:trPr>
          <w:cantSplit/>
        </w:trPr>
        <w:tc>
          <w:tcPr>
            <w:tcW w:type="dxa" w:w="3456"/>
            <w:vAlign w:val="top"/>
          </w:tcPr>
          <w:p>
            <w:pPr>
              <w:spacing w:after="40" w:before="0" w:line="259" w:lineRule="auto"/>
            </w:pPr>
            <w:r>
              <w:rPr>
                <w:rFonts w:ascii="Calibri" w:hAnsi="Calibri"/>
                <w:b/>
                <w:i w:val="0"/>
                <w:color w:val="212121"/>
                <w:sz w:val="19"/>
              </w:rPr>
              <w:t>Sarcopenic obesity phenotype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Normal or high BMI with low measured muscle mass and high body fat.</w:t>
            </w:r>
          </w:p>
        </w:tc>
      </w:tr>
      <w:tr>
        <w:trPr>
          <w:cantSplit/>
        </w:trPr>
        <w:tc>
          <w:tcPr>
            <w:tcW w:type="dxa" w:w="3456"/>
            <w:vAlign w:val="top"/>
          </w:tcPr>
          <w:p>
            <w:pPr>
              <w:spacing w:after="40" w:before="0" w:line="259" w:lineRule="auto"/>
            </w:pPr>
            <w:r>
              <w:rPr>
                <w:rFonts w:ascii="Calibri" w:hAnsi="Calibri"/>
                <w:b/>
                <w:i w:val="0"/>
                <w:color w:val="212121"/>
                <w:sz w:val="19"/>
              </w:rPr>
              <w:t>Reduced mid-arm muscle circumference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Anthropometric marker of depleted muscle stores in undernutrition.</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Falls and recurrent falls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mobility and slow gait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muscle strength and physical performance</w:t>
            </w:r>
          </w:p>
        </w:tc>
        <w:tc>
          <w:tcPr>
            <w:tcW w:type="dxa" w:w="2980"/>
            <w:vAlign w:val="top"/>
          </w:tcPr>
          <w:p>
            <w:pPr>
              <w:spacing w:after="40" w:before="0" w:line="259" w:lineRule="auto"/>
            </w:pPr>
            <w:r>
              <w:rPr>
                <w:rFonts w:ascii="Calibri" w:hAnsi="Calibri"/>
                <w:b w:val="0"/>
                <w:i w:val="0"/>
                <w:color w:val="212121"/>
                <w:sz w:val="19"/>
              </w:rPr>
              <w:t>Direct functional consequences of reduced muscle mass, strength and power</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Fragility fractures, especially hip fracture (osteosarcopenia)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Physical disability and loss of independence in daily activities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hospitalization, longer stays and post-operative complications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Worsening insulin resistance and metabolic dysfunction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Pressure injuries and deconditioning in the immobilized</w:t>
            </w:r>
          </w:p>
        </w:tc>
        <w:tc>
          <w:tcPr>
            <w:tcW w:type="dxa" w:w="2980"/>
            <w:vAlign w:val="top"/>
          </w:tcPr>
          <w:p>
            <w:pPr>
              <w:spacing w:after="40" w:before="0" w:line="259" w:lineRule="auto"/>
            </w:pPr>
            <w:r>
              <w:rPr>
                <w:rFonts w:ascii="Calibri" w:hAnsi="Calibri"/>
                <w:b w:val="0"/>
                <w:i w:val="0"/>
                <w:color w:val="212121"/>
                <w:sz w:val="19"/>
              </w:rPr>
              <w:t>Arise as muscle loss interacts with bone loss, metabolism and acute illness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Loss of independence and institutionalization / caregiver dependence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disability and reduced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all-cause mortality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Frailty progression with cognitive and functional decline</w:t>
            </w:r>
          </w:p>
        </w:tc>
        <w:tc>
          <w:tcPr>
            <w:tcW w:type="dxa" w:w="2980"/>
            <w:vAlign w:val="top"/>
          </w:tcPr>
          <w:p>
            <w:pPr>
              <w:spacing w:after="40" w:before="0" w:line="259" w:lineRule="auto"/>
            </w:pPr>
            <w:r>
              <w:rPr>
                <w:rFonts w:ascii="Calibri" w:hAnsi="Calibri"/>
                <w:b w:val="0"/>
                <w:i w:val="0"/>
                <w:color w:val="212121"/>
                <w:sz w:val="19"/>
              </w:rPr>
              <w:t>Irreversible, disabling long-term outcomes of unaddressed sarcopenia</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Osteoporosis / Osteosarcopenia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Muscle and bone share mechanical, hormonal and metabolic pathways; their coexistence (osteosarcopenia) sharply raises falls and fragility-fracture risk.</w:t>
            </w:r>
          </w:p>
        </w:tc>
      </w:tr>
      <w:tr>
        <w:trPr>
          <w:cantSplit/>
        </w:trPr>
        <w:tc>
          <w:tcPr>
            <w:tcW w:type="dxa" w:w="2232"/>
            <w:vAlign w:val="top"/>
          </w:tcPr>
          <w:p>
            <w:pPr>
              <w:spacing w:after="40" w:before="0" w:line="259" w:lineRule="auto"/>
            </w:pPr>
            <w:r>
              <w:rPr>
                <w:rFonts w:ascii="Calibri" w:hAnsi="Calibri"/>
                <w:b/>
                <w:i w:val="0"/>
                <w:color w:val="212121"/>
                <w:sz w:val="19"/>
              </w:rPr>
              <w:t>Frailty syndrome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Sarcopenia is the biological core of physical frailty; the two overlap heavily and compound disability.</w:t>
            </w:r>
          </w:p>
          <w:p>
            <w:pPr>
              <w:spacing w:after="40" w:before="0" w:line="259" w:lineRule="auto"/>
            </w:pPr>
            <w:r>
              <w:rPr>
                <w:rFonts w:ascii="Calibri" w:hAnsi="Calibri"/>
                <w:b/>
                <w:i w:val="0"/>
                <w:color w:val="212121"/>
                <w:sz w:val="19"/>
              </w:rPr>
              <w:t>~27% frail (Indian T2DM elderly)</w:t>
            </w:r>
          </w:p>
        </w:tc>
      </w:tr>
      <w:tr>
        <w:trPr>
          <w:cantSplit/>
        </w:trPr>
        <w:tc>
          <w:tcPr>
            <w:tcW w:type="dxa" w:w="2232"/>
            <w:vAlign w:val="top"/>
          </w:tcPr>
          <w:p>
            <w:pPr>
              <w:spacing w:after="40" w:before="0" w:line="259" w:lineRule="auto"/>
            </w:pPr>
            <w:r>
              <w:rPr>
                <w:rFonts w:ascii="Calibri" w:hAnsi="Calibri"/>
                <w:b/>
                <w:i w:val="0"/>
                <w:color w:val="212121"/>
                <w:sz w:val="19"/>
              </w:rPr>
              <w:t>Type 2 diabetes mellitus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Insulin resistance, hyperglycaemia and myosteatosis accelerate muscle loss, while low muscle worsens glucose handling.</w:t>
            </w:r>
          </w:p>
          <w:p>
            <w:pPr>
              <w:spacing w:after="40" w:before="0" w:line="259" w:lineRule="auto"/>
            </w:pPr>
            <w:r>
              <w:rPr>
                <w:rFonts w:ascii="Calibri" w:hAnsi="Calibri"/>
                <w:b/>
                <w:i w:val="0"/>
                <w:color w:val="212121"/>
                <w:sz w:val="19"/>
              </w:rPr>
              <w:t>~30% (Indian elderly ≥65 with T2DM)</w:t>
            </w:r>
          </w:p>
        </w:tc>
      </w:tr>
      <w:tr>
        <w:trPr>
          <w:cantSplit/>
        </w:trPr>
        <w:tc>
          <w:tcPr>
            <w:tcW w:type="dxa" w:w="2232"/>
            <w:vAlign w:val="top"/>
          </w:tcPr>
          <w:p>
            <w:pPr>
              <w:spacing w:after="40" w:before="0" w:line="259" w:lineRule="auto"/>
            </w:pPr>
            <w:r>
              <w:rPr>
                <w:rFonts w:ascii="Calibri" w:hAnsi="Calibri"/>
                <w:b/>
                <w:i w:val="0"/>
                <w:color w:val="212121"/>
                <w:sz w:val="19"/>
              </w:rPr>
              <w:t>Malnutrition / protein-energy undernutrition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Inadequate protein-energy intake is a leading cause of secondary sarcopenia and impairs recovery.</w:t>
            </w:r>
          </w:p>
        </w:tc>
      </w:tr>
      <w:tr>
        <w:trPr>
          <w:cantSplit/>
        </w:trPr>
        <w:tc>
          <w:tcPr>
            <w:tcW w:type="dxa" w:w="2232"/>
            <w:vAlign w:val="top"/>
          </w:tcPr>
          <w:p>
            <w:pPr>
              <w:spacing w:after="40" w:before="0" w:line="259" w:lineRule="auto"/>
            </w:pPr>
            <w:r>
              <w:rPr>
                <w:rFonts w:ascii="Calibri" w:hAnsi="Calibri"/>
                <w:b/>
                <w:i w:val="0"/>
                <w:color w:val="212121"/>
                <w:sz w:val="19"/>
              </w:rPr>
              <w:t>Vitamin D deficiency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Highly prevalent in India; low vitamin D impairs muscle strength and increases falls, and is correctable.</w:t>
            </w:r>
          </w:p>
        </w:tc>
      </w:tr>
      <w:tr>
        <w:trPr>
          <w:cantSplit/>
        </w:trPr>
        <w:tc>
          <w:tcPr>
            <w:tcW w:type="dxa" w:w="2232"/>
            <w:vAlign w:val="top"/>
          </w:tcPr>
          <w:p>
            <w:pPr>
              <w:spacing w:after="40" w:before="0" w:line="259" w:lineRule="auto"/>
            </w:pPr>
            <w:r>
              <w:rPr>
                <w:rFonts w:ascii="Calibri" w:hAnsi="Calibri"/>
                <w:b/>
                <w:i w:val="0"/>
                <w:color w:val="212121"/>
                <w:sz w:val="19"/>
              </w:rPr>
              <w:t>COPD</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Systemic inflammation, hypoxia, steroids and inactivity make muscle wasting a defining extrapulmonary feature.</w:t>
            </w:r>
          </w:p>
        </w:tc>
      </w:tr>
      <w:tr>
        <w:trPr>
          <w:cantSplit/>
        </w:trPr>
        <w:tc>
          <w:tcPr>
            <w:tcW w:type="dxa" w:w="2232"/>
            <w:vAlign w:val="top"/>
          </w:tcPr>
          <w:p>
            <w:pPr>
              <w:spacing w:after="40" w:before="0" w:line="259" w:lineRule="auto"/>
            </w:pPr>
            <w:r>
              <w:rPr>
                <w:rFonts w:ascii="Calibri" w:hAnsi="Calibri"/>
                <w:b/>
                <w:i w:val="0"/>
                <w:color w:val="212121"/>
                <w:sz w:val="19"/>
              </w:rPr>
              <w:t>Chronic kidney disease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Uraemia, acidosis, protein-energy wasting and dialysis catabolism drive muscle loss and worsen prognosis.</w:t>
            </w:r>
          </w:p>
        </w:tc>
      </w:tr>
      <w:tr>
        <w:trPr>
          <w:cantSplit/>
        </w:trPr>
        <w:tc>
          <w:tcPr>
            <w:tcW w:type="dxa" w:w="2232"/>
            <w:vAlign w:val="top"/>
          </w:tcPr>
          <w:p>
            <w:pPr>
              <w:spacing w:after="40" w:before="0" w:line="259" w:lineRule="auto"/>
            </w:pPr>
            <w:r>
              <w:rPr>
                <w:rFonts w:ascii="Calibri" w:hAnsi="Calibri"/>
                <w:b/>
                <w:i w:val="0"/>
                <w:color w:val="212121"/>
                <w:sz w:val="19"/>
              </w:rPr>
              <w:t>Chronic heart failure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Neurohormonal activation and inflammation cause cardiac-cachexia muscle loss, reducing exercise capacity.</w:t>
            </w:r>
          </w:p>
        </w:tc>
      </w:tr>
      <w:tr>
        <w:trPr>
          <w:cantSplit/>
        </w:trPr>
        <w:tc>
          <w:tcPr>
            <w:tcW w:type="dxa" w:w="2232"/>
            <w:vAlign w:val="top"/>
          </w:tcPr>
          <w:p>
            <w:pPr>
              <w:spacing w:after="40" w:before="0" w:line="259" w:lineRule="auto"/>
            </w:pPr>
            <w:r>
              <w:rPr>
                <w:rFonts w:ascii="Calibri" w:hAnsi="Calibri"/>
                <w:b/>
                <w:i w:val="0"/>
                <w:color w:val="212121"/>
                <w:sz w:val="19"/>
              </w:rPr>
              <w:t>Liver cirrhosis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Impaired protein metabolism, hyperammonaemia and malnutrition make sarcopenia highly prevalent and prognostically important.</w:t>
            </w:r>
          </w:p>
        </w:tc>
      </w:tr>
      <w:tr>
        <w:trPr>
          <w:cantSplit/>
        </w:trPr>
        <w:tc>
          <w:tcPr>
            <w:tcW w:type="dxa" w:w="2232"/>
            <w:vAlign w:val="top"/>
          </w:tcPr>
          <w:p>
            <w:pPr>
              <w:spacing w:after="40" w:before="0" w:line="259" w:lineRule="auto"/>
            </w:pPr>
            <w:r>
              <w:rPr>
                <w:rFonts w:ascii="Calibri" w:hAnsi="Calibri"/>
                <w:b/>
                <w:i w:val="0"/>
                <w:color w:val="212121"/>
                <w:sz w:val="19"/>
              </w:rPr>
              <w:t>Sarcopenic obesity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Low muscle with excess fat creates a self-reinforcing cycle of inflammation and insulin resistance, raising CVD and mortality.</w:t>
            </w:r>
          </w:p>
        </w:tc>
      </w:tr>
      <w:tr>
        <w:trPr>
          <w:cantSplit/>
        </w:trPr>
        <w:tc>
          <w:tcPr>
            <w:tcW w:type="dxa" w:w="2232"/>
            <w:vAlign w:val="top"/>
          </w:tcPr>
          <w:p>
            <w:pPr>
              <w:spacing w:after="40" w:before="0" w:line="259" w:lineRule="auto"/>
            </w:pPr>
            <w:r>
              <w:rPr>
                <w:rFonts w:ascii="Calibri" w:hAnsi="Calibri"/>
                <w:b/>
                <w:i w:val="0"/>
                <w:color w:val="212121"/>
                <w:sz w:val="19"/>
              </w:rPr>
              <w:t>Depression / cognitive impairment</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Reduced activity, poor appetite and shared inflammatory pathways link mood/cognition and muscle loss bidirectionally.</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muscle loss is a treatable disease, not just 'normal ageing', and that it can be slowed or reversed at any 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Recognize early warning signs — difficulty rising from a chair, slower walking, weakening grip, unsteadiness or falls — and seek assessment.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at-risk adults (elderly, T2DM, COPD, CKD, heart failure, cirrhosis, post-menopausal women, the recently hospitalized) with SARC-F and grip strength.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Prioritize both adequate protein AND resistance exercise together — neither alone is sufficient.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 aware of 'sarcopenic obesity' and the Indian 'thin-fat' phenotype: normal body weight can hide dangerously low muscle mass.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During any illness, surgery or bed-rest, minimize immobility and resume activity and protein intake early to prevent acute muscle loss.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older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Post-menopausal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T2DM/COPD/CKD/HF</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Recently hospitalized 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Perform progressive resistance / strength training 2-3 days per week targeting major muscle groups — the single most effective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balance and functional training (sit-to-stand, tandem stance, tai-chi-style work) to reduce falls.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some aerobic activity (brisk walking) on most days for cardiovascular and metabolic benefit.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Start low and progress gradually; use body weight, resistance bands or household weights when a gym is unavailable.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each exercise session with adequate protein intake to maximize muscle protein synthesis.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frail or hospitalized patients, begin supervised mobilization early and avoid prolonged bed-rest.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Diagnosed sarcopenia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Frail 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Post-hospitalization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Sarcopenic obesity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Build and preserve peak muscle mass from mid-life with regular strength training.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Break up prolonged sitting; accumulate ≥ 150 minutes/week of moderate activity plus 2 strength sessions.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active after retirement or cessation of manual labour to avoid disuse atrophy.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Middle-aged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retired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elderly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Target 1.0-1.2 g/kg/day of protein (up to 1.2-1.5 g/kg during illness or if catabolic), spread as 25-30 g quality protein per meal.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Emphasize leucine-rich protein — dairy (milk, curd, paneer), eggs, fish/chicken, and for vegetarians combine pulses/legumes with cereals, soya and nuts.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vitamin D deficiency and ensure adequate calcium, especially for bone-muscle (osteosarcopenia) protection.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sufficient total energy so protein is used for muscle building rather than fuel.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oral nutritional supplements or leucine/HMB-enriched supplements in undernourished or poorly eating patients.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Undernourished 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Vegetarians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Post-illness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CKD (protein individualized)</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low-protein, cereal-only meals; include a protein source at every meal.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adequate fruit, vegetable and whole-grain intake for antioxidants that counter 'inflammaging'.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Get regular safe sun exposure and dietary/supplemental vitamin D given its widespread deficiency in India.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Middle-aged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Rural/food-insecure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Older women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7-8 hours of good-quality sleep to support growth-hormone-driven muscle repair.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regular sleep schedule and treat sleep apnoea, pain or nocturia that fragment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Get daytime activity and light exposure to consolidate night-time sleep.</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Older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Multimorbid 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disease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to reduce oxidative stress and inflammation that erode muscle and to prevent COPD-related wasting.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cessation support (counselling, nicotine replacement) and avoid second-hand smoke.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COPD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Older men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or avoid alcohol to prevent toxic myopathy, malnutrition and liver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heavy drinkers for muscle wasting, cirrhosis and nutritional deficiencies.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Cirrhosis/liver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Older adults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depression, which reduces appetite and activity and worsens muscle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social and group-based exercise to combat isolation and improve adherence.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cognitive decline and provide caregiver support, given the bidirectional link with sarcopenia and frailty.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Depressed/isolated 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Frail 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Cognitive impairment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42130757/" TargetMode="External"/><Relationship Id="rId10" Type="http://schemas.openxmlformats.org/officeDocument/2006/relationships/hyperlink" Target="https://pubmed.ncbi.nlm.nih.gov/41667994/" TargetMode="External"/><Relationship Id="rId11" Type="http://schemas.openxmlformats.org/officeDocument/2006/relationships/hyperlink" Target="https://pubmed.ncbi.nlm.nih.gov/41415137/" TargetMode="External"/><Relationship Id="rId12" Type="http://schemas.openxmlformats.org/officeDocument/2006/relationships/hyperlink" Target="https://pubmed.ncbi.nlm.nih.gov/42202210/" TargetMode="External"/><Relationship Id="rId13" Type="http://schemas.openxmlformats.org/officeDocument/2006/relationships/hyperlink" Target="https://pubmed.ncbi.nlm.nih.gov/42238564/" TargetMode="External"/><Relationship Id="rId14" Type="http://schemas.openxmlformats.org/officeDocument/2006/relationships/hyperlink" Target="https://pubmed.ncbi.nlm.nih.gov/42208412/" TargetMode="External"/><Relationship Id="rId15" Type="http://schemas.openxmlformats.org/officeDocument/2006/relationships/hyperlink" Target="https://pubmed.ncbi.nlm.nih.gov/42363095/" TargetMode="External"/><Relationship Id="rId16" Type="http://schemas.openxmlformats.org/officeDocument/2006/relationships/hyperlink" Target="https://pubmed.ncbi.nlm.nih.gov/42520924/" TargetMode="External"/><Relationship Id="rId17" Type="http://schemas.openxmlformats.org/officeDocument/2006/relationships/hyperlink" Target="https://pubmed.ncbi.nlm.nih.gov/42209888/" TargetMode="External"/><Relationship Id="rId18" Type="http://schemas.openxmlformats.org/officeDocument/2006/relationships/hyperlink" Target="https://pubmed.ncbi.nlm.nih.gov/41963841/" TargetMode="External"/><Relationship Id="rId19" Type="http://schemas.openxmlformats.org/officeDocument/2006/relationships/hyperlink" Target="https://pubmed.ncbi.nlm.nih.gov/41191808/" TargetMode="External"/><Relationship Id="rId20" Type="http://schemas.openxmlformats.org/officeDocument/2006/relationships/hyperlink" Target="https://pubmed.ncbi.nlm.nih.gov/41457350/" TargetMode="External"/><Relationship Id="rId21" Type="http://schemas.openxmlformats.org/officeDocument/2006/relationships/hyperlink" Target="https://pubmed.ncbi.nlm.nih.gov/418353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