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Guillain-Barré Syndrome</w:t>
      </w:r>
    </w:p>
    <w:p>
      <w:pPr>
        <w:spacing w:before="0" w:after="160"/>
      </w:pPr>
      <w:r>
        <w:rPr>
          <w:rFonts w:ascii="Calibri" w:hAnsi="Calibri"/>
          <w:b/>
          <w:i w:val="0"/>
          <w:color w:val="212121"/>
          <w:sz w:val="22"/>
        </w:rPr>
        <w:t xml:space="preserve">AKA </w:t>
      </w:r>
      <w:r>
        <w:rPr>
          <w:rFonts w:ascii="Calibri" w:hAnsi="Calibri"/>
          <w:b w:val="0"/>
          <w:i w:val="0"/>
          <w:color w:val="212121"/>
          <w:sz w:val="22"/>
        </w:rPr>
        <w:t>i.e., GBS, Acute Inflammatory Demyelinating Polyradiculoneuropathy (AIDP), Landry's ascending paralysis, Acute post-infectious polyneuropathy</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Guillain-Barré Syndrome (GBS) is an acute, immune-mediated polyradiculoneuropathy in which the immune system attacks the peripheral nerves and nerve roots, usually a week to a month after a preceding infection. It classically presents as rapidly progressive, relatively symmetric, ascending limb weakness with loss of reflexes (areflexia), reaching maximum severity within four weeks. Now that polio is largely eradicated, GBS is the commonest cause of acute flaccid paralysis worldwide, and it can be life-threatening when it involves the muscles of breathing and the autonomic nervous system.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GBS is uncommon but occurs everywhere, with a global annual incidence of about 1.1-1.8 per 100,000 people (0.34-1.34 per 100,000 in children). Indian hospital series show a young mean age (~37 years), a male preponderance (male:female roughly 1.8-2.3:1), and a high burden of the axonal (AMAN) subtype. GBS has high public-health salience in India: in early 2025 a large outbreak in Pune, Maharashtra produced more than 200 cases and 23 reported deaths, traced to Campylobacter jejuni in sewage-contaminated drinking water.</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GBS is primarily a clinical diagnosis, supported by cerebrospinal fluid (CSF) analysis and nerve conduction studies and formalised by the NINDS and Brighton criteria. Diagnosis rests on the following features: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Required: progressive, relatively symmetric weakness of more than one limb, with hyporeflexia or areflexia in the affected limbs;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Progression over days to a maximum of four weeks (a nadir beyond eight weeks suggests CIDP instead);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Supportive clinical features: mild sensory symptoms/signs, cranial-nerve involvement (especially bilateral facial weakness), autonomic dysfunction, pain, and absence of fever at onset;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CSF albuminocytologic dissociation - raised protein with a normal or only mildly raised cell count (&lt; 10, and by convention &lt; 50 cells/mm3) - typically positive by the second week (may be normal in the first few days);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Nerve conduction studies showing a demyelinating pattern (conduction block, prolonged distal latencies and F-waves, temporal dispersion) or an axonal pattern (reduced CMAP amplitudes), often with sural-sparing;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Brighton criteria combine clinical, CSF and electrophysiological data into levels of diagnostic certainty (1-4);</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Red flags against GBS (prompting reconsideration): a clear sensory level, marked persistent asymmetry, bladder/bowel dysfunction at onset, and CSF pleocytosis &gt; 50 cells/mm3.</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GBS is an umbrella term covering several clinical and electrophysiological subtypes that differ in mechanism, triggering infection and prognosis:</w:t>
      </w:r>
    </w:p>
    <w:p>
      <w:pPr>
        <w:spacing w:before="0" w:after="80"/>
      </w:pPr>
      <w:r>
        <w:rPr>
          <w:rFonts w:ascii="Calibri" w:hAnsi="Calibri"/>
          <w:b w:val="0"/>
          <w:i w:val="0"/>
          <w:color w:val="212121"/>
          <w:sz w:val="21"/>
        </w:rPr>
        <w:t>(1) Acute Inflammatory Demyelinating Polyradiculoneuropathy (AIDP) - the most common form in the West and a leading form in India (broadly half of cases); antibody- and complement-mediated demyelination, often following a respiratory infection, generally with a favourable prognosis;</w:t>
      </w:r>
    </w:p>
    <w:p>
      <w:pPr>
        <w:spacing w:before="0" w:after="80"/>
      </w:pPr>
      <w:r>
        <w:rPr>
          <w:rFonts w:ascii="Calibri" w:hAnsi="Calibri"/>
          <w:b w:val="0"/>
          <w:i w:val="0"/>
          <w:color w:val="212121"/>
          <w:sz w:val="21"/>
        </w:rPr>
        <w:t>(2) Acute Motor Axonal Neuropathy (AMAN) - a pure motor axonal variant that is proportionally more common in Asia and India, strongly linked to Campylobacter jejuni and anti-GM1/GD1a antibodies; can be severe but sometimes shows rapid 'reversible conduction failure' recovery;</w:t>
      </w:r>
    </w:p>
    <w:p>
      <w:pPr>
        <w:spacing w:before="0" w:after="80"/>
      </w:pPr>
      <w:r>
        <w:rPr>
          <w:rFonts w:ascii="Calibri" w:hAnsi="Calibri"/>
          <w:b w:val="0"/>
          <w:i w:val="0"/>
          <w:color w:val="212121"/>
          <w:sz w:val="21"/>
        </w:rPr>
        <w:t>(3) Acute Motor-Sensory Axonal Neuropathy (AMSAN) - a severe motor-and-sensory axonal form with prominent autonomic involvement and slower, often incomplete recovery;</w:t>
      </w:r>
    </w:p>
    <w:p>
      <w:pPr>
        <w:spacing w:before="0" w:after="80"/>
      </w:pPr>
      <w:r>
        <w:rPr>
          <w:rFonts w:ascii="Calibri" w:hAnsi="Calibri"/>
          <w:b w:val="0"/>
          <w:i w:val="0"/>
          <w:color w:val="212121"/>
          <w:sz w:val="21"/>
        </w:rPr>
        <w:t>(4) Miller Fisher Syndrome (MFS) - the triad of ophthalmoplegia, ataxia and areflexia, with anti-GQ1b antibodies in 85-90% and usually a good prognosis;</w:t>
      </w:r>
    </w:p>
    <w:p>
      <w:pPr>
        <w:spacing w:before="0" w:after="80"/>
      </w:pPr>
      <w:r>
        <w:rPr>
          <w:rFonts w:ascii="Calibri" w:hAnsi="Calibri"/>
          <w:b w:val="0"/>
          <w:i w:val="0"/>
          <w:color w:val="212121"/>
          <w:sz w:val="21"/>
        </w:rPr>
        <w:t>(5) Regional and other variants - pharyngeal-cervical-brachial weakness, paraparetic GBS, bilateral facial palsy with paraesthesiae, pure sensory or pandysautonomic forms, and Bickerstaff brainstem encephalitis as an MFS-overlap.</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Antecedent infection (molecular mimicry): The dominant mechanism - roughly two-thirds to four-fifths of cases follow an infection 1-6 weeks earlier. Antibodies raised against the pathogen cross-react with shared epitopes on peripheral-nerve gangliosides.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Campylobacter jejuni enteritis: The most commonly identified trigger; associated with the axonal (AMAN) subtype and anti-GM1/GD1a antibodies. Acquired from undercooked poultry, contaminated food and unsafe water.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Arboviral and other infections (India-relevant): Chikungunya, dengue, Zika, Japanese encephalitis, hepatitis E, cytomegalovirus, Epstein-Barr virus, Mycoplasma pneumoniae, HIV, influenza and SARS-CoV-2 are all recognised precipitants.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Immune dysregulation and gangliosides: Aberrant humoral (and cellular) autoimmunity with complement activation damages either the myelin sheath (demyelinating forms) or the axolemma (axonal forms).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Non-infective triggers: Rarely surgery or trauma, certain vaccinations (very rare), immune-checkpoint inhibitor drugs, lymphoma/malignancy, and the peripartum period.</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susceptibility: Only a minority of people exposed to Campylobacter or other triggers develop GBS, indicating that host immune and ganglioside-antibody factors modulate risk (weak, non-Mendelian).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adults (15-40 years)</w:t>
            </w:r>
          </w:p>
        </w:tc>
        <w:tc>
          <w:tcPr>
            <w:tcW w:type="dxa" w:w="4276"/>
            <w:vAlign w:val="top"/>
          </w:tcPr>
          <w:p>
            <w:pPr>
              <w:spacing w:after="60" w:line="259" w:lineRule="auto"/>
            </w:pPr>
            <w:r>
              <w:rPr>
                <w:rFonts w:ascii="Calibri" w:hAnsi="Calibri"/>
                <w:b w:val="0"/>
                <w:i w:val="0"/>
                <w:color w:val="212121"/>
                <w:sz w:val="19"/>
              </w:rPr>
              <w:t>GBS affects all ages but Indian series show a strikingly young working-age burden, reflecting exposure to enteric and arboviral infections rather than a degenerative process.</w:t>
            </w:r>
          </w:p>
          <w:p>
            <w:pPr>
              <w:spacing w:after="40" w:before="60" w:line="259" w:lineRule="auto"/>
            </w:pPr>
            <w:r>
              <w:rPr>
                <w:rFonts w:ascii="Calibri" w:hAnsi="Calibri"/>
                <w:b w:val="0"/>
                <w:i w:val="0"/>
                <w:color w:val="212121"/>
                <w:sz w:val="19"/>
              </w:rPr>
              <w:t>In a north-Indian retrospective series the highest incidence was in young adults aged 18-29 years (36.92% of cases); Indian mean age is ~37 years.</w:t>
            </w:r>
          </w:p>
          <w:p>
            <w:pPr>
              <w:spacing w:after="40" w:line="252" w:lineRule="auto"/>
            </w:pPr>
            <w:hyperlink r:id="rId9">
              <w:r>
                <w:rPr>
                  <w:rFonts w:ascii="Calibri" w:hAnsi="Calibri" w:cs="Calibri"/>
                  <w:sz w:val="18"/>
                  <w:color w:val="1155CC"/>
                  <w:u w:val="single"/>
                </w:rPr>
                <w:t xml:space="preserve">pubmed.ncbi.nlm.nih.gov/31309800</w:t>
              </w:r>
            </w:hyperlink>
          </w:p>
          <w:p>
            <w:pPr>
              <w:spacing w:before="60" w:after="40"/>
            </w:pPr>
            <w:r>
              <w:rPr>
                <w:rFonts w:ascii="Calibri" w:hAnsi="Calibri"/>
                <w:b w:val="0"/>
                <w:i w:val="0"/>
                <w:color w:val="5A5A5A"/>
                <w:sz w:val="18"/>
              </w:rPr>
              <w:t>#gbs  #youngadults  #workingage  #postinfectious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Older adults tend to have more axonal disease, more autonomic instability and less physiological reserve, so they need ventilation more often and recover more slowly. Advanced age is an established poor prognostic factor.</w:t>
            </w:r>
          </w:p>
          <w:p>
            <w:pPr>
              <w:spacing w:after="40" w:before="60" w:line="259" w:lineRule="auto"/>
            </w:pPr>
            <w:r>
              <w:rPr>
                <w:rFonts w:ascii="Calibri" w:hAnsi="Calibri"/>
                <w:b w:val="0"/>
                <w:i w:val="0"/>
                <w:color w:val="212121"/>
                <w:sz w:val="19"/>
              </w:rPr>
              <w:t>Overall GBS mortality is ~3-7% but rises to about 20% among mechanically ventilated patients, who are disproportionately elderly and comorbid.</w:t>
            </w:r>
          </w:p>
          <w:p>
            <w:pPr>
              <w:spacing w:after="40" w:line="252" w:lineRule="auto"/>
            </w:pPr>
            <w:hyperlink r:id="rId10">
              <w:r>
                <w:rPr>
                  <w:rFonts w:ascii="Calibri" w:hAnsi="Calibri" w:cs="Calibri"/>
                  <w:sz w:val="18"/>
                  <w:color w:val="1155CC"/>
                  <w:u w:val="single"/>
                </w:rPr>
                <w:t xml:space="preserve">ncbi.nlm.nih.gov — StatPearls: Guillain-Barré Syndrome</w:t>
              </w:r>
            </w:hyperlink>
          </w:p>
          <w:p>
            <w:pPr>
              <w:spacing w:before="60" w:after="40"/>
            </w:pPr>
            <w:r>
              <w:rPr>
                <w:rFonts w:ascii="Calibri" w:hAnsi="Calibri"/>
                <w:b w:val="0"/>
                <w:i w:val="0"/>
                <w:color w:val="5A5A5A"/>
                <w:sz w:val="18"/>
              </w:rPr>
              <w:t>#elderly  #axonal  #ventilation  #poorprognosis  #comorbidity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w:t>
            </w:r>
          </w:p>
        </w:tc>
        <w:tc>
          <w:tcPr>
            <w:tcW w:type="dxa" w:w="4276"/>
            <w:vAlign w:val="top"/>
          </w:tcPr>
          <w:p>
            <w:pPr>
              <w:spacing w:after="60" w:line="259" w:lineRule="auto"/>
            </w:pPr>
            <w:r>
              <w:rPr>
                <w:rFonts w:ascii="Calibri" w:hAnsi="Calibri"/>
                <w:b w:val="0"/>
                <w:i w:val="0"/>
                <w:color w:val="212121"/>
                <w:sz w:val="19"/>
              </w:rPr>
              <w:t>GBS is the leading cause of acute flaccid paralysis in children in the post-polio era. Presentation can be atypical, with prominent limb pain and refusal to walk before weakness is obvious.</w:t>
            </w:r>
          </w:p>
          <w:p>
            <w:pPr>
              <w:spacing w:after="40" w:before="60" w:line="259" w:lineRule="auto"/>
            </w:pPr>
            <w:r>
              <w:rPr>
                <w:rFonts w:ascii="Calibri" w:hAnsi="Calibri"/>
                <w:b w:val="0"/>
                <w:i w:val="0"/>
                <w:color w:val="212121"/>
                <w:sz w:val="19"/>
              </w:rPr>
              <w:t>Annual incidence in children (0-15 years) is about 0.34-1.34 per 100,000; Mycoplasma and enteric infections are frequent triggers.</w:t>
            </w:r>
          </w:p>
          <w:p>
            <w:pPr>
              <w:spacing w:after="40" w:line="252" w:lineRule="auto"/>
            </w:pPr>
            <w:hyperlink r:id="rId10">
              <w:r>
                <w:rPr>
                  <w:rFonts w:ascii="Calibri" w:hAnsi="Calibri" w:cs="Calibri"/>
                  <w:sz w:val="18"/>
                  <w:color w:val="1155CC"/>
                  <w:u w:val="single"/>
                </w:rPr>
                <w:t xml:space="preserve">ncbi.nlm.nih.gov — StatPearls: Guillain-Barré Syndrome</w:t>
              </w:r>
            </w:hyperlink>
          </w:p>
          <w:p>
            <w:pPr>
              <w:spacing w:before="60" w:after="40"/>
            </w:pPr>
            <w:r>
              <w:rPr>
                <w:rFonts w:ascii="Calibri" w:hAnsi="Calibri"/>
                <w:b w:val="0"/>
                <w:i w:val="0"/>
                <w:color w:val="5A5A5A"/>
                <w:sz w:val="18"/>
              </w:rPr>
              <w:t>#pediatric  #acuteflaccidparalysis  #limbpain  #refusaltowalk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are consistently over-represented across GBS cohorts, a pattern seen more strongly in Indian series than in the West, though the biological basis is not fully understood.</w:t>
            </w:r>
          </w:p>
          <w:p>
            <w:pPr>
              <w:spacing w:after="40" w:before="60" w:line="259" w:lineRule="auto"/>
            </w:pPr>
            <w:r>
              <w:rPr>
                <w:rFonts w:ascii="Calibri" w:hAnsi="Calibri"/>
                <w:b w:val="0"/>
                <w:i w:val="0"/>
                <w:color w:val="212121"/>
                <w:sz w:val="19"/>
              </w:rPr>
              <w:t>An Indian tertiary-centre study reported a male:female ratio of 1.82:1 (mean age 37.5 years); another Indian cohort reported 2.3:1.</w:t>
            </w:r>
          </w:p>
          <w:p>
            <w:pPr>
              <w:spacing w:after="40" w:line="252" w:lineRule="auto"/>
            </w:pPr>
            <w:hyperlink r:id="rId11">
              <w:r>
                <w:rPr>
                  <w:rFonts w:ascii="Calibri" w:hAnsi="Calibri" w:cs="Calibri"/>
                  <w:sz w:val="18"/>
                  <w:color w:val="1155CC"/>
                  <w:u w:val="single"/>
                </w:rPr>
                <w:t xml:space="preserve">scirp.org — seasonal, age &amp; gender variation of GBS in India</w:t>
              </w:r>
            </w:hyperlink>
          </w:p>
          <w:p>
            <w:pPr>
              <w:spacing w:before="60" w:after="40"/>
            </w:pPr>
            <w:r>
              <w:rPr>
                <w:rFonts w:ascii="Calibri" w:hAnsi="Calibri"/>
                <w:b w:val="0"/>
                <w:i w:val="0"/>
                <w:color w:val="5A5A5A"/>
                <w:sz w:val="18"/>
              </w:rPr>
              <w:t>#male  #sexratio  #india  #epidemiology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Communities with poor water and sanitation</w:t>
            </w:r>
          </w:p>
        </w:tc>
        <w:tc>
          <w:tcPr>
            <w:tcW w:type="dxa" w:w="4276"/>
            <w:vAlign w:val="top"/>
          </w:tcPr>
          <w:p>
            <w:pPr>
              <w:spacing w:after="60" w:line="259" w:lineRule="auto"/>
            </w:pPr>
            <w:r>
              <w:rPr>
                <w:rFonts w:ascii="Calibri" w:hAnsi="Calibri"/>
                <w:b w:val="0"/>
                <w:i w:val="0"/>
                <w:color w:val="212121"/>
                <w:sz w:val="19"/>
              </w:rPr>
              <w:t>Crowding, unsafe drinking water and inadequate sanitation increase exposure to the enteric pathogens (especially Campylobacter) that trigger GBS, so outbreaks cluster in under-served urban peripheries.</w:t>
            </w:r>
          </w:p>
          <w:p>
            <w:pPr>
              <w:spacing w:after="40" w:before="60" w:line="259" w:lineRule="auto"/>
            </w:pPr>
            <w:r>
              <w:rPr>
                <w:rFonts w:ascii="Calibri" w:hAnsi="Calibri"/>
                <w:b w:val="0"/>
                <w:i w:val="0"/>
                <w:color w:val="212121"/>
                <w:sz w:val="19"/>
              </w:rPr>
              <w:t>The 2025 Pune outbreak, centred on areas served by sewage-contaminated water, produced over 200 cases and 23 reported deaths.</w:t>
            </w:r>
          </w:p>
          <w:p>
            <w:pPr>
              <w:spacing w:after="40" w:line="252" w:lineRule="auto"/>
            </w:pPr>
            <w:hyperlink r:id="rId12">
              <w:r>
                <w:rPr>
                  <w:rFonts w:ascii="Calibri" w:hAnsi="Calibri" w:cs="Calibri"/>
                  <w:sz w:val="18"/>
                  <w:color w:val="1155CC"/>
                  <w:u w:val="single"/>
                </w:rPr>
                <w:t xml:space="preserve">nature.com — India's GBS outbreak and water contamination</w:t>
              </w:r>
            </w:hyperlink>
          </w:p>
          <w:p>
            <w:pPr>
              <w:spacing w:before="60" w:after="40"/>
            </w:pPr>
            <w:r>
              <w:rPr>
                <w:rFonts w:ascii="Calibri" w:hAnsi="Calibri"/>
                <w:b w:val="0"/>
                <w:i w:val="0"/>
                <w:color w:val="5A5A5A"/>
                <w:sz w:val="18"/>
              </w:rPr>
              <w:t>#sanitation  #watersafety  #outbreak  #pune  #enteric</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Asian and Indian populations</w:t>
            </w:r>
          </w:p>
        </w:tc>
        <w:tc>
          <w:tcPr>
            <w:tcW w:type="dxa" w:w="4276"/>
            <w:vAlign w:val="top"/>
          </w:tcPr>
          <w:p>
            <w:pPr>
              <w:spacing w:after="60" w:line="259" w:lineRule="auto"/>
            </w:pPr>
            <w:r>
              <w:rPr>
                <w:rFonts w:ascii="Calibri" w:hAnsi="Calibri"/>
                <w:b w:val="0"/>
                <w:i w:val="0"/>
                <w:color w:val="212121"/>
                <w:sz w:val="19"/>
              </w:rPr>
              <w:t>The axonal (AMAN) subtype makes up a larger share of GBS in India and East Asia than in Europe or North America, reflecting a higher background rate of Campylobacter and anti-ganglioside responses.</w:t>
            </w:r>
          </w:p>
          <w:p>
            <w:pPr>
              <w:spacing w:after="40" w:before="60" w:line="259" w:lineRule="auto"/>
            </w:pPr>
            <w:r>
              <w:rPr>
                <w:rFonts w:ascii="Calibri" w:hAnsi="Calibri"/>
                <w:b w:val="0"/>
                <w:i w:val="0"/>
                <w:color w:val="212121"/>
                <w:sz w:val="19"/>
              </w:rPr>
              <w:t>An Indian tertiary cohort found AMAN (axonal motor) in 40% and AIDP in 54% of patients, a higher axonal fraction than typical Western series.</w:t>
            </w:r>
          </w:p>
          <w:p>
            <w:pPr>
              <w:spacing w:after="40" w:line="252" w:lineRule="auto"/>
            </w:pPr>
            <w:hyperlink r:id="rId13">
              <w:r>
                <w:rPr>
                  <w:rFonts w:ascii="Calibri" w:hAnsi="Calibri" w:cs="Calibri"/>
                  <w:sz w:val="18"/>
                  <w:color w:val="1155CC"/>
                  <w:u w:val="single"/>
                </w:rPr>
                <w:t xml:space="preserve">link.springer.com — GBS outcomes at an Indian tertiary centre</w:t>
              </w:r>
            </w:hyperlink>
          </w:p>
          <w:p>
            <w:pPr>
              <w:spacing w:before="60" w:after="40"/>
            </w:pPr>
            <w:r>
              <w:rPr>
                <w:rFonts w:ascii="Calibri" w:hAnsi="Calibri"/>
                <w:b w:val="0"/>
                <w:i w:val="0"/>
                <w:color w:val="5A5A5A"/>
                <w:sz w:val="18"/>
              </w:rPr>
              <w:t>#aman  #axonal  #asia  #antiganglioside  #india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(outbreak)</w:t>
            </w:r>
          </w:p>
        </w:tc>
        <w:tc>
          <w:tcPr>
            <w:tcW w:type="dxa" w:w="2160"/>
            <w:vAlign w:val="top"/>
          </w:tcPr>
          <w:p>
            <w:pPr>
              <w:spacing w:after="40" w:before="0" w:line="259" w:lineRule="auto"/>
            </w:pPr>
            <w:r>
              <w:rPr>
                <w:rFonts w:ascii="Calibri" w:hAnsi="Calibri"/>
                <w:b w:val="0"/>
                <w:i w:val="0"/>
                <w:color w:val="212121"/>
                <w:sz w:val="19"/>
              </w:rPr>
              <w:t>Pune / Maharashtra residents (2025 cluster)</w:t>
            </w:r>
          </w:p>
        </w:tc>
        <w:tc>
          <w:tcPr>
            <w:tcW w:type="dxa" w:w="4276"/>
            <w:vAlign w:val="top"/>
          </w:tcPr>
          <w:p>
            <w:pPr>
              <w:spacing w:after="60" w:line="259" w:lineRule="auto"/>
            </w:pPr>
            <w:r>
              <w:rPr>
                <w:rFonts w:ascii="Calibri" w:hAnsi="Calibri"/>
                <w:b w:val="0"/>
                <w:i w:val="0"/>
                <w:color w:val="212121"/>
                <w:sz w:val="19"/>
              </w:rPr>
              <w:t>Point-source contamination of a local drinking-water supply can produce a sharp space-time cluster of GBS, over and above the usual sporadic background rate.</w:t>
            </w:r>
          </w:p>
          <w:p>
            <w:pPr>
              <w:spacing w:after="40" w:before="60" w:line="259" w:lineRule="auto"/>
            </w:pPr>
            <w:r>
              <w:rPr>
                <w:rFonts w:ascii="Calibri" w:hAnsi="Calibri"/>
                <w:b w:val="0"/>
                <w:i w:val="0"/>
                <w:color w:val="212121"/>
                <w:sz w:val="19"/>
              </w:rPr>
              <w:t>During the early-2025 Maharashtra outbreak the tally reached ~130 suspected cases with early deaths within weeks, later exceeding 200 cases statewide.</w:t>
            </w:r>
          </w:p>
          <w:p>
            <w:pPr>
              <w:spacing w:after="40" w:line="252" w:lineRule="auto"/>
            </w:pPr>
            <w:hyperlink r:id="rId14">
              <w:r>
                <w:rPr>
                  <w:rFonts w:ascii="Calibri" w:hAnsi="Calibri" w:cs="Calibri"/>
                  <w:sz w:val="18"/>
                  <w:color w:val="1155CC"/>
                  <w:u w:val="single"/>
                </w:rPr>
                <w:t xml:space="preserve">deccanherald.com — Maharashtra GBS suspected cases</w:t>
              </w:r>
            </w:hyperlink>
          </w:p>
          <w:p>
            <w:pPr>
              <w:spacing w:before="60" w:after="40"/>
            </w:pPr>
            <w:r>
              <w:rPr>
                <w:rFonts w:ascii="Calibri" w:hAnsi="Calibri"/>
                <w:b w:val="0"/>
                <w:i w:val="0"/>
                <w:color w:val="5A5A5A"/>
                <w:sz w:val="18"/>
              </w:rPr>
              <w:t>#pune  #maharashtra  #cluster  #waterborne  #2025outbreak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Season / Climate</w:t>
            </w:r>
          </w:p>
        </w:tc>
        <w:tc>
          <w:tcPr>
            <w:tcW w:type="dxa" w:w="2160"/>
            <w:vAlign w:val="top"/>
          </w:tcPr>
          <w:p>
            <w:pPr>
              <w:spacing w:after="40" w:before="0" w:line="259" w:lineRule="auto"/>
            </w:pPr>
            <w:r>
              <w:rPr>
                <w:rFonts w:ascii="Calibri" w:hAnsi="Calibri"/>
                <w:b w:val="0"/>
                <w:i w:val="0"/>
                <w:color w:val="212121"/>
                <w:sz w:val="19"/>
              </w:rPr>
              <w:t>Summer and monsoon / post-monsoon periods</w:t>
            </w:r>
          </w:p>
        </w:tc>
        <w:tc>
          <w:tcPr>
            <w:tcW w:type="dxa" w:w="4276"/>
            <w:vAlign w:val="top"/>
          </w:tcPr>
          <w:p>
            <w:pPr>
              <w:spacing w:after="60" w:line="259" w:lineRule="auto"/>
            </w:pPr>
            <w:r>
              <w:rPr>
                <w:rFonts w:ascii="Calibri" w:hAnsi="Calibri"/>
                <w:b w:val="0"/>
                <w:i w:val="0"/>
                <w:color w:val="212121"/>
                <w:sz w:val="19"/>
              </w:rPr>
              <w:t>Enteric and arboviral infections rise in the warm and rainy months, and GBS incidence follows with a lag of a few weeks - a seasonality repeatedly documented in Indian centres.</w:t>
            </w:r>
          </w:p>
          <w:p>
            <w:pPr>
              <w:spacing w:after="40" w:before="60" w:line="259" w:lineRule="auto"/>
            </w:pPr>
            <w:r>
              <w:rPr>
                <w:rFonts w:ascii="Calibri" w:hAnsi="Calibri"/>
                <w:b w:val="0"/>
                <w:i w:val="0"/>
                <w:color w:val="212121"/>
                <w:sz w:val="19"/>
              </w:rPr>
              <w:t>An Indian series found 41.53% of cases occurred in summer (May-July), the peak season for the antecedent infections that precipitate GBS.</w:t>
            </w:r>
          </w:p>
          <w:p>
            <w:pPr>
              <w:spacing w:after="40" w:line="252" w:lineRule="auto"/>
            </w:pPr>
            <w:hyperlink r:id="rId11">
              <w:r>
                <w:rPr>
                  <w:rFonts w:ascii="Calibri" w:hAnsi="Calibri" w:cs="Calibri"/>
                  <w:sz w:val="18"/>
                  <w:color w:val="1155CC"/>
                  <w:u w:val="single"/>
                </w:rPr>
                <w:t xml:space="preserve">scirp.org — seasonal variation of GBS in India</w:t>
              </w:r>
            </w:hyperlink>
          </w:p>
          <w:p>
            <w:pPr>
              <w:spacing w:before="60" w:after="40"/>
            </w:pPr>
            <w:r>
              <w:rPr>
                <w:rFonts w:ascii="Calibri" w:hAnsi="Calibri"/>
                <w:b w:val="0"/>
                <w:i w:val="0"/>
                <w:color w:val="5A5A5A"/>
                <w:sz w:val="18"/>
              </w:rPr>
              <w:t>#seasonality  #summer  #monsoon  #arbovirus  #enteric</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Food handling / hygiene</w:t>
            </w:r>
          </w:p>
        </w:tc>
        <w:tc>
          <w:tcPr>
            <w:tcW w:type="dxa" w:w="2160"/>
            <w:vAlign w:val="top"/>
          </w:tcPr>
          <w:p>
            <w:pPr>
              <w:spacing w:after="40" w:before="0" w:line="259" w:lineRule="auto"/>
            </w:pPr>
            <w:r>
              <w:rPr>
                <w:rFonts w:ascii="Calibri" w:hAnsi="Calibri"/>
                <w:b w:val="0"/>
                <w:i w:val="0"/>
                <w:color w:val="212121"/>
                <w:sz w:val="19"/>
              </w:rPr>
              <w:t>Consumers of undercooked poultry and unhygienic street food</w:t>
            </w:r>
          </w:p>
        </w:tc>
        <w:tc>
          <w:tcPr>
            <w:tcW w:type="dxa" w:w="4276"/>
            <w:vAlign w:val="top"/>
          </w:tcPr>
          <w:p>
            <w:pPr>
              <w:spacing w:after="60" w:line="259" w:lineRule="auto"/>
            </w:pPr>
            <w:r>
              <w:rPr>
                <w:rFonts w:ascii="Calibri" w:hAnsi="Calibri"/>
                <w:b w:val="0"/>
                <w:i w:val="0"/>
                <w:color w:val="212121"/>
                <w:sz w:val="19"/>
              </w:rPr>
              <w:t>Campylobacter jejuni - the single commonest GBS trigger - is carried by poultry and spread by undercooked meat, cross-contamination and poor kitchen hygiene, so unsafe food practice is the main modifiable exposure.</w:t>
            </w:r>
          </w:p>
          <w:p>
            <w:pPr>
              <w:spacing w:after="40" w:before="60" w:line="259" w:lineRule="auto"/>
            </w:pPr>
            <w:r>
              <w:rPr>
                <w:rFonts w:ascii="Calibri" w:hAnsi="Calibri"/>
                <w:b w:val="0"/>
                <w:i w:val="0"/>
                <w:color w:val="212121"/>
                <w:sz w:val="19"/>
              </w:rPr>
              <w:t>Campylobacter (with norovirus co-detection) was identified in outbreak stool samples; prevention advice centred on boiling water, avoiding raw/street foods and hand hygiene.</w:t>
            </w:r>
          </w:p>
          <w:p>
            <w:pPr>
              <w:spacing w:after="40" w:line="252" w:lineRule="auto"/>
            </w:pPr>
            <w:hyperlink r:id="rId15">
              <w:r>
                <w:rPr>
                  <w:rFonts w:ascii="Calibri" w:hAnsi="Calibri" w:cs="Calibri"/>
                  <w:sz w:val="18"/>
                  <w:color w:val="1155CC"/>
                  <w:u w:val="single"/>
                </w:rPr>
                <w:t xml:space="preserve">gavi.org — infection-linked paralysis syndrome in India</w:t>
              </w:r>
            </w:hyperlink>
          </w:p>
          <w:p>
            <w:pPr>
              <w:spacing w:before="60" w:after="40"/>
            </w:pPr>
            <w:r>
              <w:rPr>
                <w:rFonts w:ascii="Calibri" w:hAnsi="Calibri"/>
                <w:b w:val="0"/>
                <w:i w:val="0"/>
                <w:color w:val="5A5A5A"/>
                <w:sz w:val="18"/>
              </w:rPr>
              <w:t>#campylobacter  #undercookedpoultry  #streetfood  #foodhygiene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Water and sanitation</w:t>
            </w:r>
          </w:p>
        </w:tc>
        <w:tc>
          <w:tcPr>
            <w:tcW w:type="dxa" w:w="2160"/>
            <w:vAlign w:val="top"/>
          </w:tcPr>
          <w:p>
            <w:pPr>
              <w:spacing w:after="40" w:before="0" w:line="259" w:lineRule="auto"/>
            </w:pPr>
            <w:r>
              <w:rPr>
                <w:rFonts w:ascii="Calibri" w:hAnsi="Calibri"/>
                <w:b w:val="0"/>
                <w:i w:val="0"/>
                <w:color w:val="212121"/>
                <w:sz w:val="19"/>
              </w:rPr>
              <w:t>Users of untreated or contaminated drinking water</w:t>
            </w:r>
          </w:p>
        </w:tc>
        <w:tc>
          <w:tcPr>
            <w:tcW w:type="dxa" w:w="4276"/>
            <w:vAlign w:val="top"/>
          </w:tcPr>
          <w:p>
            <w:pPr>
              <w:spacing w:after="60" w:line="259" w:lineRule="auto"/>
            </w:pPr>
            <w:r>
              <w:rPr>
                <w:rFonts w:ascii="Calibri" w:hAnsi="Calibri"/>
                <w:b w:val="0"/>
                <w:i w:val="0"/>
                <w:color w:val="212121"/>
                <w:sz w:val="19"/>
              </w:rPr>
              <w:t>Waterborne enteric infection is a key route to GBS in India; sewage ingress into supply lines or reverse-osmosis systems can seed a community outbreak.</w:t>
            </w:r>
          </w:p>
          <w:p>
            <w:pPr>
              <w:spacing w:after="40" w:before="60" w:line="259" w:lineRule="auto"/>
            </w:pPr>
            <w:r>
              <w:rPr>
                <w:rFonts w:ascii="Calibri" w:hAnsi="Calibri"/>
                <w:b w:val="0"/>
                <w:i w:val="0"/>
                <w:color w:val="212121"/>
                <w:sz w:val="19"/>
              </w:rPr>
              <w:t>Investigators linked the Pune cluster to Campylobacter entering the water supply through sewage contamination, including infiltration into RO systems.</w:t>
            </w:r>
          </w:p>
          <w:p>
            <w:pPr>
              <w:spacing w:after="40" w:line="252" w:lineRule="auto"/>
            </w:pPr>
            <w:hyperlink r:id="rId12">
              <w:r>
                <w:rPr>
                  <w:rFonts w:ascii="Calibri" w:hAnsi="Calibri" w:cs="Calibri"/>
                  <w:sz w:val="18"/>
                  <w:color w:val="1155CC"/>
                  <w:u w:val="single"/>
                </w:rPr>
                <w:t xml:space="preserve">nature.com — water contamination and GBS in India</w:t>
              </w:r>
            </w:hyperlink>
          </w:p>
          <w:p>
            <w:pPr>
              <w:spacing w:before="60" w:after="40"/>
            </w:pPr>
            <w:r>
              <w:rPr>
                <w:rFonts w:ascii="Calibri" w:hAnsi="Calibri"/>
                <w:b w:val="0"/>
                <w:i w:val="0"/>
                <w:color w:val="5A5A5A"/>
                <w:sz w:val="18"/>
              </w:rPr>
              <w:t>#watersafety  #borewell  #rocontamination  #sewage  #outbreak</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Raw / undercooked animal-product consumers</w:t>
            </w:r>
          </w:p>
        </w:tc>
        <w:tc>
          <w:tcPr>
            <w:tcW w:type="dxa" w:w="4276"/>
            <w:vAlign w:val="top"/>
          </w:tcPr>
          <w:p>
            <w:pPr>
              <w:spacing w:after="60" w:line="259" w:lineRule="auto"/>
            </w:pPr>
            <w:r>
              <w:rPr>
                <w:rFonts w:ascii="Calibri" w:hAnsi="Calibri"/>
                <w:b w:val="0"/>
                <w:i w:val="0"/>
                <w:color w:val="212121"/>
                <w:sz w:val="19"/>
              </w:rPr>
              <w:t>Raw or unpasteurised milk, undercooked eggs and pink poultry harbour Campylobacter and other enteric pathogens; thorough cooking essentially removes this trigger.</w:t>
            </w:r>
          </w:p>
          <w:p>
            <w:pPr>
              <w:spacing w:after="40" w:before="60" w:line="259" w:lineRule="auto"/>
            </w:pPr>
            <w:r>
              <w:rPr>
                <w:rFonts w:ascii="Calibri" w:hAnsi="Calibri"/>
                <w:b w:val="0"/>
                <w:i w:val="0"/>
                <w:color w:val="212121"/>
                <w:sz w:val="19"/>
              </w:rPr>
              <w:t>Poultry cooked throughout to &gt;= 74 C (165 F) reliably kills Campylobacter jejuni, the leading antecedent pathogen in GBS.</w:t>
            </w:r>
          </w:p>
          <w:p>
            <w:pPr>
              <w:spacing w:after="40" w:line="252" w:lineRule="auto"/>
            </w:pPr>
            <w:hyperlink r:id="rId10">
              <w:r>
                <w:rPr>
                  <w:rFonts w:ascii="Calibri" w:hAnsi="Calibri" w:cs="Calibri"/>
                  <w:sz w:val="18"/>
                  <w:color w:val="1155CC"/>
                  <w:u w:val="single"/>
                </w:rPr>
                <w:t xml:space="preserve">ncbi.nlm.nih.gov — StatPearls: Guillain-Barré Syndrome</w:t>
              </w:r>
            </w:hyperlink>
          </w:p>
          <w:p>
            <w:pPr>
              <w:spacing w:before="60" w:after="40"/>
            </w:pPr>
            <w:r>
              <w:rPr>
                <w:rFonts w:ascii="Calibri" w:hAnsi="Calibri"/>
                <w:b w:val="0"/>
                <w:i w:val="0"/>
                <w:color w:val="5A5A5A"/>
                <w:sz w:val="18"/>
              </w:rPr>
              <w:t>#rawfood  #unpasteurised  #undercooked  #campylobacter</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susceptibility</w:t>
            </w:r>
          </w:p>
        </w:tc>
        <w:tc>
          <w:tcPr>
            <w:tcW w:type="dxa" w:w="2160"/>
            <w:vAlign w:val="top"/>
          </w:tcPr>
          <w:p>
            <w:pPr>
              <w:spacing w:after="40" w:before="0" w:line="259" w:lineRule="auto"/>
            </w:pPr>
            <w:r>
              <w:rPr>
                <w:rFonts w:ascii="Calibri" w:hAnsi="Calibri"/>
                <w:b w:val="0"/>
                <w:i w:val="0"/>
                <w:color w:val="212121"/>
                <w:sz w:val="19"/>
              </w:rPr>
              <w:t>Individuals with a susceptible anti-ganglioside immune response</w:t>
            </w:r>
          </w:p>
        </w:tc>
        <w:tc>
          <w:tcPr>
            <w:tcW w:type="dxa" w:w="4276"/>
            <w:vAlign w:val="top"/>
          </w:tcPr>
          <w:p>
            <w:pPr>
              <w:spacing w:after="60" w:line="259" w:lineRule="auto"/>
            </w:pPr>
            <w:r>
              <w:rPr>
                <w:rFonts w:ascii="Calibri" w:hAnsi="Calibri"/>
                <w:b w:val="0"/>
                <w:i w:val="0"/>
                <w:color w:val="212121"/>
                <w:sz w:val="19"/>
              </w:rPr>
              <w:t>GBS is not inherited in a Mendelian way, but only a small fraction of people exposed to a given trigger develop it, implying host immune/HLA and antibody-repertoire factors set individual susceptibility.</w:t>
            </w:r>
          </w:p>
          <w:p>
            <w:pPr>
              <w:spacing w:after="40" w:before="60" w:line="259" w:lineRule="auto"/>
            </w:pPr>
            <w:r>
              <w:rPr>
                <w:rFonts w:ascii="Calibri" w:hAnsi="Calibri"/>
                <w:b w:val="0"/>
                <w:i w:val="0"/>
                <w:color w:val="212121"/>
                <w:sz w:val="19"/>
              </w:rPr>
              <w:t>Despite Campylobacter being common, only a minute proportion of infected people develop GBS, underscoring a strong host-susceptibility component.</w:t>
            </w:r>
          </w:p>
          <w:p>
            <w:pPr>
              <w:spacing w:after="40" w:line="252" w:lineRule="auto"/>
            </w:pPr>
            <w:hyperlink r:id="rId10">
              <w:r>
                <w:rPr>
                  <w:rFonts w:ascii="Calibri" w:hAnsi="Calibri" w:cs="Calibri"/>
                  <w:sz w:val="18"/>
                  <w:color w:val="1155CC"/>
                  <w:u w:val="single"/>
                </w:rPr>
                <w:t xml:space="preserve">ncbi.nlm.nih.gov — StatPearls: Guillain-Barré Syndrome</w:t>
              </w:r>
            </w:hyperlink>
          </w:p>
          <w:p>
            <w:pPr>
              <w:spacing w:before="60" w:after="40"/>
            </w:pPr>
            <w:r>
              <w:rPr>
                <w:rFonts w:ascii="Calibri" w:hAnsi="Calibri"/>
                <w:b w:val="0"/>
                <w:i w:val="0"/>
                <w:color w:val="5A5A5A"/>
                <w:sz w:val="18"/>
              </w:rPr>
              <w:t>#hostsusceptibility  #hla  #gangliosides  #immunogenetics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Antecedent Campylobacter enteritis</w:t>
            </w:r>
          </w:p>
        </w:tc>
        <w:tc>
          <w:tcPr>
            <w:tcW w:type="dxa" w:w="2160"/>
            <w:vAlign w:val="top"/>
          </w:tcPr>
          <w:p>
            <w:pPr>
              <w:spacing w:after="40" w:before="0" w:line="259" w:lineRule="auto"/>
            </w:pPr>
            <w:r>
              <w:rPr>
                <w:rFonts w:ascii="Calibri" w:hAnsi="Calibri"/>
                <w:b w:val="0"/>
                <w:i w:val="0"/>
                <w:color w:val="212121"/>
                <w:sz w:val="19"/>
              </w:rPr>
              <w:t>Patients with a recent diarrhoeal illness</w:t>
            </w:r>
          </w:p>
        </w:tc>
        <w:tc>
          <w:tcPr>
            <w:tcW w:type="dxa" w:w="4276"/>
            <w:vAlign w:val="top"/>
          </w:tcPr>
          <w:p>
            <w:pPr>
              <w:spacing w:after="60" w:line="259" w:lineRule="auto"/>
            </w:pPr>
            <w:r>
              <w:rPr>
                <w:rFonts w:ascii="Calibri" w:hAnsi="Calibri"/>
                <w:b w:val="0"/>
                <w:i w:val="0"/>
                <w:color w:val="212121"/>
                <w:sz w:val="19"/>
              </w:rPr>
              <w:t>A diarrhoeal prodrome, most often Campylobacter, characteristically precedes the axonal (AMAN/AMSAN) forms and tends to predict a more severe course.</w:t>
            </w:r>
          </w:p>
          <w:p>
            <w:pPr>
              <w:spacing w:after="40" w:before="60" w:line="259" w:lineRule="auto"/>
            </w:pPr>
            <w:r>
              <w:rPr>
                <w:rFonts w:ascii="Calibri" w:hAnsi="Calibri"/>
                <w:b w:val="0"/>
                <w:i w:val="0"/>
                <w:color w:val="212121"/>
                <w:sz w:val="19"/>
              </w:rPr>
              <w:t>In an Indian series ~7.7% reported preceding diarrhoea and ~18.5% a flu-like illness 1-2 weeks before onset; diarrhoeal cases skew toward axonal disease.</w:t>
            </w:r>
          </w:p>
          <w:p>
            <w:pPr>
              <w:spacing w:after="40" w:line="252" w:lineRule="auto"/>
            </w:pPr>
            <w:hyperlink r:id="rId11">
              <w:r>
                <w:rPr>
                  <w:rFonts w:ascii="Calibri" w:hAnsi="Calibri" w:cs="Calibri"/>
                  <w:sz w:val="18"/>
                  <w:color w:val="1155CC"/>
                  <w:u w:val="single"/>
                </w:rPr>
                <w:t xml:space="preserve">scirp.org — preceding illness in Indian GBS</w:t>
              </w:r>
            </w:hyperlink>
          </w:p>
          <w:p>
            <w:pPr>
              <w:spacing w:before="60" w:after="40"/>
            </w:pPr>
            <w:r>
              <w:rPr>
                <w:rFonts w:ascii="Calibri" w:hAnsi="Calibri"/>
                <w:b w:val="0"/>
                <w:i w:val="0"/>
                <w:color w:val="5A5A5A"/>
                <w:sz w:val="18"/>
              </w:rPr>
              <w:t>#campylobacter  #diarrhoea  #aman  #axonal  #severe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respiratory infection</w:t>
            </w:r>
          </w:p>
        </w:tc>
        <w:tc>
          <w:tcPr>
            <w:tcW w:type="dxa" w:w="2160"/>
            <w:vAlign w:val="top"/>
          </w:tcPr>
          <w:p>
            <w:pPr>
              <w:spacing w:after="40" w:before="0" w:line="259" w:lineRule="auto"/>
            </w:pPr>
            <w:r>
              <w:rPr>
                <w:rFonts w:ascii="Calibri" w:hAnsi="Calibri"/>
                <w:b w:val="0"/>
                <w:i w:val="0"/>
                <w:color w:val="212121"/>
                <w:sz w:val="19"/>
              </w:rPr>
              <w:t>Patients with a preceding flu-like/upper-respiratory illness</w:t>
            </w:r>
          </w:p>
        </w:tc>
        <w:tc>
          <w:tcPr>
            <w:tcW w:type="dxa" w:w="4276"/>
            <w:vAlign w:val="top"/>
          </w:tcPr>
          <w:p>
            <w:pPr>
              <w:spacing w:after="60" w:line="259" w:lineRule="auto"/>
            </w:pPr>
            <w:r>
              <w:rPr>
                <w:rFonts w:ascii="Calibri" w:hAnsi="Calibri"/>
                <w:b w:val="0"/>
                <w:i w:val="0"/>
                <w:color w:val="212121"/>
                <w:sz w:val="19"/>
              </w:rPr>
              <w:t>Respiratory prodromes (including Mycoplasma, influenza and SARS-CoV-2) are classically linked to the demyelinating (AIDP) subtype.</w:t>
            </w:r>
          </w:p>
          <w:p>
            <w:pPr>
              <w:spacing w:after="40" w:before="60" w:line="259" w:lineRule="auto"/>
            </w:pPr>
            <w:r>
              <w:rPr>
                <w:rFonts w:ascii="Calibri" w:hAnsi="Calibri"/>
                <w:b w:val="0"/>
                <w:i w:val="0"/>
                <w:color w:val="212121"/>
                <w:sz w:val="19"/>
              </w:rPr>
              <w:t>Around 18.5% of patients in an Indian cohort reported a flu-like illness in the 1-2 weeks before GBS onset.</w:t>
            </w:r>
          </w:p>
          <w:p>
            <w:pPr>
              <w:spacing w:after="40" w:line="252" w:lineRule="auto"/>
            </w:pPr>
            <w:hyperlink r:id="rId11">
              <w:r>
                <w:rPr>
                  <w:rFonts w:ascii="Calibri" w:hAnsi="Calibri" w:cs="Calibri"/>
                  <w:sz w:val="18"/>
                  <w:color w:val="1155CC"/>
                  <w:u w:val="single"/>
                </w:rPr>
                <w:t xml:space="preserve">scirp.org — antecedent illness in Indian GBS</w:t>
              </w:r>
            </w:hyperlink>
          </w:p>
          <w:p>
            <w:pPr>
              <w:spacing w:before="60" w:after="40"/>
            </w:pPr>
            <w:r>
              <w:rPr>
                <w:rFonts w:ascii="Calibri" w:hAnsi="Calibri"/>
                <w:b w:val="0"/>
                <w:i w:val="0"/>
                <w:color w:val="5A5A5A"/>
                <w:sz w:val="18"/>
              </w:rPr>
              <w:t>#respiratoryinfection  #aidp  #mycoplasma  #influenza  #covid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Arboviral infection</w:t>
            </w:r>
          </w:p>
        </w:tc>
        <w:tc>
          <w:tcPr>
            <w:tcW w:type="dxa" w:w="2160"/>
            <w:vAlign w:val="top"/>
          </w:tcPr>
          <w:p>
            <w:pPr>
              <w:spacing w:after="40" w:before="0" w:line="259" w:lineRule="auto"/>
            </w:pPr>
            <w:r>
              <w:rPr>
                <w:rFonts w:ascii="Calibri" w:hAnsi="Calibri"/>
                <w:b w:val="0"/>
                <w:i w:val="0"/>
                <w:color w:val="212121"/>
                <w:sz w:val="19"/>
              </w:rPr>
              <w:t>Patients recovering from chikungunya, dengue or Zika</w:t>
            </w:r>
          </w:p>
        </w:tc>
        <w:tc>
          <w:tcPr>
            <w:tcW w:type="dxa" w:w="4276"/>
            <w:vAlign w:val="top"/>
          </w:tcPr>
          <w:p>
            <w:pPr>
              <w:spacing w:after="60" w:line="259" w:lineRule="auto"/>
            </w:pPr>
            <w:r>
              <w:rPr>
                <w:rFonts w:ascii="Calibri" w:hAnsi="Calibri"/>
                <w:b w:val="0"/>
                <w:i w:val="0"/>
                <w:color w:val="212121"/>
                <w:sz w:val="19"/>
              </w:rPr>
              <w:t>Mosquito-borne viral fevers are major, India-specific GBS precipitants; surges in chikungunya/dengue are mirrored by rises in GBS admissions.</w:t>
            </w:r>
          </w:p>
          <w:p>
            <w:pPr>
              <w:spacing w:after="40" w:before="60" w:line="259" w:lineRule="auto"/>
            </w:pPr>
            <w:r>
              <w:rPr>
                <w:rFonts w:ascii="Calibri" w:hAnsi="Calibri"/>
                <w:b w:val="0"/>
                <w:i w:val="0"/>
                <w:color w:val="212121"/>
                <w:sz w:val="19"/>
              </w:rPr>
              <w:t>A NIMHANS study (2014-2019) found ~79% of Indian GBS cases were preceded by infection - most commonly chikungunya - with evidence of multi-organism co-infection in 65%.</w:t>
            </w:r>
          </w:p>
          <w:p>
            <w:pPr>
              <w:spacing w:after="40" w:line="252" w:lineRule="auto"/>
            </w:pPr>
            <w:hyperlink r:id="rId15">
              <w:r>
                <w:rPr>
                  <w:rFonts w:ascii="Calibri" w:hAnsi="Calibri" w:cs="Calibri"/>
                  <w:sz w:val="18"/>
                  <w:color w:val="1155CC"/>
                  <w:u w:val="single"/>
                </w:rPr>
                <w:t xml:space="preserve">gavi.org — infections linked to GBS spikes in India</w:t>
              </w:r>
            </w:hyperlink>
          </w:p>
          <w:p>
            <w:pPr>
              <w:spacing w:before="60" w:after="40"/>
            </w:pPr>
            <w:r>
              <w:rPr>
                <w:rFonts w:ascii="Calibri" w:hAnsi="Calibri"/>
                <w:b w:val="0"/>
                <w:i w:val="0"/>
                <w:color w:val="5A5A5A"/>
                <w:sz w:val="18"/>
              </w:rPr>
              <w:t>#chikungunya  #dengue  #zika  #arbovirus  #nimhans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Recent surgery / immunocompromise</w:t>
            </w:r>
          </w:p>
        </w:tc>
        <w:tc>
          <w:tcPr>
            <w:tcW w:type="dxa" w:w="2160"/>
            <w:vAlign w:val="top"/>
          </w:tcPr>
          <w:p>
            <w:pPr>
              <w:spacing w:after="40" w:before="0" w:line="259" w:lineRule="auto"/>
            </w:pPr>
            <w:r>
              <w:rPr>
                <w:rFonts w:ascii="Calibri" w:hAnsi="Calibri"/>
                <w:b w:val="0"/>
                <w:i w:val="0"/>
                <w:color w:val="212121"/>
                <w:sz w:val="19"/>
              </w:rPr>
              <w:t>Post-operative, HIV, malignancy or checkpoint-inhibitor patients</w:t>
            </w:r>
          </w:p>
        </w:tc>
        <w:tc>
          <w:tcPr>
            <w:tcW w:type="dxa" w:w="4276"/>
            <w:vAlign w:val="top"/>
          </w:tcPr>
          <w:p>
            <w:pPr>
              <w:spacing w:after="60" w:line="259" w:lineRule="auto"/>
            </w:pPr>
            <w:r>
              <w:rPr>
                <w:rFonts w:ascii="Calibri" w:hAnsi="Calibri"/>
                <w:b w:val="0"/>
                <w:i w:val="0"/>
                <w:color w:val="212121"/>
                <w:sz w:val="19"/>
              </w:rPr>
              <w:t>Immune activation or dysregulation from recent surgery/trauma, HIV seroconversion, lymphoma or immune-checkpoint-inhibitor therapy can precipitate GBS in the absence of a classic infection.</w:t>
            </w:r>
          </w:p>
          <w:p>
            <w:pPr>
              <w:spacing w:after="40" w:before="60" w:line="259" w:lineRule="auto"/>
            </w:pPr>
            <w:r>
              <w:rPr>
                <w:rFonts w:ascii="Calibri" w:hAnsi="Calibri"/>
                <w:b w:val="0"/>
                <w:i w:val="0"/>
                <w:color w:val="212121"/>
                <w:sz w:val="19"/>
              </w:rPr>
              <w:t>Recognised non-infective triggers include surgery, HIV, malignancy and checkpoint-inhibitor immunotherapy; such cases warrant a search for the underlying cause.</w:t>
            </w:r>
          </w:p>
          <w:p>
            <w:pPr>
              <w:spacing w:after="40" w:line="252" w:lineRule="auto"/>
            </w:pPr>
            <w:hyperlink r:id="rId10">
              <w:r>
                <w:rPr>
                  <w:rFonts w:ascii="Calibri" w:hAnsi="Calibri" w:cs="Calibri"/>
                  <w:sz w:val="18"/>
                  <w:color w:val="1155CC"/>
                  <w:u w:val="single"/>
                </w:rPr>
                <w:t xml:space="preserve">ncbi.nlm.nih.gov — StatPearls: Guillain-Barré Syndrome</w:t>
              </w:r>
            </w:hyperlink>
          </w:p>
          <w:p>
            <w:pPr>
              <w:spacing w:before="60" w:after="40"/>
            </w:pPr>
            <w:r>
              <w:rPr>
                <w:rFonts w:ascii="Calibri" w:hAnsi="Calibri"/>
                <w:b w:val="0"/>
                <w:i w:val="0"/>
                <w:color w:val="5A5A5A"/>
                <w:sz w:val="18"/>
              </w:rPr>
              <w:t>#postsurgical  #hiv  #malignancy  #checkpointinhibitor  #trigger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 comorbidity</w:t>
            </w:r>
          </w:p>
        </w:tc>
        <w:tc>
          <w:tcPr>
            <w:tcW w:type="dxa" w:w="2160"/>
            <w:vAlign w:val="top"/>
          </w:tcPr>
          <w:p>
            <w:pPr>
              <w:spacing w:after="40" w:before="0" w:line="259" w:lineRule="auto"/>
            </w:pPr>
            <w:r>
              <w:rPr>
                <w:rFonts w:ascii="Calibri" w:hAnsi="Calibri"/>
                <w:b w:val="0"/>
                <w:i w:val="0"/>
                <w:color w:val="212121"/>
                <w:sz w:val="19"/>
              </w:rPr>
              <w:t>Older patients with diabetes or cardiorespiratory disease</w:t>
            </w:r>
          </w:p>
        </w:tc>
        <w:tc>
          <w:tcPr>
            <w:tcW w:type="dxa" w:w="4276"/>
            <w:vAlign w:val="top"/>
          </w:tcPr>
          <w:p>
            <w:pPr>
              <w:spacing w:after="60" w:line="259" w:lineRule="auto"/>
            </w:pPr>
            <w:r>
              <w:rPr>
                <w:rFonts w:ascii="Calibri" w:hAnsi="Calibri"/>
                <w:b w:val="0"/>
                <w:i w:val="0"/>
                <w:color w:val="212121"/>
                <w:sz w:val="19"/>
              </w:rPr>
              <w:t>Pre-existing diabetic neuropathy can blur nerve-conduction interpretation, while comorbidity reduces reserve and worsens outcomes; such patients need closer monitoring and slower rehabilitation.</w:t>
            </w:r>
          </w:p>
          <w:p>
            <w:pPr>
              <w:spacing w:after="40" w:before="60" w:line="259" w:lineRule="auto"/>
            </w:pPr>
            <w:r>
              <w:rPr>
                <w:rFonts w:ascii="Calibri" w:hAnsi="Calibri"/>
                <w:b w:val="0"/>
                <w:i w:val="0"/>
                <w:color w:val="212121"/>
                <w:sz w:val="19"/>
              </w:rPr>
              <w:t>Advanced age, comorbidity, axonal subtype, preceding C. jejuni and the need for ventilation are the principal predictors of poor outcome.</w:t>
            </w:r>
          </w:p>
          <w:p>
            <w:pPr>
              <w:spacing w:after="40" w:line="252" w:lineRule="auto"/>
            </w:pPr>
            <w:hyperlink r:id="rId16">
              <w:r>
                <w:rPr>
                  <w:rFonts w:ascii="Calibri" w:hAnsi="Calibri" w:cs="Calibri"/>
                  <w:sz w:val="18"/>
                  <w:color w:val="1155CC"/>
                  <w:u w:val="single"/>
                </w:rPr>
                <w:t xml:space="preserve">pubmed.ncbi.nlm.nih.gov/24456386 — GBS subtypes &amp; outcome predictors, India</w:t>
              </w:r>
            </w:hyperlink>
          </w:p>
          <w:p>
            <w:pPr>
              <w:spacing w:before="60" w:after="40"/>
            </w:pPr>
            <w:r>
              <w:rPr>
                <w:rFonts w:ascii="Calibri" w:hAnsi="Calibri"/>
                <w:b w:val="0"/>
                <w:i w:val="0"/>
                <w:color w:val="5A5A5A"/>
                <w:sz w:val="18"/>
              </w:rPr>
              <w:t>#diabetes  #comorbidity  #poorprognosis  #monitoring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established role in triggering GBS. However, early graded physiotherapy, positioning and mobilisation strongly influence functional recovery and prevent contractures, pressure injury and venous thromboembolism during the paralytic phase.</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Foodborne Campylobacter jejuni - from undercooked poultry, raw eggs and cross-contaminated food - is the single most common antecedent trigger of GBS. Safe food handling and thorough cooking directly reduce this exposure.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does not cause GBS, but it is heavily disrupted by pain, ICU care and autonomic instability, and disabling fatigue is one of the commonest long-term sequelae in survivors.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consistent evidence links smoking to GBS onset, but smoking reduces respiratory reserve exactly when neuromuscular weakness threatens the breathing muscles, and it impairs recovery.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is not a cause of GBS; however, heavy use can produce a separate toxic-nutritional neuropathy that confounds assessment and slows rehabilitation.</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Mental health is not causal, but sudden paralysis, ICU admission, pain and dependency commonly precipitate anxiety, depression and post-traumatic stress that impede rehabilitation.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Waterborne enteric infection (Campylobacter, norovirus) is a key GBS trigger in India; the 2025 Pune outbreak was linked to sewage-contaminated drinking water, making safe water a central preventive lever.</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between caffeine intake and GBS.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 food and water hygiene prevent the enteric and respiratory infections that precipitate GBS; at population level this is the most important modifiable factor, as underscored by outbreak investigations.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 antecedent infection 1-6 weeks earlier is identifiable in roughly half to four-fifths of cases; surgery, trauma, and (rarely) vaccines or checkpoint-inhibitor drugs can also provoke GBS.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has no aetiological role, though careful positioning and splinting are important in nursing care to prevent pressure sores and contractures.</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Antecedent-infection interval</w:t>
            </w:r>
          </w:p>
        </w:tc>
        <w:tc>
          <w:tcPr>
            <w:tcW w:type="dxa" w:w="1655"/>
            <w:vAlign w:val="top"/>
          </w:tcPr>
          <w:p>
            <w:pPr>
              <w:spacing w:after="40" w:before="0" w:line="259" w:lineRule="auto"/>
            </w:pPr>
            <w:r>
              <w:rPr>
                <w:rFonts w:ascii="Calibri" w:hAnsi="Calibri"/>
                <w:b w:val="0"/>
                <w:i w:val="0"/>
                <w:color w:val="212121"/>
                <w:sz w:val="19"/>
              </w:rPr>
              <w:t>All suspected GBS</w:t>
            </w:r>
          </w:p>
        </w:tc>
        <w:tc>
          <w:tcPr>
            <w:tcW w:type="dxa" w:w="1512"/>
            <w:vAlign w:val="top"/>
          </w:tcPr>
          <w:p>
            <w:pPr>
              <w:spacing w:after="40" w:before="0" w:line="259" w:lineRule="auto"/>
            </w:pPr>
            <w:r>
              <w:rPr>
                <w:rFonts w:ascii="Calibri" w:hAnsi="Calibri"/>
                <w:b w:val="0"/>
                <w:i w:val="0"/>
                <w:color w:val="212121"/>
                <w:sz w:val="19"/>
              </w:rPr>
              <w:t>No preceding illness</w:t>
            </w:r>
          </w:p>
        </w:tc>
        <w:tc>
          <w:tcPr>
            <w:tcW w:type="dxa" w:w="1512"/>
            <w:vAlign w:val="top"/>
          </w:tcPr>
          <w:p>
            <w:pPr>
              <w:spacing w:after="40" w:before="0" w:line="259" w:lineRule="auto"/>
            </w:pPr>
            <w:r>
              <w:rPr>
                <w:rFonts w:ascii="Calibri" w:hAnsi="Calibri"/>
                <w:b w:val="0"/>
                <w:i w:val="0"/>
                <w:color w:val="212121"/>
                <w:sz w:val="19"/>
              </w:rPr>
              <w:t>Diarrhoeal or respiratory infection 1-6 weeks before weakness</w:t>
            </w:r>
          </w:p>
        </w:tc>
        <w:tc>
          <w:tcPr>
            <w:tcW w:type="dxa" w:w="1468"/>
            <w:vAlign w:val="top"/>
          </w:tcPr>
          <w:p>
            <w:pPr>
              <w:spacing w:after="60" w:line="259" w:lineRule="auto"/>
            </w:pPr>
            <w:r>
              <w:rPr>
                <w:rFonts w:ascii="Calibri" w:hAnsi="Calibri"/>
                <w:b w:val="0"/>
                <w:i w:val="0"/>
                <w:color w:val="212121"/>
                <w:sz w:val="19"/>
              </w:rPr>
              <w:t>Present in ~50-80% of cases; supports the diagnosis and points to the likely subtype</w:t>
            </w:r>
          </w:p>
          <w:p>
            <w:pPr>
              <w:spacing w:after="40" w:line="252" w:lineRule="auto"/>
            </w:pPr>
            <w:hyperlink r:id="rId15">
              <w:r>
                <w:rPr>
                  <w:rFonts w:ascii="Calibri" w:hAnsi="Calibri" w:cs="Calibri"/>
                  <w:sz w:val="18"/>
                  <w:color w:val="1155CC"/>
                  <w:u w:val="single"/>
                </w:rPr>
                <w:t xml:space="preserve">https://www.gavi.org/vaccineswork/cases-infection-linked-paralysis-syndrome-have-spiked-india-year-whats-story</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Poultry / meat core cooking temperature</w:t>
            </w:r>
          </w:p>
        </w:tc>
        <w:tc>
          <w:tcPr>
            <w:tcW w:type="dxa" w:w="1655"/>
            <w:vAlign w:val="top"/>
          </w:tcPr>
          <w:p>
            <w:pPr>
              <w:spacing w:after="40" w:before="0" w:line="259" w:lineRule="auto"/>
            </w:pPr>
            <w:r>
              <w:rPr>
                <w:rFonts w:ascii="Calibri" w:hAnsi="Calibri"/>
                <w:b w:val="0"/>
                <w:i w:val="0"/>
                <w:color w:val="212121"/>
                <w:sz w:val="19"/>
              </w:rPr>
              <w:t>General population, food handlers</w:t>
            </w:r>
          </w:p>
        </w:tc>
        <w:tc>
          <w:tcPr>
            <w:tcW w:type="dxa" w:w="1512"/>
            <w:vAlign w:val="top"/>
          </w:tcPr>
          <w:p>
            <w:pPr>
              <w:spacing w:after="40" w:before="0" w:line="259" w:lineRule="auto"/>
            </w:pPr>
            <w:r>
              <w:rPr>
                <w:rFonts w:ascii="Calibri" w:hAnsi="Calibri"/>
                <w:b w:val="0"/>
                <w:i w:val="0"/>
                <w:color w:val="212121"/>
                <w:sz w:val="19"/>
              </w:rPr>
              <w:t>&gt;= 74 C (165 F) throughout</w:t>
            </w:r>
          </w:p>
        </w:tc>
        <w:tc>
          <w:tcPr>
            <w:tcW w:type="dxa" w:w="1512"/>
            <w:vAlign w:val="top"/>
          </w:tcPr>
          <w:p>
            <w:pPr>
              <w:spacing w:after="40" w:before="0" w:line="259" w:lineRule="auto"/>
            </w:pPr>
            <w:r>
              <w:rPr>
                <w:rFonts w:ascii="Calibri" w:hAnsi="Calibri"/>
                <w:b w:val="0"/>
                <w:i w:val="0"/>
                <w:color w:val="212121"/>
                <w:sz w:val="19"/>
              </w:rPr>
              <w:t>Undercooked/pink poultry, raw eggs</w:t>
            </w:r>
          </w:p>
        </w:tc>
        <w:tc>
          <w:tcPr>
            <w:tcW w:type="dxa" w:w="1468"/>
            <w:vAlign w:val="top"/>
          </w:tcPr>
          <w:p>
            <w:pPr>
              <w:spacing w:after="60" w:line="259" w:lineRule="auto"/>
            </w:pPr>
            <w:r>
              <w:rPr>
                <w:rFonts w:ascii="Calibri" w:hAnsi="Calibri"/>
                <w:b w:val="0"/>
                <w:i w:val="0"/>
                <w:color w:val="212121"/>
                <w:sz w:val="19"/>
              </w:rPr>
              <w:t>Reliably kills Campylobacter jejuni, the commonest GBS trigger</w:t>
            </w:r>
          </w:p>
          <w:p>
            <w:pPr>
              <w:spacing w:after="40" w:line="252" w:lineRule="auto"/>
            </w:pPr>
            <w:hyperlink r:id="rId10">
              <w:r>
                <w:rPr>
                  <w:rFonts w:ascii="Calibri" w:hAnsi="Calibri" w:cs="Calibri"/>
                  <w:sz w:val="18"/>
                  <w:color w:val="1155CC"/>
                  <w:u w:val="single"/>
                </w:rPr>
                <w:t xml:space="preserve">https://www.ncbi.nlm.nih.gov/books/NBK532254/</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treatment</w:t>
            </w:r>
          </w:p>
        </w:tc>
        <w:tc>
          <w:tcPr>
            <w:tcW w:type="dxa" w:w="1655"/>
            <w:vAlign w:val="top"/>
          </w:tcPr>
          <w:p>
            <w:pPr>
              <w:spacing w:after="40" w:before="0" w:line="259" w:lineRule="auto"/>
            </w:pPr>
            <w:r>
              <w:rPr>
                <w:rFonts w:ascii="Calibri" w:hAnsi="Calibri"/>
                <w:b w:val="0"/>
                <w:i w:val="0"/>
                <w:color w:val="212121"/>
                <w:sz w:val="19"/>
              </w:rPr>
              <w:t>Households, outbreak areas</w:t>
            </w:r>
          </w:p>
        </w:tc>
        <w:tc>
          <w:tcPr>
            <w:tcW w:type="dxa" w:w="1512"/>
            <w:vAlign w:val="top"/>
          </w:tcPr>
          <w:p>
            <w:pPr>
              <w:spacing w:after="40" w:before="0" w:line="259" w:lineRule="auto"/>
            </w:pPr>
            <w:r>
              <w:rPr>
                <w:rFonts w:ascii="Calibri" w:hAnsi="Calibri"/>
                <w:b w:val="0"/>
                <w:i w:val="0"/>
                <w:color w:val="212121"/>
                <w:sz w:val="19"/>
              </w:rPr>
              <w:t>Boiled, filtered or adequately chlorinated</w:t>
            </w:r>
          </w:p>
        </w:tc>
        <w:tc>
          <w:tcPr>
            <w:tcW w:type="dxa" w:w="1512"/>
            <w:vAlign w:val="top"/>
          </w:tcPr>
          <w:p>
            <w:pPr>
              <w:spacing w:after="40" w:before="0" w:line="259" w:lineRule="auto"/>
            </w:pPr>
            <w:r>
              <w:rPr>
                <w:rFonts w:ascii="Calibri" w:hAnsi="Calibri"/>
                <w:b w:val="0"/>
                <w:i w:val="0"/>
                <w:color w:val="212121"/>
                <w:sz w:val="19"/>
              </w:rPr>
              <w:t>Untreated borewell water or sewage-contaminated supply</w:t>
            </w:r>
          </w:p>
        </w:tc>
        <w:tc>
          <w:tcPr>
            <w:tcW w:type="dxa" w:w="1468"/>
            <w:vAlign w:val="top"/>
          </w:tcPr>
          <w:p>
            <w:pPr>
              <w:spacing w:after="60" w:line="259" w:lineRule="auto"/>
            </w:pPr>
            <w:r>
              <w:rPr>
                <w:rFonts w:ascii="Calibri" w:hAnsi="Calibri"/>
                <w:b w:val="0"/>
                <w:i w:val="0"/>
                <w:color w:val="212121"/>
                <w:sz w:val="19"/>
              </w:rPr>
              <w:t>Waterborne Campylobacter/norovirus drove the 2025 Pune outbreak</w:t>
            </w:r>
          </w:p>
          <w:p>
            <w:pPr>
              <w:spacing w:after="40" w:line="252" w:lineRule="auto"/>
            </w:pPr>
            <w:hyperlink r:id="rId12">
              <w:r>
                <w:rPr>
                  <w:rFonts w:ascii="Calibri" w:hAnsi="Calibri" w:cs="Calibri"/>
                  <w:sz w:val="18"/>
                  <w:color w:val="1155CC"/>
                  <w:u w:val="single"/>
                </w:rPr>
                <w:t xml:space="preserve">https://www.nature.com/articles/d44151-025-00040-2</w:t>
              </w:r>
            </w:hyperlink>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Hand hygiene</w:t>
            </w:r>
          </w:p>
        </w:tc>
        <w:tc>
          <w:tcPr>
            <w:tcW w:type="dxa" w:w="1655"/>
            <w:vAlign w:val="top"/>
          </w:tcPr>
          <w:p>
            <w:pPr>
              <w:spacing w:after="40" w:before="0" w:line="259" w:lineRule="auto"/>
            </w:pPr>
            <w:r>
              <w:rPr>
                <w:rFonts w:ascii="Calibri" w:hAnsi="Calibri"/>
                <w:b w:val="0"/>
                <w:i w:val="0"/>
                <w:color w:val="212121"/>
                <w:sz w:val="19"/>
              </w:rPr>
              <w:t>All, especially caregivers and food handlers</w:t>
            </w:r>
          </w:p>
        </w:tc>
        <w:tc>
          <w:tcPr>
            <w:tcW w:type="dxa" w:w="1512"/>
            <w:vAlign w:val="top"/>
          </w:tcPr>
          <w:p>
            <w:pPr>
              <w:spacing w:after="40" w:before="0" w:line="259" w:lineRule="auto"/>
            </w:pPr>
            <w:r>
              <w:rPr>
                <w:rFonts w:ascii="Calibri" w:hAnsi="Calibri"/>
                <w:b w:val="0"/>
                <w:i w:val="0"/>
                <w:color w:val="212121"/>
                <w:sz w:val="19"/>
              </w:rPr>
              <w:t>Soap handwashing before eating and after using the toilet</w:t>
            </w:r>
          </w:p>
        </w:tc>
        <w:tc>
          <w:tcPr>
            <w:tcW w:type="dxa" w:w="1512"/>
            <w:vAlign w:val="top"/>
          </w:tcPr>
          <w:p>
            <w:pPr>
              <w:spacing w:after="40" w:before="0" w:line="259" w:lineRule="auto"/>
            </w:pPr>
            <w:r>
              <w:rPr>
                <w:rFonts w:ascii="Calibri" w:hAnsi="Calibri"/>
                <w:b w:val="0"/>
                <w:i w:val="0"/>
                <w:color w:val="212121"/>
                <w:sz w:val="19"/>
              </w:rPr>
              <w:t>Inconsistent handwashing</w:t>
            </w:r>
          </w:p>
        </w:tc>
        <w:tc>
          <w:tcPr>
            <w:tcW w:type="dxa" w:w="1468"/>
            <w:vAlign w:val="top"/>
          </w:tcPr>
          <w:p>
            <w:pPr>
              <w:spacing w:after="40" w:before="0" w:line="259" w:lineRule="auto"/>
            </w:pPr>
            <w:r>
              <w:rPr>
                <w:rFonts w:ascii="Calibri" w:hAnsi="Calibri"/>
                <w:b w:val="0"/>
                <w:i w:val="0"/>
                <w:color w:val="212121"/>
                <w:sz w:val="19"/>
              </w:rPr>
              <w:t>Interrupts faecal-oral spread of the enteric pathogens that trigger GBS</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Forced Vital Capacity (FVC)</w:t>
            </w:r>
          </w:p>
        </w:tc>
        <w:tc>
          <w:tcPr>
            <w:tcW w:type="dxa" w:w="1655"/>
            <w:vAlign w:val="top"/>
          </w:tcPr>
          <w:p>
            <w:pPr>
              <w:spacing w:after="40" w:before="0" w:line="259" w:lineRule="auto"/>
            </w:pPr>
            <w:r>
              <w:rPr>
                <w:rFonts w:ascii="Calibri" w:hAnsi="Calibri"/>
                <w:b w:val="0"/>
                <w:i w:val="0"/>
                <w:color w:val="212121"/>
                <w:sz w:val="19"/>
              </w:rPr>
              <w:t>Admitted GBS patients</w:t>
            </w:r>
          </w:p>
        </w:tc>
        <w:tc>
          <w:tcPr>
            <w:tcW w:type="dxa" w:w="1512"/>
            <w:vAlign w:val="top"/>
          </w:tcPr>
          <w:p>
            <w:pPr>
              <w:spacing w:after="40" w:before="0" w:line="259" w:lineRule="auto"/>
            </w:pPr>
            <w:r>
              <w:rPr>
                <w:rFonts w:ascii="Calibri" w:hAnsi="Calibri"/>
                <w:b w:val="0"/>
                <w:i w:val="0"/>
                <w:color w:val="212121"/>
                <w:sz w:val="19"/>
              </w:rPr>
              <w:t>&gt; 20-25 mL/kg</w:t>
            </w:r>
          </w:p>
        </w:tc>
        <w:tc>
          <w:tcPr>
            <w:tcW w:type="dxa" w:w="1512"/>
            <w:vAlign w:val="top"/>
          </w:tcPr>
          <w:p>
            <w:pPr>
              <w:spacing w:after="40" w:before="0" w:line="259" w:lineRule="auto"/>
            </w:pPr>
            <w:r>
              <w:rPr>
                <w:rFonts w:ascii="Calibri" w:hAnsi="Calibri"/>
                <w:b w:val="0"/>
                <w:i w:val="0"/>
                <w:color w:val="212121"/>
                <w:sz w:val="19"/>
              </w:rPr>
              <w:t>&lt; 20 mL/kg (impending failure); &lt; 15 mL/kg -&gt; intubate</w:t>
            </w:r>
          </w:p>
        </w:tc>
        <w:tc>
          <w:tcPr>
            <w:tcW w:type="dxa" w:w="1468"/>
            <w:vAlign w:val="top"/>
          </w:tcPr>
          <w:p>
            <w:pPr>
              <w:spacing w:after="60" w:line="259" w:lineRule="auto"/>
            </w:pPr>
            <w:r>
              <w:rPr>
                <w:rFonts w:ascii="Calibri" w:hAnsi="Calibri"/>
                <w:b w:val="0"/>
                <w:i w:val="0"/>
                <w:color w:val="212121"/>
                <w:sz w:val="19"/>
              </w:rPr>
              <w:t>Serial bedside spirometry 4-6 hourly; do not wait for hypoxia or fatigue</w:t>
            </w:r>
          </w:p>
          <w:p>
            <w:pPr>
              <w:spacing w:after="40" w:line="252" w:lineRule="auto"/>
            </w:pPr>
            <w:hyperlink r:id="rId10">
              <w:r>
                <w:rPr>
                  <w:rFonts w:ascii="Calibri" w:hAnsi="Calibri" w:cs="Calibri"/>
                  <w:sz w:val="18"/>
                  <w:color w:val="1155CC"/>
                  <w:u w:val="single"/>
                </w:rPr>
                <w:t xml:space="preserve">https://www.ncbi.nlm.nih.gov/books/NBK532254/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Single-breath count</w:t>
            </w:r>
          </w:p>
        </w:tc>
        <w:tc>
          <w:tcPr>
            <w:tcW w:type="dxa" w:w="1655"/>
            <w:vAlign w:val="top"/>
          </w:tcPr>
          <w:p>
            <w:pPr>
              <w:spacing w:after="40" w:before="0" w:line="259" w:lineRule="auto"/>
            </w:pPr>
            <w:r>
              <w:rPr>
                <w:rFonts w:ascii="Calibri" w:hAnsi="Calibri"/>
                <w:b w:val="0"/>
                <w:i w:val="0"/>
                <w:color w:val="212121"/>
                <w:sz w:val="19"/>
              </w:rPr>
              <w:t>Bedside respiratory monitoring</w:t>
            </w:r>
          </w:p>
        </w:tc>
        <w:tc>
          <w:tcPr>
            <w:tcW w:type="dxa" w:w="1512"/>
            <w:vAlign w:val="top"/>
          </w:tcPr>
          <w:p>
            <w:pPr>
              <w:spacing w:after="40" w:before="0" w:line="259" w:lineRule="auto"/>
            </w:pPr>
            <w:r>
              <w:rPr>
                <w:rFonts w:ascii="Calibri" w:hAnsi="Calibri"/>
                <w:b w:val="0"/>
                <w:i w:val="0"/>
                <w:color w:val="212121"/>
                <w:sz w:val="19"/>
              </w:rPr>
              <w:t>&gt; 20 numbers in one breath</w:t>
            </w:r>
          </w:p>
        </w:tc>
        <w:tc>
          <w:tcPr>
            <w:tcW w:type="dxa" w:w="1512"/>
            <w:vAlign w:val="top"/>
          </w:tcPr>
          <w:p>
            <w:pPr>
              <w:spacing w:after="40" w:before="0" w:line="259" w:lineRule="auto"/>
            </w:pPr>
            <w:r>
              <w:rPr>
                <w:rFonts w:ascii="Calibri" w:hAnsi="Calibri"/>
                <w:b w:val="0"/>
                <w:i w:val="0"/>
                <w:color w:val="212121"/>
                <w:sz w:val="19"/>
              </w:rPr>
              <w:t>&lt; 15 suggests reduced vital capacity</w:t>
            </w:r>
          </w:p>
        </w:tc>
        <w:tc>
          <w:tcPr>
            <w:tcW w:type="dxa" w:w="1468"/>
            <w:vAlign w:val="top"/>
          </w:tcPr>
          <w:p>
            <w:pPr>
              <w:spacing w:after="40" w:before="0" w:line="259" w:lineRule="auto"/>
            </w:pPr>
            <w:r>
              <w:rPr>
                <w:rFonts w:ascii="Calibri" w:hAnsi="Calibri"/>
                <w:b w:val="0"/>
                <w:i w:val="0"/>
                <w:color w:val="212121"/>
                <w:sz w:val="19"/>
              </w:rPr>
              <w:t>Simple bedside proxy for FVC when spirometry is unavailable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MRC sum score (muscle power, /60)</w:t>
            </w:r>
          </w:p>
        </w:tc>
        <w:tc>
          <w:tcPr>
            <w:tcW w:type="dxa" w:w="1655"/>
            <w:vAlign w:val="top"/>
          </w:tcPr>
          <w:p>
            <w:pPr>
              <w:spacing w:after="40" w:before="0" w:line="259" w:lineRule="auto"/>
            </w:pPr>
            <w:r>
              <w:rPr>
                <w:rFonts w:ascii="Calibri" w:hAnsi="Calibri"/>
                <w:b w:val="0"/>
                <w:i w:val="0"/>
                <w:color w:val="212121"/>
                <w:sz w:val="19"/>
              </w:rPr>
              <w:t>GBS patients</w:t>
            </w:r>
          </w:p>
        </w:tc>
        <w:tc>
          <w:tcPr>
            <w:tcW w:type="dxa" w:w="1512"/>
            <w:vAlign w:val="top"/>
          </w:tcPr>
          <w:p>
            <w:pPr>
              <w:spacing w:after="40" w:before="0" w:line="259" w:lineRule="auto"/>
            </w:pPr>
            <w:r>
              <w:rPr>
                <w:rFonts w:ascii="Calibri" w:hAnsi="Calibri"/>
                <w:b w:val="0"/>
                <w:i w:val="0"/>
                <w:color w:val="212121"/>
                <w:sz w:val="19"/>
              </w:rPr>
              <w:t>60 (normal)</w:t>
            </w:r>
          </w:p>
        </w:tc>
        <w:tc>
          <w:tcPr>
            <w:tcW w:type="dxa" w:w="1512"/>
            <w:vAlign w:val="top"/>
          </w:tcPr>
          <w:p>
            <w:pPr>
              <w:spacing w:after="40" w:before="0" w:line="259" w:lineRule="auto"/>
            </w:pPr>
            <w:r>
              <w:rPr>
                <w:rFonts w:ascii="Calibri" w:hAnsi="Calibri"/>
                <w:b w:val="0"/>
                <w:i w:val="0"/>
                <w:color w:val="212121"/>
                <w:sz w:val="19"/>
              </w:rPr>
              <w:t>&lt; 40 indicates severe weakness</w:t>
            </w:r>
          </w:p>
        </w:tc>
        <w:tc>
          <w:tcPr>
            <w:tcW w:type="dxa" w:w="1468"/>
            <w:vAlign w:val="top"/>
          </w:tcPr>
          <w:p>
            <w:pPr>
              <w:spacing w:after="40" w:before="0" w:line="259" w:lineRule="auto"/>
            </w:pPr>
            <w:r>
              <w:rPr>
                <w:rFonts w:ascii="Calibri" w:hAnsi="Calibri"/>
                <w:b w:val="0"/>
                <w:i w:val="0"/>
                <w:color w:val="212121"/>
                <w:sz w:val="19"/>
              </w:rPr>
              <w:t>Tracks progression and recovery; a low score predicts prolonged disability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GBS disability (Hughes) score (0-6)</w:t>
            </w:r>
          </w:p>
        </w:tc>
        <w:tc>
          <w:tcPr>
            <w:tcW w:type="dxa" w:w="1655"/>
            <w:vAlign w:val="top"/>
          </w:tcPr>
          <w:p>
            <w:pPr>
              <w:spacing w:after="40" w:before="0" w:line="259" w:lineRule="auto"/>
            </w:pPr>
            <w:r>
              <w:rPr>
                <w:rFonts w:ascii="Calibri" w:hAnsi="Calibri"/>
                <w:b w:val="0"/>
                <w:i w:val="0"/>
                <w:color w:val="212121"/>
                <w:sz w:val="19"/>
              </w:rPr>
              <w:t>GBS patients</w:t>
            </w:r>
          </w:p>
        </w:tc>
        <w:tc>
          <w:tcPr>
            <w:tcW w:type="dxa" w:w="1512"/>
            <w:vAlign w:val="top"/>
          </w:tcPr>
          <w:p>
            <w:pPr>
              <w:spacing w:after="40" w:before="0" w:line="259" w:lineRule="auto"/>
            </w:pPr>
            <w:r>
              <w:rPr>
                <w:rFonts w:ascii="Calibri" w:hAnsi="Calibri"/>
                <w:b w:val="0"/>
                <w:i w:val="0"/>
                <w:color w:val="212121"/>
                <w:sz w:val="19"/>
              </w:rPr>
              <w:t>0-1 (minor or no symptoms)</w:t>
            </w:r>
          </w:p>
        </w:tc>
        <w:tc>
          <w:tcPr>
            <w:tcW w:type="dxa" w:w="1512"/>
            <w:vAlign w:val="top"/>
          </w:tcPr>
          <w:p>
            <w:pPr>
              <w:spacing w:after="40" w:before="0" w:line="259" w:lineRule="auto"/>
            </w:pPr>
            <w:r>
              <w:rPr>
                <w:rFonts w:ascii="Calibri" w:hAnsi="Calibri"/>
                <w:b w:val="0"/>
                <w:i w:val="0"/>
                <w:color w:val="212121"/>
                <w:sz w:val="19"/>
              </w:rPr>
              <w:t>&gt;= 3 (unable to walk unaided); 5 = ventilated</w:t>
            </w:r>
          </w:p>
        </w:tc>
        <w:tc>
          <w:tcPr>
            <w:tcW w:type="dxa" w:w="1468"/>
            <w:vAlign w:val="top"/>
          </w:tcPr>
          <w:p>
            <w:pPr>
              <w:spacing w:after="40" w:before="0" w:line="259" w:lineRule="auto"/>
            </w:pPr>
            <w:r>
              <w:rPr>
                <w:rFonts w:ascii="Calibri" w:hAnsi="Calibri"/>
                <w:b w:val="0"/>
                <w:i w:val="0"/>
                <w:color w:val="212121"/>
                <w:sz w:val="19"/>
              </w:rPr>
              <w:t>Standard functional outcome scale used to track and prognosticate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Early mobilisation / rehabilitation</w:t>
            </w:r>
          </w:p>
        </w:tc>
        <w:tc>
          <w:tcPr>
            <w:tcW w:type="dxa" w:w="1655"/>
            <w:vAlign w:val="top"/>
          </w:tcPr>
          <w:p>
            <w:pPr>
              <w:spacing w:after="40" w:before="0" w:line="259" w:lineRule="auto"/>
            </w:pPr>
            <w:r>
              <w:rPr>
                <w:rFonts w:ascii="Calibri" w:hAnsi="Calibri"/>
                <w:b w:val="0"/>
                <w:i w:val="0"/>
                <w:color w:val="212121"/>
                <w:sz w:val="19"/>
              </w:rPr>
              <w:t>Recovering / plateau-phase patients</w:t>
            </w:r>
          </w:p>
        </w:tc>
        <w:tc>
          <w:tcPr>
            <w:tcW w:type="dxa" w:w="1512"/>
            <w:vAlign w:val="top"/>
          </w:tcPr>
          <w:p>
            <w:pPr>
              <w:spacing w:after="40" w:before="0" w:line="259" w:lineRule="auto"/>
            </w:pPr>
            <w:r>
              <w:rPr>
                <w:rFonts w:ascii="Calibri" w:hAnsi="Calibri"/>
                <w:b w:val="0"/>
                <w:i w:val="0"/>
                <w:color w:val="212121"/>
                <w:sz w:val="19"/>
              </w:rPr>
              <w:t>Graded physiotherapy once medically stable</w:t>
            </w:r>
          </w:p>
        </w:tc>
        <w:tc>
          <w:tcPr>
            <w:tcW w:type="dxa" w:w="1512"/>
            <w:vAlign w:val="top"/>
          </w:tcPr>
          <w:p>
            <w:pPr>
              <w:spacing w:after="40" w:before="0" w:line="259" w:lineRule="auto"/>
            </w:pPr>
            <w:r>
              <w:rPr>
                <w:rFonts w:ascii="Calibri" w:hAnsi="Calibri"/>
                <w:b w:val="0"/>
                <w:i w:val="0"/>
                <w:color w:val="212121"/>
                <w:sz w:val="19"/>
              </w:rPr>
              <w:t>Prolonged immobility</w:t>
            </w:r>
          </w:p>
        </w:tc>
        <w:tc>
          <w:tcPr>
            <w:tcW w:type="dxa" w:w="1468"/>
            <w:vAlign w:val="top"/>
          </w:tcPr>
          <w:p>
            <w:pPr>
              <w:spacing w:after="40" w:before="0" w:line="259" w:lineRule="auto"/>
            </w:pPr>
            <w:r>
              <w:rPr>
                <w:rFonts w:ascii="Calibri" w:hAnsi="Calibri"/>
                <w:b w:val="0"/>
                <w:i w:val="0"/>
                <w:color w:val="212121"/>
                <w:sz w:val="19"/>
              </w:rPr>
              <w:t>Prevents contractures, VTE and deconditioning and aids functional recovery</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Mood / anxiety screening</w:t>
            </w:r>
          </w:p>
        </w:tc>
        <w:tc>
          <w:tcPr>
            <w:tcW w:type="dxa" w:w="1655"/>
            <w:vAlign w:val="top"/>
          </w:tcPr>
          <w:p>
            <w:pPr>
              <w:spacing w:after="40" w:before="0" w:line="259" w:lineRule="auto"/>
            </w:pPr>
            <w:r>
              <w:rPr>
                <w:rFonts w:ascii="Calibri" w:hAnsi="Calibri"/>
                <w:b w:val="0"/>
                <w:i w:val="0"/>
                <w:color w:val="212121"/>
                <w:sz w:val="19"/>
              </w:rPr>
              <w:t>ICU and recovering patients</w:t>
            </w:r>
          </w:p>
        </w:tc>
        <w:tc>
          <w:tcPr>
            <w:tcW w:type="dxa" w:w="1512"/>
            <w:vAlign w:val="top"/>
          </w:tcPr>
          <w:p>
            <w:pPr>
              <w:spacing w:after="40" w:before="0" w:line="259" w:lineRule="auto"/>
            </w:pPr>
            <w:r>
              <w:rPr>
                <w:rFonts w:ascii="Calibri" w:hAnsi="Calibri"/>
                <w:b w:val="0"/>
                <w:i w:val="0"/>
                <w:color w:val="212121"/>
                <w:sz w:val="19"/>
              </w:rPr>
              <w:t>No significant distress</w:t>
            </w:r>
          </w:p>
        </w:tc>
        <w:tc>
          <w:tcPr>
            <w:tcW w:type="dxa" w:w="1512"/>
            <w:vAlign w:val="top"/>
          </w:tcPr>
          <w:p>
            <w:pPr>
              <w:spacing w:after="40" w:before="0" w:line="259" w:lineRule="auto"/>
            </w:pPr>
            <w:r>
              <w:rPr>
                <w:rFonts w:ascii="Calibri" w:hAnsi="Calibri"/>
                <w:b w:val="0"/>
                <w:i w:val="0"/>
                <w:color w:val="212121"/>
                <w:sz w:val="19"/>
              </w:rPr>
              <w:t>Persistent low mood, anxiety or insomnia</w:t>
            </w:r>
          </w:p>
        </w:tc>
        <w:tc>
          <w:tcPr>
            <w:tcW w:type="dxa" w:w="1468"/>
            <w:vAlign w:val="top"/>
          </w:tcPr>
          <w:p>
            <w:pPr>
              <w:spacing w:after="40" w:before="0" w:line="259" w:lineRule="auto"/>
            </w:pPr>
            <w:r>
              <w:rPr>
                <w:rFonts w:ascii="Calibri" w:hAnsi="Calibri"/>
                <w:b w:val="0"/>
                <w:i w:val="0"/>
                <w:color w:val="212121"/>
                <w:sz w:val="19"/>
              </w:rPr>
              <w:t>Depression, anxiety and PTSD are common; screen routinely and support</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Residual fatigue</w:t>
            </w:r>
          </w:p>
        </w:tc>
        <w:tc>
          <w:tcPr>
            <w:tcW w:type="dxa" w:w="1655"/>
            <w:vAlign w:val="top"/>
          </w:tcPr>
          <w:p>
            <w:pPr>
              <w:spacing w:after="40" w:before="0" w:line="259" w:lineRule="auto"/>
            </w:pPr>
            <w:r>
              <w:rPr>
                <w:rFonts w:ascii="Calibri" w:hAnsi="Calibri"/>
                <w:b w:val="0"/>
                <w:i w:val="0"/>
                <w:color w:val="212121"/>
                <w:sz w:val="19"/>
              </w:rPr>
              <w:t>Post-GBS survivors (months-years)</w:t>
            </w:r>
          </w:p>
        </w:tc>
        <w:tc>
          <w:tcPr>
            <w:tcW w:type="dxa" w:w="1512"/>
            <w:vAlign w:val="top"/>
          </w:tcPr>
          <w:p>
            <w:pPr>
              <w:spacing w:after="40" w:before="0" w:line="259" w:lineRule="auto"/>
            </w:pPr>
            <w:r>
              <w:rPr>
                <w:rFonts w:ascii="Calibri" w:hAnsi="Calibri"/>
                <w:b w:val="0"/>
                <w:i w:val="0"/>
                <w:color w:val="212121"/>
                <w:sz w:val="19"/>
              </w:rPr>
              <w:t>Restorative sleep, minimal fatigue</w:t>
            </w:r>
          </w:p>
        </w:tc>
        <w:tc>
          <w:tcPr>
            <w:tcW w:type="dxa" w:w="1512"/>
            <w:vAlign w:val="top"/>
          </w:tcPr>
          <w:p>
            <w:pPr>
              <w:spacing w:after="40" w:before="0" w:line="259" w:lineRule="auto"/>
            </w:pPr>
            <w:r>
              <w:rPr>
                <w:rFonts w:ascii="Calibri" w:hAnsi="Calibri"/>
                <w:b w:val="0"/>
                <w:i w:val="0"/>
                <w:color w:val="212121"/>
                <w:sz w:val="19"/>
              </w:rPr>
              <w:t>Persistent disabling fatigue</w:t>
            </w:r>
          </w:p>
        </w:tc>
        <w:tc>
          <w:tcPr>
            <w:tcW w:type="dxa" w:w="1468"/>
            <w:vAlign w:val="top"/>
          </w:tcPr>
          <w:p>
            <w:pPr>
              <w:spacing w:after="40" w:before="0" w:line="259" w:lineRule="auto"/>
            </w:pPr>
            <w:r>
              <w:rPr>
                <w:rFonts w:ascii="Calibri" w:hAnsi="Calibri"/>
                <w:b w:val="0"/>
                <w:i w:val="0"/>
                <w:color w:val="212121"/>
                <w:sz w:val="19"/>
              </w:rPr>
              <w:t>Severe fatigue affects a majority of survivors long after motor recovery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CSF protein and cell count (albuminocytologic dissociation)</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Protein 15-45 mg/dL, cells &lt; 5/mm3</w:t>
            </w:r>
          </w:p>
        </w:tc>
        <w:tc>
          <w:tcPr>
            <w:tcW w:type="dxa" w:w="950"/>
            <w:vAlign w:val="top"/>
          </w:tcPr>
          <w:p>
            <w:pPr>
              <w:spacing w:after="40" w:before="0" w:line="259" w:lineRule="auto"/>
            </w:pPr>
            <w:r>
              <w:rPr>
                <w:rFonts w:ascii="Calibri" w:hAnsi="Calibri"/>
                <w:b w:val="0"/>
                <w:i w:val="0"/>
                <w:color w:val="212121"/>
                <w:sz w:val="16"/>
              </w:rPr>
              <w:t>Raised protein with cells &lt; 10 (by convention &lt; 50)/mm3</w:t>
            </w:r>
          </w:p>
        </w:tc>
        <w:tc>
          <w:tcPr>
            <w:tcW w:type="dxa" w:w="1036"/>
            <w:vAlign w:val="top"/>
          </w:tcPr>
          <w:p>
            <w:pPr>
              <w:spacing w:after="40" w:before="0" w:line="259" w:lineRule="auto"/>
            </w:pPr>
            <w:r>
              <w:rPr>
                <w:rFonts w:ascii="Calibri" w:hAnsi="Calibri"/>
                <w:b w:val="0"/>
                <w:i w:val="0"/>
                <w:color w:val="212121"/>
                <w:sz w:val="16"/>
              </w:rPr>
              <w:t>Hallmark supportive finding; typically positive by the second week (may be normal in the first few days)</w:t>
            </w:r>
          </w:p>
        </w:tc>
        <w:tc>
          <w:tcPr>
            <w:tcW w:type="dxa" w:w="1036"/>
            <w:vAlign w:val="top"/>
          </w:tcPr>
          <w:p>
            <w:pPr>
              <w:spacing w:after="40" w:before="0" w:line="259" w:lineRule="auto"/>
            </w:pPr>
            <w:r>
              <w:rPr>
                <w:rFonts w:ascii="Calibri" w:hAnsi="Calibri"/>
                <w:b w:val="0"/>
                <w:i w:val="0"/>
                <w:color w:val="212121"/>
                <w:sz w:val="16"/>
              </w:rPr>
              <w:t>All suspected GBS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near-diagnostic</w:t>
            </w:r>
          </w:p>
        </w:tc>
        <w:tc>
          <w:tcPr>
            <w:tcW w:type="dxa" w:w="720"/>
            <w:vAlign w:val="top"/>
          </w:tcPr>
          <w:p>
            <w:pPr>
              <w:spacing w:after="40" w:before="0" w:line="259" w:lineRule="auto"/>
            </w:pPr>
            <w:r>
              <w:rPr>
                <w:rFonts w:ascii="Calibri" w:hAnsi="Calibri"/>
                <w:b w:val="0"/>
                <w:i w:val="0"/>
                <w:color w:val="212121"/>
                <w:sz w:val="16"/>
              </w:rPr>
              <w:t>~80% show dissociation in Indian series; &gt; 50 cells suggests an alternative diagnosis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Electrophysiology</w:t>
            </w:r>
          </w:p>
        </w:tc>
        <w:tc>
          <w:tcPr>
            <w:tcW w:type="dxa" w:w="1036"/>
            <w:vAlign w:val="top"/>
          </w:tcPr>
          <w:p>
            <w:pPr>
              <w:spacing w:after="40" w:before="0" w:line="259" w:lineRule="auto"/>
            </w:pPr>
            <w:r>
              <w:rPr>
                <w:rFonts w:ascii="Calibri" w:hAnsi="Calibri"/>
                <w:b w:val="0"/>
                <w:i w:val="0"/>
                <w:color w:val="212121"/>
                <w:sz w:val="16"/>
              </w:rPr>
              <w:t>Motor and sensory nerve conduction studies +/- EMG</w:t>
            </w:r>
          </w:p>
        </w:tc>
        <w:tc>
          <w:tcPr>
            <w:tcW w:type="dxa" w:w="892"/>
            <w:vAlign w:val="top"/>
          </w:tcPr>
          <w:p>
            <w:pPr>
              <w:spacing w:after="40" w:before="0" w:line="259" w:lineRule="auto"/>
            </w:pPr>
            <w:r>
              <w:rPr>
                <w:rFonts w:ascii="Calibri" w:hAnsi="Calibri"/>
                <w:b w:val="0"/>
                <w:i w:val="0"/>
                <w:color w:val="212121"/>
                <w:sz w:val="16"/>
              </w:rPr>
              <w:t>Nerve conduction study</w:t>
            </w:r>
          </w:p>
        </w:tc>
        <w:tc>
          <w:tcPr>
            <w:tcW w:type="dxa" w:w="950"/>
            <w:vAlign w:val="top"/>
          </w:tcPr>
          <w:p>
            <w:pPr>
              <w:spacing w:after="40" w:before="0" w:line="259" w:lineRule="auto"/>
            </w:pPr>
            <w:r>
              <w:rPr>
                <w:rFonts w:ascii="Calibri" w:hAnsi="Calibri"/>
                <w:b w:val="0"/>
                <w:i w:val="0"/>
                <w:color w:val="212121"/>
                <w:sz w:val="16"/>
              </w:rPr>
              <w:t>Normal latencies, amplitudes and velocities</w:t>
            </w:r>
          </w:p>
        </w:tc>
        <w:tc>
          <w:tcPr>
            <w:tcW w:type="dxa" w:w="950"/>
            <w:vAlign w:val="top"/>
          </w:tcPr>
          <w:p>
            <w:pPr>
              <w:spacing w:after="40" w:before="0" w:line="259" w:lineRule="auto"/>
            </w:pPr>
            <w:r>
              <w:rPr>
                <w:rFonts w:ascii="Calibri" w:hAnsi="Calibri"/>
                <w:b w:val="0"/>
                <w:i w:val="0"/>
                <w:color w:val="212121"/>
                <w:sz w:val="16"/>
              </w:rPr>
              <w:t>Demyelinating (conduction block, prolonged F-waves/distal latency) or axonal (low CMAP) pattern; sural-sparing</w:t>
            </w:r>
          </w:p>
        </w:tc>
        <w:tc>
          <w:tcPr>
            <w:tcW w:type="dxa" w:w="1036"/>
            <w:vAlign w:val="top"/>
          </w:tcPr>
          <w:p>
            <w:pPr>
              <w:spacing w:after="40" w:before="0" w:line="259" w:lineRule="auto"/>
            </w:pPr>
            <w:r>
              <w:rPr>
                <w:rFonts w:ascii="Calibri" w:hAnsi="Calibri"/>
                <w:b w:val="0"/>
                <w:i w:val="0"/>
                <w:color w:val="212121"/>
                <w:sz w:val="16"/>
              </w:rPr>
              <w:t>Confirms peripheral neuropathy and classifies AIDP vs AMAN/AMSAN</w:t>
            </w:r>
          </w:p>
        </w:tc>
        <w:tc>
          <w:tcPr>
            <w:tcW w:type="dxa" w:w="1036"/>
            <w:vAlign w:val="top"/>
          </w:tcPr>
          <w:p>
            <w:pPr>
              <w:spacing w:after="40" w:before="0" w:line="259" w:lineRule="auto"/>
            </w:pPr>
            <w:r>
              <w:rPr>
                <w:rFonts w:ascii="Calibri" w:hAnsi="Calibri"/>
                <w:b w:val="0"/>
                <w:i w:val="0"/>
                <w:color w:val="212121"/>
                <w:sz w:val="16"/>
              </w:rPr>
              <w:t>All GBS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 for subtyping</w:t>
            </w:r>
          </w:p>
        </w:tc>
        <w:tc>
          <w:tcPr>
            <w:tcW w:type="dxa" w:w="720"/>
            <w:vAlign w:val="top"/>
          </w:tcPr>
          <w:p>
            <w:pPr>
              <w:spacing w:after="40" w:before="0" w:line="259" w:lineRule="auto"/>
            </w:pPr>
            <w:r>
              <w:rPr>
                <w:rFonts w:ascii="Calibri" w:hAnsi="Calibri"/>
                <w:b w:val="0"/>
                <w:i w:val="0"/>
                <w:color w:val="212121"/>
                <w:sz w:val="16"/>
              </w:rPr>
              <w:t>May be normal or equivocal early; repeat at 1-2 weeks if needed</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Anti-ganglioside antibodies (GM1, GD1a, GQ1b)</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Anti-GM1/GD1a support axonal AMAN (post-Campylobacter); anti-GQ1b positive in 85-90% of Miller Fisher syndrome</w:t>
            </w:r>
          </w:p>
        </w:tc>
        <w:tc>
          <w:tcPr>
            <w:tcW w:type="dxa" w:w="1036"/>
            <w:vAlign w:val="top"/>
          </w:tcPr>
          <w:p>
            <w:pPr>
              <w:spacing w:after="40" w:before="0" w:line="259" w:lineRule="auto"/>
            </w:pPr>
            <w:r>
              <w:rPr>
                <w:rFonts w:ascii="Calibri" w:hAnsi="Calibri"/>
                <w:b w:val="0"/>
                <w:i w:val="0"/>
                <w:color w:val="212121"/>
                <w:sz w:val="16"/>
              </w:rPr>
              <w:t>Axonal and Miller Fisher variants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 / subtype marker</w:t>
            </w:r>
          </w:p>
        </w:tc>
        <w:tc>
          <w:tcPr>
            <w:tcW w:type="dxa" w:w="720"/>
            <w:vAlign w:val="top"/>
          </w:tcPr>
          <w:p>
            <w:pPr>
              <w:spacing w:after="40" w:before="0" w:line="259" w:lineRule="auto"/>
            </w:pPr>
            <w:r>
              <w:rPr>
                <w:rFonts w:ascii="Calibri" w:hAnsi="Calibri"/>
                <w:b w:val="0"/>
                <w:i w:val="0"/>
                <w:color w:val="212121"/>
                <w:sz w:val="16"/>
              </w:rPr>
              <w:t>Not required for diagnosis; useful to confirm a variant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Stool culture / PCR for Campylobacter jejuni</w:t>
            </w:r>
          </w:p>
        </w:tc>
        <w:tc>
          <w:tcPr>
            <w:tcW w:type="dxa" w:w="892"/>
            <w:vAlign w:val="top"/>
          </w:tcPr>
          <w:p>
            <w:pPr>
              <w:spacing w:after="40" w:before="0" w:line="259" w:lineRule="auto"/>
            </w:pPr>
            <w:r>
              <w:rPr>
                <w:rFonts w:ascii="Calibri" w:hAnsi="Calibri"/>
                <w:b w:val="0"/>
                <w:i w:val="0"/>
                <w:color w:val="212121"/>
                <w:sz w:val="16"/>
              </w:rPr>
              <w:t>Microbiology</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Positive C. jejuni (+/- norovirus)</w:t>
            </w:r>
          </w:p>
        </w:tc>
        <w:tc>
          <w:tcPr>
            <w:tcW w:type="dxa" w:w="1036"/>
            <w:vAlign w:val="top"/>
          </w:tcPr>
          <w:p>
            <w:pPr>
              <w:spacing w:after="40" w:before="0" w:line="259" w:lineRule="auto"/>
            </w:pPr>
            <w:r>
              <w:rPr>
                <w:rFonts w:ascii="Calibri" w:hAnsi="Calibri"/>
                <w:b w:val="0"/>
                <w:i w:val="0"/>
                <w:color w:val="212121"/>
                <w:sz w:val="16"/>
              </w:rPr>
              <w:t>Identifies the leading antecedent trigger; important in outbreak/cluster investigation</w:t>
            </w:r>
          </w:p>
        </w:tc>
        <w:tc>
          <w:tcPr>
            <w:tcW w:type="dxa" w:w="1036"/>
            <w:vAlign w:val="top"/>
          </w:tcPr>
          <w:p>
            <w:pPr>
              <w:spacing w:after="40" w:before="0" w:line="259" w:lineRule="auto"/>
            </w:pPr>
            <w:r>
              <w:rPr>
                <w:rFonts w:ascii="Calibri" w:hAnsi="Calibri"/>
                <w:b w:val="0"/>
                <w:i w:val="0"/>
                <w:color w:val="212121"/>
                <w:sz w:val="16"/>
              </w:rPr>
              <w:t>Post-diarrhoeal GBS, outbreak clusters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Aetiological / epidemiological</w:t>
            </w:r>
          </w:p>
        </w:tc>
        <w:tc>
          <w:tcPr>
            <w:tcW w:type="dxa" w:w="720"/>
            <w:vAlign w:val="top"/>
          </w:tcPr>
          <w:p>
            <w:pPr>
              <w:spacing w:after="40" w:before="0" w:line="259" w:lineRule="auto"/>
            </w:pPr>
            <w:r>
              <w:rPr>
                <w:rFonts w:ascii="Calibri" w:hAnsi="Calibri"/>
                <w:b w:val="0"/>
                <w:i w:val="0"/>
                <w:color w:val="212121"/>
                <w:sz w:val="16"/>
              </w:rPr>
              <w:t>Often already cleared by the time weakness appears; negative result does not exclude a trigger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Respiratory monitoring</w:t>
            </w:r>
          </w:p>
        </w:tc>
        <w:tc>
          <w:tcPr>
            <w:tcW w:type="dxa" w:w="1036"/>
            <w:vAlign w:val="top"/>
          </w:tcPr>
          <w:p>
            <w:pPr>
              <w:spacing w:after="40" w:before="0" w:line="259" w:lineRule="auto"/>
            </w:pPr>
            <w:r>
              <w:rPr>
                <w:rFonts w:ascii="Calibri" w:hAnsi="Calibri"/>
                <w:b w:val="0"/>
                <w:i w:val="0"/>
                <w:color w:val="212121"/>
                <w:sz w:val="16"/>
              </w:rPr>
              <w:t>Serial FVC and negative inspiratory force (NIF)</w:t>
            </w:r>
          </w:p>
        </w:tc>
        <w:tc>
          <w:tcPr>
            <w:tcW w:type="dxa" w:w="892"/>
            <w:vAlign w:val="top"/>
          </w:tcPr>
          <w:p>
            <w:pPr>
              <w:spacing w:after="40" w:before="0" w:line="259" w:lineRule="auto"/>
            </w:pPr>
            <w:r>
              <w:rPr>
                <w:rFonts w:ascii="Calibri" w:hAnsi="Calibri"/>
                <w:b w:val="0"/>
                <w:i w:val="0"/>
                <w:color w:val="212121"/>
                <w:sz w:val="16"/>
              </w:rPr>
              <w:t>Bedside spirometry</w:t>
            </w:r>
          </w:p>
        </w:tc>
        <w:tc>
          <w:tcPr>
            <w:tcW w:type="dxa" w:w="950"/>
            <w:vAlign w:val="top"/>
          </w:tcPr>
          <w:p>
            <w:pPr>
              <w:spacing w:after="40" w:before="0" w:line="259" w:lineRule="auto"/>
            </w:pPr>
            <w:r>
              <w:rPr>
                <w:rFonts w:ascii="Calibri" w:hAnsi="Calibri"/>
                <w:b w:val="0"/>
                <w:i w:val="0"/>
                <w:color w:val="212121"/>
                <w:sz w:val="16"/>
              </w:rPr>
              <w:t>FVC &gt; 20-25 mL/kg</w:t>
            </w:r>
          </w:p>
        </w:tc>
        <w:tc>
          <w:tcPr>
            <w:tcW w:type="dxa" w:w="950"/>
            <w:vAlign w:val="top"/>
          </w:tcPr>
          <w:p>
            <w:pPr>
              <w:spacing w:after="40" w:before="0" w:line="259" w:lineRule="auto"/>
            </w:pPr>
            <w:r>
              <w:rPr>
                <w:rFonts w:ascii="Calibri" w:hAnsi="Calibri"/>
                <w:b w:val="0"/>
                <w:i w:val="0"/>
                <w:color w:val="212121"/>
                <w:sz w:val="16"/>
              </w:rPr>
              <w:t>FVC &lt; 20 mL/kg; NIF weaker than -30 cmH2O</w:t>
            </w:r>
          </w:p>
        </w:tc>
        <w:tc>
          <w:tcPr>
            <w:tcW w:type="dxa" w:w="1036"/>
            <w:vAlign w:val="top"/>
          </w:tcPr>
          <w:p>
            <w:pPr>
              <w:spacing w:after="40" w:before="0" w:line="259" w:lineRule="auto"/>
            </w:pPr>
            <w:r>
              <w:rPr>
                <w:rFonts w:ascii="Calibri" w:hAnsi="Calibri"/>
                <w:b w:val="0"/>
                <w:i w:val="0"/>
                <w:color w:val="212121"/>
                <w:sz w:val="16"/>
              </w:rPr>
              <w:t>Detects impending neuromuscular respiratory failure before hypoxia develops</w:t>
            </w:r>
          </w:p>
        </w:tc>
        <w:tc>
          <w:tcPr>
            <w:tcW w:type="dxa" w:w="1036"/>
            <w:vAlign w:val="top"/>
          </w:tcPr>
          <w:p>
            <w:pPr>
              <w:spacing w:after="40" w:before="0" w:line="259" w:lineRule="auto"/>
            </w:pPr>
            <w:r>
              <w:rPr>
                <w:rFonts w:ascii="Calibri" w:hAnsi="Calibri"/>
                <w:b w:val="0"/>
                <w:i w:val="0"/>
                <w:color w:val="212121"/>
                <w:sz w:val="16"/>
              </w:rPr>
              <w:t>Progressing or severe GBS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monitoring</w:t>
            </w:r>
          </w:p>
        </w:tc>
        <w:tc>
          <w:tcPr>
            <w:tcW w:type="dxa" w:w="720"/>
            <w:vAlign w:val="top"/>
          </w:tcPr>
          <w:p>
            <w:pPr>
              <w:spacing w:after="40" w:before="0" w:line="259" w:lineRule="auto"/>
            </w:pPr>
            <w:r>
              <w:rPr>
                <w:rFonts w:ascii="Calibri" w:hAnsi="Calibri"/>
                <w:b w:val="0"/>
                <w:i w:val="0"/>
                <w:color w:val="212121"/>
                <w:sz w:val="16"/>
              </w:rPr>
              <w:t>Guides timing of elective, controlled intubation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sodium</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135-145 mmol/L</w:t>
            </w:r>
          </w:p>
        </w:tc>
        <w:tc>
          <w:tcPr>
            <w:tcW w:type="dxa" w:w="950"/>
            <w:vAlign w:val="top"/>
          </w:tcPr>
          <w:p>
            <w:pPr>
              <w:spacing w:after="40" w:before="0" w:line="259" w:lineRule="auto"/>
            </w:pPr>
            <w:r>
              <w:rPr>
                <w:rFonts w:ascii="Calibri" w:hAnsi="Calibri"/>
                <w:b w:val="0"/>
                <w:i w:val="0"/>
                <w:color w:val="212121"/>
                <w:sz w:val="16"/>
              </w:rPr>
              <w:t>&lt; 135 mmol/L (SIADH-related hyponatraemia)</w:t>
            </w:r>
          </w:p>
        </w:tc>
        <w:tc>
          <w:tcPr>
            <w:tcW w:type="dxa" w:w="1036"/>
            <w:vAlign w:val="top"/>
          </w:tcPr>
          <w:p>
            <w:pPr>
              <w:spacing w:after="40" w:before="0" w:line="259" w:lineRule="auto"/>
            </w:pPr>
            <w:r>
              <w:rPr>
                <w:rFonts w:ascii="Calibri" w:hAnsi="Calibri"/>
                <w:b w:val="0"/>
                <w:i w:val="0"/>
                <w:color w:val="212121"/>
                <w:sz w:val="16"/>
              </w:rPr>
              <w:t>Hyponatraemia from SIADH is common in severe GBS and is associated with worse outcomes</w:t>
            </w:r>
          </w:p>
        </w:tc>
        <w:tc>
          <w:tcPr>
            <w:tcW w:type="dxa" w:w="1036"/>
            <w:vAlign w:val="top"/>
          </w:tcPr>
          <w:p>
            <w:pPr>
              <w:spacing w:after="40" w:before="0" w:line="259" w:lineRule="auto"/>
            </w:pPr>
            <w:r>
              <w:rPr>
                <w:rFonts w:ascii="Calibri" w:hAnsi="Calibri"/>
                <w:b w:val="0"/>
                <w:i w:val="0"/>
                <w:color w:val="212121"/>
                <w:sz w:val="16"/>
              </w:rPr>
              <w:t>Severe / ventilated GBS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Correlate with fluid balance and autonomic status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MRI spine with gadolinium</w:t>
            </w:r>
          </w:p>
        </w:tc>
        <w:tc>
          <w:tcPr>
            <w:tcW w:type="dxa" w:w="892"/>
            <w:vAlign w:val="top"/>
          </w:tcPr>
          <w:p>
            <w:pPr>
              <w:spacing w:after="40" w:before="0" w:line="259" w:lineRule="auto"/>
            </w:pPr>
            <w:r>
              <w:rPr>
                <w:rFonts w:ascii="Calibri" w:hAnsi="Calibri"/>
                <w:b w:val="0"/>
                <w:i w:val="0"/>
                <w:color w:val="212121"/>
                <w:sz w:val="16"/>
              </w:rPr>
              <w:t>Neuroimaging</w:t>
            </w:r>
          </w:p>
        </w:tc>
        <w:tc>
          <w:tcPr>
            <w:tcW w:type="dxa" w:w="950"/>
            <w:vAlign w:val="top"/>
          </w:tcPr>
          <w:p>
            <w:pPr>
              <w:spacing w:after="40" w:before="0" w:line="259" w:lineRule="auto"/>
            </w:pPr>
            <w:r>
              <w:rPr>
                <w:rFonts w:ascii="Calibri" w:hAnsi="Calibri"/>
                <w:b w:val="0"/>
                <w:i w:val="0"/>
                <w:color w:val="212121"/>
                <w:sz w:val="16"/>
              </w:rPr>
              <w:t>No abnormal enhancement</w:t>
            </w:r>
          </w:p>
        </w:tc>
        <w:tc>
          <w:tcPr>
            <w:tcW w:type="dxa" w:w="950"/>
            <w:vAlign w:val="top"/>
          </w:tcPr>
          <w:p>
            <w:pPr>
              <w:spacing w:after="40" w:before="0" w:line="259" w:lineRule="auto"/>
            </w:pPr>
            <w:r>
              <w:rPr>
                <w:rFonts w:ascii="Calibri" w:hAnsi="Calibri"/>
                <w:b w:val="0"/>
                <w:i w:val="0"/>
                <w:color w:val="212121"/>
                <w:sz w:val="16"/>
              </w:rPr>
              <w:t>Enhancement/thickening of the cauda equina and anterior nerve roots</w:t>
            </w:r>
          </w:p>
        </w:tc>
        <w:tc>
          <w:tcPr>
            <w:tcW w:type="dxa" w:w="1036"/>
            <w:vAlign w:val="top"/>
          </w:tcPr>
          <w:p>
            <w:pPr>
              <w:spacing w:after="40" w:before="0" w:line="259" w:lineRule="auto"/>
            </w:pPr>
            <w:r>
              <w:rPr>
                <w:rFonts w:ascii="Calibri" w:hAnsi="Calibri"/>
                <w:b w:val="0"/>
                <w:i w:val="0"/>
                <w:color w:val="212121"/>
                <w:sz w:val="16"/>
              </w:rPr>
              <w:t>Supports GBS and, importantly, excludes cord compression and other mimics</w:t>
            </w:r>
          </w:p>
        </w:tc>
        <w:tc>
          <w:tcPr>
            <w:tcW w:type="dxa" w:w="1036"/>
            <w:vAlign w:val="top"/>
          </w:tcPr>
          <w:p>
            <w:pPr>
              <w:spacing w:after="40" w:before="0" w:line="259" w:lineRule="auto"/>
            </w:pPr>
            <w:r>
              <w:rPr>
                <w:rFonts w:ascii="Calibri" w:hAnsi="Calibri"/>
                <w:b w:val="0"/>
                <w:i w:val="0"/>
                <w:color w:val="212121"/>
                <w:sz w:val="16"/>
              </w:rPr>
              <w:t>Atypical presentations, sensory level, diagnostic doubt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 / exclusion</w:t>
            </w:r>
          </w:p>
        </w:tc>
        <w:tc>
          <w:tcPr>
            <w:tcW w:type="dxa" w:w="720"/>
            <w:vAlign w:val="top"/>
          </w:tcPr>
          <w:p>
            <w:pPr>
              <w:spacing w:after="40" w:before="0" w:line="259" w:lineRule="auto"/>
            </w:pPr>
            <w:r>
              <w:rPr>
                <w:rFonts w:ascii="Calibri" w:hAnsi="Calibri"/>
                <w:b w:val="0"/>
                <w:i w:val="0"/>
                <w:color w:val="212121"/>
                <w:sz w:val="16"/>
              </w:rPr>
              <w:t>Non-specific but useful to rule out structural causes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 / PCR</w:t>
            </w:r>
          </w:p>
        </w:tc>
        <w:tc>
          <w:tcPr>
            <w:tcW w:type="dxa" w:w="1036"/>
            <w:vAlign w:val="top"/>
          </w:tcPr>
          <w:p>
            <w:pPr>
              <w:spacing w:after="40" w:before="0" w:line="259" w:lineRule="auto"/>
            </w:pPr>
            <w:r>
              <w:rPr>
                <w:rFonts w:ascii="Calibri" w:hAnsi="Calibri"/>
                <w:b w:val="0"/>
                <w:i w:val="0"/>
                <w:color w:val="212121"/>
                <w:sz w:val="16"/>
              </w:rPr>
              <w:t>Antecedent-infection panel (chikungunya, dengue, hepatitis E, CMV, EBV, HIV, Mycoplasma, SARS-CoV-2)</w:t>
            </w:r>
          </w:p>
        </w:tc>
        <w:tc>
          <w:tcPr>
            <w:tcW w:type="dxa" w:w="892"/>
            <w:vAlign w:val="top"/>
          </w:tcPr>
          <w:p>
            <w:pPr>
              <w:spacing w:after="40" w:before="0" w:line="259" w:lineRule="auto"/>
            </w:pPr>
            <w:r>
              <w:rPr>
                <w:rFonts w:ascii="Calibri" w:hAnsi="Calibri"/>
                <w:b w:val="0"/>
                <w:i w:val="0"/>
                <w:color w:val="212121"/>
                <w:sz w:val="16"/>
              </w:rPr>
              <w:t>Aetiological workup</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Markers of recent infection positive</w:t>
            </w:r>
          </w:p>
        </w:tc>
        <w:tc>
          <w:tcPr>
            <w:tcW w:type="dxa" w:w="1036"/>
            <w:vAlign w:val="top"/>
          </w:tcPr>
          <w:p>
            <w:pPr>
              <w:spacing w:after="40" w:before="0" w:line="259" w:lineRule="auto"/>
            </w:pPr>
            <w:r>
              <w:rPr>
                <w:rFonts w:ascii="Calibri" w:hAnsi="Calibri"/>
                <w:b w:val="0"/>
                <w:i w:val="0"/>
                <w:color w:val="212121"/>
                <w:sz w:val="16"/>
              </w:rPr>
              <w:t>Identifies India-relevant arboviral and other triggers, informing prognosis and public-health action</w:t>
            </w:r>
          </w:p>
        </w:tc>
        <w:tc>
          <w:tcPr>
            <w:tcW w:type="dxa" w:w="1036"/>
            <w:vAlign w:val="top"/>
          </w:tcPr>
          <w:p>
            <w:pPr>
              <w:spacing w:after="40" w:before="0" w:line="259" w:lineRule="auto"/>
            </w:pPr>
            <w:r>
              <w:rPr>
                <w:rFonts w:ascii="Calibri" w:hAnsi="Calibri"/>
                <w:b w:val="0"/>
                <w:i w:val="0"/>
                <w:color w:val="212121"/>
                <w:sz w:val="16"/>
              </w:rPr>
              <w:t>Post-febrile GBS, outbreak settings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NIMHANS series: ~79% had a preceding infection, often chikungunya</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Rapidly progressive, relatively symmetric, ascending limb weakness +/- paraesthesiae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 progressing over days to &lt;= 4 weeks</w:t>
            </w:r>
          </w:p>
        </w:tc>
        <w:tc>
          <w:tcPr>
            <w:tcW w:type="dxa" w:w="1036"/>
            <w:vAlign w:val="top"/>
          </w:tcPr>
          <w:p>
            <w:pPr>
              <w:spacing w:after="40" w:before="0" w:line="259" w:lineRule="auto"/>
            </w:pPr>
            <w:r>
              <w:rPr>
                <w:rFonts w:ascii="Calibri" w:hAnsi="Calibri"/>
                <w:b w:val="0"/>
                <w:i w:val="0"/>
                <w:color w:val="212121"/>
                <w:sz w:val="16"/>
              </w:rPr>
              <w:t>Cardinal presentation of GBS</w:t>
            </w:r>
          </w:p>
        </w:tc>
        <w:tc>
          <w:tcPr>
            <w:tcW w:type="dxa" w:w="1036"/>
            <w:vAlign w:val="top"/>
          </w:tcPr>
          <w:p>
            <w:pPr>
              <w:spacing w:after="40" w:before="0" w:line="259" w:lineRule="auto"/>
            </w:pPr>
            <w:r>
              <w:rPr>
                <w:rFonts w:ascii="Calibri" w:hAnsi="Calibri"/>
                <w:b w:val="0"/>
                <w:i w:val="0"/>
                <w:color w:val="212121"/>
                <w:sz w:val="16"/>
              </w:rPr>
              <w:t>All suspected GBS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 nadir within 4 weeks distinguishes GBS from CIDP (&gt; 8 weeks)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Antecedent illness</w:t>
            </w:r>
          </w:p>
        </w:tc>
        <w:tc>
          <w:tcPr>
            <w:tcW w:type="dxa" w:w="979"/>
            <w:vAlign w:val="top"/>
          </w:tcPr>
          <w:p>
            <w:pPr>
              <w:spacing w:after="40" w:before="0" w:line="259" w:lineRule="auto"/>
            </w:pPr>
            <w:r>
              <w:rPr>
                <w:rFonts w:ascii="Calibri" w:hAnsi="Calibri"/>
                <w:b w:val="0"/>
                <w:i w:val="0"/>
                <w:color w:val="212121"/>
                <w:sz w:val="16"/>
              </w:rPr>
              <w:t>Diarrhoea or respiratory infection in the prior 1-6 weeks; recent surgery or vaccination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Supports the post-infectious, immune-mediated mechanism and hints at subtype</w:t>
            </w:r>
          </w:p>
        </w:tc>
        <w:tc>
          <w:tcPr>
            <w:tcW w:type="dxa" w:w="1036"/>
            <w:vAlign w:val="top"/>
          </w:tcPr>
          <w:p>
            <w:pPr>
              <w:spacing w:after="40" w:before="0" w:line="259" w:lineRule="auto"/>
            </w:pPr>
            <w:r>
              <w:rPr>
                <w:rFonts w:ascii="Calibri" w:hAnsi="Calibri"/>
                <w:b w:val="0"/>
                <w:i w:val="0"/>
                <w:color w:val="212121"/>
                <w:sz w:val="16"/>
              </w:rPr>
              <w:t>Post-infectious GBS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 diarrhoeal prodrome points to Campylobacter and the axonal subtype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examination</w:t>
            </w:r>
          </w:p>
        </w:tc>
        <w:tc>
          <w:tcPr>
            <w:tcW w:type="dxa" w:w="950"/>
            <w:vAlign w:val="top"/>
          </w:tcPr>
          <w:p>
            <w:pPr>
              <w:spacing w:after="40" w:before="0" w:line="259" w:lineRule="auto"/>
            </w:pPr>
            <w:r>
              <w:rPr>
                <w:rFonts w:ascii="Calibri" w:hAnsi="Calibri"/>
                <w:b w:val="0"/>
                <w:i w:val="0"/>
                <w:color w:val="212121"/>
                <w:sz w:val="16"/>
              </w:rPr>
              <w:t>Deep tendon reflexes</w:t>
            </w:r>
          </w:p>
        </w:tc>
        <w:tc>
          <w:tcPr>
            <w:tcW w:type="dxa" w:w="979"/>
            <w:vAlign w:val="top"/>
          </w:tcPr>
          <w:p>
            <w:pPr>
              <w:spacing w:after="40" w:before="0" w:line="259" w:lineRule="auto"/>
            </w:pPr>
            <w:r>
              <w:rPr>
                <w:rFonts w:ascii="Calibri" w:hAnsi="Calibri"/>
                <w:b w:val="0"/>
                <w:i w:val="0"/>
                <w:color w:val="212121"/>
                <w:sz w:val="16"/>
              </w:rPr>
              <w:t>Areflexia / hyporeflexia in affected limbs</w:t>
            </w:r>
          </w:p>
        </w:tc>
        <w:tc>
          <w:tcPr>
            <w:tcW w:type="dxa" w:w="950"/>
            <w:vAlign w:val="top"/>
          </w:tcPr>
          <w:p>
            <w:pPr>
              <w:spacing w:after="40" w:before="0" w:line="259" w:lineRule="auto"/>
            </w:pPr>
            <w:r>
              <w:rPr>
                <w:rFonts w:ascii="Calibri" w:hAnsi="Calibri"/>
                <w:b w:val="0"/>
                <w:i w:val="0"/>
                <w:color w:val="212121"/>
                <w:sz w:val="16"/>
              </w:rPr>
              <w:t>Reflexes present</w:t>
            </w:r>
          </w:p>
        </w:tc>
        <w:tc>
          <w:tcPr>
            <w:tcW w:type="dxa" w:w="950"/>
            <w:vAlign w:val="top"/>
          </w:tcPr>
          <w:p>
            <w:pPr>
              <w:spacing w:after="40" w:before="0" w:line="259" w:lineRule="auto"/>
            </w:pPr>
            <w:r>
              <w:rPr>
                <w:rFonts w:ascii="Calibri" w:hAnsi="Calibri"/>
                <w:b w:val="0"/>
                <w:i w:val="0"/>
                <w:color w:val="212121"/>
                <w:sz w:val="16"/>
              </w:rPr>
              <w:t>Absent or reduced</w:t>
            </w:r>
          </w:p>
        </w:tc>
        <w:tc>
          <w:tcPr>
            <w:tcW w:type="dxa" w:w="1036"/>
            <w:vAlign w:val="top"/>
          </w:tcPr>
          <w:p>
            <w:pPr>
              <w:spacing w:after="40" w:before="0" w:line="259" w:lineRule="auto"/>
            </w:pPr>
            <w:r>
              <w:rPr>
                <w:rFonts w:ascii="Calibri" w:hAnsi="Calibri"/>
                <w:b w:val="0"/>
                <w:i w:val="0"/>
                <w:color w:val="212121"/>
                <w:sz w:val="16"/>
              </w:rPr>
              <w:t>A required feature - areflexia in weak limbs</w:t>
            </w:r>
          </w:p>
        </w:tc>
        <w:tc>
          <w:tcPr>
            <w:tcW w:type="dxa" w:w="1036"/>
            <w:vAlign w:val="top"/>
          </w:tcPr>
          <w:p>
            <w:pPr>
              <w:spacing w:after="40" w:before="0" w:line="259" w:lineRule="auto"/>
            </w:pPr>
            <w:r>
              <w:rPr>
                <w:rFonts w:ascii="Calibri" w:hAnsi="Calibri"/>
                <w:b w:val="0"/>
                <w:i w:val="0"/>
                <w:color w:val="212121"/>
                <w:sz w:val="16"/>
              </w:rPr>
              <w:t>All GBS (rare hyperreflexic AMAN excepted)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Key Brighton-criteria element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Neurological examination</w:t>
            </w:r>
          </w:p>
        </w:tc>
        <w:tc>
          <w:tcPr>
            <w:tcW w:type="dxa" w:w="950"/>
            <w:vAlign w:val="top"/>
          </w:tcPr>
          <w:p>
            <w:pPr>
              <w:spacing w:after="40" w:before="0" w:line="259" w:lineRule="auto"/>
            </w:pPr>
            <w:r>
              <w:rPr>
                <w:rFonts w:ascii="Calibri" w:hAnsi="Calibri"/>
                <w:b w:val="0"/>
                <w:i w:val="0"/>
                <w:color w:val="212121"/>
                <w:sz w:val="16"/>
              </w:rPr>
              <w:t>Motor power and pattern</w:t>
            </w:r>
          </w:p>
        </w:tc>
        <w:tc>
          <w:tcPr>
            <w:tcW w:type="dxa" w:w="979"/>
            <w:vAlign w:val="top"/>
          </w:tcPr>
          <w:p>
            <w:pPr>
              <w:spacing w:after="40" w:before="0" w:line="259" w:lineRule="auto"/>
            </w:pPr>
            <w:r>
              <w:rPr>
                <w:rFonts w:ascii="Calibri" w:hAnsi="Calibri"/>
                <w:b w:val="0"/>
                <w:i w:val="0"/>
                <w:color w:val="212121"/>
                <w:sz w:val="16"/>
              </w:rPr>
              <w:t>Relatively symmetric flaccid weakness, distal to proximal, neck-flexor and bulbar involvement</w:t>
            </w:r>
          </w:p>
        </w:tc>
        <w:tc>
          <w:tcPr>
            <w:tcW w:type="dxa" w:w="950"/>
            <w:vAlign w:val="top"/>
          </w:tcPr>
          <w:p>
            <w:pPr>
              <w:spacing w:after="40" w:before="0" w:line="259" w:lineRule="auto"/>
            </w:pPr>
            <w:r>
              <w:rPr>
                <w:rFonts w:ascii="Calibri" w:hAnsi="Calibri"/>
                <w:b w:val="0"/>
                <w:i w:val="0"/>
                <w:color w:val="212121"/>
                <w:sz w:val="16"/>
              </w:rPr>
              <w:t>Full power</w:t>
            </w:r>
          </w:p>
        </w:tc>
        <w:tc>
          <w:tcPr>
            <w:tcW w:type="dxa" w:w="950"/>
            <w:vAlign w:val="top"/>
          </w:tcPr>
          <w:p>
            <w:pPr>
              <w:spacing w:after="40" w:before="0" w:line="259" w:lineRule="auto"/>
            </w:pPr>
            <w:r>
              <w:rPr>
                <w:rFonts w:ascii="Calibri" w:hAnsi="Calibri"/>
                <w:b w:val="0"/>
                <w:i w:val="0"/>
                <w:color w:val="212121"/>
                <w:sz w:val="16"/>
              </w:rPr>
              <w:t>Symmetric limb (+/- facial/bulbar) weakness</w:t>
            </w:r>
          </w:p>
        </w:tc>
        <w:tc>
          <w:tcPr>
            <w:tcW w:type="dxa" w:w="1036"/>
            <w:vAlign w:val="top"/>
          </w:tcPr>
          <w:p>
            <w:pPr>
              <w:spacing w:after="40" w:before="0" w:line="259" w:lineRule="auto"/>
            </w:pPr>
            <w:r>
              <w:rPr>
                <w:rFonts w:ascii="Calibri" w:hAnsi="Calibri"/>
                <w:b w:val="0"/>
                <w:i w:val="0"/>
                <w:color w:val="212121"/>
                <w:sz w:val="16"/>
              </w:rPr>
              <w:t>Typical GBS pattern; marked persistent asymmetry argues against it</w:t>
            </w:r>
          </w:p>
        </w:tc>
        <w:tc>
          <w:tcPr>
            <w:tcW w:type="dxa" w:w="1036"/>
            <w:vAlign w:val="top"/>
          </w:tcPr>
          <w:p>
            <w:pPr>
              <w:spacing w:after="40" w:before="0" w:line="259" w:lineRule="auto"/>
            </w:pPr>
            <w:r>
              <w:rPr>
                <w:rFonts w:ascii="Calibri" w:hAnsi="Calibri"/>
                <w:b w:val="0"/>
                <w:i w:val="0"/>
                <w:color w:val="212121"/>
                <w:sz w:val="16"/>
              </w:rPr>
              <w:t>All GBS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neck flexion and swallowing as markers of severity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Cranial nerve exam</w:t>
            </w:r>
          </w:p>
        </w:tc>
        <w:tc>
          <w:tcPr>
            <w:tcW w:type="dxa" w:w="950"/>
            <w:vAlign w:val="top"/>
          </w:tcPr>
          <w:p>
            <w:pPr>
              <w:spacing w:after="40" w:before="0" w:line="259" w:lineRule="auto"/>
            </w:pPr>
            <w:r>
              <w:rPr>
                <w:rFonts w:ascii="Calibri" w:hAnsi="Calibri"/>
                <w:b w:val="0"/>
                <w:i w:val="0"/>
                <w:color w:val="212121"/>
                <w:sz w:val="16"/>
              </w:rPr>
              <w:t>Cranial and bulbar function</w:t>
            </w:r>
          </w:p>
        </w:tc>
        <w:tc>
          <w:tcPr>
            <w:tcW w:type="dxa" w:w="979"/>
            <w:vAlign w:val="top"/>
          </w:tcPr>
          <w:p>
            <w:pPr>
              <w:spacing w:after="40" w:before="0" w:line="259" w:lineRule="auto"/>
            </w:pPr>
            <w:r>
              <w:rPr>
                <w:rFonts w:ascii="Calibri" w:hAnsi="Calibri"/>
                <w:b w:val="0"/>
                <w:i w:val="0"/>
                <w:color w:val="212121"/>
                <w:sz w:val="16"/>
              </w:rPr>
              <w:t>Facial diplegia, ophthalmoplegia, dysphagia, dysarthria</w:t>
            </w:r>
          </w:p>
        </w:tc>
        <w:tc>
          <w:tcPr>
            <w:tcW w:type="dxa" w:w="950"/>
            <w:vAlign w:val="top"/>
          </w:tcPr>
          <w:p>
            <w:pPr>
              <w:spacing w:after="40" w:before="0" w:line="259" w:lineRule="auto"/>
            </w:pPr>
            <w:r>
              <w:rPr>
                <w:rFonts w:ascii="Calibri" w:hAnsi="Calibri"/>
                <w:b w:val="0"/>
                <w:i w:val="0"/>
                <w:color w:val="212121"/>
                <w:sz w:val="16"/>
              </w:rPr>
              <w:t>Intact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Bilateral facial weakness is common; ophthalmoplegia typifies Miller Fisher syndrome</w:t>
            </w:r>
          </w:p>
        </w:tc>
        <w:tc>
          <w:tcPr>
            <w:tcW w:type="dxa" w:w="1036"/>
            <w:vAlign w:val="top"/>
          </w:tcPr>
          <w:p>
            <w:pPr>
              <w:spacing w:after="40" w:before="0" w:line="259" w:lineRule="auto"/>
            </w:pPr>
            <w:r>
              <w:rPr>
                <w:rFonts w:ascii="Calibri" w:hAnsi="Calibri"/>
                <w:b w:val="0"/>
                <w:i w:val="0"/>
                <w:color w:val="212121"/>
                <w:sz w:val="16"/>
              </w:rPr>
              <w:t>Bulbar/cranial variants, MFS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 / airway risk</w:t>
            </w:r>
          </w:p>
        </w:tc>
        <w:tc>
          <w:tcPr>
            <w:tcW w:type="dxa" w:w="720"/>
            <w:vAlign w:val="top"/>
          </w:tcPr>
          <w:p>
            <w:pPr>
              <w:spacing w:after="40" w:before="0" w:line="259" w:lineRule="auto"/>
            </w:pPr>
            <w:r>
              <w:rPr>
                <w:rFonts w:ascii="Calibri" w:hAnsi="Calibri"/>
                <w:b w:val="0"/>
                <w:i w:val="0"/>
                <w:color w:val="212121"/>
                <w:sz w:val="16"/>
              </w:rPr>
              <w:t>Bulbar weakness raises aspiration risk and may need airway protection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Autonomic assessment</w:t>
            </w:r>
          </w:p>
        </w:tc>
        <w:tc>
          <w:tcPr>
            <w:tcW w:type="dxa" w:w="950"/>
            <w:vAlign w:val="top"/>
          </w:tcPr>
          <w:p>
            <w:pPr>
              <w:spacing w:after="40" w:before="0" w:line="259" w:lineRule="auto"/>
            </w:pPr>
            <w:r>
              <w:rPr>
                <w:rFonts w:ascii="Calibri" w:hAnsi="Calibri"/>
                <w:b w:val="0"/>
                <w:i w:val="0"/>
                <w:color w:val="212121"/>
                <w:sz w:val="16"/>
              </w:rPr>
              <w:t>Autonomic function</w:t>
            </w:r>
          </w:p>
        </w:tc>
        <w:tc>
          <w:tcPr>
            <w:tcW w:type="dxa" w:w="979"/>
            <w:vAlign w:val="top"/>
          </w:tcPr>
          <w:p>
            <w:pPr>
              <w:spacing w:after="40" w:before="0" w:line="259" w:lineRule="auto"/>
            </w:pPr>
            <w:r>
              <w:rPr>
                <w:rFonts w:ascii="Calibri" w:hAnsi="Calibri"/>
                <w:b w:val="0"/>
                <w:i w:val="0"/>
                <w:color w:val="212121"/>
                <w:sz w:val="16"/>
              </w:rPr>
              <w:t>Blood-pressure and heart-rate lability, arrhythmia, ileus, urinary retention, sweating changes</w:t>
            </w:r>
          </w:p>
        </w:tc>
        <w:tc>
          <w:tcPr>
            <w:tcW w:type="dxa" w:w="950"/>
            <w:vAlign w:val="top"/>
          </w:tcPr>
          <w:p>
            <w:pPr>
              <w:spacing w:after="40" w:before="0" w:line="259" w:lineRule="auto"/>
            </w:pPr>
            <w:r>
              <w:rPr>
                <w:rFonts w:ascii="Calibri" w:hAnsi="Calibri"/>
                <w:b w:val="0"/>
                <w:i w:val="0"/>
                <w:color w:val="212121"/>
                <w:sz w:val="16"/>
              </w:rPr>
              <w:t>Stable haemodynamics and bladder/bowel function</w:t>
            </w:r>
          </w:p>
        </w:tc>
        <w:tc>
          <w:tcPr>
            <w:tcW w:type="dxa" w:w="950"/>
            <w:vAlign w:val="top"/>
          </w:tcPr>
          <w:p>
            <w:pPr>
              <w:spacing w:after="40" w:before="0" w:line="259" w:lineRule="auto"/>
            </w:pPr>
            <w:r>
              <w:rPr>
                <w:rFonts w:ascii="Calibri" w:hAnsi="Calibri"/>
                <w:b w:val="0"/>
                <w:i w:val="0"/>
                <w:color w:val="212121"/>
                <w:sz w:val="16"/>
              </w:rPr>
              <w:t>Dysautonomia present</w:t>
            </w:r>
          </w:p>
        </w:tc>
        <w:tc>
          <w:tcPr>
            <w:tcW w:type="dxa" w:w="1036"/>
            <w:vAlign w:val="top"/>
          </w:tcPr>
          <w:p>
            <w:pPr>
              <w:spacing w:after="40" w:before="0" w:line="259" w:lineRule="auto"/>
            </w:pPr>
            <w:r>
              <w:rPr>
                <w:rFonts w:ascii="Calibri" w:hAnsi="Calibri"/>
                <w:b w:val="0"/>
                <w:i w:val="0"/>
                <w:color w:val="212121"/>
                <w:sz w:val="16"/>
              </w:rPr>
              <w:t>Autonomic instability is a leading cause of death in GBS</w:t>
            </w:r>
          </w:p>
        </w:tc>
        <w:tc>
          <w:tcPr>
            <w:tcW w:type="dxa" w:w="1036"/>
            <w:vAlign w:val="top"/>
          </w:tcPr>
          <w:p>
            <w:pPr>
              <w:spacing w:after="40" w:before="0" w:line="259" w:lineRule="auto"/>
            </w:pPr>
            <w:r>
              <w:rPr>
                <w:rFonts w:ascii="Calibri" w:hAnsi="Calibri"/>
                <w:b w:val="0"/>
                <w:i w:val="0"/>
                <w:color w:val="212121"/>
                <w:sz w:val="16"/>
              </w:rPr>
              <w:t>Severe / AMSAN / ventilated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 monitoring</w:t>
            </w:r>
          </w:p>
        </w:tc>
        <w:tc>
          <w:tcPr>
            <w:tcW w:type="dxa" w:w="720"/>
            <w:vAlign w:val="top"/>
          </w:tcPr>
          <w:p>
            <w:pPr>
              <w:spacing w:after="40" w:before="0" w:line="259" w:lineRule="auto"/>
            </w:pPr>
            <w:r>
              <w:rPr>
                <w:rFonts w:ascii="Calibri" w:hAnsi="Calibri"/>
                <w:b w:val="0"/>
                <w:i w:val="0"/>
                <w:color w:val="212121"/>
                <w:sz w:val="16"/>
              </w:rPr>
              <w:t>Warrants continuous cardiac monitoring in severe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Respiratory assessment</w:t>
            </w:r>
          </w:p>
        </w:tc>
        <w:tc>
          <w:tcPr>
            <w:tcW w:type="dxa" w:w="950"/>
            <w:vAlign w:val="top"/>
          </w:tcPr>
          <w:p>
            <w:pPr>
              <w:spacing w:after="40" w:before="0" w:line="259" w:lineRule="auto"/>
            </w:pPr>
            <w:r>
              <w:rPr>
                <w:rFonts w:ascii="Calibri" w:hAnsi="Calibri"/>
                <w:b w:val="0"/>
                <w:i w:val="0"/>
                <w:color w:val="212121"/>
                <w:sz w:val="16"/>
              </w:rPr>
              <w:t>Bedside respiratory status</w:t>
            </w:r>
          </w:p>
        </w:tc>
        <w:tc>
          <w:tcPr>
            <w:tcW w:type="dxa" w:w="979"/>
            <w:vAlign w:val="top"/>
          </w:tcPr>
          <w:p>
            <w:pPr>
              <w:spacing w:after="40" w:before="0" w:line="259" w:lineRule="auto"/>
            </w:pPr>
            <w:r>
              <w:rPr>
                <w:rFonts w:ascii="Calibri" w:hAnsi="Calibri"/>
                <w:b w:val="0"/>
                <w:i w:val="0"/>
                <w:color w:val="212121"/>
                <w:sz w:val="16"/>
              </w:rPr>
              <w:t>Single-breath count, paradoxical (abdominal) breathing, accessory-muscle use, weak cough</w:t>
            </w:r>
          </w:p>
        </w:tc>
        <w:tc>
          <w:tcPr>
            <w:tcW w:type="dxa" w:w="950"/>
            <w:vAlign w:val="top"/>
          </w:tcPr>
          <w:p>
            <w:pPr>
              <w:spacing w:after="40" w:before="0" w:line="259" w:lineRule="auto"/>
            </w:pPr>
            <w:r>
              <w:rPr>
                <w:rFonts w:ascii="Calibri" w:hAnsi="Calibri"/>
                <w:b w:val="0"/>
                <w:i w:val="0"/>
                <w:color w:val="212121"/>
                <w:sz w:val="16"/>
              </w:rPr>
              <w:t>Normal effort and cough</w:t>
            </w:r>
          </w:p>
        </w:tc>
        <w:tc>
          <w:tcPr>
            <w:tcW w:type="dxa" w:w="950"/>
            <w:vAlign w:val="top"/>
          </w:tcPr>
          <w:p>
            <w:pPr>
              <w:spacing w:after="40" w:before="0" w:line="259" w:lineRule="auto"/>
            </w:pPr>
            <w:r>
              <w:rPr>
                <w:rFonts w:ascii="Calibri" w:hAnsi="Calibri"/>
                <w:b w:val="0"/>
                <w:i w:val="0"/>
                <w:color w:val="212121"/>
                <w:sz w:val="16"/>
              </w:rPr>
              <w:t>Breathlessness, weak cough, count &lt; 15</w:t>
            </w:r>
          </w:p>
        </w:tc>
        <w:tc>
          <w:tcPr>
            <w:tcW w:type="dxa" w:w="1036"/>
            <w:vAlign w:val="top"/>
          </w:tcPr>
          <w:p>
            <w:pPr>
              <w:spacing w:after="40" w:before="0" w:line="259" w:lineRule="auto"/>
            </w:pPr>
            <w:r>
              <w:rPr>
                <w:rFonts w:ascii="Calibri" w:hAnsi="Calibri"/>
                <w:b w:val="0"/>
                <w:i w:val="0"/>
                <w:color w:val="212121"/>
                <w:sz w:val="16"/>
              </w:rPr>
              <w:t>Clinical signals of impending respiratory failure</w:t>
            </w:r>
          </w:p>
        </w:tc>
        <w:tc>
          <w:tcPr>
            <w:tcW w:type="dxa" w:w="1036"/>
            <w:vAlign w:val="top"/>
          </w:tcPr>
          <w:p>
            <w:pPr>
              <w:spacing w:after="40" w:before="0" w:line="259" w:lineRule="auto"/>
            </w:pPr>
            <w:r>
              <w:rPr>
                <w:rFonts w:ascii="Calibri" w:hAnsi="Calibri"/>
                <w:b w:val="0"/>
                <w:i w:val="0"/>
                <w:color w:val="212121"/>
                <w:sz w:val="16"/>
              </w:rPr>
              <w:t>Progressing GBS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Correlate with FVC; maintain a low threshold for ICU transfer</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Tingling / pins-and-needles in hands and feet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the earliest symptom, in a glove-and-stocking distribution, preceding weakness.</w:t>
            </w:r>
          </w:p>
        </w:tc>
      </w:tr>
      <w:tr>
        <w:trPr>
          <w:cantSplit/>
        </w:trPr>
        <w:tc>
          <w:tcPr>
            <w:tcW w:type="dxa" w:w="2304"/>
            <w:vAlign w:val="top"/>
          </w:tcPr>
          <w:p>
            <w:pPr>
              <w:spacing w:after="40" w:before="0" w:line="259" w:lineRule="auto"/>
            </w:pPr>
            <w:r>
              <w:rPr>
                <w:rFonts w:ascii="Calibri" w:hAnsi="Calibri"/>
                <w:b/>
                <w:i w:val="0"/>
                <w:color w:val="212121"/>
                <w:sz w:val="19"/>
              </w:rPr>
              <w:t>Progressive symmetric limb weakness (legs first, ascending)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The hallmark of GBS - weakness usually starts in the legs and ascends to arms, trunk and face.</w:t>
            </w:r>
          </w:p>
        </w:tc>
      </w:tr>
      <w:tr>
        <w:trPr>
          <w:cantSplit/>
        </w:trPr>
        <w:tc>
          <w:tcPr>
            <w:tcW w:type="dxa" w:w="2304"/>
            <w:vAlign w:val="top"/>
          </w:tcPr>
          <w:p>
            <w:pPr>
              <w:spacing w:after="40" w:before="0" w:line="259" w:lineRule="auto"/>
            </w:pPr>
            <w:r>
              <w:rPr>
                <w:rFonts w:ascii="Calibri" w:hAnsi="Calibri"/>
                <w:b/>
                <w:i w:val="0"/>
                <w:color w:val="212121"/>
                <w:sz w:val="19"/>
              </w:rPr>
              <w:t>Difficulty walking, unsteadiness, frequent falls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From weakness and/or sensory ataxia; many patients become unable to walk unaided.</w:t>
            </w:r>
          </w:p>
        </w:tc>
      </w:tr>
      <w:tr>
        <w:trPr>
          <w:cantSplit/>
        </w:trPr>
        <w:tc>
          <w:tcPr>
            <w:tcW w:type="dxa" w:w="2304"/>
            <w:vAlign w:val="top"/>
          </w:tcPr>
          <w:p>
            <w:pPr>
              <w:spacing w:after="40" w:before="0" w:line="259" w:lineRule="auto"/>
            </w:pPr>
            <w:r>
              <w:rPr>
                <w:rFonts w:ascii="Calibri" w:hAnsi="Calibri"/>
                <w:b/>
                <w:i w:val="0"/>
                <w:color w:val="212121"/>
                <w:sz w:val="19"/>
              </w:rPr>
              <w:t>Numbness or reduced sensation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Sensory loss in demyelinating and sensorimotor forms (minimal in pure motor AMAN).</w:t>
            </w:r>
          </w:p>
        </w:tc>
      </w:tr>
      <w:tr>
        <w:trPr>
          <w:cantSplit/>
        </w:trPr>
        <w:tc>
          <w:tcPr>
            <w:tcW w:type="dxa" w:w="2304"/>
            <w:vAlign w:val="top"/>
          </w:tcPr>
          <w:p>
            <w:pPr>
              <w:spacing w:after="40" w:before="0" w:line="259" w:lineRule="auto"/>
            </w:pPr>
            <w:r>
              <w:rPr>
                <w:rFonts w:ascii="Calibri" w:hAnsi="Calibri"/>
                <w:b/>
                <w:i w:val="0"/>
                <w:color w:val="212121"/>
                <w:sz w:val="19"/>
              </w:rPr>
              <w:t>Back, limb and muscle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Neuropathic and radicular pain occurs in up to two-thirds and may precede weakness, especially in children.</w:t>
            </w:r>
          </w:p>
        </w:tc>
      </w:tr>
      <w:tr>
        <w:trPr>
          <w:cantSplit/>
        </w:trPr>
        <w:tc>
          <w:tcPr>
            <w:tcW w:type="dxa" w:w="2304"/>
            <w:vAlign w:val="top"/>
          </w:tcPr>
          <w:p>
            <w:pPr>
              <w:spacing w:after="40" w:before="0" w:line="259" w:lineRule="auto"/>
            </w:pPr>
            <w:r>
              <w:rPr>
                <w:rFonts w:ascii="Calibri" w:hAnsi="Calibri"/>
                <w:b/>
                <w:i w:val="0"/>
                <w:color w:val="212121"/>
                <w:sz w:val="19"/>
              </w:rPr>
              <w:t>Marked fatigue / generalised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Profound tiredness during the illness that persists as a long-term sequela in most survivors.</w:t>
            </w:r>
          </w:p>
        </w:tc>
      </w:tr>
      <w:tr>
        <w:trPr>
          <w:cantSplit/>
        </w:trPr>
        <w:tc>
          <w:tcPr>
            <w:tcW w:type="dxa" w:w="2304"/>
            <w:vAlign w:val="top"/>
          </w:tcPr>
          <w:p>
            <w:pPr>
              <w:spacing w:after="40" w:before="0" w:line="259" w:lineRule="auto"/>
            </w:pPr>
            <w:r>
              <w:rPr>
                <w:rFonts w:ascii="Calibri" w:hAnsi="Calibri"/>
                <w:b/>
                <w:i w:val="0"/>
                <w:color w:val="212121"/>
                <w:sz w:val="19"/>
              </w:rPr>
              <w:t>Facial weakness (trouble closing eyes, drooping)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Bilateral (facial diplegia) weakness is a common cranial-nerve feature.</w:t>
            </w:r>
          </w:p>
        </w:tc>
      </w:tr>
      <w:tr>
        <w:trPr>
          <w:cantSplit/>
        </w:trPr>
        <w:tc>
          <w:tcPr>
            <w:tcW w:type="dxa" w:w="2304"/>
            <w:vAlign w:val="top"/>
          </w:tcPr>
          <w:p>
            <w:pPr>
              <w:spacing w:after="40" w:before="0" w:line="259" w:lineRule="auto"/>
            </w:pPr>
            <w:r>
              <w:rPr>
                <w:rFonts w:ascii="Calibri" w:hAnsi="Calibri"/>
                <w:b/>
                <w:i w:val="0"/>
                <w:color w:val="212121"/>
                <w:sz w:val="19"/>
              </w:rPr>
              <w:t>Difficulty swallowing or speaking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Bulbar involvement causing dysphagia/dysarthria; raises aspiration risk.</w:t>
            </w:r>
          </w:p>
        </w:tc>
      </w:tr>
      <w:tr>
        <w:trPr>
          <w:cantSplit/>
        </w:trPr>
        <w:tc>
          <w:tcPr>
            <w:tcW w:type="dxa" w:w="2304"/>
            <w:vAlign w:val="top"/>
          </w:tcPr>
          <w:p>
            <w:pPr>
              <w:spacing w:after="40" w:before="0" w:line="259" w:lineRule="auto"/>
            </w:pPr>
            <w:r>
              <w:rPr>
                <w:rFonts w:ascii="Calibri" w:hAnsi="Calibri"/>
                <w:b/>
                <w:i w:val="0"/>
                <w:color w:val="212121"/>
                <w:sz w:val="19"/>
              </w:rPr>
              <w:t>Double vision or drooping eyelids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Ophthalmoplegia and ptosis, prominent in the Miller Fisher variant.</w:t>
            </w:r>
          </w:p>
        </w:tc>
      </w:tr>
      <w:tr>
        <w:trPr>
          <w:cantSplit/>
        </w:trPr>
        <w:tc>
          <w:tcPr>
            <w:tcW w:type="dxa" w:w="2304"/>
            <w:vAlign w:val="top"/>
          </w:tcPr>
          <w:p>
            <w:pPr>
              <w:spacing w:after="40" w:before="0" w:line="259" w:lineRule="auto"/>
            </w:pPr>
            <w:r>
              <w:rPr>
                <w:rFonts w:ascii="Calibri" w:hAnsi="Calibri"/>
                <w:b/>
                <w:i w:val="0"/>
                <w:color w:val="212121"/>
                <w:sz w:val="19"/>
              </w:rPr>
              <w:t>Breathlessness, weak cough, difficulty lying flat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Respiratory-muscle weakness; roughly 20-30% of patients require mechanical ventilation.</w:t>
            </w:r>
          </w:p>
        </w:tc>
      </w:tr>
      <w:tr>
        <w:trPr>
          <w:cantSplit/>
        </w:trPr>
        <w:tc>
          <w:tcPr>
            <w:tcW w:type="dxa" w:w="2304"/>
            <w:vAlign w:val="top"/>
          </w:tcPr>
          <w:p>
            <w:pPr>
              <w:spacing w:after="40" w:before="0" w:line="259" w:lineRule="auto"/>
            </w:pPr>
            <w:r>
              <w:rPr>
                <w:rFonts w:ascii="Calibri" w:hAnsi="Calibri"/>
                <w:b/>
                <w:i w:val="0"/>
                <w:color w:val="212121"/>
                <w:sz w:val="19"/>
              </w:rPr>
              <w:t>Palpitations, dizziness, blood-pressure swings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Autonomic dysfunction (dysautonomia), a potentially life-threatening feature.</w:t>
            </w:r>
          </w:p>
        </w:tc>
      </w:tr>
      <w:tr>
        <w:trPr>
          <w:cantSplit/>
        </w:trPr>
        <w:tc>
          <w:tcPr>
            <w:tcW w:type="dxa" w:w="2304"/>
            <w:vAlign w:val="top"/>
          </w:tcPr>
          <w:p>
            <w:pPr>
              <w:spacing w:after="40" w:before="0" w:line="259" w:lineRule="auto"/>
            </w:pPr>
            <w:r>
              <w:rPr>
                <w:rFonts w:ascii="Calibri" w:hAnsi="Calibri"/>
                <w:b/>
                <w:i w:val="0"/>
                <w:color w:val="212121"/>
                <w:sz w:val="19"/>
              </w:rPr>
              <w:t>Difficulty with fine hand tasks (buttoning, writing)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Distal weakness and sensory impairment impair dexterity.</w:t>
            </w:r>
          </w:p>
        </w:tc>
      </w:tr>
      <w:tr>
        <w:trPr>
          <w:cantSplit/>
        </w:trPr>
        <w:tc>
          <w:tcPr>
            <w:tcW w:type="dxa" w:w="2304"/>
            <w:vAlign w:val="top"/>
          </w:tcPr>
          <w:p>
            <w:pPr>
              <w:spacing w:after="40" w:before="0" w:line="259" w:lineRule="auto"/>
            </w:pPr>
            <w:r>
              <w:rPr>
                <w:rFonts w:ascii="Calibri" w:hAnsi="Calibri"/>
                <w:b/>
                <w:i w:val="0"/>
                <w:color w:val="212121"/>
                <w:sz w:val="19"/>
              </w:rPr>
              <w:t>Urinary retention or constipation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Autonomic/ileus effects; bladder dysfunction at onset is atypical and should prompt reconsideration of the diagnosis.</w:t>
            </w:r>
          </w:p>
        </w:tc>
      </w:tr>
      <w:tr>
        <w:trPr>
          <w:cantSplit/>
        </w:trPr>
        <w:tc>
          <w:tcPr>
            <w:tcW w:type="dxa" w:w="2304"/>
            <w:vAlign w:val="top"/>
          </w:tcPr>
          <w:p>
            <w:pPr>
              <w:spacing w:after="40" w:before="0" w:line="259" w:lineRule="auto"/>
            </w:pPr>
            <w:r>
              <w:rPr>
                <w:rFonts w:ascii="Calibri" w:hAnsi="Calibri"/>
                <w:b/>
                <w:i w:val="0"/>
                <w:color w:val="212121"/>
                <w:sz w:val="19"/>
              </w:rPr>
              <w:t>Coordination problems / ataxia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Sensory ataxia; a defining feature of Miller Fisher syndrome.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Symmetric flaccid limb weakness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power, typically legs more than arms early, ascending over days.</w:t>
            </w:r>
          </w:p>
        </w:tc>
      </w:tr>
      <w:tr>
        <w:trPr>
          <w:cantSplit/>
        </w:trPr>
        <w:tc>
          <w:tcPr>
            <w:tcW w:type="dxa" w:w="3456"/>
            <w:vAlign w:val="top"/>
          </w:tcPr>
          <w:p>
            <w:pPr>
              <w:spacing w:after="40" w:before="0" w:line="259" w:lineRule="auto"/>
            </w:pPr>
            <w:r>
              <w:rPr>
                <w:rFonts w:ascii="Calibri" w:hAnsi="Calibri"/>
                <w:b/>
                <w:i w:val="0"/>
                <w:color w:val="212121"/>
                <w:sz w:val="19"/>
              </w:rPr>
              <w:t>Areflexia or hyporeflexia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Absent or diminished deep tendon reflexes in weak limbs - a required diagnostic feature.</w:t>
            </w:r>
          </w:p>
        </w:tc>
      </w:tr>
      <w:tr>
        <w:trPr>
          <w:cantSplit/>
        </w:trPr>
        <w:tc>
          <w:tcPr>
            <w:tcW w:type="dxa" w:w="3456"/>
            <w:vAlign w:val="top"/>
          </w:tcPr>
          <w:p>
            <w:pPr>
              <w:spacing w:after="40" w:before="0" w:line="259" w:lineRule="auto"/>
            </w:pPr>
            <w:r>
              <w:rPr>
                <w:rFonts w:ascii="Calibri" w:hAnsi="Calibri"/>
                <w:b/>
                <w:i w:val="0"/>
                <w:color w:val="212121"/>
                <w:sz w:val="19"/>
              </w:rPr>
              <w:t>Glove-and-stocking sensory loss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Distal reduction of pinprick, vibration and proprioception in sensorimotor forms.</w:t>
            </w:r>
          </w:p>
        </w:tc>
      </w:tr>
      <w:tr>
        <w:trPr>
          <w:cantSplit/>
        </w:trPr>
        <w:tc>
          <w:tcPr>
            <w:tcW w:type="dxa" w:w="3456"/>
            <w:vAlign w:val="top"/>
          </w:tcPr>
          <w:p>
            <w:pPr>
              <w:spacing w:after="40" w:before="0" w:line="259" w:lineRule="auto"/>
            </w:pPr>
            <w:r>
              <w:rPr>
                <w:rFonts w:ascii="Calibri" w:hAnsi="Calibri"/>
                <w:b/>
                <w:i w:val="0"/>
                <w:color w:val="212121"/>
                <w:sz w:val="19"/>
              </w:rPr>
              <w:t>Bilateral lower-motor-neuron facial weakness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Facial diplegia with incomplete eye closure and loss of the nasolabial fold.</w:t>
            </w:r>
          </w:p>
        </w:tc>
      </w:tr>
      <w:tr>
        <w:trPr>
          <w:cantSplit/>
        </w:trPr>
        <w:tc>
          <w:tcPr>
            <w:tcW w:type="dxa" w:w="3456"/>
            <w:vAlign w:val="top"/>
          </w:tcPr>
          <w:p>
            <w:pPr>
              <w:spacing w:after="40" w:before="0" w:line="259" w:lineRule="auto"/>
            </w:pPr>
            <w:r>
              <w:rPr>
                <w:rFonts w:ascii="Calibri" w:hAnsi="Calibri"/>
                <w:b/>
                <w:i w:val="0"/>
                <w:color w:val="212121"/>
                <w:sz w:val="19"/>
              </w:rPr>
              <w:t>Reduced FVC, weak cough, paradoxical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Bedside signs of neuromuscular respiratory compromise in severe disease.</w:t>
            </w:r>
          </w:p>
        </w:tc>
      </w:tr>
      <w:tr>
        <w:trPr>
          <w:cantSplit/>
        </w:trPr>
        <w:tc>
          <w:tcPr>
            <w:tcW w:type="dxa" w:w="3456"/>
            <w:vAlign w:val="top"/>
          </w:tcPr>
          <w:p>
            <w:pPr>
              <w:spacing w:after="40" w:before="0" w:line="259" w:lineRule="auto"/>
            </w:pPr>
            <w:r>
              <w:rPr>
                <w:rFonts w:ascii="Calibri" w:hAnsi="Calibri"/>
                <w:b/>
                <w:i w:val="0"/>
                <w:color w:val="212121"/>
                <w:sz w:val="19"/>
              </w:rPr>
              <w:t>Autonomic instability (labile BP, tachy-/bradycardia, ileus, retention)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Dysautonomia is a leading cause of GBS mortality and mandates cardiac monitoring.</w:t>
            </w:r>
          </w:p>
        </w:tc>
      </w:tr>
      <w:tr>
        <w:trPr>
          <w:cantSplit/>
        </w:trPr>
        <w:tc>
          <w:tcPr>
            <w:tcW w:type="dxa" w:w="3456"/>
            <w:vAlign w:val="top"/>
          </w:tcPr>
          <w:p>
            <w:pPr>
              <w:spacing w:after="40" w:before="0" w:line="259" w:lineRule="auto"/>
            </w:pPr>
            <w:r>
              <w:rPr>
                <w:rFonts w:ascii="Calibri" w:hAnsi="Calibri"/>
                <w:b/>
                <w:i w:val="0"/>
                <w:color w:val="212121"/>
                <w:sz w:val="19"/>
              </w:rPr>
              <w:t>Bulbar palsy (impaired gag, pooled secretions, nasal speech)</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Signals aspiration risk and possible need for airway protection.</w:t>
            </w:r>
          </w:p>
        </w:tc>
      </w:tr>
      <w:tr>
        <w:trPr>
          <w:cantSplit/>
        </w:trPr>
        <w:tc>
          <w:tcPr>
            <w:tcW w:type="dxa" w:w="3456"/>
            <w:vAlign w:val="top"/>
          </w:tcPr>
          <w:p>
            <w:pPr>
              <w:spacing w:after="40" w:before="0" w:line="259" w:lineRule="auto"/>
            </w:pPr>
            <w:r>
              <w:rPr>
                <w:rFonts w:ascii="Calibri" w:hAnsi="Calibri"/>
                <w:b/>
                <w:i w:val="0"/>
                <w:color w:val="212121"/>
                <w:sz w:val="19"/>
              </w:rPr>
              <w:t>Positive nerve-root stretch signs (e.g., straight-leg raise)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Reflect radicular involvement and correlate with prominent pain.</w:t>
            </w:r>
          </w:p>
        </w:tc>
      </w:tr>
      <w:tr>
        <w:trPr>
          <w:cantSplit/>
        </w:trPr>
        <w:tc>
          <w:tcPr>
            <w:tcW w:type="dxa" w:w="3456"/>
            <w:vAlign w:val="top"/>
          </w:tcPr>
          <w:p>
            <w:pPr>
              <w:spacing w:after="40" w:before="0" w:line="259" w:lineRule="auto"/>
            </w:pPr>
            <w:r>
              <w:rPr>
                <w:rFonts w:ascii="Calibri" w:hAnsi="Calibri"/>
                <w:b/>
                <w:i w:val="0"/>
                <w:color w:val="212121"/>
                <w:sz w:val="19"/>
              </w:rPr>
              <w:t>Sensory ataxia / positive Romberg with relatively preserved power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Large-fibre sensory involvement, seen in ataxic and sensory variants.</w:t>
            </w:r>
          </w:p>
        </w:tc>
      </w:tr>
      <w:tr>
        <w:trPr>
          <w:cantSplit/>
        </w:trPr>
        <w:tc>
          <w:tcPr>
            <w:tcW w:type="dxa" w:w="3456"/>
            <w:vAlign w:val="top"/>
          </w:tcPr>
          <w:p>
            <w:pPr>
              <w:spacing w:after="40" w:before="0" w:line="259" w:lineRule="auto"/>
            </w:pPr>
            <w:r>
              <w:rPr>
                <w:rFonts w:ascii="Calibri" w:hAnsi="Calibri"/>
                <w:b/>
                <w:i w:val="0"/>
                <w:color w:val="212121"/>
                <w:sz w:val="19"/>
              </w:rPr>
              <w:t>Ophthalmoplegia with ataxia and areflexia (Miller Fisher triad)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Characteristic of MFS; usually anti-GQ1b antibody positive.</w:t>
            </w:r>
          </w:p>
        </w:tc>
      </w:tr>
      <w:tr>
        <w:trPr>
          <w:cantSplit/>
        </w:trPr>
        <w:tc>
          <w:tcPr>
            <w:tcW w:type="dxa" w:w="3456"/>
            <w:vAlign w:val="top"/>
          </w:tcPr>
          <w:p>
            <w:pPr>
              <w:spacing w:after="40" w:before="0" w:line="259" w:lineRule="auto"/>
            </w:pPr>
            <w:r>
              <w:rPr>
                <w:rFonts w:ascii="Calibri" w:hAnsi="Calibri"/>
                <w:b/>
                <w:i w:val="0"/>
                <w:color w:val="212121"/>
                <w:sz w:val="19"/>
              </w:rPr>
              <w:t>Flexor or absent plantar responses (no upper-motor-neuron signs)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Extensor plantars or a sensory level argue against GBS and suggest a central mimic.</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Neuromuscular respiratory failure requiring mechanical ventilation (~20-30% of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Autonomic dysfunction - life-threatening arrhythmias, labile blood pressure, cardiac arrest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 weakness with dysphagia and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Rapidly progressive quadriparesis with near-complete paralysis</w:t>
            </w:r>
          </w:p>
        </w:tc>
        <w:tc>
          <w:tcPr>
            <w:tcW w:type="dxa" w:w="2980"/>
            <w:vAlign w:val="top"/>
          </w:tcPr>
          <w:p>
            <w:pPr>
              <w:spacing w:after="40" w:before="0" w:line="259" w:lineRule="auto"/>
            </w:pPr>
            <w:r>
              <w:rPr>
                <w:rFonts w:ascii="Calibri" w:hAnsi="Calibri"/>
                <w:b w:val="0"/>
                <w:i w:val="0"/>
                <w:color w:val="212121"/>
                <w:sz w:val="19"/>
              </w:rPr>
              <w:t>Direct, acute consequences of peripheral-nerve and autonomic failure - the cause of most early GBS deaths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and other hospital-acquired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(DVT / pulmonary 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Pressure sores and compression (pressure) nerve palsies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SIADH with hyponatraemia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Paralytic ileus and urinary retention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Muscle wasting, deconditioning and joint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Corneal exposure and ulceration from facial weakness</w:t>
            </w:r>
          </w:p>
        </w:tc>
        <w:tc>
          <w:tcPr>
            <w:tcW w:type="dxa" w:w="2980"/>
            <w:vAlign w:val="top"/>
          </w:tcPr>
          <w:p>
            <w:pPr>
              <w:spacing w:after="40" w:before="0" w:line="259" w:lineRule="auto"/>
            </w:pPr>
            <w:r>
              <w:rPr>
                <w:rFonts w:ascii="Calibri" w:hAnsi="Calibri"/>
                <w:b w:val="0"/>
                <w:i w:val="0"/>
                <w:color w:val="212121"/>
                <w:sz w:val="19"/>
              </w:rPr>
              <w:t>Complications of prolonged paralysis, immobility and intensive care rather than of the nerve injury itself</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Residual motor weakness and long-term disability (a substantial minority cannot walk unaided at 6 months)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disabling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Treatment-related fluctuations or evolution to acute-onset CIDP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Psychological sequelae - anxiety, depression, post-traumatic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(about 3-7% overall, and up to ~20% of ventilated patients)</w:t>
            </w:r>
          </w:p>
        </w:tc>
        <w:tc>
          <w:tcPr>
            <w:tcW w:type="dxa" w:w="2980"/>
            <w:vAlign w:val="top"/>
          </w:tcPr>
          <w:p>
            <w:pPr>
              <w:spacing w:after="40" w:before="0" w:line="259" w:lineRule="auto"/>
            </w:pPr>
            <w:r>
              <w:rPr>
                <w:rFonts w:ascii="Calibri" w:hAnsi="Calibri"/>
                <w:b w:val="0"/>
                <w:i w:val="0"/>
                <w:color w:val="212121"/>
                <w:sz w:val="19"/>
              </w:rPr>
              <w:t>Long-term or irreversible outcomes, most frequent after severe or axonal disease and in older or comorbid patients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Campylobacter jejuni enteritis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commonly identified antecedent infection; via molecular mimicry it drives the axonal (AMAN) subtype and anti-GM1/GD1a antibodies, and predicts more severe disease.</w:t>
            </w:r>
          </w:p>
        </w:tc>
      </w:tr>
      <w:tr>
        <w:trPr>
          <w:cantSplit/>
        </w:trPr>
        <w:tc>
          <w:tcPr>
            <w:tcW w:type="dxa" w:w="2232"/>
            <w:vAlign w:val="top"/>
          </w:tcPr>
          <w:p>
            <w:pPr>
              <w:spacing w:after="40" w:before="0" w:line="259" w:lineRule="auto"/>
            </w:pPr>
            <w:r>
              <w:rPr>
                <w:rFonts w:ascii="Calibri" w:hAnsi="Calibri"/>
                <w:b/>
                <w:i w:val="0"/>
                <w:color w:val="212121"/>
                <w:sz w:val="19"/>
              </w:rPr>
              <w:t>Chikungunya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leading India-specific trigger; NIMHANS data identified chikungunya as the most common preceding infection, and GBS admissions track chikungunya outbreaks.</w:t>
            </w:r>
          </w:p>
        </w:tc>
      </w:tr>
      <w:tr>
        <w:trPr>
          <w:cantSplit/>
        </w:trPr>
        <w:tc>
          <w:tcPr>
            <w:tcW w:type="dxa" w:w="2232"/>
            <w:vAlign w:val="top"/>
          </w:tcPr>
          <w:p>
            <w:pPr>
              <w:spacing w:after="40" w:before="0" w:line="259" w:lineRule="auto"/>
            </w:pPr>
            <w:r>
              <w:rPr>
                <w:rFonts w:ascii="Calibri" w:hAnsi="Calibri"/>
                <w:b/>
                <w:i w:val="0"/>
                <w:color w:val="212121"/>
                <w:sz w:val="19"/>
              </w:rPr>
              <w:t>Dengue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common arboviral precipitant in India, sometimes causing post-infectious GBS after the febrile phase.</w:t>
            </w:r>
          </w:p>
        </w:tc>
      </w:tr>
      <w:tr>
        <w:trPr>
          <w:cantSplit/>
        </w:trPr>
        <w:tc>
          <w:tcPr>
            <w:tcW w:type="dxa" w:w="2232"/>
            <w:vAlign w:val="top"/>
          </w:tcPr>
          <w:p>
            <w:pPr>
              <w:spacing w:after="40" w:before="0" w:line="259" w:lineRule="auto"/>
            </w:pPr>
            <w:r>
              <w:rPr>
                <w:rFonts w:ascii="Calibri" w:hAnsi="Calibri"/>
                <w:b/>
                <w:i w:val="0"/>
                <w:color w:val="212121"/>
                <w:sz w:val="19"/>
              </w:rPr>
              <w:t>COVID-19 (SARS-CoV-2)</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recognised post-infectious trigger; Indian ambispective cohorts studied GBS temporally linked to COVID-19, which also complicates in-hospital management.</w:t>
            </w:r>
          </w:p>
        </w:tc>
      </w:tr>
      <w:tr>
        <w:trPr>
          <w:cantSplit/>
        </w:trPr>
        <w:tc>
          <w:tcPr>
            <w:tcW w:type="dxa" w:w="2232"/>
            <w:vAlign w:val="top"/>
          </w:tcPr>
          <w:p>
            <w:pPr>
              <w:spacing w:after="40" w:before="0" w:line="259" w:lineRule="auto"/>
            </w:pPr>
            <w:r>
              <w:rPr>
                <w:rFonts w:ascii="Calibri" w:hAnsi="Calibri"/>
                <w:b/>
                <w:i w:val="0"/>
                <w:color w:val="212121"/>
                <w:sz w:val="19"/>
              </w:rPr>
              <w:t>Hepatitis E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An increasingly recognised GBS trigger in South Asia, where hepatitis E is endemic.</w:t>
            </w:r>
          </w:p>
        </w:tc>
      </w:tr>
      <w:tr>
        <w:trPr>
          <w:cantSplit/>
        </w:trPr>
        <w:tc>
          <w:tcPr>
            <w:tcW w:type="dxa" w:w="2232"/>
            <w:vAlign w:val="top"/>
          </w:tcPr>
          <w:p>
            <w:pPr>
              <w:spacing w:after="40" w:before="0" w:line="259" w:lineRule="auto"/>
            </w:pPr>
            <w:r>
              <w:rPr>
                <w:rFonts w:ascii="Calibri" w:hAnsi="Calibri"/>
                <w:b/>
                <w:i w:val="0"/>
                <w:color w:val="212121"/>
                <w:sz w:val="19"/>
              </w:rPr>
              <w:t>Cytomegalovirus / Epstein-Barr virus</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CMV is classically linked to severe, sensory-predominant GBS with cranial-nerve involvement; EBV is another viral precipitant.</w:t>
            </w:r>
          </w:p>
        </w:tc>
      </w:tr>
      <w:tr>
        <w:trPr>
          <w:cantSplit/>
        </w:trPr>
        <w:tc>
          <w:tcPr>
            <w:tcW w:type="dxa" w:w="2232"/>
            <w:vAlign w:val="top"/>
          </w:tcPr>
          <w:p>
            <w:pPr>
              <w:spacing w:after="40" w:before="0" w:line="259" w:lineRule="auto"/>
            </w:pPr>
            <w:r>
              <w:rPr>
                <w:rFonts w:ascii="Calibri" w:hAnsi="Calibri"/>
                <w:b/>
                <w:i w:val="0"/>
                <w:color w:val="212121"/>
                <w:sz w:val="19"/>
              </w:rPr>
              <w:t>Mycoplasma pneumoniae infection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A respiratory trigger, particularly in children, typically preceding the demyelinating (AIDP) subtype.</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Can precipitate GBS around seroconversion; its presence alters immunotherapy choices and overall management.</w:t>
            </w:r>
          </w:p>
        </w:tc>
      </w:tr>
      <w:tr>
        <w:trPr>
          <w:cantSplit/>
        </w:trPr>
        <w:tc>
          <w:tcPr>
            <w:tcW w:type="dxa" w:w="2232"/>
            <w:vAlign w:val="top"/>
          </w:tcPr>
          <w:p>
            <w:pPr>
              <w:spacing w:after="40" w:before="0" w:line="259" w:lineRule="auto"/>
            </w:pPr>
            <w:r>
              <w:rPr>
                <w:rFonts w:ascii="Calibri" w:hAnsi="Calibri"/>
                <w:b/>
                <w:i w:val="0"/>
                <w:color w:val="212121"/>
                <w:sz w:val="19"/>
              </w:rPr>
              <w:t>Autonomic dysfunction (dysautonomia)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Develops as a direct consequence of GBS and is a leading cause of death; mandates continuous cardiac monitoring and cautious drug use.</w:t>
            </w:r>
          </w:p>
        </w:tc>
      </w:tr>
      <w:tr>
        <w:trPr>
          <w:cantSplit/>
        </w:trPr>
        <w:tc>
          <w:tcPr>
            <w:tcW w:type="dxa" w:w="2232"/>
            <w:vAlign w:val="top"/>
          </w:tcPr>
          <w:p>
            <w:pPr>
              <w:spacing w:after="40" w:before="0" w:line="259" w:lineRule="auto"/>
            </w:pPr>
            <w:r>
              <w:rPr>
                <w:rFonts w:ascii="Calibri" w:hAnsi="Calibri"/>
                <w:b/>
                <w:i w:val="0"/>
                <w:color w:val="212121"/>
                <w:sz w:val="19"/>
              </w:rPr>
              <w:t>Aspiration pneumonia / respiratory failure</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Arises from bulbar and respiratory-muscle weakness; a principal driver of ICU admission, ventilation and mortality.</w:t>
            </w:r>
          </w:p>
        </w:tc>
      </w:tr>
      <w:tr>
        <w:trPr>
          <w:cantSplit/>
        </w:trPr>
        <w:tc>
          <w:tcPr>
            <w:tcW w:type="dxa" w:w="2232"/>
            <w:vAlign w:val="top"/>
          </w:tcPr>
          <w:p>
            <w:pPr>
              <w:spacing w:after="40" w:before="0" w:line="259" w:lineRule="auto"/>
            </w:pPr>
            <w:r>
              <w:rPr>
                <w:rFonts w:ascii="Calibri" w:hAnsi="Calibri"/>
                <w:b/>
                <w:i w:val="0"/>
                <w:color w:val="212121"/>
                <w:sz w:val="19"/>
              </w:rPr>
              <w:t>Chronic inflammatory demyelinating polyradiculoneuropathy (CIDP)</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Acute-onset CIDP can mimic GBS at presentation; treatment-related fluctuations and a progressive course after 8 weeks reclassify the illness and change long-term therapy.</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 psychological sequelae of sudden paralysis, ICU stay and pain; they impair engagement in rehabilitation and interact bidirectionally with recovery.</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GBS usually follows an infection (diarrhoea, a flu-like illness, or an arboviral fever such as chikungunya or dengue) by about 1-6 weeks; it is generally neither inherited nor contagious.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urgent medical care for rapidly spreading weakness, tingling ascending from the feet, unsteadiness, facial droop, or difficulty swallowing or breathing - early treatment shortens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of breathing involvement (breathlessness, weak cough, difficulty lying flat) and go to hospital immediately if they appear.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community outbreaks, follow public-health advice: boil or filter drinking water, report diarrhoeal illness, and avoid suspected contaminated water 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 reassured that most patients improve substantially with timely immunotherapy (IVIG or plasma exchange) plus supportive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public</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Outbreak-area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Post-infectious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Primary-care and frontline health workers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Cook poultry, meat and eggs thoroughly (poultry to a core temperature of &gt;= 74 C / 165 F) - the main way to avoid Campylobacter jejuni, the commonest GBS trigger.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or unpasteurised milk, undercooked eggs and unhygienic street food, especially during outbreaks.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cross-contamination: keep raw meat separate from ready-to-eat food and wash hands, boards and knives after handling raw poultry.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fruits and vegetables in safe water; be cautious with ice and salads of uncertain hygiene when eating out.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Food handlers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Outbreak-area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recent diarrhoeal illness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Begin supervised, graded physiotherapy and occupational therapy as soon as the patient is medically stable, to rebuild strength, balance and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passive range-of-motion exercises and splinting early to prevent joint contractures and pressure injuries during the paralytic phase.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 gradually and avoid overexertion - fatigue is prominent, so balance activity with rest to prevent setbacks.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respiratory physiotherapy and later aerobic reconditioning; refer for structured multidisciplinary neuro-rehabilitation when deficits persist.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Prevent venous thromboembolism through early mobilisation, correct positioning and prophylaxis while the patient is immobile.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GBS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Immobile or ventilated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residual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slow recovery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calorie and protein nutrition - via safe enteral feeding if the patient is dysphagic or ventilated - to counter catabolism and support nerve and muscle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Assess swallowing safety before resuming oral feeding to reduce aspiration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constipation and ileus with fibre, fluids and stool softeners, monitoring for autonomic gut involvement.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Hospitalised GBS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bulbar/dysphagic weakness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Ventilated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Protect sleep and re-establish a day-night rhythm in the ICU/ward (control noise and light, provide orientation).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neuropathic pain adequately (for example with gabapentinoids) so it does not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persistent post-GBS fatigue with paced activity, good sleep hygiene and graded exercise.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 hospitalised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neuropathic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with chronic fatigue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lowers respiratory reserve exactly when GBS threatens the muscles of breathing, and it impairs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smoking around recovering patients, and support cessation through the long rehabilitation period.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Smokers with GBS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Recovering survivors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heavy alcohol use, which can cause a separate nutritional/toxic neuropathy that confuses the clinical picture and slows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Abstain from alcohol while taking multiple medications and during active rehabilitation.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GBS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in rehabilitation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and counselling early - sudden paralysis, ICU admission and pain commonly cause anxiety, depression and post-traumatic 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survivors for mood and anxiety disorders and treat them; connect patients with peer-support and patient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Reassure patients and families that most people recover substantially, which lowers distress and improves engagement in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caregivers, who face significant strain during a prolonged and frightening illness.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ICU / ventilated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with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 pain or fatigue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Family members and caregivers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31309800/" TargetMode="External"/><Relationship Id="rId10" Type="http://schemas.openxmlformats.org/officeDocument/2006/relationships/hyperlink" Target="https://www.ncbi.nlm.nih.gov/books/NBK532254/" TargetMode="External"/><Relationship Id="rId11" Type="http://schemas.openxmlformats.org/officeDocument/2006/relationships/hyperlink" Target="https://www.scirp.org/journal/paperinformation?paperid=28570" TargetMode="External"/><Relationship Id="rId12" Type="http://schemas.openxmlformats.org/officeDocument/2006/relationships/hyperlink" Target="https://www.nature.com/articles/d44151-025-00040-2" TargetMode="External"/><Relationship Id="rId13" Type="http://schemas.openxmlformats.org/officeDocument/2006/relationships/hyperlink" Target="https://link.springer.com/article/10.1186/s12883-022-02676-4" TargetMode="External"/><Relationship Id="rId14" Type="http://schemas.openxmlformats.org/officeDocument/2006/relationships/hyperlink" Target="https://www.deccanherald.com/india/maharashtra/3-more-suspected-cases-of-nerve-disorder-gbs-detected-in-maharashtra-tally-rises-to-130-3381298" TargetMode="External"/><Relationship Id="rId15" Type="http://schemas.openxmlformats.org/officeDocument/2006/relationships/hyperlink" Target="https://www.gavi.org/vaccineswork/cases-infection-linked-paralysis-syndrome-have-spiked-india-year-whats-story" TargetMode="External"/><Relationship Id="rId16" Type="http://schemas.openxmlformats.org/officeDocument/2006/relationships/hyperlink" Target="https://pubmed.ncbi.nlm.nih.gov/2445638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