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b/>
          <w:i w:val="0"/>
          <w:color w:val="2B2B33"/>
          <w:sz w:val="44"/>
        </w:rPr>
        <w:t>Sjögren's Syndrome</w:t>
      </w:r>
    </w:p>
    <w:p>
      <w:pPr>
        <w:spacing w:before="0" w:after="160"/>
      </w:pPr>
      <w:r>
        <w:rPr>
          <w:rFonts w:ascii="Calibri" w:hAnsi="Calibri"/>
          <w:b/>
          <w:i w:val="0"/>
          <w:color w:val="212121"/>
          <w:sz w:val="22"/>
        </w:rPr>
        <w:t xml:space="preserve">AKA </w:t>
      </w:r>
      <w:r>
        <w:rPr>
          <w:rFonts w:ascii="Calibri" w:hAnsi="Calibri"/>
          <w:b w:val="0"/>
          <w:i w:val="0"/>
          <w:color w:val="212121"/>
          <w:sz w:val="22"/>
        </w:rPr>
        <w:t>i.e., Sjögren's disease, Sicca syndrome, Autoimmune epithelitis, Sjögren syndrome (SS)</w:t>
      </w:r>
    </w:p>
    <w:p>
      <w:pPr>
        <w:spacing w:before="280" w:after="120"/>
      </w:pPr>
      <w:r>
        <w:rPr>
          <w:rFonts w:ascii="Calibri" w:hAnsi="Calibri"/>
          <w:b/>
          <w:i w:val="0"/>
          <w:color w:val="212121"/>
          <w:sz w:val="31"/>
        </w:rPr>
        <w:t>Introduction to MCP</w:t>
      </w:r>
    </w:p>
    <w:p>
      <w:pPr>
        <w:spacing w:before="200" w:after="120"/>
      </w:pPr>
      <w:r>
        <w:rPr>
          <w:rFonts w:ascii="Calibri" w:hAnsi="Calibri"/>
          <w:b/>
          <w:i w:val="0"/>
          <w:color w:val="212121"/>
          <w:sz w:val="25"/>
        </w:rPr>
        <w:t>Definition</w:t>
      </w:r>
    </w:p>
    <w:p>
      <w:pPr>
        <w:spacing w:before="0" w:after="120"/>
      </w:pPr>
      <w:r>
        <w:rPr>
          <w:rFonts w:ascii="Calibri" w:hAnsi="Calibri"/>
          <w:b w:val="0"/>
          <w:i w:val="0"/>
          <w:color w:val="212121"/>
          <w:sz w:val="21"/>
        </w:rPr>
        <w:t>Sjögren's syndrome is a chronic systemic autoimmune disease in which lymphocytes infiltrate and progressively destroy the moisture-producing exocrine glands — chiefly the salivary and lacrimal glands — producing the hallmark dryness of the mouth (xerostomia) and eyes (keratoconjunctivitis sicca). It may occur on its own (primary Sjögren's syndrome) or alongside another autoimmune disorder such as rheumatoid arthritis, lupus or scleroderma (secondary/associated Sjögren's syndrome). Although dryness dominates the picture, it is a systemic disease that can involve the joints, skin, lungs, kidneys, nerves and blood, and it is driven by B- and T-cell responses to the Ro/SSA and La/SSB autoantigens. Longstanding disease carries a distinctly increased lifetime risk of B-cell non-Hodgkin lymphoma.</w:t>
      </w:r>
    </w:p>
    <w:p>
      <w:pPr>
        <w:spacing w:before="200" w:after="120"/>
      </w:pPr>
      <w:r>
        <w:rPr>
          <w:rFonts w:ascii="Calibri" w:hAnsi="Calibri"/>
          <w:b/>
          <w:i w:val="0"/>
          <w:color w:val="212121"/>
          <w:sz w:val="25"/>
        </w:rPr>
        <w:t>Prevalence</w:t>
      </w:r>
    </w:p>
    <w:p>
      <w:pPr>
        <w:spacing w:before="0" w:after="120"/>
      </w:pPr>
      <w:r>
        <w:rPr>
          <w:rFonts w:ascii="Calibri" w:hAnsi="Calibri"/>
          <w:b w:val="0"/>
          <w:i w:val="0"/>
          <w:color w:val="212121"/>
          <w:sz w:val="21"/>
        </w:rPr>
        <w:t>In India, primary Sjögren's syndrome was long labelled a rarity, but this largely reflected under-recognition rather than true absence, and case numbers have risen as clinics adopt modern classification criteria. Global systematic-review estimates place the prevalence at roughly 43–61 cases per 100,000 people and the incidence near 7 per 100,000 person-years, with figures around 0.4% quoted in some Western populations depending on the criteria used. The disease is overwhelmingly female (female-to-male ratio about 9–13:1), and Indian primary Sjögren's cohorts tend to present roughly a decade earlier (early 40s) than the global mean age of about 56 years. Secondary Sjögren's is common, affecting about 5–6% of Indian patients with rheumatoid arthritis and a higher proportion of those with systemic lupus.</w:t>
      </w:r>
    </w:p>
    <w:p>
      <w:pPr>
        <w:spacing w:before="200" w:after="120"/>
      </w:pPr>
      <w:r>
        <w:rPr>
          <w:rFonts w:ascii="Calibri" w:hAnsi="Calibri"/>
          <w:b/>
          <w:i w:val="0"/>
          <w:color w:val="212121"/>
          <w:sz w:val="25"/>
        </w:rPr>
        <w:t>Diagnosis</w:t>
      </w:r>
    </w:p>
    <w:p>
      <w:pPr>
        <w:spacing w:before="0" w:after="120"/>
      </w:pPr>
      <w:r>
        <w:rPr>
          <w:rFonts w:ascii="Calibri" w:hAnsi="Calibri"/>
          <w:b w:val="0"/>
          <w:i w:val="0"/>
          <w:color w:val="212121"/>
          <w:sz w:val="21"/>
        </w:rPr>
        <w:t>There is no single diagnostic test; diagnosis rests on a compatible clinical picture of dryness plus objective evidence of glandular dysfunction, autoantibodies and/or salivary-gland histology. The widely used 2016 ACR/EULAR classification criteria apply to patients with sicca symptoms or systemic features suggestive of Sjögren's, and classify the disease when the weighted score is ≥ 4 after excluding mimics (prior head-and-neck radiation, active hepatitis C, HIV, sarcoidosis, amyloidosis, IgG4-related disease, graft-versus-host disease):</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Labial (minor) salivary-gland biopsy showing focal lymphocytic sialadenitis with a focus score ≥ 1 focus/4 mm² — weight 3;</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anti-SSA/Ro antibody positivity — weight 3;</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ocular staining score ≥ 5 (or van Bijsterveld score ≥ 4) in at least one eye — weight 1;</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Schirmer's test ≤ 5 mm/5 min in at least one eye — weight 1;</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unstimulated whole salivary flow rate ≤ 0.1 mL/min — weight 1;</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a total score ≥ 4 classifies the patient; supportive tests include ANA, rheumatoid factor, raised serum IgG, low complement C4, cryoglobulins and salivary-gland ultrasonography.</w:t>
      </w:r>
    </w:p>
    <w:p>
      <w:pPr>
        <w:spacing w:before="200" w:after="120"/>
      </w:pPr>
      <w:r>
        <w:rPr>
          <w:rFonts w:ascii="Calibri" w:hAnsi="Calibri"/>
          <w:b/>
          <w:i w:val="0"/>
          <w:color w:val="212121"/>
          <w:sz w:val="25"/>
        </w:rPr>
        <w:t>Classification</w:t>
      </w:r>
    </w:p>
    <w:p>
      <w:pPr>
        <w:spacing w:before="0" w:after="120"/>
      </w:pPr>
      <w:r>
        <w:rPr>
          <w:rFonts w:ascii="Calibri" w:hAnsi="Calibri"/>
          <w:b w:val="0"/>
          <w:i w:val="0"/>
          <w:color w:val="212121"/>
          <w:sz w:val="21"/>
        </w:rPr>
        <w:t>Sjögren's syndrome is categorised by whether it occurs in isolation or with another connective-tissue disease, and increasingly by its serological and clinical phenotype, which predicts systemic risk:</w:t>
      </w:r>
    </w:p>
    <w:p>
      <w:pPr>
        <w:spacing w:before="0" w:after="80"/>
      </w:pPr>
      <w:r>
        <w:rPr>
          <w:rFonts w:ascii="Calibri" w:hAnsi="Calibri"/>
          <w:b w:val="0"/>
          <w:i w:val="0"/>
          <w:color w:val="212121"/>
          <w:sz w:val="21"/>
        </w:rPr>
        <w:t>(1) Primary Sjögren's syndrome (pSS) — disease occurring on its own, without another defining autoimmune disorder; it carries the classic anti-Ro/La serology and the highest lymphoma risk.</w:t>
      </w:r>
    </w:p>
    <w:p>
      <w:pPr>
        <w:spacing w:before="0" w:after="80"/>
      </w:pPr>
      <w:r>
        <w:rPr>
          <w:rFonts w:ascii="Calibri" w:hAnsi="Calibri"/>
          <w:b w:val="0"/>
          <w:i w:val="0"/>
          <w:color w:val="212121"/>
          <w:sz w:val="21"/>
        </w:rPr>
        <w:t>(2) Secondary (associated) Sjögren's syndrome (sSS) — sicca disease arising in the context of another autoimmune rheumatic disease, most often rheumatoid arthritis, systemic lupus erythematosus or systemic sclerosis, where the accompanying disease usually dominates the course.</w:t>
      </w:r>
    </w:p>
    <w:p>
      <w:pPr>
        <w:spacing w:before="0" w:after="80"/>
      </w:pPr>
      <w:r>
        <w:rPr>
          <w:rFonts w:ascii="Calibri" w:hAnsi="Calibri"/>
          <w:b w:val="0"/>
          <w:i w:val="0"/>
          <w:color w:val="212121"/>
          <w:sz w:val="21"/>
        </w:rPr>
        <w:t>(3) Glandular (sicca-limited) disease — involvement largely confined to the exocrine glands, producing dry eyes, dry mouth and salivary-gland swelling without major internal-organ disease.</w:t>
      </w:r>
    </w:p>
    <w:p>
      <w:pPr>
        <w:spacing w:before="0" w:after="80"/>
      </w:pPr>
      <w:r>
        <w:rPr>
          <w:rFonts w:ascii="Calibri" w:hAnsi="Calibri"/>
          <w:b w:val="0"/>
          <w:i w:val="0"/>
          <w:color w:val="212121"/>
          <w:sz w:val="21"/>
        </w:rPr>
        <w:t>(4) Extraglandular / systemic disease — active involvement of joints, skin (purpura, vasculitis), lungs (interstitial lung disease), kidneys (tubulointerstitial nephritis, distal renal tubular acidosis), peripheral nerves and the haematological system, graded by the EULAR Sjögren's Syndrome Disease Activity Index (ESSDAI).</w:t>
      </w:r>
    </w:p>
    <w:p>
      <w:pPr>
        <w:spacing w:before="0" w:after="80"/>
      </w:pPr>
      <w:r>
        <w:rPr>
          <w:rFonts w:ascii="Calibri" w:hAnsi="Calibri"/>
          <w:b w:val="0"/>
          <w:i w:val="0"/>
          <w:color w:val="212121"/>
          <w:sz w:val="21"/>
        </w:rPr>
        <w:t>(5) Seropositive versus seronegative phenotype — anti-Ro/SSA (± anti-La/SSB) positivity, especially with high IgG, low C4, cryoglobulins or persistent salivary-gland enlargement, marks a higher-risk phenotype for systemic disease and lymphoma, whereas a subset are antibody-negative with biopsy-proven disease.</w:t>
      </w:r>
    </w:p>
    <w:p>
      <w:pPr>
        <w:spacing w:before="200" w:after="120"/>
      </w:pPr>
      <w:r>
        <w:rPr>
          <w:rFonts w:ascii="Calibri" w:hAnsi="Calibri"/>
          <w:b/>
          <w:i w:val="0"/>
          <w:color w:val="212121"/>
          <w:sz w:val="25"/>
        </w:rPr>
        <w:t>Etiology</w:t>
      </w:r>
    </w:p>
    <w:p>
      <w:pPr>
        <w:spacing w:after="60"/>
        <w:ind w:left="432" w:hanging="288"/>
      </w:pPr>
      <w:r>
        <w:rPr>
          <w:rFonts w:ascii="Calibri" w:hAnsi="Calibri"/>
          <w:b/>
          <w:i w:val="0"/>
          <w:color w:val="212121"/>
          <w:sz w:val="21"/>
        </w:rPr>
        <w:t xml:space="preserve">1. </w:t>
      </w:r>
      <w:r>
        <w:rPr>
          <w:rFonts w:ascii="Calibri" w:hAnsi="Calibri"/>
          <w:b w:val="0"/>
          <w:i w:val="0"/>
          <w:color w:val="212121"/>
          <w:sz w:val="21"/>
        </w:rPr>
        <w:t>Genetic predisposition: Strong HLA associations (HLA-DRB1*03, DQA1*0501/DQB1*0201) plus non-HLA risk genes in the type-I interferon pathway (IRF5, STAT4) create susceptibility, and autoimmune disease frequently clusters within families.</w:t>
      </w:r>
    </w:p>
    <w:p>
      <w:pPr>
        <w:spacing w:after="60"/>
        <w:ind w:left="432" w:hanging="288"/>
      </w:pPr>
      <w:r>
        <w:rPr>
          <w:rFonts w:ascii="Calibri" w:hAnsi="Calibri"/>
          <w:b/>
          <w:i w:val="0"/>
          <w:color w:val="212121"/>
          <w:sz w:val="21"/>
        </w:rPr>
        <w:t xml:space="preserve">2. </w:t>
      </w:r>
      <w:r>
        <w:rPr>
          <w:rFonts w:ascii="Calibri" w:hAnsi="Calibri"/>
          <w:b w:val="0"/>
          <w:i w:val="0"/>
          <w:color w:val="212121"/>
          <w:sz w:val="21"/>
        </w:rPr>
        <w:t>Female sex and sex hormones: Around 9 in 10 patients are women; oestrogen's effects on the immune system and glandular epithelium — and the fall in oestrogen after menopause — are thought to unmask disease, giving onset peaks around menarche and menopause.</w:t>
      </w:r>
    </w:p>
    <w:p>
      <w:pPr>
        <w:spacing w:after="60"/>
        <w:ind w:left="432" w:hanging="288"/>
      </w:pPr>
      <w:r>
        <w:rPr>
          <w:rFonts w:ascii="Calibri" w:hAnsi="Calibri"/>
          <w:b/>
          <w:i w:val="0"/>
          <w:color w:val="212121"/>
          <w:sz w:val="21"/>
        </w:rPr>
        <w:t xml:space="preserve">3. </w:t>
      </w:r>
      <w:r>
        <w:rPr>
          <w:rFonts w:ascii="Calibri" w:hAnsi="Calibri"/>
          <w:b w:val="0"/>
          <w:i w:val="0"/>
          <w:color w:val="212121"/>
          <w:sz w:val="21"/>
        </w:rPr>
        <w:t>Autoantigen-driven immunity: Loss of tolerance to the Ro/SSA and La/SSB ribonucleoproteins drives B-cell hyperactivity, autoantibody formation and lymphocytic infiltration (“autoimmune epithelitis”) of the exocrine glands.</w:t>
      </w:r>
    </w:p>
    <w:p>
      <w:pPr>
        <w:spacing w:after="60"/>
        <w:ind w:left="432" w:hanging="288"/>
      </w:pPr>
      <w:r>
        <w:rPr>
          <w:rFonts w:ascii="Calibri" w:hAnsi="Calibri"/>
          <w:b/>
          <w:i w:val="0"/>
          <w:color w:val="212121"/>
          <w:sz w:val="21"/>
        </w:rPr>
        <w:t xml:space="preserve">4. </w:t>
      </w:r>
      <w:r>
        <w:rPr>
          <w:rFonts w:ascii="Calibri" w:hAnsi="Calibri"/>
          <w:b w:val="0"/>
          <w:i w:val="0"/>
          <w:color w:val="212121"/>
          <w:sz w:val="21"/>
        </w:rPr>
        <w:t>Type-I interferon activation: An overactive interferon signature and excess B-cell activating factor (BAFF) sustain the autoimmune response and progressive glandular damage.</w:t>
      </w:r>
    </w:p>
    <w:p>
      <w:pPr>
        <w:spacing w:after="60"/>
        <w:ind w:left="432" w:hanging="288"/>
      </w:pPr>
      <w:r>
        <w:rPr>
          <w:rFonts w:ascii="Calibri" w:hAnsi="Calibri"/>
          <w:b/>
          <w:i w:val="0"/>
          <w:color w:val="212121"/>
          <w:sz w:val="21"/>
        </w:rPr>
        <w:t xml:space="preserve">5. </w:t>
      </w:r>
      <w:r>
        <w:rPr>
          <w:rFonts w:ascii="Calibri" w:hAnsi="Calibri"/>
          <w:b w:val="0"/>
          <w:i w:val="0"/>
          <w:color w:val="212121"/>
          <w:sz w:val="21"/>
        </w:rPr>
        <w:t>Viral triggers: Epstein–Barr virus, and in some regions hepatitis C and HTLV-1, are proposed environmental triggers that may initiate or perpetuate glandular inflammation in genetically susceptible people.</w:t>
      </w:r>
    </w:p>
    <w:p>
      <w:pPr>
        <w:spacing w:after="60"/>
        <w:ind w:left="432" w:hanging="288"/>
      </w:pPr>
      <w:r>
        <w:rPr>
          <w:rFonts w:ascii="Calibri" w:hAnsi="Calibri"/>
          <w:b/>
          <w:i w:val="0"/>
          <w:color w:val="212121"/>
          <w:sz w:val="21"/>
        </w:rPr>
        <w:t xml:space="preserve">6. </w:t>
      </w:r>
      <w:r>
        <w:rPr>
          <w:rFonts w:ascii="Calibri" w:hAnsi="Calibri"/>
          <w:b w:val="0"/>
          <w:i w:val="0"/>
          <w:color w:val="212121"/>
          <w:sz w:val="21"/>
        </w:rPr>
        <w:t>Underlying autoimmune disease: Secondary Sjögren's is precipitated by a coexisting autoimmune disorder — rheumatoid arthritis, systemic lupus erythematosus or systemic sclerosis — which shares immunological mechanisms with the sicca process.</w:t>
      </w:r>
    </w:p>
    <w:p>
      <w:pPr>
        <w:spacing w:before="280" w:after="120"/>
      </w:pPr>
      <w:r>
        <w:rPr>
          <w:rFonts w:ascii="Calibri" w:hAnsi="Calibri"/>
          <w:b/>
          <w:i w:val="0"/>
          <w:color w:val="212121"/>
          <w:sz w:val="31"/>
        </w:rPr>
        <w:t>Research Draft of MCP</w:t>
      </w:r>
    </w:p>
    <w:p>
      <w:pPr>
        <w:spacing w:before="200" w:after="120"/>
      </w:pPr>
      <w:r>
        <w:rPr>
          <w:rFonts w:ascii="Calibri" w:hAnsi="Calibri"/>
          <w:b/>
          <w:i w:val="0"/>
          <w:color w:val="212121"/>
          <w:sz w:val="25"/>
        </w:rPr>
        <w:t>Profiles Prone To</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401"/>
        <w:gridCol w:w="2401"/>
        <w:gridCol w:w="2401"/>
        <w:gridCol w:w="2401"/>
      </w:tblGrid>
      <w:tr>
        <w:trPr>
          <w:cantSplit/>
        </w:trPr>
        <w:tc>
          <w:tcPr>
            <w:tcW w:type="dxa" w:w="1512"/>
            <w:shd w:val="clear" w:color="auto" w:fill="F2F2F2"/>
            <w:vAlign w:val="center"/>
          </w:tcPr>
          <w:p>
            <w:pPr>
              <w:spacing w:after="40" w:before="0" w:line="259" w:lineRule="auto"/>
            </w:pPr>
            <w:r>
              <w:rPr>
                <w:rFonts w:ascii="Calibri" w:hAnsi="Calibri"/>
                <w:b/>
                <w:i w:val="0"/>
                <w:color w:val="212121"/>
                <w:sz w:val="19"/>
              </w:rPr>
              <w:t>Category</w:t>
            </w:r>
          </w:p>
        </w:tc>
        <w:tc>
          <w:tcPr>
            <w:tcW w:type="dxa" w:w="1655"/>
            <w:shd w:val="clear" w:color="auto" w:fill="F2F2F2"/>
            <w:vAlign w:val="center"/>
          </w:tcPr>
          <w:p>
            <w:pPr>
              <w:spacing w:after="40" w:before="0" w:line="259" w:lineRule="auto"/>
            </w:pPr>
            <w:r>
              <w:rPr>
                <w:rFonts w:ascii="Calibri" w:hAnsi="Calibri"/>
                <w:b/>
                <w:i w:val="0"/>
                <w:color w:val="212121"/>
                <w:sz w:val="19"/>
              </w:rPr>
              <w:t>Disposition</w:t>
            </w:r>
          </w:p>
        </w:tc>
        <w:tc>
          <w:tcPr>
            <w:tcW w:type="dxa" w:w="2160"/>
            <w:shd w:val="clear" w:color="auto" w:fill="F2F2F2"/>
            <w:vAlign w:val="center"/>
          </w:tcPr>
          <w:p>
            <w:pPr>
              <w:spacing w:after="40" w:before="0" w:line="259" w:lineRule="auto"/>
            </w:pPr>
            <w:r>
              <w:rPr>
                <w:rFonts w:ascii="Calibri" w:hAnsi="Calibri"/>
                <w:b/>
                <w:i w:val="0"/>
                <w:color w:val="212121"/>
                <w:sz w:val="19"/>
              </w:rPr>
              <w:t>Profiles</w:t>
            </w:r>
          </w:p>
        </w:tc>
        <w:tc>
          <w:tcPr>
            <w:tcW w:type="dxa" w:w="4276"/>
            <w:shd w:val="clear" w:color="auto" w:fill="F2F2F2"/>
            <w:vAlign w:val="center"/>
          </w:tcPr>
          <w:p>
            <w:pPr>
              <w:spacing w:after="40" w:before="0" w:line="259" w:lineRule="auto"/>
            </w:pPr>
            <w:r>
              <w:rPr>
                <w:rFonts w:ascii="Calibri" w:hAnsi="Calibri"/>
                <w:b/>
                <w:i w:val="0"/>
                <w:color w:val="212121"/>
                <w:sz w:val="19"/>
              </w:rPr>
              <w:t>Explanation</w:t>
            </w:r>
          </w:p>
        </w:tc>
      </w:tr>
      <w:tr>
        <w:trPr>
          <w:cantSplit/>
        </w:trPr>
        <w:tc>
          <w:tcPr>
            <w:tcW w:type="dxa" w:w="1512"/>
            <w:vMerge w:val="restart"/>
            <w:vAlign w:val="center"/>
          </w:tcPr>
          <w:p>
            <w:pPr>
              <w:spacing w:after="40"/>
            </w:pPr>
            <w:r>
              <w:rPr>
                <w:rFonts w:ascii="Calibri" w:hAnsi="Calibri"/>
                <w:b/>
                <w:i w:val="0"/>
                <w:color w:val="212121"/>
                <w:sz w:val="19"/>
              </w:rPr>
              <w:t>Demographic factors</w:t>
            </w:r>
          </w:p>
        </w:tc>
        <w:tc>
          <w:tcPr>
            <w:tcW w:type="dxa" w:w="1655"/>
            <w:vMerge w:val="restart"/>
            <w:vAlign w:val="center"/>
          </w:tcPr>
          <w:p>
            <w:pPr>
              <w:spacing w:after="40"/>
            </w:pPr>
            <w:r>
              <w:rPr>
                <w:rFonts w:ascii="Calibri" w:hAnsi="Calibri"/>
                <w:b w:val="0"/>
                <w:i w:val="0"/>
                <w:color w:val="212121"/>
                <w:sz w:val="19"/>
              </w:rPr>
              <w:t>Age</w:t>
            </w:r>
          </w:p>
        </w:tc>
        <w:tc>
          <w:tcPr>
            <w:tcW w:type="dxa" w:w="2160"/>
            <w:vAlign w:val="top"/>
          </w:tcPr>
          <w:p>
            <w:pPr>
              <w:spacing w:after="40" w:before="0" w:line="259" w:lineRule="auto"/>
            </w:pPr>
            <w:r>
              <w:rPr>
                <w:rFonts w:ascii="Calibri" w:hAnsi="Calibri"/>
                <w:b w:val="0"/>
                <w:i w:val="0"/>
                <w:color w:val="212121"/>
                <w:sz w:val="19"/>
              </w:rPr>
              <w:t>Adults (peri-/post-menopausal women, 40s–50s)</w:t>
            </w:r>
          </w:p>
        </w:tc>
        <w:tc>
          <w:tcPr>
            <w:tcW w:type="dxa" w:w="4276"/>
            <w:vAlign w:val="top"/>
          </w:tcPr>
          <w:p>
            <w:pPr>
              <w:spacing w:after="60" w:line="259" w:lineRule="auto"/>
            </w:pPr>
            <w:r>
              <w:rPr>
                <w:rFonts w:ascii="Calibri" w:hAnsi="Calibri"/>
                <w:b w:val="0"/>
                <w:i w:val="0"/>
                <w:color w:val="212121"/>
                <w:sz w:val="19"/>
              </w:rPr>
              <w:t>Risk peaks in the fourth to sixth decades, when hormonal change and cumulative autoimmune activity unmask glandular destruction. Progressive lymphocytic infiltration of salivary and lacrimal glands reduces saliva and tears, producing the cardinal sicca picture.</w:t>
            </w:r>
          </w:p>
          <w:p>
            <w:pPr>
              <w:spacing w:after="40" w:before="60" w:line="259" w:lineRule="auto"/>
            </w:pPr>
            <w:r>
              <w:rPr>
                <w:rFonts w:ascii="Calibri" w:hAnsi="Calibri"/>
                <w:b w:val="0"/>
                <w:i w:val="0"/>
                <w:color w:val="212121"/>
                <w:sz w:val="19"/>
              </w:rPr>
              <w:t>Global mean age at diagnosis is about 56 years, though Indian primary Sjögren's cohorts present roughly a decade earlier, in the early 40s.</w:t>
            </w:r>
          </w:p>
          <w:p>
            <w:pPr>
              <w:spacing w:after="40" w:line="252" w:lineRule="auto"/>
            </w:pPr>
            <w:hyperlink r:id="rId9">
              <w:r>
                <w:rPr>
                  <w:rFonts w:ascii="Calibri" w:hAnsi="Calibri" w:cs="Calibri"/>
                  <w:sz w:val="18"/>
                  <w:color w:val="1155CC"/>
                  <w:u w:val="single"/>
                </w:rPr>
                <w:t xml:space="preserve">pubmed.ncbi.nlm.nih.gov/24938285 — pSS epidemiology meta-analysis</w:t>
              </w:r>
            </w:hyperlink>
          </w:p>
          <w:p>
            <w:pPr>
              <w:spacing w:before="60" w:after="40"/>
            </w:pPr>
            <w:r>
              <w:rPr>
                <w:rFonts w:ascii="Calibri" w:hAnsi="Calibri"/>
                <w:b w:val="0"/>
                <w:i w:val="0"/>
                <w:color w:val="5A5A5A"/>
                <w:sz w:val="18"/>
              </w:rPr>
              <w:t>#sicca  #menopause  #autoimmune  #xerostomia  #dryeye</w:t>
            </w:r>
          </w:p>
        </w:tc>
      </w:tr>
      <w:tr>
        <w:trPr>
          <w:cantSplit/>
        </w:trPr>
        <w:tc>
          <w:tcPr>
            <w:tcW w:type="dxa" w:w="1512"/>
            <w:vMerge/>
            <w:vAlign w:val="top"/>
          </w:tcPr>
          <w:p>
            <w:pPr>
              <w:spacing w:after="40" w:before="0" w:line="259" w:lineRule="auto"/>
            </w:pPr>
          </w:p>
        </w:tc>
        <w:tc>
          <w:tcPr>
            <w:tcW w:type="dxa" w:w="1655"/>
            <w:vMerge/>
            <w:vAlign w:val="top"/>
          </w:tcPr>
          <w:p>
            <w:pPr>
              <w:spacing w:after="40" w:before="0" w:line="259" w:lineRule="auto"/>
            </w:pPr>
          </w:p>
        </w:tc>
        <w:tc>
          <w:tcPr>
            <w:tcW w:type="dxa" w:w="2160"/>
            <w:vAlign w:val="top"/>
          </w:tcPr>
          <w:p>
            <w:pPr>
              <w:spacing w:after="40" w:before="0" w:line="259" w:lineRule="auto"/>
            </w:pPr>
            <w:r>
              <w:rPr>
                <w:rFonts w:ascii="Calibri" w:hAnsi="Calibri"/>
                <w:b w:val="0"/>
                <w:i w:val="0"/>
                <w:color w:val="212121"/>
                <w:sz w:val="19"/>
              </w:rPr>
              <w:t>Elderly</w:t>
            </w:r>
          </w:p>
        </w:tc>
        <w:tc>
          <w:tcPr>
            <w:tcW w:type="dxa" w:w="4276"/>
            <w:vAlign w:val="top"/>
          </w:tcPr>
          <w:p>
            <w:pPr>
              <w:spacing w:after="60" w:line="259" w:lineRule="auto"/>
            </w:pPr>
            <w:r>
              <w:rPr>
                <w:rFonts w:ascii="Calibri" w:hAnsi="Calibri"/>
                <w:b w:val="0"/>
                <w:i w:val="0"/>
                <w:color w:val="212121"/>
                <w:sz w:val="19"/>
              </w:rPr>
              <w:t>In older adults, age-related salivary and lacrimal gland atrophy and widespread use of anticholinergic drugs (for blood pressure, bladder, mood or sleep) compound the dryness of Sjögren's, while a longer disease duration raises the cumulative lymphoma risk.</w:t>
            </w:r>
          </w:p>
          <w:p>
            <w:pPr>
              <w:spacing w:after="40" w:before="60" w:line="259" w:lineRule="auto"/>
            </w:pPr>
            <w:r>
              <w:rPr>
                <w:rFonts w:ascii="Calibri" w:hAnsi="Calibri"/>
                <w:b w:val="0"/>
                <w:i w:val="0"/>
                <w:color w:val="212121"/>
                <w:sz w:val="19"/>
              </w:rPr>
              <w:t>Sicca symptoms in the elderly are frequently mislabelled as normal ageing or drug side effects, delaying diagnosis; polypharmacy is a major aggravator of xerostomia.</w:t>
            </w:r>
          </w:p>
          <w:p>
            <w:pPr>
              <w:spacing w:after="40" w:line="252" w:lineRule="auto"/>
            </w:pPr>
            <w:hyperlink r:id="rId10">
              <w:r>
                <w:rPr>
                  <w:rFonts w:ascii="Calibri" w:hAnsi="Calibri" w:cs="Calibri"/>
                  <w:sz w:val="18"/>
                  <w:color w:val="1155CC"/>
                  <w:u w:val="single"/>
                </w:rPr>
                <w:t xml:space="preserve">sjogrens.org — understanding Sjögren's</w:t>
              </w:r>
            </w:hyperlink>
          </w:p>
          <w:p>
            <w:pPr>
              <w:spacing w:before="60" w:after="40"/>
            </w:pPr>
            <w:r>
              <w:rPr>
                <w:rFonts w:ascii="Calibri" w:hAnsi="Calibri"/>
                <w:b w:val="0"/>
                <w:i w:val="0"/>
                <w:color w:val="5A5A5A"/>
                <w:sz w:val="18"/>
              </w:rPr>
              <w:t>#ageing  #polypharmacy  #anticholinergic  #drymouth  #delayeddiagnosis</w:t>
            </w:r>
          </w:p>
        </w:tc>
      </w:tr>
      <w:tr>
        <w:trPr>
          <w:cantSplit/>
        </w:trPr>
        <w:tc>
          <w:tcPr>
            <w:tcW w:type="dxa" w:w="1512"/>
            <w:vMerge/>
            <w:vAlign w:val="top"/>
          </w:tcPr>
          <w:p>
            <w:pPr>
              <w:spacing w:after="40" w:before="0" w:line="259" w:lineRule="auto"/>
            </w:pPr>
          </w:p>
        </w:tc>
        <w:tc>
          <w:tcPr>
            <w:tcW w:type="dxa" w:w="1655"/>
            <w:vMerge w:val="restart"/>
            <w:vAlign w:val="center"/>
          </w:tcPr>
          <w:p>
            <w:pPr>
              <w:spacing w:after="40"/>
            </w:pPr>
            <w:r>
              <w:rPr>
                <w:rFonts w:ascii="Calibri" w:hAnsi="Calibri"/>
                <w:b w:val="0"/>
                <w:i w:val="0"/>
                <w:color w:val="212121"/>
                <w:sz w:val="19"/>
              </w:rPr>
              <w:t>Sex</w:t>
            </w:r>
          </w:p>
        </w:tc>
        <w:tc>
          <w:tcPr>
            <w:tcW w:type="dxa" w:w="2160"/>
            <w:vAlign w:val="top"/>
          </w:tcPr>
          <w:p>
            <w:pPr>
              <w:spacing w:after="40" w:before="0" w:line="259" w:lineRule="auto"/>
            </w:pPr>
            <w:r>
              <w:rPr>
                <w:rFonts w:ascii="Calibri" w:hAnsi="Calibri"/>
                <w:b w:val="0"/>
                <w:i w:val="0"/>
                <w:color w:val="212121"/>
                <w:sz w:val="19"/>
              </w:rPr>
              <w:t>Female</w:t>
            </w:r>
          </w:p>
        </w:tc>
        <w:tc>
          <w:tcPr>
            <w:tcW w:type="dxa" w:w="4276"/>
            <w:vAlign w:val="top"/>
          </w:tcPr>
          <w:p>
            <w:pPr>
              <w:spacing w:after="60" w:line="259" w:lineRule="auto"/>
            </w:pPr>
            <w:r>
              <w:rPr>
                <w:rFonts w:ascii="Calibri" w:hAnsi="Calibri"/>
                <w:b w:val="0"/>
                <w:i w:val="0"/>
                <w:color w:val="212121"/>
                <w:sz w:val="19"/>
              </w:rPr>
              <w:t>Women are affected far more often than men, reflecting the influence of oestrogen and X-linked immune genes on B-cell activity and glandular epithelium. The disease commonly surfaces around the reproductive-to-menopausal transition.</w:t>
            </w:r>
          </w:p>
          <w:p>
            <w:pPr>
              <w:spacing w:after="40" w:before="60" w:line="259" w:lineRule="auto"/>
            </w:pPr>
            <w:r>
              <w:rPr>
                <w:rFonts w:ascii="Calibri" w:hAnsi="Calibri"/>
                <w:b w:val="0"/>
                <w:i w:val="0"/>
                <w:color w:val="212121"/>
                <w:sz w:val="19"/>
              </w:rPr>
              <w:t>The female-to-male ratio is about 10.7:1 in pooled global prevalence data, and 12.7:1 in an Indian primary Sjögren's cohort.</w:t>
            </w:r>
          </w:p>
          <w:p>
            <w:pPr>
              <w:spacing w:after="40" w:line="252" w:lineRule="auto"/>
            </w:pPr>
            <w:hyperlink r:id="rId9">
              <w:r>
                <w:rPr>
                  <w:rFonts w:ascii="Calibri" w:hAnsi="Calibri" w:cs="Calibri"/>
                  <w:sz w:val="18"/>
                  <w:color w:val="1155CC"/>
                  <w:u w:val="single"/>
                </w:rPr>
                <w:t xml:space="preserve">pubmed.ncbi.nlm.nih.gov/24938285 — female:male 10.72:1</w:t>
              </w:r>
            </w:hyperlink>
          </w:p>
          <w:p>
            <w:pPr>
              <w:spacing w:before="60" w:after="40"/>
            </w:pPr>
            <w:r>
              <w:rPr>
                <w:rFonts w:ascii="Calibri" w:hAnsi="Calibri"/>
                <w:b w:val="0"/>
                <w:i w:val="0"/>
                <w:color w:val="5A5A5A"/>
                <w:sz w:val="18"/>
              </w:rPr>
              <w:t>#womenshealth  #hormones  #estrogen  #femalepredominance</w:t>
            </w:r>
          </w:p>
        </w:tc>
      </w:tr>
      <w:tr>
        <w:trPr>
          <w:cantSplit/>
        </w:trPr>
        <w:tc>
          <w:tcPr>
            <w:tcW w:type="dxa" w:w="1512"/>
            <w:vMerge/>
            <w:vAlign w:val="top"/>
          </w:tcPr>
          <w:p>
            <w:pPr>
              <w:spacing w:after="40" w:before="0" w:line="259" w:lineRule="auto"/>
            </w:pPr>
          </w:p>
        </w:tc>
        <w:tc>
          <w:tcPr>
            <w:tcW w:type="dxa" w:w="1655"/>
            <w:vMerge/>
            <w:vAlign w:val="top"/>
          </w:tcPr>
          <w:p>
            <w:pPr>
              <w:spacing w:after="40" w:before="0" w:line="259" w:lineRule="auto"/>
            </w:pPr>
          </w:p>
        </w:tc>
        <w:tc>
          <w:tcPr>
            <w:tcW w:type="dxa" w:w="2160"/>
            <w:vAlign w:val="top"/>
          </w:tcPr>
          <w:p>
            <w:pPr>
              <w:spacing w:after="40" w:before="0" w:line="259" w:lineRule="auto"/>
            </w:pPr>
            <w:r>
              <w:rPr>
                <w:rFonts w:ascii="Calibri" w:hAnsi="Calibri"/>
                <w:b w:val="0"/>
                <w:i w:val="0"/>
                <w:color w:val="212121"/>
                <w:sz w:val="19"/>
              </w:rPr>
              <w:t>Male</w:t>
            </w:r>
          </w:p>
        </w:tc>
        <w:tc>
          <w:tcPr>
            <w:tcW w:type="dxa" w:w="4276"/>
            <w:vAlign w:val="top"/>
          </w:tcPr>
          <w:p>
            <w:pPr>
              <w:spacing w:after="60" w:line="259" w:lineRule="auto"/>
            </w:pPr>
            <w:r>
              <w:rPr>
                <w:rFonts w:ascii="Calibri" w:hAnsi="Calibri"/>
                <w:b w:val="0"/>
                <w:i w:val="0"/>
                <w:color w:val="212121"/>
                <w:sz w:val="19"/>
              </w:rPr>
              <w:t>Men are affected much less often, but when they develop Sjögren's they tend to have a higher burden of systemic (extraglandular) involvement and a greater lymphoma risk, so male sex should not lower clinical suspicion once sicca disease is confirmed.</w:t>
            </w:r>
          </w:p>
          <w:p>
            <w:pPr>
              <w:spacing w:after="40" w:before="60" w:line="259" w:lineRule="auto"/>
            </w:pPr>
            <w:r>
              <w:rPr>
                <w:rFonts w:ascii="Calibri" w:hAnsi="Calibri"/>
                <w:b w:val="0"/>
                <w:i w:val="0"/>
                <w:color w:val="212121"/>
                <w:sz w:val="19"/>
              </w:rPr>
              <w:t>Male patients are a small minority but are over-represented among those with systemic complications and lymphoma.</w:t>
            </w:r>
          </w:p>
          <w:p>
            <w:pPr>
              <w:spacing w:before="60" w:after="40"/>
            </w:pPr>
            <w:r>
              <w:rPr>
                <w:rFonts w:ascii="Calibri" w:hAnsi="Calibri"/>
                <w:b w:val="0"/>
                <w:i w:val="0"/>
                <w:color w:val="5A5A5A"/>
                <w:sz w:val="18"/>
              </w:rPr>
              <w:t>#men  #systemicdisease  #lymphomarisk  #underdiagnosed</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Socioeconomic status</w:t>
            </w:r>
          </w:p>
        </w:tc>
        <w:tc>
          <w:tcPr>
            <w:tcW w:type="dxa" w:w="2160"/>
            <w:vAlign w:val="top"/>
          </w:tcPr>
          <w:p>
            <w:pPr>
              <w:spacing w:after="40" w:before="0" w:line="259" w:lineRule="auto"/>
            </w:pPr>
            <w:r>
              <w:rPr>
                <w:rFonts w:ascii="Calibri" w:hAnsi="Calibri"/>
                <w:b w:val="0"/>
                <w:i w:val="0"/>
                <w:color w:val="212121"/>
                <w:sz w:val="19"/>
              </w:rPr>
              <w:t>Rural &amp; low-access populations (India)</w:t>
            </w:r>
          </w:p>
        </w:tc>
        <w:tc>
          <w:tcPr>
            <w:tcW w:type="dxa" w:w="4276"/>
            <w:vAlign w:val="top"/>
          </w:tcPr>
          <w:p>
            <w:pPr>
              <w:spacing w:after="60" w:line="259" w:lineRule="auto"/>
            </w:pPr>
            <w:r>
              <w:rPr>
                <w:rFonts w:ascii="Calibri" w:hAnsi="Calibri"/>
                <w:b w:val="0"/>
                <w:i w:val="0"/>
                <w:color w:val="212121"/>
                <w:sz w:val="19"/>
              </w:rPr>
              <w:t>Limited access to rheumatology, ophthalmology and salivary-gland biopsy means dryness is dismissed or attributed to climate, betel/tobacco use or ageing, so cases are under-recognised and diagnosed late, often only after systemic complications appear.</w:t>
            </w:r>
          </w:p>
          <w:p>
            <w:pPr>
              <w:spacing w:after="40" w:before="60" w:line="259" w:lineRule="auto"/>
            </w:pPr>
            <w:r>
              <w:rPr>
                <w:rFonts w:ascii="Calibri" w:hAnsi="Calibri"/>
                <w:b w:val="0"/>
                <w:i w:val="0"/>
                <w:color w:val="212121"/>
                <w:sz w:val="19"/>
              </w:rPr>
              <w:t>Historically primary Sjögren's was described as a rarity in India, with a definitive diagnosis reached on minor salivary-gland biopsy in about 60% of suspected cases.</w:t>
            </w:r>
          </w:p>
          <w:p>
            <w:pPr>
              <w:spacing w:after="40" w:line="252" w:lineRule="auto"/>
            </w:pPr>
            <w:hyperlink r:id="rId11">
              <w:r>
                <w:rPr>
                  <w:rFonts w:ascii="Calibri" w:hAnsi="Calibri" w:cs="Calibri"/>
                  <w:sz w:val="18"/>
                  <w:color w:val="1155CC"/>
                  <w:u w:val="single"/>
                </w:rPr>
                <w:t xml:space="preserve">pubmed.ncbi.nlm.nih.gov/14710969 — pSS: rarity in India</w:t>
              </w:r>
            </w:hyperlink>
          </w:p>
          <w:p>
            <w:pPr>
              <w:spacing w:before="60" w:after="40"/>
            </w:pPr>
            <w:r>
              <w:rPr>
                <w:rFonts w:ascii="Calibri" w:hAnsi="Calibri"/>
                <w:b w:val="0"/>
                <w:i w:val="0"/>
                <w:color w:val="5A5A5A"/>
                <w:sz w:val="18"/>
              </w:rPr>
              <w:t>#accessgap  #underdiagnosis  #ruralhealth  #latediagnosis</w:t>
            </w:r>
          </w:p>
        </w:tc>
      </w:tr>
      <w:tr>
        <w:trPr>
          <w:cantSplit/>
        </w:trPr>
        <w:tc>
          <w:tcPr>
            <w:tcW w:type="dxa" w:w="1512"/>
            <w:vMerge w:val="restart"/>
            <w:vAlign w:val="center"/>
          </w:tcPr>
          <w:p>
            <w:pPr>
              <w:spacing w:after="40"/>
            </w:pPr>
            <w:r>
              <w:rPr>
                <w:rFonts w:ascii="Calibri" w:hAnsi="Calibri"/>
                <w:b/>
                <w:i w:val="0"/>
                <w:color w:val="212121"/>
                <w:sz w:val="19"/>
              </w:rPr>
              <w:t>Geographic factors</w:t>
            </w:r>
          </w:p>
        </w:tc>
        <w:tc>
          <w:tcPr>
            <w:tcW w:type="dxa" w:w="1655"/>
            <w:vAlign w:val="center"/>
          </w:tcPr>
          <w:p>
            <w:pPr>
              <w:spacing w:after="40"/>
            </w:pPr>
            <w:r>
              <w:rPr>
                <w:rFonts w:ascii="Calibri" w:hAnsi="Calibri"/>
                <w:b w:val="0"/>
                <w:i w:val="0"/>
                <w:color w:val="212121"/>
                <w:sz w:val="19"/>
              </w:rPr>
              <w:t>Ethnicity</w:t>
            </w:r>
          </w:p>
        </w:tc>
        <w:tc>
          <w:tcPr>
            <w:tcW w:type="dxa" w:w="2160"/>
            <w:vAlign w:val="top"/>
          </w:tcPr>
          <w:p>
            <w:pPr>
              <w:spacing w:after="40" w:before="0" w:line="259" w:lineRule="auto"/>
            </w:pPr>
            <w:r>
              <w:rPr>
                <w:rFonts w:ascii="Calibri" w:hAnsi="Calibri"/>
                <w:b w:val="0"/>
                <w:i w:val="0"/>
                <w:color w:val="212121"/>
                <w:sz w:val="19"/>
              </w:rPr>
              <w:t>Indian &amp; South Asian</w:t>
            </w:r>
          </w:p>
        </w:tc>
        <w:tc>
          <w:tcPr>
            <w:tcW w:type="dxa" w:w="4276"/>
            <w:vAlign w:val="top"/>
          </w:tcPr>
          <w:p>
            <w:pPr>
              <w:spacing w:after="60" w:line="259" w:lineRule="auto"/>
            </w:pPr>
            <w:r>
              <w:rPr>
                <w:rFonts w:ascii="Calibri" w:hAnsi="Calibri"/>
                <w:b w:val="0"/>
                <w:i w:val="0"/>
                <w:color w:val="212121"/>
                <w:sz w:val="19"/>
              </w:rPr>
              <w:t>Asian patients with primary Sjögren's show a distinctive phenotype, with a younger age at onset and high rates of anti-Ro/La positivity and systemic features; ethnic and genetic background shapes both susceptibility and disease expression.</w:t>
            </w:r>
          </w:p>
          <w:p>
            <w:pPr>
              <w:spacing w:after="40" w:before="60" w:line="259" w:lineRule="auto"/>
            </w:pPr>
            <w:r>
              <w:rPr>
                <w:rFonts w:ascii="Calibri" w:hAnsi="Calibri"/>
                <w:b w:val="0"/>
                <w:i w:val="0"/>
                <w:color w:val="212121"/>
                <w:sz w:val="19"/>
              </w:rPr>
              <w:t>Reviews of Asian primary Sjögren's describe earlier onset and prominent systemic and serological activity compared with some Western series.</w:t>
            </w:r>
          </w:p>
          <w:p>
            <w:pPr>
              <w:spacing w:after="40" w:line="252" w:lineRule="auto"/>
            </w:pPr>
            <w:hyperlink r:id="rId12">
              <w:r>
                <w:rPr>
                  <w:rFonts w:ascii="Calibri" w:hAnsi="Calibri" w:cs="Calibri"/>
                  <w:sz w:val="18"/>
                  <w:color w:val="1155CC"/>
                  <w:u w:val="single"/>
                </w:rPr>
                <w:t xml:space="preserve">pubmed.ncbi.nlm.nih.gov/29027763 — pSS in Asia</w:t>
              </w:r>
            </w:hyperlink>
          </w:p>
          <w:p>
            <w:pPr>
              <w:spacing w:before="60" w:after="40"/>
            </w:pPr>
            <w:r>
              <w:rPr>
                <w:rFonts w:ascii="Calibri" w:hAnsi="Calibri"/>
                <w:b w:val="0"/>
                <w:i w:val="0"/>
                <w:color w:val="5A5A5A"/>
                <w:sz w:val="18"/>
              </w:rPr>
              <w:t>#southasian  #india  #antiRo  #phenotype</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Climate / environment</w:t>
            </w:r>
          </w:p>
        </w:tc>
        <w:tc>
          <w:tcPr>
            <w:tcW w:type="dxa" w:w="2160"/>
            <w:vAlign w:val="top"/>
          </w:tcPr>
          <w:p>
            <w:pPr>
              <w:spacing w:after="40" w:before="0" w:line="259" w:lineRule="auto"/>
            </w:pPr>
            <w:r>
              <w:rPr>
                <w:rFonts w:ascii="Calibri" w:hAnsi="Calibri"/>
                <w:b w:val="0"/>
                <w:i w:val="0"/>
                <w:color w:val="212121"/>
                <w:sz w:val="19"/>
              </w:rPr>
              <w:t>Hot, arid, dusty &amp; air-conditioned settings</w:t>
            </w:r>
          </w:p>
        </w:tc>
        <w:tc>
          <w:tcPr>
            <w:tcW w:type="dxa" w:w="4276"/>
            <w:vAlign w:val="top"/>
          </w:tcPr>
          <w:p>
            <w:pPr>
              <w:spacing w:after="60" w:line="259" w:lineRule="auto"/>
            </w:pPr>
            <w:r>
              <w:rPr>
                <w:rFonts w:ascii="Calibri" w:hAnsi="Calibri"/>
                <w:b w:val="0"/>
                <w:i w:val="0"/>
                <w:color w:val="212121"/>
                <w:sz w:val="19"/>
              </w:rPr>
              <w:t>Low ambient humidity, heat, wind, dust and long hours in air-conditioned offices increase evaporative tear and mucosal loss, aggravating the dryness of Sjögren's even though climate does not cause the underlying autoimmune disease.</w:t>
            </w:r>
          </w:p>
          <w:p>
            <w:pPr>
              <w:spacing w:after="40" w:before="60" w:line="259" w:lineRule="auto"/>
            </w:pPr>
            <w:r>
              <w:rPr>
                <w:rFonts w:ascii="Calibri" w:hAnsi="Calibri"/>
                <w:b w:val="0"/>
                <w:i w:val="0"/>
                <w:color w:val="212121"/>
                <w:sz w:val="19"/>
              </w:rPr>
              <w:t>Environmental dryness and reduced blink rate during screen work markedly worsen keratoconjunctivitis sicca symptoms.</w:t>
            </w:r>
          </w:p>
          <w:p>
            <w:pPr>
              <w:spacing w:before="60" w:after="40"/>
            </w:pPr>
            <w:r>
              <w:rPr>
                <w:rFonts w:ascii="Calibri" w:hAnsi="Calibri"/>
                <w:b w:val="0"/>
                <w:i w:val="0"/>
                <w:color w:val="5A5A5A"/>
                <w:sz w:val="18"/>
              </w:rPr>
              <w:t>#dryclimate  #evaporativedryeye  #airconditioning  #dust</w:t>
            </w:r>
          </w:p>
        </w:tc>
      </w:tr>
      <w:tr>
        <w:trPr>
          <w:cantSplit/>
        </w:trPr>
        <w:tc>
          <w:tcPr>
            <w:tcW w:type="dxa" w:w="1512"/>
            <w:vMerge w:val="restart"/>
            <w:vAlign w:val="center"/>
          </w:tcPr>
          <w:p>
            <w:pPr>
              <w:spacing w:after="40"/>
            </w:pPr>
            <w:r>
              <w:rPr>
                <w:rFonts w:ascii="Calibri" w:hAnsi="Calibri"/>
                <w:b/>
                <w:i w:val="0"/>
                <w:color w:val="212121"/>
                <w:sz w:val="19"/>
              </w:rPr>
              <w:t>Lifestyle factors</w:t>
            </w:r>
          </w:p>
        </w:tc>
        <w:tc>
          <w:tcPr>
            <w:tcW w:type="dxa" w:w="1655"/>
            <w:vAlign w:val="center"/>
          </w:tcPr>
          <w:p>
            <w:pPr>
              <w:spacing w:after="40"/>
            </w:pPr>
            <w:r>
              <w:rPr>
                <w:rFonts w:ascii="Calibri" w:hAnsi="Calibri"/>
                <w:b w:val="0"/>
                <w:i w:val="0"/>
                <w:color w:val="212121"/>
                <w:sz w:val="19"/>
              </w:rPr>
              <w:t>Smoking</w:t>
            </w:r>
          </w:p>
        </w:tc>
        <w:tc>
          <w:tcPr>
            <w:tcW w:type="dxa" w:w="2160"/>
            <w:vAlign w:val="top"/>
          </w:tcPr>
          <w:p>
            <w:pPr>
              <w:spacing w:after="40" w:before="0" w:line="259" w:lineRule="auto"/>
            </w:pPr>
            <w:r>
              <w:rPr>
                <w:rFonts w:ascii="Calibri" w:hAnsi="Calibri"/>
                <w:b w:val="0"/>
                <w:i w:val="0"/>
                <w:color w:val="212121"/>
                <w:sz w:val="19"/>
              </w:rPr>
              <w:t>Current &amp; former tobacco users</w:t>
            </w:r>
          </w:p>
        </w:tc>
        <w:tc>
          <w:tcPr>
            <w:tcW w:type="dxa" w:w="4276"/>
            <w:vAlign w:val="top"/>
          </w:tcPr>
          <w:p>
            <w:pPr>
              <w:spacing w:after="60" w:line="259" w:lineRule="auto"/>
            </w:pPr>
            <w:r>
              <w:rPr>
                <w:rFonts w:ascii="Calibri" w:hAnsi="Calibri"/>
                <w:b w:val="0"/>
                <w:i w:val="0"/>
                <w:color w:val="212121"/>
                <w:sz w:val="19"/>
              </w:rPr>
              <w:t>Although smoking has a complex, sometimes paradoxical relationship with salivary gland histology, it clearly worsens oral dryness, dental disease, oral candidiasis and lung involvement, and adds cardiovascular and overall autoimmune risk, so it is discouraged.</w:t>
            </w:r>
          </w:p>
          <w:p>
            <w:pPr>
              <w:spacing w:after="40" w:before="60" w:line="259" w:lineRule="auto"/>
            </w:pPr>
            <w:r>
              <w:rPr>
                <w:rFonts w:ascii="Calibri" w:hAnsi="Calibri"/>
                <w:b w:val="0"/>
                <w:i w:val="0"/>
                <w:color w:val="212121"/>
                <w:sz w:val="19"/>
              </w:rPr>
              <w:t>Tobacco (smoked or chewed) compounds xerostomia and its oral complications and is a major modifiable risk for the lung and vascular comorbidity of Sjögren's.</w:t>
            </w:r>
          </w:p>
          <w:p>
            <w:pPr>
              <w:spacing w:before="60" w:after="40"/>
            </w:pPr>
            <w:r>
              <w:rPr>
                <w:rFonts w:ascii="Calibri" w:hAnsi="Calibri"/>
                <w:b w:val="0"/>
                <w:i w:val="0"/>
                <w:color w:val="5A5A5A"/>
                <w:sz w:val="18"/>
              </w:rPr>
              <w:t>#smoking  #tobacco  #oralhealth  #lungdisease</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Alcohol &amp; caffeine</w:t>
            </w:r>
          </w:p>
        </w:tc>
        <w:tc>
          <w:tcPr>
            <w:tcW w:type="dxa" w:w="2160"/>
            <w:vAlign w:val="top"/>
          </w:tcPr>
          <w:p>
            <w:pPr>
              <w:spacing w:after="40" w:before="0" w:line="259" w:lineRule="auto"/>
            </w:pPr>
            <w:r>
              <w:rPr>
                <w:rFonts w:ascii="Calibri" w:hAnsi="Calibri"/>
                <w:b w:val="0"/>
                <w:i w:val="0"/>
                <w:color w:val="212121"/>
                <w:sz w:val="19"/>
              </w:rPr>
              <w:t>Regular alcohol / high-caffeine consumers</w:t>
            </w:r>
          </w:p>
        </w:tc>
        <w:tc>
          <w:tcPr>
            <w:tcW w:type="dxa" w:w="4276"/>
            <w:vAlign w:val="top"/>
          </w:tcPr>
          <w:p>
            <w:pPr>
              <w:spacing w:after="60" w:line="259" w:lineRule="auto"/>
            </w:pPr>
            <w:r>
              <w:rPr>
                <w:rFonts w:ascii="Calibri" w:hAnsi="Calibri"/>
                <w:b w:val="0"/>
                <w:i w:val="0"/>
                <w:color w:val="212121"/>
                <w:sz w:val="19"/>
              </w:rPr>
              <w:t>Alcohol and caffeine have a diuretic, mucosa-drying effect that intensifies dry mouth and dry eyes, heavy alcohol directly harms salivary glands, and alcohol compounds the liver toxicity of methotrexate and other immunosuppressants used for systemic disease.</w:t>
            </w:r>
          </w:p>
          <w:p>
            <w:pPr>
              <w:spacing w:after="40" w:before="60" w:line="259" w:lineRule="auto"/>
            </w:pPr>
            <w:r>
              <w:rPr>
                <w:rFonts w:ascii="Calibri" w:hAnsi="Calibri"/>
                <w:b w:val="0"/>
                <w:i w:val="0"/>
                <w:color w:val="212121"/>
                <w:sz w:val="19"/>
              </w:rPr>
              <w:t>Alcohol and caffeine are common, avoidable aggravators of sicca symptoms and interact with the hepatotoxic drugs used in Sjögren's.</w:t>
            </w:r>
          </w:p>
          <w:p>
            <w:pPr>
              <w:spacing w:before="60" w:after="40"/>
            </w:pPr>
            <w:r>
              <w:rPr>
                <w:rFonts w:ascii="Calibri" w:hAnsi="Calibri"/>
                <w:b w:val="0"/>
                <w:i w:val="0"/>
                <w:color w:val="5A5A5A"/>
                <w:sz w:val="18"/>
              </w:rPr>
              <w:t>#alcohol  #caffeine  #drymouth  #hepatotoxicity</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Sedentary</w:t>
            </w:r>
          </w:p>
        </w:tc>
        <w:tc>
          <w:tcPr>
            <w:tcW w:type="dxa" w:w="2160"/>
            <w:vAlign w:val="top"/>
          </w:tcPr>
          <w:p>
            <w:pPr>
              <w:spacing w:after="40" w:before="0" w:line="259" w:lineRule="auto"/>
            </w:pPr>
            <w:r>
              <w:rPr>
                <w:rFonts w:ascii="Calibri" w:hAnsi="Calibri"/>
                <w:b w:val="0"/>
                <w:i w:val="0"/>
                <w:color w:val="212121"/>
                <w:sz w:val="19"/>
              </w:rPr>
              <w:t>Physically inactive adults</w:t>
            </w:r>
          </w:p>
        </w:tc>
        <w:tc>
          <w:tcPr>
            <w:tcW w:type="dxa" w:w="4276"/>
            <w:vAlign w:val="top"/>
          </w:tcPr>
          <w:p>
            <w:pPr>
              <w:spacing w:after="60" w:line="259" w:lineRule="auto"/>
            </w:pPr>
            <w:r>
              <w:rPr>
                <w:rFonts w:ascii="Calibri" w:hAnsi="Calibri"/>
                <w:b w:val="0"/>
                <w:i w:val="0"/>
                <w:color w:val="212121"/>
                <w:sz w:val="19"/>
              </w:rPr>
              <w:t>Inactivity does not cause Sjögren's, but deconditioning amplifies the profound fatigue that dominates the illness and worsens the joint stiffness, low mood and cardiovascular risk that accompany chronic autoimmune disease.</w:t>
            </w:r>
          </w:p>
          <w:p>
            <w:pPr>
              <w:spacing w:after="40" w:before="60" w:line="259" w:lineRule="auto"/>
            </w:pPr>
            <w:r>
              <w:rPr>
                <w:rFonts w:ascii="Calibri" w:hAnsi="Calibri"/>
                <w:b w:val="0"/>
                <w:i w:val="0"/>
                <w:color w:val="212121"/>
                <w:sz w:val="19"/>
              </w:rPr>
              <w:t>Fatigue is one of the most disabling and prevalent symptoms of Sjögren's and is worsened by physical deconditioning.</w:t>
            </w:r>
          </w:p>
          <w:p>
            <w:pPr>
              <w:spacing w:before="60" w:after="40"/>
            </w:pPr>
            <w:r>
              <w:rPr>
                <w:rFonts w:ascii="Calibri" w:hAnsi="Calibri"/>
                <w:b w:val="0"/>
                <w:i w:val="0"/>
                <w:color w:val="5A5A5A"/>
                <w:sz w:val="18"/>
              </w:rPr>
              <w:t>#fatigue  #deconditioning  #sedentary  #cvrisk</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Overweight / Obese</w:t>
            </w:r>
          </w:p>
        </w:tc>
        <w:tc>
          <w:tcPr>
            <w:tcW w:type="dxa" w:w="2160"/>
            <w:vAlign w:val="top"/>
          </w:tcPr>
          <w:p>
            <w:pPr>
              <w:spacing w:after="40" w:before="0" w:line="259" w:lineRule="auto"/>
            </w:pPr>
            <w:r>
              <w:rPr>
                <w:rFonts w:ascii="Calibri" w:hAnsi="Calibri"/>
                <w:b w:val="0"/>
                <w:i w:val="0"/>
                <w:color w:val="212121"/>
                <w:sz w:val="19"/>
              </w:rPr>
              <w:t>High BMI (Asian-Indian cut-offs)</w:t>
            </w:r>
          </w:p>
        </w:tc>
        <w:tc>
          <w:tcPr>
            <w:tcW w:type="dxa" w:w="4276"/>
            <w:vAlign w:val="top"/>
          </w:tcPr>
          <w:p>
            <w:pPr>
              <w:spacing w:after="60" w:line="259" w:lineRule="auto"/>
            </w:pPr>
            <w:r>
              <w:rPr>
                <w:rFonts w:ascii="Calibri" w:hAnsi="Calibri"/>
                <w:b w:val="0"/>
                <w:i w:val="0"/>
                <w:color w:val="212121"/>
                <w:sz w:val="19"/>
              </w:rPr>
              <w:t>Adiposity is not an established cause of Sjögren's, unlike in metabolic disease, but excess weight adds to fatigue, joint load, metabolic and cardiovascular comorbidity and obstructive sleep-disordered breathing, all of which complicate management.</w:t>
            </w:r>
          </w:p>
          <w:p>
            <w:pPr>
              <w:spacing w:after="40" w:before="60" w:line="259" w:lineRule="auto"/>
            </w:pPr>
            <w:r>
              <w:rPr>
                <w:rFonts w:ascii="Calibri" w:hAnsi="Calibri"/>
                <w:b w:val="0"/>
                <w:i w:val="0"/>
                <w:color w:val="212121"/>
                <w:sz w:val="19"/>
              </w:rPr>
              <w:t>Obesity is best viewed as a comorbidity that magnifies symptom burden rather than a cause of the autoimmune process.</w:t>
            </w:r>
          </w:p>
          <w:p>
            <w:pPr>
              <w:spacing w:before="60" w:after="40"/>
            </w:pPr>
            <w:r>
              <w:rPr>
                <w:rFonts w:ascii="Calibri" w:hAnsi="Calibri"/>
                <w:b w:val="0"/>
                <w:i w:val="0"/>
                <w:color w:val="5A5A5A"/>
                <w:sz w:val="18"/>
              </w:rPr>
              <w:t>#bmi  #comorbidity  #fatigue  #cvrisk</w:t>
            </w:r>
          </w:p>
        </w:tc>
      </w:tr>
      <w:tr>
        <w:trPr>
          <w:cantSplit/>
        </w:trPr>
        <w:tc>
          <w:tcPr>
            <w:tcW w:type="dxa" w:w="1512"/>
            <w:vAlign w:val="center"/>
          </w:tcPr>
          <w:p>
            <w:pPr>
              <w:spacing w:after="40"/>
            </w:pPr>
            <w:r>
              <w:rPr>
                <w:rFonts w:ascii="Calibri" w:hAnsi="Calibri"/>
                <w:b/>
                <w:i w:val="0"/>
                <w:color w:val="212121"/>
                <w:sz w:val="19"/>
              </w:rPr>
              <w:t>Dietary factors</w:t>
            </w:r>
          </w:p>
        </w:tc>
        <w:tc>
          <w:tcPr>
            <w:tcW w:type="dxa" w:w="1655"/>
            <w:vAlign w:val="center"/>
          </w:tcPr>
          <w:p>
            <w:pPr>
              <w:spacing w:after="40"/>
            </w:pPr>
            <w:r>
              <w:rPr>
                <w:rFonts w:ascii="Calibri" w:hAnsi="Calibri"/>
                <w:b w:val="0"/>
                <w:i w:val="0"/>
                <w:color w:val="212121"/>
                <w:sz w:val="19"/>
              </w:rPr>
              <w:t>Dietary preference</w:t>
            </w:r>
          </w:p>
        </w:tc>
        <w:tc>
          <w:tcPr>
            <w:tcW w:type="dxa" w:w="2160"/>
            <w:vAlign w:val="top"/>
          </w:tcPr>
          <w:p>
            <w:pPr>
              <w:spacing w:after="40" w:before="0" w:line="259" w:lineRule="auto"/>
            </w:pPr>
            <w:r>
              <w:rPr>
                <w:rFonts w:ascii="Calibri" w:hAnsi="Calibri"/>
                <w:b w:val="0"/>
                <w:i w:val="0"/>
                <w:color w:val="212121"/>
                <w:sz w:val="19"/>
              </w:rPr>
              <w:t>High-sugar, acidic, low-fluid diets</w:t>
            </w:r>
          </w:p>
        </w:tc>
        <w:tc>
          <w:tcPr>
            <w:tcW w:type="dxa" w:w="4276"/>
            <w:vAlign w:val="top"/>
          </w:tcPr>
          <w:p>
            <w:pPr>
              <w:spacing w:after="60" w:line="259" w:lineRule="auto"/>
            </w:pPr>
            <w:r>
              <w:rPr>
                <w:rFonts w:ascii="Calibri" w:hAnsi="Calibri"/>
                <w:b w:val="0"/>
                <w:i w:val="0"/>
                <w:color w:val="212121"/>
                <w:sz w:val="19"/>
              </w:rPr>
              <w:t>With saliva depleted, frequent sugary or acidic foods and drinks and inadequate fluid intake accelerate rampant dental caries, tooth erosion and oral candidiasis — the most common day-to-day complications of Sjögren's.</w:t>
            </w:r>
          </w:p>
          <w:p>
            <w:pPr>
              <w:spacing w:after="40" w:before="60" w:line="259" w:lineRule="auto"/>
            </w:pPr>
            <w:r>
              <w:rPr>
                <w:rFonts w:ascii="Calibri" w:hAnsi="Calibri"/>
                <w:b w:val="0"/>
                <w:i w:val="0"/>
                <w:color w:val="212121"/>
                <w:sz w:val="19"/>
              </w:rPr>
              <w:t>Reduced saliva removes the mouth's natural buffering and antimicrobial protection, so diet strongly determines the pace of dental destruction in xerostomia.</w:t>
            </w:r>
          </w:p>
          <w:p>
            <w:pPr>
              <w:spacing w:after="40" w:line="252" w:lineRule="auto"/>
            </w:pPr>
            <w:hyperlink r:id="rId13">
              <w:r>
                <w:rPr>
                  <w:rFonts w:ascii="Calibri" w:hAnsi="Calibri" w:cs="Calibri"/>
                  <w:sz w:val="18"/>
                  <w:color w:val="1155CC"/>
                  <w:u w:val="single"/>
                </w:rPr>
                <w:t xml:space="preserve">nidcr.nih.gov — Sjögren's syndrome (oral health)</w:t>
              </w:r>
            </w:hyperlink>
          </w:p>
          <w:p>
            <w:pPr>
              <w:spacing w:before="60" w:after="40"/>
            </w:pPr>
            <w:r>
              <w:rPr>
                <w:rFonts w:ascii="Calibri" w:hAnsi="Calibri"/>
                <w:b w:val="0"/>
                <w:i w:val="0"/>
                <w:color w:val="5A5A5A"/>
                <w:sz w:val="18"/>
              </w:rPr>
              <w:t>#dentalcaries  #xerostomia  #sugar  #oralhealth</w:t>
            </w:r>
          </w:p>
        </w:tc>
      </w:tr>
      <w:tr>
        <w:trPr>
          <w:cantSplit/>
        </w:trPr>
        <w:tc>
          <w:tcPr>
            <w:tcW w:type="dxa" w:w="1512"/>
            <w:vMerge w:val="restart"/>
            <w:vAlign w:val="center"/>
          </w:tcPr>
          <w:p>
            <w:pPr>
              <w:spacing w:after="40"/>
            </w:pPr>
            <w:r>
              <w:rPr>
                <w:rFonts w:ascii="Calibri" w:hAnsi="Calibri"/>
                <w:b/>
                <w:i w:val="0"/>
                <w:color w:val="212121"/>
                <w:sz w:val="19"/>
              </w:rPr>
              <w:t>Genetic factors</w:t>
            </w:r>
          </w:p>
        </w:tc>
        <w:tc>
          <w:tcPr>
            <w:tcW w:type="dxa" w:w="1655"/>
            <w:vAlign w:val="center"/>
          </w:tcPr>
          <w:p>
            <w:pPr>
              <w:spacing w:after="40"/>
            </w:pPr>
            <w:r>
              <w:rPr>
                <w:rFonts w:ascii="Calibri" w:hAnsi="Calibri"/>
                <w:b w:val="0"/>
                <w:i w:val="0"/>
                <w:color w:val="212121"/>
                <w:sz w:val="19"/>
              </w:rPr>
              <w:t>Family history</w:t>
            </w:r>
          </w:p>
        </w:tc>
        <w:tc>
          <w:tcPr>
            <w:tcW w:type="dxa" w:w="2160"/>
            <w:vAlign w:val="top"/>
          </w:tcPr>
          <w:p>
            <w:pPr>
              <w:spacing w:after="40" w:before="0" w:line="259" w:lineRule="auto"/>
            </w:pPr>
            <w:r>
              <w:rPr>
                <w:rFonts w:ascii="Calibri" w:hAnsi="Calibri"/>
                <w:b w:val="0"/>
                <w:i w:val="0"/>
                <w:color w:val="212121"/>
                <w:sz w:val="19"/>
              </w:rPr>
              <w:t>First-degree relatives with autoimmune disease</w:t>
            </w:r>
          </w:p>
        </w:tc>
        <w:tc>
          <w:tcPr>
            <w:tcW w:type="dxa" w:w="4276"/>
            <w:vAlign w:val="top"/>
          </w:tcPr>
          <w:p>
            <w:pPr>
              <w:spacing w:after="60" w:line="259" w:lineRule="auto"/>
            </w:pPr>
            <w:r>
              <w:rPr>
                <w:rFonts w:ascii="Calibri" w:hAnsi="Calibri"/>
                <w:b w:val="0"/>
                <w:i w:val="0"/>
                <w:color w:val="212121"/>
                <w:sz w:val="19"/>
              </w:rPr>
              <w:t>Sjögren's clusters in families and coexists with other autoimmune conditions (thyroiditis, lupus, rheumatoid arthritis), reflecting shared inherited susceptibility in immune-regulatory and HLA genes.</w:t>
            </w:r>
          </w:p>
          <w:p>
            <w:pPr>
              <w:spacing w:after="40" w:before="60" w:line="259" w:lineRule="auto"/>
            </w:pPr>
            <w:r>
              <w:rPr>
                <w:rFonts w:ascii="Calibri" w:hAnsi="Calibri"/>
                <w:b w:val="0"/>
                <w:i w:val="0"/>
                <w:color w:val="212121"/>
                <w:sz w:val="19"/>
              </w:rPr>
              <w:t>A family history of Sjögren's or another autoimmune disease is a recognised risk marker and should prompt a lower threshold for sicca screening.</w:t>
            </w:r>
          </w:p>
          <w:p>
            <w:pPr>
              <w:spacing w:after="40" w:line="252" w:lineRule="auto"/>
            </w:pPr>
            <w:hyperlink r:id="rId14">
              <w:r>
                <w:rPr>
                  <w:rFonts w:ascii="Calibri" w:hAnsi="Calibri" w:cs="Calibri"/>
                  <w:sz w:val="18"/>
                  <w:color w:val="1155CC"/>
                  <w:u w:val="single"/>
                </w:rPr>
                <w:t xml:space="preserve">ncbi.nlm.nih.gov/books/NBK431049 — Sjögren disease (StatPearls)</w:t>
              </w:r>
            </w:hyperlink>
          </w:p>
          <w:p>
            <w:pPr>
              <w:spacing w:before="60" w:after="40"/>
            </w:pPr>
            <w:r>
              <w:rPr>
                <w:rFonts w:ascii="Calibri" w:hAnsi="Calibri"/>
                <w:b w:val="0"/>
                <w:i w:val="0"/>
                <w:color w:val="5A5A5A"/>
                <w:sz w:val="18"/>
              </w:rPr>
              <w:t>#familyhistory  #autoimmuneclustering  #genetics  #hla</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HLA &amp; serology</w:t>
            </w:r>
          </w:p>
        </w:tc>
        <w:tc>
          <w:tcPr>
            <w:tcW w:type="dxa" w:w="2160"/>
            <w:vAlign w:val="top"/>
          </w:tcPr>
          <w:p>
            <w:pPr>
              <w:spacing w:after="40" w:before="0" w:line="259" w:lineRule="auto"/>
            </w:pPr>
            <w:r>
              <w:rPr>
                <w:rFonts w:ascii="Calibri" w:hAnsi="Calibri"/>
                <w:b w:val="0"/>
                <w:i w:val="0"/>
                <w:color w:val="212121"/>
                <w:sz w:val="19"/>
              </w:rPr>
              <w:t>HLA-DR3/DQ2 carriers, anti-Ro/SSA positive</w:t>
            </w:r>
          </w:p>
        </w:tc>
        <w:tc>
          <w:tcPr>
            <w:tcW w:type="dxa" w:w="4276"/>
            <w:vAlign w:val="top"/>
          </w:tcPr>
          <w:p>
            <w:pPr>
              <w:spacing w:after="60" w:line="259" w:lineRule="auto"/>
            </w:pPr>
            <w:r>
              <w:rPr>
                <w:rFonts w:ascii="Calibri" w:hAnsi="Calibri"/>
                <w:b w:val="0"/>
                <w:i w:val="0"/>
                <w:color w:val="212121"/>
                <w:sz w:val="19"/>
              </w:rPr>
              <w:t>Specific HLA haplotypes and the anti-Ro/SSA (± anti-La/SSB) seropositive state mark both higher susceptibility and a more active phenotype, with greater systemic involvement, hypergammaglobulinaemia and lymphoma risk.</w:t>
            </w:r>
          </w:p>
          <w:p>
            <w:pPr>
              <w:spacing w:after="40" w:before="60" w:line="259" w:lineRule="auto"/>
            </w:pPr>
            <w:r>
              <w:rPr>
                <w:rFonts w:ascii="Calibri" w:hAnsi="Calibri"/>
                <w:b w:val="0"/>
                <w:i w:val="0"/>
                <w:color w:val="212121"/>
                <w:sz w:val="19"/>
              </w:rPr>
              <w:t>Anti-Ro/SSA and anti-La/SSB autoantibodies against the Ro and La ribonucleoproteins are central diagnostic and prognostic markers of the disease.</w:t>
            </w:r>
          </w:p>
          <w:p>
            <w:pPr>
              <w:spacing w:after="40" w:line="252" w:lineRule="auto"/>
            </w:pPr>
            <w:hyperlink r:id="rId15">
              <w:r>
                <w:rPr>
                  <w:rFonts w:ascii="Calibri" w:hAnsi="Calibri" w:cs="Calibri"/>
                  <w:sz w:val="18"/>
                  <w:color w:val="1155CC"/>
                  <w:u w:val="single"/>
                </w:rPr>
                <w:t xml:space="preserve">pubmed.ncbi.nlm.nih.gov/27383445 — Sjögren syndrome (primer)</w:t>
              </w:r>
            </w:hyperlink>
          </w:p>
          <w:p>
            <w:pPr>
              <w:spacing w:before="60" w:after="40"/>
            </w:pPr>
            <w:r>
              <w:rPr>
                <w:rFonts w:ascii="Calibri" w:hAnsi="Calibri"/>
                <w:b w:val="0"/>
                <w:i w:val="0"/>
                <w:color w:val="5A5A5A"/>
                <w:sz w:val="18"/>
              </w:rPr>
              <w:t>#antiRo  #antiLa  #hladr3  #seropositive</w:t>
            </w:r>
          </w:p>
        </w:tc>
      </w:tr>
      <w:tr>
        <w:trPr>
          <w:cantSplit/>
        </w:trPr>
        <w:tc>
          <w:tcPr>
            <w:tcW w:type="dxa" w:w="1512"/>
            <w:vMerge w:val="restart"/>
            <w:vAlign w:val="center"/>
          </w:tcPr>
          <w:p>
            <w:pPr>
              <w:spacing w:after="40"/>
            </w:pPr>
            <w:r>
              <w:rPr>
                <w:rFonts w:ascii="Calibri" w:hAnsi="Calibri"/>
                <w:b/>
                <w:i w:val="0"/>
                <w:color w:val="212121"/>
                <w:sz w:val="19"/>
              </w:rPr>
              <w:t>Medical conditions profile (mcp)</w:t>
            </w:r>
          </w:p>
        </w:tc>
        <w:tc>
          <w:tcPr>
            <w:tcW w:type="dxa" w:w="1655"/>
            <w:vAlign w:val="center"/>
          </w:tcPr>
          <w:p>
            <w:pPr>
              <w:spacing w:after="40"/>
            </w:pPr>
            <w:r>
              <w:rPr>
                <w:rFonts w:ascii="Calibri" w:hAnsi="Calibri"/>
                <w:b w:val="0"/>
                <w:i w:val="0"/>
                <w:color w:val="212121"/>
                <w:sz w:val="19"/>
              </w:rPr>
              <w:t>Rheumatoid arthritis</w:t>
            </w:r>
          </w:p>
        </w:tc>
        <w:tc>
          <w:tcPr>
            <w:tcW w:type="dxa" w:w="2160"/>
            <w:vAlign w:val="top"/>
          </w:tcPr>
          <w:p>
            <w:pPr>
              <w:spacing w:after="40" w:before="0" w:line="259" w:lineRule="auto"/>
            </w:pPr>
            <w:r>
              <w:rPr>
                <w:rFonts w:ascii="Calibri" w:hAnsi="Calibri"/>
                <w:b w:val="0"/>
                <w:i w:val="0"/>
                <w:color w:val="212121"/>
                <w:sz w:val="19"/>
              </w:rPr>
              <w:t>Patients with rheumatoid arthritis</w:t>
            </w:r>
          </w:p>
        </w:tc>
        <w:tc>
          <w:tcPr>
            <w:tcW w:type="dxa" w:w="4276"/>
            <w:vAlign w:val="top"/>
          </w:tcPr>
          <w:p>
            <w:pPr>
              <w:spacing w:after="60" w:line="259" w:lineRule="auto"/>
            </w:pPr>
            <w:r>
              <w:rPr>
                <w:rFonts w:ascii="Calibri" w:hAnsi="Calibri"/>
                <w:b w:val="0"/>
                <w:i w:val="0"/>
                <w:color w:val="212121"/>
                <w:sz w:val="19"/>
              </w:rPr>
              <w:t>Rheumatoid arthritis is the commonest setting for secondary Sjögren's; shared autoimmune mechanisms lead to lacrimal and salivary gland involvement on top of the joint disease, adding dryness and fatigue to the clinical picture.</w:t>
            </w:r>
          </w:p>
          <w:p>
            <w:pPr>
              <w:spacing w:after="40" w:before="60" w:line="259" w:lineRule="auto"/>
            </w:pPr>
            <w:r>
              <w:rPr>
                <w:rFonts w:ascii="Calibri" w:hAnsi="Calibri"/>
                <w:b w:val="0"/>
                <w:i w:val="0"/>
                <w:color w:val="212121"/>
                <w:sz w:val="19"/>
              </w:rPr>
              <w:t>Secondary Sjögren's affected 5.5% of northern-Indian rheumatoid arthritis patients by strict criteria (sicca symptoms in 14.6%); Western series using symptom-based criteria report 20–32%.</w:t>
            </w:r>
          </w:p>
          <w:p>
            <w:pPr>
              <w:spacing w:after="40" w:line="252" w:lineRule="auto"/>
            </w:pPr>
            <w:hyperlink r:id="rId16">
              <w:r>
                <w:rPr>
                  <w:rFonts w:ascii="Calibri" w:hAnsi="Calibri" w:cs="Calibri"/>
                  <w:sz w:val="18"/>
                  <w:color w:val="1155CC"/>
                  <w:u w:val="single"/>
                </w:rPr>
                <w:t xml:space="preserve">pubmed.ncbi.nlm.nih.gov/28198156 — secondary SS in Indian RA</w:t>
              </w:r>
            </w:hyperlink>
          </w:p>
          <w:p>
            <w:pPr>
              <w:spacing w:before="60" w:after="40"/>
            </w:pPr>
            <w:r>
              <w:rPr>
                <w:rFonts w:ascii="Calibri" w:hAnsi="Calibri"/>
                <w:b w:val="0"/>
                <w:i w:val="0"/>
                <w:color w:val="5A5A5A"/>
                <w:sz w:val="18"/>
              </w:rPr>
              <w:t>#rheumatoidarthritis  #secondarysjogrens  #overlap  #sicca</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Systemic lupus erythematosus</w:t>
            </w:r>
          </w:p>
        </w:tc>
        <w:tc>
          <w:tcPr>
            <w:tcW w:type="dxa" w:w="2160"/>
            <w:vAlign w:val="top"/>
          </w:tcPr>
          <w:p>
            <w:pPr>
              <w:spacing w:after="40" w:before="0" w:line="259" w:lineRule="auto"/>
            </w:pPr>
            <w:r>
              <w:rPr>
                <w:rFonts w:ascii="Calibri" w:hAnsi="Calibri"/>
                <w:b w:val="0"/>
                <w:i w:val="0"/>
                <w:color w:val="212121"/>
                <w:sz w:val="19"/>
              </w:rPr>
              <w:t>Patients with SLE</w:t>
            </w:r>
          </w:p>
        </w:tc>
        <w:tc>
          <w:tcPr>
            <w:tcW w:type="dxa" w:w="4276"/>
            <w:vAlign w:val="top"/>
          </w:tcPr>
          <w:p>
            <w:pPr>
              <w:spacing w:after="60" w:line="259" w:lineRule="auto"/>
            </w:pPr>
            <w:r>
              <w:rPr>
                <w:rFonts w:ascii="Calibri" w:hAnsi="Calibri"/>
                <w:b w:val="0"/>
                <w:i w:val="0"/>
                <w:color w:val="212121"/>
                <w:sz w:val="19"/>
              </w:rPr>
              <w:t>Lupus and Sjögren's share anti-Ro/La serology and interferon-driven immunity, so sicca disease frequently coexists with SLE and the two overlap clinically and serologically.</w:t>
            </w:r>
          </w:p>
          <w:p>
            <w:pPr>
              <w:spacing w:after="40" w:before="60" w:line="259" w:lineRule="auto"/>
            </w:pPr>
            <w:r>
              <w:rPr>
                <w:rFonts w:ascii="Calibri" w:hAnsi="Calibri"/>
                <w:b w:val="0"/>
                <w:i w:val="0"/>
                <w:color w:val="212121"/>
                <w:sz w:val="19"/>
              </w:rPr>
              <w:t>Secondary Sjögren's is reported in about 15–36% of patients with systemic lupus erythematosus.</w:t>
            </w:r>
          </w:p>
          <w:p>
            <w:pPr>
              <w:spacing w:after="40" w:line="252" w:lineRule="auto"/>
            </w:pPr>
            <w:hyperlink r:id="rId17">
              <w:r>
                <w:rPr>
                  <w:rFonts w:ascii="Calibri" w:hAnsi="Calibri" w:cs="Calibri"/>
                  <w:sz w:val="18"/>
                  <w:color w:val="1155CC"/>
                  <w:u w:val="single"/>
                </w:rPr>
                <w:t xml:space="preserve">pubmed.ncbi.nlm.nih.gov/28610655 — diagnosis &amp; treatment of SS</w:t>
              </w:r>
            </w:hyperlink>
          </w:p>
          <w:p>
            <w:pPr>
              <w:spacing w:before="60" w:after="40"/>
            </w:pPr>
            <w:r>
              <w:rPr>
                <w:rFonts w:ascii="Calibri" w:hAnsi="Calibri"/>
                <w:b w:val="0"/>
                <w:i w:val="0"/>
                <w:color w:val="5A5A5A"/>
                <w:sz w:val="18"/>
              </w:rPr>
              <w:t>#lupus  #sle  #antiRo  #overlap</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Autoimmune thyroid disease</w:t>
            </w:r>
          </w:p>
        </w:tc>
        <w:tc>
          <w:tcPr>
            <w:tcW w:type="dxa" w:w="2160"/>
            <w:vAlign w:val="top"/>
          </w:tcPr>
          <w:p>
            <w:pPr>
              <w:spacing w:after="40" w:before="0" w:line="259" w:lineRule="auto"/>
            </w:pPr>
            <w:r>
              <w:rPr>
                <w:rFonts w:ascii="Calibri" w:hAnsi="Calibri"/>
                <w:b w:val="0"/>
                <w:i w:val="0"/>
                <w:color w:val="212121"/>
                <w:sz w:val="19"/>
              </w:rPr>
              <w:t>Patients with Hashimoto's / Graves'</w:t>
            </w:r>
          </w:p>
        </w:tc>
        <w:tc>
          <w:tcPr>
            <w:tcW w:type="dxa" w:w="4276"/>
            <w:vAlign w:val="top"/>
          </w:tcPr>
          <w:p>
            <w:pPr>
              <w:spacing w:after="60" w:line="259" w:lineRule="auto"/>
            </w:pPr>
            <w:r>
              <w:rPr>
                <w:rFonts w:ascii="Calibri" w:hAnsi="Calibri"/>
                <w:b w:val="0"/>
                <w:i w:val="0"/>
                <w:color w:val="212121"/>
                <w:sz w:val="19"/>
              </w:rPr>
              <w:t>Autoimmune thyroid disease is one of the most frequent companions of Sjögren's, reflecting a shared tendency to organ-specific autoimmunity; each raises the likelihood of finding the other, so thyroid function and antibodies are routinely checked.</w:t>
            </w:r>
          </w:p>
          <w:p>
            <w:pPr>
              <w:spacing w:after="40" w:before="60" w:line="259" w:lineRule="auto"/>
            </w:pPr>
            <w:r>
              <w:rPr>
                <w:rFonts w:ascii="Calibri" w:hAnsi="Calibri"/>
                <w:b w:val="0"/>
                <w:i w:val="0"/>
                <w:color w:val="212121"/>
                <w:sz w:val="19"/>
              </w:rPr>
              <w:t>Autoimmune thyroiditis is a common comorbidity in Sjögren's and warrants periodic thyroid screening.</w:t>
            </w:r>
          </w:p>
          <w:p>
            <w:pPr>
              <w:spacing w:before="60" w:after="40"/>
            </w:pPr>
            <w:r>
              <w:rPr>
                <w:rFonts w:ascii="Calibri" w:hAnsi="Calibri"/>
                <w:b w:val="0"/>
                <w:i w:val="0"/>
                <w:color w:val="5A5A5A"/>
                <w:sz w:val="18"/>
              </w:rPr>
              <w:t>#thyroid  #hashimotos  #autoimmunity  #comorbidity</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Systemic sclerosis</w:t>
            </w:r>
          </w:p>
        </w:tc>
        <w:tc>
          <w:tcPr>
            <w:tcW w:type="dxa" w:w="2160"/>
            <w:vAlign w:val="top"/>
          </w:tcPr>
          <w:p>
            <w:pPr>
              <w:spacing w:after="40" w:before="0" w:line="259" w:lineRule="auto"/>
            </w:pPr>
            <w:r>
              <w:rPr>
                <w:rFonts w:ascii="Calibri" w:hAnsi="Calibri"/>
                <w:b w:val="0"/>
                <w:i w:val="0"/>
                <w:color w:val="212121"/>
                <w:sz w:val="19"/>
              </w:rPr>
              <w:t>Patients with scleroderma</w:t>
            </w:r>
          </w:p>
        </w:tc>
        <w:tc>
          <w:tcPr>
            <w:tcW w:type="dxa" w:w="4276"/>
            <w:vAlign w:val="top"/>
          </w:tcPr>
          <w:p>
            <w:pPr>
              <w:spacing w:after="60" w:line="259" w:lineRule="auto"/>
            </w:pPr>
            <w:r>
              <w:rPr>
                <w:rFonts w:ascii="Calibri" w:hAnsi="Calibri"/>
                <w:b w:val="0"/>
                <w:i w:val="0"/>
                <w:color w:val="212121"/>
                <w:sz w:val="19"/>
              </w:rPr>
              <w:t>Systemic sclerosis commonly overlaps with Sjögren's, compounding dryness, Raynaud's phenomenon and the risk of interstitial lung disease through shared fibro-inflammatory and autoimmune mechanisms.</w:t>
            </w:r>
          </w:p>
          <w:p>
            <w:pPr>
              <w:spacing w:after="40" w:before="60" w:line="259" w:lineRule="auto"/>
            </w:pPr>
            <w:r>
              <w:rPr>
                <w:rFonts w:ascii="Calibri" w:hAnsi="Calibri"/>
                <w:b w:val="0"/>
                <w:i w:val="0"/>
                <w:color w:val="212121"/>
                <w:sz w:val="19"/>
              </w:rPr>
              <w:t>Secondary Sjögren's is reported in about 11–24% of patients with limited or diffuse systemic sclerosis.</w:t>
            </w:r>
          </w:p>
          <w:p>
            <w:pPr>
              <w:spacing w:after="40" w:line="252" w:lineRule="auto"/>
            </w:pPr>
            <w:hyperlink r:id="rId17">
              <w:r>
                <w:rPr>
                  <w:rFonts w:ascii="Calibri" w:hAnsi="Calibri" w:cs="Calibri"/>
                  <w:sz w:val="18"/>
                  <w:color w:val="1155CC"/>
                  <w:u w:val="single"/>
                </w:rPr>
                <w:t xml:space="preserve">pubmed.ncbi.nlm.nih.gov/28610655 — diagnosis &amp; treatment of SS</w:t>
              </w:r>
            </w:hyperlink>
          </w:p>
          <w:p>
            <w:pPr>
              <w:spacing w:before="60" w:after="40"/>
            </w:pPr>
            <w:r>
              <w:rPr>
                <w:rFonts w:ascii="Calibri" w:hAnsi="Calibri"/>
                <w:b w:val="0"/>
                <w:i w:val="0"/>
                <w:color w:val="5A5A5A"/>
                <w:sz w:val="18"/>
              </w:rPr>
              <w:t>#scleroderma  #systemicsclerosis  #raynauds  #ild</w:t>
            </w:r>
          </w:p>
        </w:tc>
      </w:tr>
    </w:tbl>
    <w:p>
      <w:pPr>
        <w:spacing w:before="200" w:after="120"/>
      </w:pPr>
      <w:r>
        <w:rPr>
          <w:rFonts w:ascii="Calibri" w:hAnsi="Calibri"/>
          <w:b/>
          <w:i w:val="0"/>
          <w:color w:val="212121"/>
          <w:sz w:val="25"/>
        </w:rPr>
        <w:t>Lifestyle Health Parameters ( LHP )</w:t>
      </w:r>
    </w:p>
    <w:p>
      <w:pPr>
        <w:spacing w:before="160" w:after="120"/>
      </w:pPr>
      <w:r>
        <w:rPr>
          <w:rFonts w:ascii="Calibri" w:hAnsi="Calibri"/>
          <w:b/>
          <w:i w:val="0"/>
          <w:color w:val="212121"/>
          <w:sz w:val="22"/>
        </w:rPr>
        <w:t>Order of Parameter Influence Study</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304"/>
            <w:shd w:val="clear" w:color="auto" w:fill="F2F2F2"/>
            <w:vAlign w:val="center"/>
          </w:tcPr>
          <w:p>
            <w:pPr>
              <w:spacing w:after="40" w:before="0" w:line="259" w:lineRule="auto"/>
            </w:pPr>
            <w:r>
              <w:rPr>
                <w:rFonts w:ascii="Calibri" w:hAnsi="Calibri"/>
                <w:b/>
                <w:i w:val="0"/>
                <w:color w:val="212121"/>
                <w:sz w:val="19"/>
              </w:rPr>
              <w:t>LHP</w:t>
            </w:r>
          </w:p>
        </w:tc>
        <w:tc>
          <w:tcPr>
            <w:tcW w:type="dxa" w:w="1800"/>
            <w:shd w:val="clear" w:color="auto" w:fill="F2F2F2"/>
            <w:vAlign w:val="center"/>
          </w:tcPr>
          <w:p>
            <w:pPr>
              <w:spacing w:after="40" w:before="0" w:line="259" w:lineRule="auto"/>
            </w:pPr>
            <w:r>
              <w:rPr>
                <w:rFonts w:ascii="Calibri" w:hAnsi="Calibri"/>
                <w:b/>
                <w:i w:val="0"/>
                <w:color w:val="212121"/>
                <w:sz w:val="19"/>
              </w:rPr>
              <w:t>Influence Level</w:t>
            </w:r>
          </w:p>
        </w:tc>
        <w:tc>
          <w:tcPr>
            <w:tcW w:type="dxa" w:w="5500"/>
            <w:shd w:val="clear" w:color="auto" w:fill="F2F2F2"/>
            <w:vAlign w:val="center"/>
          </w:tcPr>
          <w:p>
            <w:pPr>
              <w:spacing w:after="40" w:before="0" w:line="259" w:lineRule="auto"/>
            </w:pPr>
            <w:r>
              <w:rPr>
                <w:rFonts w:ascii="Calibri" w:hAnsi="Calibri"/>
                <w:b/>
                <w:i w:val="0"/>
                <w:color w:val="212121"/>
                <w:sz w:val="19"/>
              </w:rPr>
              <w:t>Influence Study</w:t>
            </w:r>
          </w:p>
        </w:tc>
      </w:tr>
      <w:tr>
        <w:trPr>
          <w:cantSplit/>
        </w:trPr>
        <w:tc>
          <w:tcPr>
            <w:tcW w:type="dxa" w:w="2304"/>
            <w:vAlign w:val="top"/>
          </w:tcPr>
          <w:p>
            <w:pPr>
              <w:spacing w:after="40" w:before="0" w:line="259" w:lineRule="auto"/>
            </w:pPr>
            <w:r>
              <w:rPr>
                <w:rFonts w:ascii="Calibri" w:hAnsi="Calibri"/>
                <w:b/>
                <w:i w:val="0"/>
                <w:color w:val="212121"/>
                <w:sz w:val="19"/>
              </w:rPr>
              <w:t>Physical activity</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Exercise does not alter the autoimmune process but is one of the few measures shown to ease the disabling fatigue of Sjögren's, and it counters the stiffness, low mood and cardiovascular risk of chronic disease. Inactivity worsens fatigue and deconditioning.</w:t>
            </w:r>
          </w:p>
        </w:tc>
      </w:tr>
      <w:tr>
        <w:trPr>
          <w:cantSplit/>
        </w:trPr>
        <w:tc>
          <w:tcPr>
            <w:tcW w:type="dxa" w:w="2304"/>
            <w:vAlign w:val="top"/>
          </w:tcPr>
          <w:p>
            <w:pPr>
              <w:spacing w:after="40" w:before="0" w:line="259" w:lineRule="auto"/>
            </w:pPr>
            <w:r>
              <w:rPr>
                <w:rFonts w:ascii="Calibri" w:hAnsi="Calibri"/>
                <w:b/>
                <w:i w:val="0"/>
                <w:color w:val="212121"/>
                <w:sz w:val="19"/>
              </w:rPr>
              <w:t>Food</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No diet causes or cures Sjögren's, but food choice strongly drives the oral complications of dry mouth (caries, erosion, candidiasis) and nutrition when swallowing is difficult; omega-3-rich and anti-inflammatory eating may modestly ease ocular dryness.</w:t>
            </w:r>
          </w:p>
        </w:tc>
      </w:tr>
      <w:tr>
        <w:trPr>
          <w:cantSplit/>
        </w:trPr>
        <w:tc>
          <w:tcPr>
            <w:tcW w:type="dxa" w:w="2304"/>
            <w:vAlign w:val="top"/>
          </w:tcPr>
          <w:p>
            <w:pPr>
              <w:spacing w:after="40" w:before="0" w:line="259" w:lineRule="auto"/>
            </w:pPr>
            <w:r>
              <w:rPr>
                <w:rFonts w:ascii="Calibri" w:hAnsi="Calibri"/>
                <w:b/>
                <w:i w:val="0"/>
                <w:color w:val="212121"/>
                <w:sz w:val="19"/>
              </w:rPr>
              <w:t>Sleep</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Sleep is frequently fragmented by nocturnal oral and ocular dryness, nocturia, pain and mood disturbance, and poor sleep in turn amplifies fatigue, pain sensitivity and cognitive complaints in a bidirectional loop.</w:t>
            </w:r>
          </w:p>
        </w:tc>
      </w:tr>
      <w:tr>
        <w:trPr>
          <w:cantSplit/>
        </w:trPr>
        <w:tc>
          <w:tcPr>
            <w:tcW w:type="dxa" w:w="2304"/>
            <w:vAlign w:val="top"/>
          </w:tcPr>
          <w:p>
            <w:pPr>
              <w:spacing w:after="40" w:before="0" w:line="259" w:lineRule="auto"/>
            </w:pPr>
            <w:r>
              <w:rPr>
                <w:rFonts w:ascii="Calibri" w:hAnsi="Calibri"/>
                <w:b/>
                <w:i w:val="0"/>
                <w:color w:val="212121"/>
                <w:sz w:val="19"/>
              </w:rPr>
              <w:t>Smoking</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Smoking (and chewed tobacco) worsens xerostomia, dental disease, oral candidiasis and lung involvement and adds cardiovascular risk; despite a paradoxical epidemiological link with gland histology, it is clinically discouraged.</w:t>
            </w:r>
          </w:p>
        </w:tc>
      </w:tr>
      <w:tr>
        <w:trPr>
          <w:cantSplit/>
        </w:trPr>
        <w:tc>
          <w:tcPr>
            <w:tcW w:type="dxa" w:w="2304"/>
            <w:vAlign w:val="top"/>
          </w:tcPr>
          <w:p>
            <w:pPr>
              <w:spacing w:after="40" w:before="0" w:line="259" w:lineRule="auto"/>
            </w:pPr>
            <w:r>
              <w:rPr>
                <w:rFonts w:ascii="Calibri" w:hAnsi="Calibri"/>
                <w:b/>
                <w:i w:val="0"/>
                <w:color w:val="212121"/>
                <w:sz w:val="19"/>
              </w:rPr>
              <w:t>Alcohol</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Alcohol has a drying effect on mucosa, heavy use damages salivary glands, and it compounds the hepatotoxicity of methotrexate and leflunomide used for systemic disease; light intake has no established benefit.</w:t>
            </w:r>
          </w:p>
        </w:tc>
      </w:tr>
      <w:tr>
        <w:trPr>
          <w:cantSplit/>
        </w:trPr>
        <w:tc>
          <w:tcPr>
            <w:tcW w:type="dxa" w:w="2304"/>
            <w:vAlign w:val="top"/>
          </w:tcPr>
          <w:p>
            <w:pPr>
              <w:spacing w:after="40" w:before="0" w:line="259" w:lineRule="auto"/>
            </w:pPr>
            <w:r>
              <w:rPr>
                <w:rFonts w:ascii="Calibri" w:hAnsi="Calibri"/>
                <w:b/>
                <w:i w:val="0"/>
                <w:color w:val="212121"/>
                <w:sz w:val="19"/>
              </w:rPr>
              <w:t>Mental health</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Depression, anxiety and cognitive complaints (“brain fog”) are common and interact bidirectionally with fatigue, pain and poor sleep, substantially reducing quality of life.</w:t>
            </w:r>
          </w:p>
        </w:tc>
      </w:tr>
      <w:tr>
        <w:trPr>
          <w:cantSplit/>
        </w:trPr>
        <w:tc>
          <w:tcPr>
            <w:tcW w:type="dxa" w:w="2304"/>
            <w:vAlign w:val="top"/>
          </w:tcPr>
          <w:p>
            <w:pPr>
              <w:spacing w:after="40" w:before="0" w:line="259" w:lineRule="auto"/>
            </w:pPr>
            <w:r>
              <w:rPr>
                <w:rFonts w:ascii="Calibri" w:hAnsi="Calibri"/>
                <w:b/>
                <w:i w:val="0"/>
                <w:color w:val="212121"/>
                <w:sz w:val="19"/>
              </w:rPr>
              <w:t>Water</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Adequate hydration is central to symptomatic relief of xerostomia and helps protect against dental and oral complications; frequent small sips and room humidification are standard self-care.</w:t>
            </w:r>
          </w:p>
        </w:tc>
      </w:tr>
      <w:tr>
        <w:trPr>
          <w:cantSplit/>
        </w:trPr>
        <w:tc>
          <w:tcPr>
            <w:tcW w:type="dxa" w:w="2304"/>
            <w:vAlign w:val="top"/>
          </w:tcPr>
          <w:p>
            <w:pPr>
              <w:spacing w:after="40" w:before="0" w:line="259" w:lineRule="auto"/>
            </w:pPr>
            <w:r>
              <w:rPr>
                <w:rFonts w:ascii="Calibri" w:hAnsi="Calibri"/>
                <w:b/>
                <w:i w:val="0"/>
                <w:color w:val="212121"/>
                <w:sz w:val="19"/>
              </w:rPr>
              <w:t>Caffeine</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Caffeine's mild diuretic and drying action can aggravate dry mouth and dry eyes, but it has no effect on the underlying disease course.</w:t>
            </w:r>
          </w:p>
        </w:tc>
      </w:tr>
      <w:tr>
        <w:trPr>
          <w:cantSplit/>
        </w:trPr>
        <w:tc>
          <w:tcPr>
            <w:tcW w:type="dxa" w:w="2304"/>
            <w:vAlign w:val="top"/>
          </w:tcPr>
          <w:p>
            <w:pPr>
              <w:spacing w:after="40" w:before="0" w:line="259" w:lineRule="auto"/>
            </w:pPr>
            <w:r>
              <w:rPr>
                <w:rFonts w:ascii="Calibri" w:hAnsi="Calibri"/>
                <w:b/>
                <w:i w:val="0"/>
                <w:color w:val="212121"/>
                <w:sz w:val="19"/>
              </w:rPr>
              <w:t>Hygiene</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Meticulous oral hygiene (fluoride, regular dental review) and eye care are the single most important day-to-day measures to prevent the rampant caries, candidiasis, tooth loss and corneal damage that follow reduced saliva and tears.</w:t>
            </w:r>
          </w:p>
        </w:tc>
      </w:tr>
      <w:tr>
        <w:trPr>
          <w:cantSplit/>
        </w:trPr>
        <w:tc>
          <w:tcPr>
            <w:tcW w:type="dxa" w:w="2304"/>
            <w:vAlign w:val="top"/>
          </w:tcPr>
          <w:p>
            <w:pPr>
              <w:spacing w:after="40" w:before="0" w:line="259" w:lineRule="auto"/>
            </w:pPr>
            <w:r>
              <w:rPr>
                <w:rFonts w:ascii="Calibri" w:hAnsi="Calibri"/>
                <w:b/>
                <w:i w:val="0"/>
                <w:color w:val="212121"/>
                <w:sz w:val="19"/>
              </w:rPr>
              <w:t>Provoking factors</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Sicca symptoms are provoked by anticholinergic and other drying drugs, dry/windy/air-conditioned environments, prolonged screen use (reduced blink) and tobacco; infections, stress and hormonal change can flare systemic disease.</w:t>
            </w:r>
          </w:p>
        </w:tc>
      </w:tr>
      <w:tr>
        <w:trPr>
          <w:cantSplit/>
        </w:trPr>
        <w:tc>
          <w:tcPr>
            <w:tcW w:type="dxa" w:w="2304"/>
            <w:vAlign w:val="top"/>
          </w:tcPr>
          <w:p>
            <w:pPr>
              <w:spacing w:after="40" w:before="0" w:line="259" w:lineRule="auto"/>
            </w:pPr>
            <w:r>
              <w:rPr>
                <w:rFonts w:ascii="Calibri" w:hAnsi="Calibri"/>
                <w:b/>
                <w:i w:val="0"/>
                <w:color w:val="212121"/>
                <w:sz w:val="19"/>
              </w:rPr>
              <w:t>Posture</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Posture has no role in the disease itself, but positioning screens below eye level and taking blink breaks reduces evaporative dry-eye symptoms during prolonged visual tasks.</w:t>
            </w:r>
          </w:p>
        </w:tc>
      </w:tr>
    </w:tbl>
    <w:p>
      <w:pPr>
        <w:spacing w:before="160" w:after="120"/>
      </w:pPr>
      <w:r>
        <w:rPr>
          <w:rFonts w:ascii="Calibri" w:hAnsi="Calibri"/>
          <w:b/>
          <w:i w:val="0"/>
          <w:color w:val="212121"/>
          <w:sz w:val="22"/>
        </w:rPr>
        <w:t>LHP Metric Triggers &amp; Specifications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601"/>
        <w:gridCol w:w="1601"/>
        <w:gridCol w:w="1601"/>
        <w:gridCol w:w="1601"/>
        <w:gridCol w:w="1601"/>
        <w:gridCol w:w="1601"/>
      </w:tblGrid>
      <w:tr>
        <w:trPr>
          <w:cantSplit/>
        </w:trPr>
        <w:tc>
          <w:tcPr>
            <w:tcW w:type="dxa" w:w="1512"/>
            <w:shd w:val="clear" w:color="auto" w:fill="F2F2F2"/>
            <w:vAlign w:val="center"/>
          </w:tcPr>
          <w:p>
            <w:pPr>
              <w:spacing w:after="40" w:before="0" w:line="259" w:lineRule="auto"/>
            </w:pPr>
            <w:r>
              <w:rPr>
                <w:rFonts w:ascii="Calibri" w:hAnsi="Calibri"/>
                <w:b/>
                <w:i w:val="0"/>
                <w:color w:val="212121"/>
                <w:sz w:val="19"/>
              </w:rPr>
              <w:t>LHP</w:t>
            </w:r>
          </w:p>
        </w:tc>
        <w:tc>
          <w:tcPr>
            <w:tcW w:type="dxa" w:w="1944"/>
            <w:shd w:val="clear" w:color="auto" w:fill="F2F2F2"/>
            <w:vAlign w:val="center"/>
          </w:tcPr>
          <w:p>
            <w:pPr>
              <w:spacing w:after="40" w:before="0" w:line="259" w:lineRule="auto"/>
            </w:pPr>
            <w:r>
              <w:rPr>
                <w:rFonts w:ascii="Calibri" w:hAnsi="Calibri"/>
                <w:b/>
                <w:i w:val="0"/>
                <w:color w:val="212121"/>
                <w:sz w:val="19"/>
              </w:rPr>
              <w:t>Metric</w:t>
            </w:r>
          </w:p>
        </w:tc>
        <w:tc>
          <w:tcPr>
            <w:tcW w:type="dxa" w:w="1655"/>
            <w:shd w:val="clear" w:color="auto" w:fill="F2F2F2"/>
            <w:vAlign w:val="center"/>
          </w:tcPr>
          <w:p>
            <w:pPr>
              <w:spacing w:after="40" w:before="0" w:line="259" w:lineRule="auto"/>
            </w:pPr>
            <w:r>
              <w:rPr>
                <w:rFonts w:ascii="Calibri" w:hAnsi="Calibri"/>
                <w:b/>
                <w:i w:val="0"/>
                <w:color w:val="212121"/>
                <w:sz w:val="19"/>
              </w:rPr>
              <w:t>Profile</w:t>
            </w:r>
          </w:p>
        </w:tc>
        <w:tc>
          <w:tcPr>
            <w:tcW w:type="dxa" w:w="1512"/>
            <w:shd w:val="clear" w:color="auto" w:fill="F2F2F2"/>
            <w:vAlign w:val="center"/>
          </w:tcPr>
          <w:p>
            <w:pPr>
              <w:spacing w:after="40" w:before="0" w:line="259" w:lineRule="auto"/>
            </w:pPr>
            <w:r>
              <w:rPr>
                <w:rFonts w:ascii="Calibri" w:hAnsi="Calibri"/>
                <w:b/>
                <w:i w:val="0"/>
                <w:color w:val="212121"/>
                <w:sz w:val="19"/>
              </w:rPr>
              <w:t>Ideal Values</w:t>
            </w:r>
          </w:p>
        </w:tc>
        <w:tc>
          <w:tcPr>
            <w:tcW w:type="dxa" w:w="1512"/>
            <w:shd w:val="clear" w:color="auto" w:fill="F2F2F2"/>
            <w:vAlign w:val="center"/>
          </w:tcPr>
          <w:p>
            <w:pPr>
              <w:spacing w:after="40" w:before="0" w:line="259" w:lineRule="auto"/>
            </w:pPr>
            <w:r>
              <w:rPr>
                <w:rFonts w:ascii="Calibri" w:hAnsi="Calibri"/>
                <w:b/>
                <w:i w:val="0"/>
                <w:color w:val="212121"/>
                <w:sz w:val="19"/>
              </w:rPr>
              <w:t>Trigger Values</w:t>
            </w:r>
          </w:p>
        </w:tc>
        <w:tc>
          <w:tcPr>
            <w:tcW w:type="dxa" w:w="1468"/>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1512"/>
            <w:vAlign w:val="center"/>
          </w:tcPr>
          <w:p>
            <w:pPr>
              <w:spacing w:after="40"/>
            </w:pPr>
            <w:r>
              <w:rPr>
                <w:rFonts w:ascii="Calibri" w:hAnsi="Calibri"/>
                <w:b w:val="0"/>
                <w:i w:val="0"/>
                <w:color w:val="212121"/>
                <w:sz w:val="19"/>
              </w:rPr>
              <w:t>Water</w:t>
            </w:r>
          </w:p>
        </w:tc>
        <w:tc>
          <w:tcPr>
            <w:tcW w:type="dxa" w:w="1944"/>
            <w:vAlign w:val="top"/>
          </w:tcPr>
          <w:p>
            <w:pPr>
              <w:spacing w:after="40" w:before="0" w:line="259" w:lineRule="auto"/>
            </w:pPr>
            <w:r>
              <w:rPr>
                <w:rFonts w:ascii="Calibri" w:hAnsi="Calibri"/>
                <w:b w:val="0"/>
                <w:i w:val="0"/>
                <w:color w:val="212121"/>
                <w:sz w:val="19"/>
              </w:rPr>
              <w:t>Daily fluid intake (frequent sips)</w:t>
            </w:r>
          </w:p>
        </w:tc>
        <w:tc>
          <w:tcPr>
            <w:tcW w:type="dxa" w:w="1655"/>
            <w:vAlign w:val="top"/>
          </w:tcPr>
          <w:p>
            <w:pPr>
              <w:spacing w:after="40" w:before="0" w:line="259" w:lineRule="auto"/>
            </w:pPr>
            <w:r>
              <w:rPr>
                <w:rFonts w:ascii="Calibri" w:hAnsi="Calibri"/>
                <w:b w:val="0"/>
                <w:i w:val="0"/>
                <w:color w:val="212121"/>
                <w:sz w:val="19"/>
              </w:rPr>
              <w:t>All patients with sicca</w:t>
            </w:r>
          </w:p>
        </w:tc>
        <w:tc>
          <w:tcPr>
            <w:tcW w:type="dxa" w:w="1512"/>
            <w:vAlign w:val="top"/>
          </w:tcPr>
          <w:p>
            <w:pPr>
              <w:spacing w:after="40" w:before="0" w:line="259" w:lineRule="auto"/>
            </w:pPr>
            <w:r>
              <w:rPr>
                <w:rFonts w:ascii="Calibri" w:hAnsi="Calibri"/>
                <w:b w:val="0"/>
                <w:i w:val="0"/>
                <w:color w:val="212121"/>
                <w:sz w:val="19"/>
              </w:rPr>
              <w:t>~2–3 L/day taken as frequent small sips</w:t>
            </w:r>
          </w:p>
        </w:tc>
        <w:tc>
          <w:tcPr>
            <w:tcW w:type="dxa" w:w="1512"/>
            <w:vAlign w:val="top"/>
          </w:tcPr>
          <w:p>
            <w:pPr>
              <w:spacing w:after="40" w:before="0" w:line="259" w:lineRule="auto"/>
            </w:pPr>
            <w:r>
              <w:rPr>
                <w:rFonts w:ascii="Calibri" w:hAnsi="Calibri"/>
                <w:b w:val="0"/>
                <w:i w:val="0"/>
                <w:color w:val="212121"/>
                <w:sz w:val="19"/>
              </w:rPr>
              <w:t>&lt; 1.5 L/day or infrequent drinking</w:t>
            </w:r>
          </w:p>
        </w:tc>
        <w:tc>
          <w:tcPr>
            <w:tcW w:type="dxa" w:w="1468"/>
            <w:vAlign w:val="top"/>
          </w:tcPr>
          <w:p>
            <w:pPr>
              <w:spacing w:after="60" w:line="259" w:lineRule="auto"/>
            </w:pPr>
            <w:r>
              <w:rPr>
                <w:rFonts w:ascii="Calibri" w:hAnsi="Calibri"/>
                <w:b w:val="0"/>
                <w:i w:val="0"/>
                <w:color w:val="212121"/>
                <w:sz w:val="19"/>
              </w:rPr>
              <w:t>Regular sipping and humidification relieve xerostomia and protect the mouth</w:t>
            </w:r>
          </w:p>
          <w:p>
            <w:pPr>
              <w:spacing w:after="40" w:line="252" w:lineRule="auto"/>
            </w:pPr>
            <w:hyperlink r:id="rId13">
              <w:r>
                <w:rPr>
                  <w:rFonts w:ascii="Calibri" w:hAnsi="Calibri" w:cs="Calibri"/>
                  <w:sz w:val="18"/>
                  <w:color w:val="1155CC"/>
                  <w:u w:val="single"/>
                </w:rPr>
                <w:t xml:space="preserve">https://www.nidcr.nih.gov/health-info/sjogrens-syndrome</w:t>
              </w:r>
            </w:hyperlink>
          </w:p>
        </w:tc>
      </w:tr>
      <w:tr>
        <w:trPr>
          <w:cantSplit/>
        </w:trPr>
        <w:tc>
          <w:tcPr>
            <w:tcW w:type="dxa" w:w="1512"/>
            <w:vMerge w:val="restart"/>
            <w:vAlign w:val="center"/>
          </w:tcPr>
          <w:p>
            <w:pPr>
              <w:spacing w:after="40"/>
            </w:pPr>
            <w:r>
              <w:rPr>
                <w:rFonts w:ascii="Calibri" w:hAnsi="Calibri"/>
                <w:b w:val="0"/>
                <w:i w:val="0"/>
                <w:color w:val="212121"/>
                <w:sz w:val="19"/>
              </w:rPr>
              <w:t>Hygiene</w:t>
            </w:r>
          </w:p>
        </w:tc>
        <w:tc>
          <w:tcPr>
            <w:tcW w:type="dxa" w:w="1944"/>
            <w:vAlign w:val="top"/>
          </w:tcPr>
          <w:p>
            <w:pPr>
              <w:spacing w:after="40" w:before="0" w:line="259" w:lineRule="auto"/>
            </w:pPr>
            <w:r>
              <w:rPr>
                <w:rFonts w:ascii="Calibri" w:hAnsi="Calibri"/>
                <w:b w:val="0"/>
                <w:i w:val="0"/>
                <w:color w:val="212121"/>
                <w:sz w:val="19"/>
              </w:rPr>
              <w:t>Dental review interval</w:t>
            </w:r>
          </w:p>
        </w:tc>
        <w:tc>
          <w:tcPr>
            <w:tcW w:type="dxa" w:w="1655"/>
            <w:vAlign w:val="top"/>
          </w:tcPr>
          <w:p>
            <w:pPr>
              <w:spacing w:after="40" w:before="0" w:line="259" w:lineRule="auto"/>
            </w:pPr>
            <w:r>
              <w:rPr>
                <w:rFonts w:ascii="Calibri" w:hAnsi="Calibri"/>
                <w:b w:val="0"/>
                <w:i w:val="0"/>
                <w:color w:val="212121"/>
                <w:sz w:val="19"/>
              </w:rPr>
              <w:t>Patients with dry mouth</w:t>
            </w:r>
          </w:p>
        </w:tc>
        <w:tc>
          <w:tcPr>
            <w:tcW w:type="dxa" w:w="1512"/>
            <w:vAlign w:val="top"/>
          </w:tcPr>
          <w:p>
            <w:pPr>
              <w:spacing w:after="40" w:before="0" w:line="259" w:lineRule="auto"/>
            </w:pPr>
            <w:r>
              <w:rPr>
                <w:rFonts w:ascii="Calibri" w:hAnsi="Calibri"/>
                <w:b w:val="0"/>
                <w:i w:val="0"/>
                <w:color w:val="212121"/>
                <w:sz w:val="19"/>
              </w:rPr>
              <w:t>Every 3–6 months</w:t>
            </w:r>
          </w:p>
        </w:tc>
        <w:tc>
          <w:tcPr>
            <w:tcW w:type="dxa" w:w="1512"/>
            <w:vAlign w:val="top"/>
          </w:tcPr>
          <w:p>
            <w:pPr>
              <w:spacing w:after="40" w:before="0" w:line="259" w:lineRule="auto"/>
            </w:pPr>
            <w:r>
              <w:rPr>
                <w:rFonts w:ascii="Calibri" w:hAnsi="Calibri"/>
                <w:b w:val="0"/>
                <w:i w:val="0"/>
                <w:color w:val="212121"/>
                <w:sz w:val="19"/>
              </w:rPr>
              <w:t>≥ 12 months / no dental care</w:t>
            </w:r>
          </w:p>
        </w:tc>
        <w:tc>
          <w:tcPr>
            <w:tcW w:type="dxa" w:w="1468"/>
            <w:vAlign w:val="top"/>
          </w:tcPr>
          <w:p>
            <w:pPr>
              <w:spacing w:after="60" w:line="259" w:lineRule="auto"/>
            </w:pPr>
            <w:r>
              <w:rPr>
                <w:rFonts w:ascii="Calibri" w:hAnsi="Calibri"/>
                <w:b w:val="0"/>
                <w:i w:val="0"/>
                <w:color w:val="212121"/>
                <w:sz w:val="19"/>
              </w:rPr>
              <w:t>Frequent review catches rampant caries early in the saliva-depleted mouth</w:t>
            </w:r>
          </w:p>
          <w:p>
            <w:pPr>
              <w:spacing w:after="40" w:line="252" w:lineRule="auto"/>
            </w:pPr>
            <w:hyperlink r:id="rId13">
              <w:r>
                <w:rPr>
                  <w:rFonts w:ascii="Calibri" w:hAnsi="Calibri" w:cs="Calibri"/>
                  <w:sz w:val="18"/>
                  <w:color w:val="1155CC"/>
                  <w:u w:val="single"/>
                </w:rPr>
                <w:t xml:space="preserve">https://www.nidcr.nih.gov/health-info/sjogrens-syndrome</w:t>
              </w:r>
            </w:hyperlink>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Daily fluoride &amp; oral care</w:t>
            </w:r>
          </w:p>
        </w:tc>
        <w:tc>
          <w:tcPr>
            <w:tcW w:type="dxa" w:w="1655"/>
            <w:vAlign w:val="top"/>
          </w:tcPr>
          <w:p>
            <w:pPr>
              <w:spacing w:after="40" w:before="0" w:line="259" w:lineRule="auto"/>
            </w:pPr>
            <w:r>
              <w:rPr>
                <w:rFonts w:ascii="Calibri" w:hAnsi="Calibri"/>
                <w:b w:val="0"/>
                <w:i w:val="0"/>
                <w:color w:val="212121"/>
                <w:sz w:val="19"/>
              </w:rPr>
              <w:t>Patients with xerostomia</w:t>
            </w:r>
          </w:p>
        </w:tc>
        <w:tc>
          <w:tcPr>
            <w:tcW w:type="dxa" w:w="1512"/>
            <w:vAlign w:val="top"/>
          </w:tcPr>
          <w:p>
            <w:pPr>
              <w:spacing w:after="40" w:before="0" w:line="259" w:lineRule="auto"/>
            </w:pPr>
            <w:r>
              <w:rPr>
                <w:rFonts w:ascii="Calibri" w:hAnsi="Calibri"/>
                <w:b w:val="0"/>
                <w:i w:val="0"/>
                <w:color w:val="212121"/>
                <w:sz w:val="19"/>
              </w:rPr>
              <w:t>Brush twice daily with high-fluoride toothpaste ± fluoride rinse</w:t>
            </w:r>
          </w:p>
        </w:tc>
        <w:tc>
          <w:tcPr>
            <w:tcW w:type="dxa" w:w="1512"/>
            <w:vAlign w:val="top"/>
          </w:tcPr>
          <w:p>
            <w:pPr>
              <w:spacing w:after="40" w:before="0" w:line="259" w:lineRule="auto"/>
            </w:pPr>
            <w:r>
              <w:rPr>
                <w:rFonts w:ascii="Calibri" w:hAnsi="Calibri"/>
                <w:b w:val="0"/>
                <w:i w:val="0"/>
                <w:color w:val="212121"/>
                <w:sz w:val="19"/>
              </w:rPr>
              <w:t>Irregular brushing, no fluoride</w:t>
            </w:r>
          </w:p>
        </w:tc>
        <w:tc>
          <w:tcPr>
            <w:tcW w:type="dxa" w:w="1468"/>
            <w:vAlign w:val="top"/>
          </w:tcPr>
          <w:p>
            <w:pPr>
              <w:spacing w:after="60" w:line="259" w:lineRule="auto"/>
            </w:pPr>
            <w:r>
              <w:rPr>
                <w:rFonts w:ascii="Calibri" w:hAnsi="Calibri"/>
                <w:b w:val="0"/>
                <w:i w:val="0"/>
                <w:color w:val="212121"/>
                <w:sz w:val="19"/>
              </w:rPr>
              <w:t>High-fluoride regimens are essential to prevent tooth destruction</w:t>
            </w:r>
          </w:p>
          <w:p>
            <w:pPr>
              <w:spacing w:after="40" w:line="252" w:lineRule="auto"/>
            </w:pPr>
            <w:hyperlink r:id="rId13">
              <w:r>
                <w:rPr>
                  <w:rFonts w:ascii="Calibri" w:hAnsi="Calibri" w:cs="Calibri"/>
                  <w:sz w:val="18"/>
                  <w:color w:val="1155CC"/>
                  <w:u w:val="single"/>
                </w:rPr>
                <w:t xml:space="preserve">https://www.nidcr.nih.gov/health-info/sjogrens-syndrome</w:t>
              </w:r>
            </w:hyperlink>
          </w:p>
        </w:tc>
      </w:tr>
      <w:tr>
        <w:trPr>
          <w:cantSplit/>
        </w:trPr>
        <w:tc>
          <w:tcPr>
            <w:tcW w:type="dxa" w:w="1512"/>
            <w:vAlign w:val="center"/>
          </w:tcPr>
          <w:p>
            <w:pPr>
              <w:spacing w:after="40"/>
            </w:pPr>
            <w:r>
              <w:rPr>
                <w:rFonts w:ascii="Calibri" w:hAnsi="Calibri"/>
                <w:b w:val="0"/>
                <w:i w:val="0"/>
                <w:color w:val="212121"/>
                <w:sz w:val="19"/>
              </w:rPr>
              <w:t>Food</w:t>
            </w:r>
          </w:p>
        </w:tc>
        <w:tc>
          <w:tcPr>
            <w:tcW w:type="dxa" w:w="1944"/>
            <w:vAlign w:val="top"/>
          </w:tcPr>
          <w:p>
            <w:pPr>
              <w:spacing w:after="40" w:before="0" w:line="259" w:lineRule="auto"/>
            </w:pPr>
            <w:r>
              <w:rPr>
                <w:rFonts w:ascii="Calibri" w:hAnsi="Calibri"/>
                <w:b w:val="0"/>
                <w:i w:val="0"/>
                <w:color w:val="212121"/>
                <w:sz w:val="19"/>
              </w:rPr>
              <w:t>Fermentable sugar / acidic snack frequency</w:t>
            </w:r>
          </w:p>
        </w:tc>
        <w:tc>
          <w:tcPr>
            <w:tcW w:type="dxa" w:w="1655"/>
            <w:vAlign w:val="top"/>
          </w:tcPr>
          <w:p>
            <w:pPr>
              <w:spacing w:after="40" w:before="0" w:line="259" w:lineRule="auto"/>
            </w:pPr>
            <w:r>
              <w:rPr>
                <w:rFonts w:ascii="Calibri" w:hAnsi="Calibri"/>
                <w:b w:val="0"/>
                <w:i w:val="0"/>
                <w:color w:val="212121"/>
                <w:sz w:val="19"/>
              </w:rPr>
              <w:t>Patients with dry mouth</w:t>
            </w:r>
          </w:p>
        </w:tc>
        <w:tc>
          <w:tcPr>
            <w:tcW w:type="dxa" w:w="1512"/>
            <w:vAlign w:val="top"/>
          </w:tcPr>
          <w:p>
            <w:pPr>
              <w:spacing w:after="40" w:before="0" w:line="259" w:lineRule="auto"/>
            </w:pPr>
            <w:r>
              <w:rPr>
                <w:rFonts w:ascii="Calibri" w:hAnsi="Calibri"/>
                <w:b w:val="0"/>
                <w:i w:val="0"/>
                <w:color w:val="212121"/>
                <w:sz w:val="19"/>
              </w:rPr>
              <w:t>Minimal between-meal sugar/acid</w:t>
            </w:r>
          </w:p>
        </w:tc>
        <w:tc>
          <w:tcPr>
            <w:tcW w:type="dxa" w:w="1512"/>
            <w:vAlign w:val="top"/>
          </w:tcPr>
          <w:p>
            <w:pPr>
              <w:spacing w:after="40" w:before="0" w:line="259" w:lineRule="auto"/>
            </w:pPr>
            <w:r>
              <w:rPr>
                <w:rFonts w:ascii="Calibri" w:hAnsi="Calibri"/>
                <w:b w:val="0"/>
                <w:i w:val="0"/>
                <w:color w:val="212121"/>
                <w:sz w:val="19"/>
              </w:rPr>
              <w:t>Frequent sugary or acidic snacks/drinks</w:t>
            </w:r>
          </w:p>
        </w:tc>
        <w:tc>
          <w:tcPr>
            <w:tcW w:type="dxa" w:w="1468"/>
            <w:vAlign w:val="top"/>
          </w:tcPr>
          <w:p>
            <w:pPr>
              <w:spacing w:after="60" w:line="259" w:lineRule="auto"/>
            </w:pPr>
            <w:r>
              <w:rPr>
                <w:rFonts w:ascii="Calibri" w:hAnsi="Calibri"/>
                <w:b w:val="0"/>
                <w:i w:val="0"/>
                <w:color w:val="212121"/>
                <w:sz w:val="19"/>
              </w:rPr>
              <w:t>Between-meal sugar drives caries and erosion when saliva is low</w:t>
            </w:r>
          </w:p>
          <w:p>
            <w:pPr>
              <w:spacing w:after="40" w:line="252" w:lineRule="auto"/>
            </w:pPr>
            <w:hyperlink r:id="rId13">
              <w:r>
                <w:rPr>
                  <w:rFonts w:ascii="Calibri" w:hAnsi="Calibri" w:cs="Calibri"/>
                  <w:sz w:val="18"/>
                  <w:color w:val="1155CC"/>
                  <w:u w:val="single"/>
                </w:rPr>
                <w:t xml:space="preserve">https://www.nidcr.nih.gov/health-info/sjogrens-syndrome</w:t>
              </w:r>
            </w:hyperlink>
          </w:p>
        </w:tc>
      </w:tr>
      <w:tr>
        <w:trPr>
          <w:cantSplit/>
        </w:trPr>
        <w:tc>
          <w:tcPr>
            <w:tcW w:type="dxa" w:w="1512"/>
            <w:vAlign w:val="center"/>
          </w:tcPr>
          <w:p>
            <w:pPr>
              <w:spacing w:after="40"/>
            </w:pPr>
            <w:r>
              <w:rPr>
                <w:rFonts w:ascii="Calibri" w:hAnsi="Calibri"/>
                <w:b w:val="0"/>
                <w:i w:val="0"/>
                <w:color w:val="212121"/>
                <w:sz w:val="19"/>
              </w:rPr>
              <w:t>Physical activity</w:t>
            </w:r>
          </w:p>
        </w:tc>
        <w:tc>
          <w:tcPr>
            <w:tcW w:type="dxa" w:w="1944"/>
            <w:vAlign w:val="top"/>
          </w:tcPr>
          <w:p>
            <w:pPr>
              <w:spacing w:after="40" w:before="0" w:line="259" w:lineRule="auto"/>
            </w:pPr>
            <w:r>
              <w:rPr>
                <w:rFonts w:ascii="Calibri" w:hAnsi="Calibri"/>
                <w:b w:val="0"/>
                <w:i w:val="0"/>
                <w:color w:val="212121"/>
                <w:sz w:val="19"/>
              </w:rPr>
              <w:t>Moderate aerobic activity</w:t>
            </w:r>
          </w:p>
        </w:tc>
        <w:tc>
          <w:tcPr>
            <w:tcW w:type="dxa" w:w="1655"/>
            <w:vAlign w:val="top"/>
          </w:tcPr>
          <w:p>
            <w:pPr>
              <w:spacing w:after="40" w:before="0" w:line="259" w:lineRule="auto"/>
            </w:pPr>
            <w:r>
              <w:rPr>
                <w:rFonts w:ascii="Calibri" w:hAnsi="Calibri"/>
                <w:b w:val="0"/>
                <w:i w:val="0"/>
                <w:color w:val="212121"/>
                <w:sz w:val="19"/>
              </w:rPr>
              <w:t>Adults with Sjögren's</w:t>
            </w:r>
          </w:p>
        </w:tc>
        <w:tc>
          <w:tcPr>
            <w:tcW w:type="dxa" w:w="1512"/>
            <w:vAlign w:val="top"/>
          </w:tcPr>
          <w:p>
            <w:pPr>
              <w:spacing w:after="40" w:before="0" w:line="259" w:lineRule="auto"/>
            </w:pPr>
            <w:r>
              <w:rPr>
                <w:rFonts w:ascii="Calibri" w:hAnsi="Calibri"/>
                <w:b w:val="0"/>
                <w:i w:val="0"/>
                <w:color w:val="212121"/>
                <w:sz w:val="19"/>
              </w:rPr>
              <w:t>≥ 150 min/week as tolerated</w:t>
            </w:r>
          </w:p>
        </w:tc>
        <w:tc>
          <w:tcPr>
            <w:tcW w:type="dxa" w:w="1512"/>
            <w:vAlign w:val="top"/>
          </w:tcPr>
          <w:p>
            <w:pPr>
              <w:spacing w:after="40" w:before="0" w:line="259" w:lineRule="auto"/>
            </w:pPr>
            <w:r>
              <w:rPr>
                <w:rFonts w:ascii="Calibri" w:hAnsi="Calibri"/>
                <w:b w:val="0"/>
                <w:i w:val="0"/>
                <w:color w:val="212121"/>
                <w:sz w:val="19"/>
              </w:rPr>
              <w:t>Sedentary / &lt; 150 min/week</w:t>
            </w:r>
          </w:p>
        </w:tc>
        <w:tc>
          <w:tcPr>
            <w:tcW w:type="dxa" w:w="1468"/>
            <w:vAlign w:val="top"/>
          </w:tcPr>
          <w:p>
            <w:pPr>
              <w:spacing w:after="40" w:before="0" w:line="259" w:lineRule="auto"/>
            </w:pPr>
            <w:r>
              <w:rPr>
                <w:rFonts w:ascii="Calibri" w:hAnsi="Calibri"/>
                <w:b w:val="0"/>
                <w:i w:val="0"/>
                <w:color w:val="212121"/>
                <w:sz w:val="19"/>
              </w:rPr>
              <w:t>Graded activity is one of the few evidence-based measures for Sjögren's fatigue</w:t>
            </w:r>
          </w:p>
        </w:tc>
      </w:tr>
      <w:tr>
        <w:trPr>
          <w:cantSplit/>
        </w:trPr>
        <w:tc>
          <w:tcPr>
            <w:tcW w:type="dxa" w:w="1512"/>
            <w:vAlign w:val="center"/>
          </w:tcPr>
          <w:p>
            <w:pPr>
              <w:spacing w:after="40"/>
            </w:pPr>
            <w:r>
              <w:rPr>
                <w:rFonts w:ascii="Calibri" w:hAnsi="Calibri"/>
                <w:b w:val="0"/>
                <w:i w:val="0"/>
                <w:color w:val="212121"/>
                <w:sz w:val="19"/>
              </w:rPr>
              <w:t>Sleep</w:t>
            </w:r>
          </w:p>
        </w:tc>
        <w:tc>
          <w:tcPr>
            <w:tcW w:type="dxa" w:w="1944"/>
            <w:vAlign w:val="top"/>
          </w:tcPr>
          <w:p>
            <w:pPr>
              <w:spacing w:after="40" w:before="0" w:line="259" w:lineRule="auto"/>
            </w:pPr>
            <w:r>
              <w:rPr>
                <w:rFonts w:ascii="Calibri" w:hAnsi="Calibri"/>
                <w:b w:val="0"/>
                <w:i w:val="0"/>
                <w:color w:val="212121"/>
                <w:sz w:val="19"/>
              </w:rPr>
              <w:t>Sleep duration</w:t>
            </w:r>
          </w:p>
        </w:tc>
        <w:tc>
          <w:tcPr>
            <w:tcW w:type="dxa" w:w="1655"/>
            <w:vAlign w:val="top"/>
          </w:tcPr>
          <w:p>
            <w:pPr>
              <w:spacing w:after="40" w:before="0" w:line="259" w:lineRule="auto"/>
            </w:pPr>
            <w:r>
              <w:rPr>
                <w:rFonts w:ascii="Calibri" w:hAnsi="Calibri"/>
                <w:b w:val="0"/>
                <w:i w:val="0"/>
                <w:color w:val="212121"/>
                <w:sz w:val="19"/>
              </w:rPr>
              <w:t>Adults with Sjögren's</w:t>
            </w:r>
          </w:p>
        </w:tc>
        <w:tc>
          <w:tcPr>
            <w:tcW w:type="dxa" w:w="1512"/>
            <w:vAlign w:val="top"/>
          </w:tcPr>
          <w:p>
            <w:pPr>
              <w:spacing w:after="40" w:before="0" w:line="259" w:lineRule="auto"/>
            </w:pPr>
            <w:r>
              <w:rPr>
                <w:rFonts w:ascii="Calibri" w:hAnsi="Calibri"/>
                <w:b w:val="0"/>
                <w:i w:val="0"/>
                <w:color w:val="212121"/>
                <w:sz w:val="19"/>
              </w:rPr>
              <w:t>7–9 hours/night</w:t>
            </w:r>
          </w:p>
        </w:tc>
        <w:tc>
          <w:tcPr>
            <w:tcW w:type="dxa" w:w="1512"/>
            <w:vAlign w:val="top"/>
          </w:tcPr>
          <w:p>
            <w:pPr>
              <w:spacing w:after="40" w:before="0" w:line="259" w:lineRule="auto"/>
            </w:pPr>
            <w:r>
              <w:rPr>
                <w:rFonts w:ascii="Calibri" w:hAnsi="Calibri"/>
                <w:b w:val="0"/>
                <w:i w:val="0"/>
                <w:color w:val="212121"/>
                <w:sz w:val="19"/>
              </w:rPr>
              <w:t>&lt; 6 hours or badly fragmented</w:t>
            </w:r>
          </w:p>
        </w:tc>
        <w:tc>
          <w:tcPr>
            <w:tcW w:type="dxa" w:w="1468"/>
            <w:vAlign w:val="top"/>
          </w:tcPr>
          <w:p>
            <w:pPr>
              <w:spacing w:after="40" w:before="0" w:line="259" w:lineRule="auto"/>
            </w:pPr>
            <w:r>
              <w:rPr>
                <w:rFonts w:ascii="Calibri" w:hAnsi="Calibri"/>
                <w:b w:val="0"/>
                <w:i w:val="0"/>
                <w:color w:val="212121"/>
                <w:sz w:val="19"/>
              </w:rPr>
              <w:t>Poor sleep amplifies fatigue, pain and cognitive complaints</w:t>
            </w:r>
          </w:p>
        </w:tc>
      </w:tr>
      <w:tr>
        <w:trPr>
          <w:cantSplit/>
        </w:trPr>
        <w:tc>
          <w:tcPr>
            <w:tcW w:type="dxa" w:w="1512"/>
            <w:vAlign w:val="center"/>
          </w:tcPr>
          <w:p>
            <w:pPr>
              <w:spacing w:after="40"/>
            </w:pPr>
            <w:r>
              <w:rPr>
                <w:rFonts w:ascii="Calibri" w:hAnsi="Calibri"/>
                <w:b w:val="0"/>
                <w:i w:val="0"/>
                <w:color w:val="212121"/>
                <w:sz w:val="19"/>
              </w:rPr>
              <w:t>Smoking</w:t>
            </w:r>
          </w:p>
        </w:tc>
        <w:tc>
          <w:tcPr>
            <w:tcW w:type="dxa" w:w="1944"/>
            <w:vAlign w:val="top"/>
          </w:tcPr>
          <w:p>
            <w:pPr>
              <w:spacing w:after="40" w:before="0" w:line="259" w:lineRule="auto"/>
            </w:pPr>
            <w:r>
              <w:rPr>
                <w:rFonts w:ascii="Calibri" w:hAnsi="Calibri"/>
                <w:b w:val="0"/>
                <w:i w:val="0"/>
                <w:color w:val="212121"/>
                <w:sz w:val="19"/>
              </w:rPr>
              <w:t>Tobacco use (smoked or chewed)</w:t>
            </w:r>
          </w:p>
        </w:tc>
        <w:tc>
          <w:tcPr>
            <w:tcW w:type="dxa" w:w="1655"/>
            <w:vAlign w:val="top"/>
          </w:tcPr>
          <w:p>
            <w:pPr>
              <w:spacing w:after="40" w:before="0" w:line="259" w:lineRule="auto"/>
            </w:pPr>
            <w:r>
              <w:rPr>
                <w:rFonts w:ascii="Calibri" w:hAnsi="Calibri"/>
                <w:b w:val="0"/>
                <w:i w:val="0"/>
                <w:color w:val="212121"/>
                <w:sz w:val="19"/>
              </w:rPr>
              <w:t>All patients</w:t>
            </w:r>
          </w:p>
        </w:tc>
        <w:tc>
          <w:tcPr>
            <w:tcW w:type="dxa" w:w="1512"/>
            <w:vAlign w:val="top"/>
          </w:tcPr>
          <w:p>
            <w:pPr>
              <w:spacing w:after="40" w:before="0" w:line="259" w:lineRule="auto"/>
            </w:pPr>
            <w:r>
              <w:rPr>
                <w:rFonts w:ascii="Calibri" w:hAnsi="Calibri"/>
                <w:b w:val="0"/>
                <w:i w:val="0"/>
                <w:color w:val="212121"/>
                <w:sz w:val="19"/>
              </w:rPr>
              <w:t>0 (non-user)</w:t>
            </w:r>
          </w:p>
        </w:tc>
        <w:tc>
          <w:tcPr>
            <w:tcW w:type="dxa" w:w="1512"/>
            <w:vAlign w:val="top"/>
          </w:tcPr>
          <w:p>
            <w:pPr>
              <w:spacing w:after="40" w:before="0" w:line="259" w:lineRule="auto"/>
            </w:pPr>
            <w:r>
              <w:rPr>
                <w:rFonts w:ascii="Calibri" w:hAnsi="Calibri"/>
                <w:b w:val="0"/>
                <w:i w:val="0"/>
                <w:color w:val="212121"/>
                <w:sz w:val="19"/>
              </w:rPr>
              <w:t>Any current tobacco use</w:t>
            </w:r>
          </w:p>
        </w:tc>
        <w:tc>
          <w:tcPr>
            <w:tcW w:type="dxa" w:w="1468"/>
            <w:vAlign w:val="top"/>
          </w:tcPr>
          <w:p>
            <w:pPr>
              <w:spacing w:after="40" w:before="0" w:line="259" w:lineRule="auto"/>
            </w:pPr>
            <w:r>
              <w:rPr>
                <w:rFonts w:ascii="Calibri" w:hAnsi="Calibri"/>
                <w:b w:val="0"/>
                <w:i w:val="0"/>
                <w:color w:val="212121"/>
                <w:sz w:val="19"/>
              </w:rPr>
              <w:t>Tobacco worsens dry mouth, oral, dental and lung disease</w:t>
            </w:r>
          </w:p>
        </w:tc>
      </w:tr>
      <w:tr>
        <w:trPr>
          <w:cantSplit/>
        </w:trPr>
        <w:tc>
          <w:tcPr>
            <w:tcW w:type="dxa" w:w="1512"/>
            <w:vAlign w:val="center"/>
          </w:tcPr>
          <w:p>
            <w:pPr>
              <w:spacing w:after="40"/>
            </w:pPr>
            <w:r>
              <w:rPr>
                <w:rFonts w:ascii="Calibri" w:hAnsi="Calibri"/>
                <w:b w:val="0"/>
                <w:i w:val="0"/>
                <w:color w:val="212121"/>
                <w:sz w:val="19"/>
              </w:rPr>
              <w:t>Alcohol</w:t>
            </w:r>
          </w:p>
        </w:tc>
        <w:tc>
          <w:tcPr>
            <w:tcW w:type="dxa" w:w="1944"/>
            <w:vAlign w:val="top"/>
          </w:tcPr>
          <w:p>
            <w:pPr>
              <w:spacing w:after="40" w:before="0" w:line="259" w:lineRule="auto"/>
            </w:pPr>
            <w:r>
              <w:rPr>
                <w:rFonts w:ascii="Calibri" w:hAnsi="Calibri"/>
                <w:b w:val="0"/>
                <w:i w:val="0"/>
                <w:color w:val="212121"/>
                <w:sz w:val="19"/>
              </w:rPr>
              <w:t>Alcohol intake</w:t>
            </w:r>
          </w:p>
        </w:tc>
        <w:tc>
          <w:tcPr>
            <w:tcW w:type="dxa" w:w="1655"/>
            <w:vAlign w:val="top"/>
          </w:tcPr>
          <w:p>
            <w:pPr>
              <w:spacing w:after="40" w:before="0" w:line="259" w:lineRule="auto"/>
            </w:pPr>
            <w:r>
              <w:rPr>
                <w:rFonts w:ascii="Calibri" w:hAnsi="Calibri"/>
                <w:b w:val="0"/>
                <w:i w:val="0"/>
                <w:color w:val="212121"/>
                <w:sz w:val="19"/>
              </w:rPr>
              <w:t>Patients, esp. on methotrexate/leflunomide</w:t>
            </w:r>
          </w:p>
        </w:tc>
        <w:tc>
          <w:tcPr>
            <w:tcW w:type="dxa" w:w="1512"/>
            <w:vAlign w:val="top"/>
          </w:tcPr>
          <w:p>
            <w:pPr>
              <w:spacing w:after="40" w:before="0" w:line="259" w:lineRule="auto"/>
            </w:pPr>
            <w:r>
              <w:rPr>
                <w:rFonts w:ascii="Calibri" w:hAnsi="Calibri"/>
                <w:b w:val="0"/>
                <w:i w:val="0"/>
                <w:color w:val="212121"/>
                <w:sz w:val="19"/>
              </w:rPr>
              <w:t>Nil to minimal</w:t>
            </w:r>
          </w:p>
        </w:tc>
        <w:tc>
          <w:tcPr>
            <w:tcW w:type="dxa" w:w="1512"/>
            <w:vAlign w:val="top"/>
          </w:tcPr>
          <w:p>
            <w:pPr>
              <w:spacing w:after="40" w:before="0" w:line="259" w:lineRule="auto"/>
            </w:pPr>
            <w:r>
              <w:rPr>
                <w:rFonts w:ascii="Calibri" w:hAnsi="Calibri"/>
                <w:b w:val="0"/>
                <w:i w:val="0"/>
                <w:color w:val="212121"/>
                <w:sz w:val="19"/>
              </w:rPr>
              <w:t>Regular/heavy drinking</w:t>
            </w:r>
          </w:p>
        </w:tc>
        <w:tc>
          <w:tcPr>
            <w:tcW w:type="dxa" w:w="1468"/>
            <w:vAlign w:val="top"/>
          </w:tcPr>
          <w:p>
            <w:pPr>
              <w:spacing w:after="40" w:before="0" w:line="259" w:lineRule="auto"/>
            </w:pPr>
            <w:r>
              <w:rPr>
                <w:rFonts w:ascii="Calibri" w:hAnsi="Calibri"/>
                <w:b w:val="0"/>
                <w:i w:val="0"/>
                <w:color w:val="212121"/>
                <w:sz w:val="19"/>
              </w:rPr>
              <w:t>Alcohol dries mucosa and compounds immunosuppressant hepatotoxicity</w:t>
            </w:r>
          </w:p>
        </w:tc>
      </w:tr>
      <w:tr>
        <w:trPr>
          <w:cantSplit/>
        </w:trPr>
        <w:tc>
          <w:tcPr>
            <w:tcW w:type="dxa" w:w="1512"/>
            <w:vAlign w:val="center"/>
          </w:tcPr>
          <w:p>
            <w:pPr>
              <w:spacing w:after="40"/>
            </w:pPr>
            <w:r>
              <w:rPr>
                <w:rFonts w:ascii="Calibri" w:hAnsi="Calibri"/>
                <w:b w:val="0"/>
                <w:i w:val="0"/>
                <w:color w:val="212121"/>
                <w:sz w:val="19"/>
              </w:rPr>
              <w:t>Caffeine</w:t>
            </w:r>
          </w:p>
        </w:tc>
        <w:tc>
          <w:tcPr>
            <w:tcW w:type="dxa" w:w="1944"/>
            <w:vAlign w:val="top"/>
          </w:tcPr>
          <w:p>
            <w:pPr>
              <w:spacing w:after="40" w:before="0" w:line="259" w:lineRule="auto"/>
            </w:pPr>
            <w:r>
              <w:rPr>
                <w:rFonts w:ascii="Calibri" w:hAnsi="Calibri"/>
                <w:b w:val="0"/>
                <w:i w:val="0"/>
                <w:color w:val="212121"/>
                <w:sz w:val="19"/>
              </w:rPr>
              <w:t>Caffeinated drinks per day</w:t>
            </w:r>
          </w:p>
        </w:tc>
        <w:tc>
          <w:tcPr>
            <w:tcW w:type="dxa" w:w="1655"/>
            <w:vAlign w:val="top"/>
          </w:tcPr>
          <w:p>
            <w:pPr>
              <w:spacing w:after="40" w:before="0" w:line="259" w:lineRule="auto"/>
            </w:pPr>
            <w:r>
              <w:rPr>
                <w:rFonts w:ascii="Calibri" w:hAnsi="Calibri"/>
                <w:b w:val="0"/>
                <w:i w:val="0"/>
                <w:color w:val="212121"/>
                <w:sz w:val="19"/>
              </w:rPr>
              <w:t>Patients with sicca</w:t>
            </w:r>
          </w:p>
        </w:tc>
        <w:tc>
          <w:tcPr>
            <w:tcW w:type="dxa" w:w="1512"/>
            <w:vAlign w:val="top"/>
          </w:tcPr>
          <w:p>
            <w:pPr>
              <w:spacing w:after="40" w:before="0" w:line="259" w:lineRule="auto"/>
            </w:pPr>
            <w:r>
              <w:rPr>
                <w:rFonts w:ascii="Calibri" w:hAnsi="Calibri"/>
                <w:b w:val="0"/>
                <w:i w:val="0"/>
                <w:color w:val="212121"/>
                <w:sz w:val="19"/>
              </w:rPr>
              <w:t>≤ 2 cups/day</w:t>
            </w:r>
          </w:p>
        </w:tc>
        <w:tc>
          <w:tcPr>
            <w:tcW w:type="dxa" w:w="1512"/>
            <w:vAlign w:val="top"/>
          </w:tcPr>
          <w:p>
            <w:pPr>
              <w:spacing w:after="40" w:before="0" w:line="259" w:lineRule="auto"/>
            </w:pPr>
            <w:r>
              <w:rPr>
                <w:rFonts w:ascii="Calibri" w:hAnsi="Calibri"/>
                <w:b w:val="0"/>
                <w:i w:val="0"/>
                <w:color w:val="212121"/>
                <w:sz w:val="19"/>
              </w:rPr>
              <w:t>&gt; 4 cups/day</w:t>
            </w:r>
          </w:p>
        </w:tc>
        <w:tc>
          <w:tcPr>
            <w:tcW w:type="dxa" w:w="1468"/>
            <w:vAlign w:val="top"/>
          </w:tcPr>
          <w:p>
            <w:pPr>
              <w:spacing w:after="40" w:before="0" w:line="259" w:lineRule="auto"/>
            </w:pPr>
            <w:r>
              <w:rPr>
                <w:rFonts w:ascii="Calibri" w:hAnsi="Calibri"/>
                <w:b w:val="0"/>
                <w:i w:val="0"/>
                <w:color w:val="212121"/>
                <w:sz w:val="19"/>
              </w:rPr>
              <w:t>Excess caffeine has a diuretic, drying effect that worsens sicca</w:t>
            </w:r>
          </w:p>
        </w:tc>
      </w:tr>
      <w:tr>
        <w:trPr>
          <w:cantSplit/>
        </w:trPr>
        <w:tc>
          <w:tcPr>
            <w:tcW w:type="dxa" w:w="1512"/>
            <w:vAlign w:val="center"/>
          </w:tcPr>
          <w:p>
            <w:pPr>
              <w:spacing w:after="40"/>
            </w:pPr>
            <w:r>
              <w:rPr>
                <w:rFonts w:ascii="Calibri" w:hAnsi="Calibri"/>
                <w:b w:val="0"/>
                <w:i w:val="0"/>
                <w:color w:val="212121"/>
                <w:sz w:val="19"/>
              </w:rPr>
              <w:t>Food</w:t>
            </w:r>
          </w:p>
        </w:tc>
        <w:tc>
          <w:tcPr>
            <w:tcW w:type="dxa" w:w="1944"/>
            <w:vAlign w:val="top"/>
          </w:tcPr>
          <w:p>
            <w:pPr>
              <w:spacing w:after="40" w:before="0" w:line="259" w:lineRule="auto"/>
            </w:pPr>
            <w:r>
              <w:rPr>
                <w:rFonts w:ascii="Calibri" w:hAnsi="Calibri"/>
                <w:b w:val="0"/>
                <w:i w:val="0"/>
                <w:color w:val="212121"/>
                <w:sz w:val="19"/>
              </w:rPr>
              <w:t>Serum 25-hydroxy-vitamin D</w:t>
            </w:r>
          </w:p>
        </w:tc>
        <w:tc>
          <w:tcPr>
            <w:tcW w:type="dxa" w:w="1655"/>
            <w:vAlign w:val="top"/>
          </w:tcPr>
          <w:p>
            <w:pPr>
              <w:spacing w:after="40" w:before="0" w:line="259" w:lineRule="auto"/>
            </w:pPr>
            <w:r>
              <w:rPr>
                <w:rFonts w:ascii="Calibri" w:hAnsi="Calibri"/>
                <w:b w:val="0"/>
                <w:i w:val="0"/>
                <w:color w:val="212121"/>
                <w:sz w:val="19"/>
              </w:rPr>
              <w:t>Adults with autoimmune disease</w:t>
            </w:r>
          </w:p>
        </w:tc>
        <w:tc>
          <w:tcPr>
            <w:tcW w:type="dxa" w:w="1512"/>
            <w:vAlign w:val="top"/>
          </w:tcPr>
          <w:p>
            <w:pPr>
              <w:spacing w:after="40" w:before="0" w:line="259" w:lineRule="auto"/>
            </w:pPr>
            <w:r>
              <w:rPr>
                <w:rFonts w:ascii="Calibri" w:hAnsi="Calibri"/>
                <w:b w:val="0"/>
                <w:i w:val="0"/>
                <w:color w:val="212121"/>
                <w:sz w:val="19"/>
              </w:rPr>
              <w:t>≥ 30 ng/mL (≥ 75 nmol/L)</w:t>
            </w:r>
          </w:p>
        </w:tc>
        <w:tc>
          <w:tcPr>
            <w:tcW w:type="dxa" w:w="1512"/>
            <w:vAlign w:val="top"/>
          </w:tcPr>
          <w:p>
            <w:pPr>
              <w:spacing w:after="40" w:before="0" w:line="259" w:lineRule="auto"/>
            </w:pPr>
            <w:r>
              <w:rPr>
                <w:rFonts w:ascii="Calibri" w:hAnsi="Calibri"/>
                <w:b w:val="0"/>
                <w:i w:val="0"/>
                <w:color w:val="212121"/>
                <w:sz w:val="19"/>
              </w:rPr>
              <w:t>&lt; 20 ng/mL (deficiency)</w:t>
            </w:r>
          </w:p>
        </w:tc>
        <w:tc>
          <w:tcPr>
            <w:tcW w:type="dxa" w:w="1468"/>
            <w:vAlign w:val="top"/>
          </w:tcPr>
          <w:p>
            <w:pPr>
              <w:spacing w:after="40" w:before="0" w:line="259" w:lineRule="auto"/>
            </w:pPr>
            <w:r>
              <w:rPr>
                <w:rFonts w:ascii="Calibri" w:hAnsi="Calibri"/>
                <w:b w:val="0"/>
                <w:i w:val="0"/>
                <w:color w:val="212121"/>
                <w:sz w:val="19"/>
              </w:rPr>
              <w:t>Deficiency is common in autoimmune disease and worth correcting for bone and general health</w:t>
            </w:r>
          </w:p>
        </w:tc>
      </w:tr>
      <w:tr>
        <w:trPr>
          <w:cantSplit/>
        </w:trPr>
        <w:tc>
          <w:tcPr>
            <w:tcW w:type="dxa" w:w="1512"/>
            <w:vAlign w:val="center"/>
          </w:tcPr>
          <w:p>
            <w:pPr>
              <w:spacing w:after="40"/>
            </w:pPr>
            <w:r>
              <w:rPr>
                <w:rFonts w:ascii="Calibri" w:hAnsi="Calibri"/>
                <w:b w:val="0"/>
                <w:i w:val="0"/>
                <w:color w:val="212121"/>
                <w:sz w:val="19"/>
              </w:rPr>
              <w:t>Physical activity</w:t>
            </w:r>
          </w:p>
        </w:tc>
        <w:tc>
          <w:tcPr>
            <w:tcW w:type="dxa" w:w="1944"/>
            <w:vAlign w:val="top"/>
          </w:tcPr>
          <w:p>
            <w:pPr>
              <w:spacing w:after="40" w:before="0" w:line="259" w:lineRule="auto"/>
            </w:pPr>
            <w:r>
              <w:rPr>
                <w:rFonts w:ascii="Calibri" w:hAnsi="Calibri"/>
                <w:b w:val="0"/>
                <w:i w:val="0"/>
                <w:color w:val="212121"/>
                <w:sz w:val="19"/>
              </w:rPr>
              <w:t>Body Mass Index (Asian-Indian)</w:t>
            </w:r>
          </w:p>
        </w:tc>
        <w:tc>
          <w:tcPr>
            <w:tcW w:type="dxa" w:w="1655"/>
            <w:vAlign w:val="top"/>
          </w:tcPr>
          <w:p>
            <w:pPr>
              <w:spacing w:after="40" w:before="0" w:line="259" w:lineRule="auto"/>
            </w:pPr>
            <w:r>
              <w:rPr>
                <w:rFonts w:ascii="Calibri" w:hAnsi="Calibri"/>
                <w:b w:val="0"/>
                <w:i w:val="0"/>
                <w:color w:val="212121"/>
                <w:sz w:val="19"/>
              </w:rPr>
              <w:t>Adults with Sjögren's</w:t>
            </w:r>
          </w:p>
        </w:tc>
        <w:tc>
          <w:tcPr>
            <w:tcW w:type="dxa" w:w="1512"/>
            <w:vAlign w:val="top"/>
          </w:tcPr>
          <w:p>
            <w:pPr>
              <w:spacing w:after="40" w:before="0" w:line="259" w:lineRule="auto"/>
            </w:pPr>
            <w:r>
              <w:rPr>
                <w:rFonts w:ascii="Calibri" w:hAnsi="Calibri"/>
                <w:b w:val="0"/>
                <w:i w:val="0"/>
                <w:color w:val="212121"/>
                <w:sz w:val="19"/>
              </w:rPr>
              <w:t>18.0–22.9 kg/m²</w:t>
            </w:r>
          </w:p>
        </w:tc>
        <w:tc>
          <w:tcPr>
            <w:tcW w:type="dxa" w:w="1512"/>
            <w:vAlign w:val="top"/>
          </w:tcPr>
          <w:p>
            <w:pPr>
              <w:spacing w:after="40" w:before="0" w:line="259" w:lineRule="auto"/>
            </w:pPr>
            <w:r>
              <w:rPr>
                <w:rFonts w:ascii="Calibri" w:hAnsi="Calibri"/>
                <w:b w:val="0"/>
                <w:i w:val="0"/>
                <w:color w:val="212121"/>
                <w:sz w:val="19"/>
              </w:rPr>
              <w:t>≥ 23 (overweight); ≥ 25 (obese)</w:t>
            </w:r>
          </w:p>
        </w:tc>
        <w:tc>
          <w:tcPr>
            <w:tcW w:type="dxa" w:w="1468"/>
            <w:vAlign w:val="top"/>
          </w:tcPr>
          <w:p>
            <w:pPr>
              <w:spacing w:after="40" w:before="0" w:line="259" w:lineRule="auto"/>
            </w:pPr>
            <w:r>
              <w:rPr>
                <w:rFonts w:ascii="Calibri" w:hAnsi="Calibri"/>
                <w:b w:val="0"/>
                <w:i w:val="0"/>
                <w:color w:val="212121"/>
                <w:sz w:val="19"/>
              </w:rPr>
              <w:t>Excess weight adds to fatigue and cardiometabolic comorbidity</w:t>
            </w:r>
          </w:p>
        </w:tc>
      </w:tr>
    </w:tbl>
    <w:p>
      <w:pPr>
        <w:spacing w:before="200" w:after="120"/>
      </w:pPr>
      <w:r>
        <w:rPr>
          <w:rFonts w:ascii="Calibri" w:hAnsi="Calibri"/>
          <w:b/>
          <w:i w:val="0"/>
          <w:color w:val="212121"/>
          <w:sz w:val="25"/>
        </w:rPr>
        <w:t>Traditional Health Parameters ( THP )</w:t>
      </w:r>
    </w:p>
    <w:p>
      <w:pPr>
        <w:spacing w:before="160" w:after="120"/>
      </w:pPr>
      <w:r>
        <w:rPr>
          <w:rFonts w:ascii="Calibri" w:hAnsi="Calibri"/>
          <w:b/>
          <w:i w:val="0"/>
          <w:color w:val="212121"/>
          <w:sz w:val="22"/>
        </w:rPr>
        <w:t>Quantitative THP</w:t>
      </w:r>
    </w:p>
    <w:tbl>
      <w:tblPr>
        <w:tblW w:type="dxa" w:w="9792"/>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873"/>
        <w:gridCol w:w="873"/>
        <w:gridCol w:w="873"/>
        <w:gridCol w:w="873"/>
        <w:gridCol w:w="873"/>
        <w:gridCol w:w="873"/>
        <w:gridCol w:w="873"/>
        <w:gridCol w:w="873"/>
        <w:gridCol w:w="873"/>
        <w:gridCol w:w="873"/>
        <w:gridCol w:w="873"/>
      </w:tblGrid>
      <w:tr>
        <w:trPr>
          <w:cantSplit/>
        </w:trPr>
        <w:tc>
          <w:tcPr>
            <w:tcW w:type="dxa" w:w="892"/>
            <w:shd w:val="clear" w:color="auto" w:fill="F2F2F2"/>
            <w:vAlign w:val="center"/>
          </w:tcPr>
          <w:p>
            <w:pPr>
              <w:spacing w:after="40" w:before="0" w:line="259" w:lineRule="auto"/>
            </w:pPr>
            <w:r>
              <w:rPr>
                <w:rFonts w:ascii="Calibri" w:hAnsi="Calibri"/>
                <w:b/>
                <w:i w:val="0"/>
                <w:color w:val="212121"/>
                <w:sz w:val="16"/>
              </w:rPr>
              <w:t>Diagnostic workup</w:t>
            </w:r>
          </w:p>
        </w:tc>
        <w:tc>
          <w:tcPr>
            <w:tcW w:type="dxa" w:w="835"/>
            <w:shd w:val="clear" w:color="auto" w:fill="F2F2F2"/>
            <w:vAlign w:val="center"/>
          </w:tcPr>
          <w:p>
            <w:pPr>
              <w:spacing w:after="40" w:before="0" w:line="259" w:lineRule="auto"/>
            </w:pPr>
            <w:r>
              <w:rPr>
                <w:rFonts w:ascii="Calibri" w:hAnsi="Calibri"/>
                <w:b/>
                <w:i w:val="0"/>
                <w:color w:val="212121"/>
                <w:sz w:val="16"/>
              </w:rPr>
              <w:t>Tests</w:t>
            </w:r>
          </w:p>
        </w:tc>
        <w:tc>
          <w:tcPr>
            <w:tcW w:type="dxa" w:w="1036"/>
            <w:shd w:val="clear" w:color="auto" w:fill="F2F2F2"/>
            <w:vAlign w:val="center"/>
          </w:tcPr>
          <w:p>
            <w:pPr>
              <w:spacing w:after="40" w:before="0" w:line="259" w:lineRule="auto"/>
            </w:pPr>
            <w:r>
              <w:rPr>
                <w:rFonts w:ascii="Calibri" w:hAnsi="Calibri"/>
                <w:b/>
                <w:i w:val="0"/>
                <w:color w:val="212121"/>
                <w:sz w:val="16"/>
              </w:rPr>
              <w:t>Parameter</w:t>
            </w:r>
          </w:p>
        </w:tc>
        <w:tc>
          <w:tcPr>
            <w:tcW w:type="dxa" w:w="892"/>
            <w:shd w:val="clear" w:color="auto" w:fill="F2F2F2"/>
            <w:vAlign w:val="center"/>
          </w:tcPr>
          <w:p>
            <w:pPr>
              <w:spacing w:after="40" w:before="0" w:line="259" w:lineRule="auto"/>
            </w:pPr>
            <w:r>
              <w:rPr>
                <w:rFonts w:ascii="Calibri" w:hAnsi="Calibri"/>
                <w:b/>
                <w:i w:val="0"/>
                <w:color w:val="212121"/>
                <w:sz w:val="16"/>
              </w:rPr>
              <w:t>THP</w:t>
            </w:r>
          </w:p>
        </w:tc>
        <w:tc>
          <w:tcPr>
            <w:tcW w:type="dxa" w:w="950"/>
            <w:shd w:val="clear" w:color="auto" w:fill="F2F2F2"/>
            <w:vAlign w:val="center"/>
          </w:tcPr>
          <w:p>
            <w:pPr>
              <w:spacing w:after="40" w:before="0" w:line="259" w:lineRule="auto"/>
            </w:pPr>
            <w:r>
              <w:rPr>
                <w:rFonts w:ascii="Calibri" w:hAnsi="Calibri"/>
                <w:b/>
                <w:i w:val="0"/>
                <w:color w:val="212121"/>
                <w:sz w:val="16"/>
              </w:rPr>
              <w:t>Normal values</w:t>
            </w:r>
          </w:p>
        </w:tc>
        <w:tc>
          <w:tcPr>
            <w:tcW w:type="dxa" w:w="950"/>
            <w:shd w:val="clear" w:color="auto" w:fill="F2F2F2"/>
            <w:vAlign w:val="center"/>
          </w:tcPr>
          <w:p>
            <w:pPr>
              <w:spacing w:after="40" w:before="0" w:line="259" w:lineRule="auto"/>
            </w:pPr>
            <w:r>
              <w:rPr>
                <w:rFonts w:ascii="Calibri" w:hAnsi="Calibri"/>
                <w:b/>
                <w:i w:val="0"/>
                <w:color w:val="212121"/>
                <w:sz w:val="16"/>
              </w:rPr>
              <w:t>Abnormal values</w:t>
            </w:r>
          </w:p>
        </w:tc>
        <w:tc>
          <w:tcPr>
            <w:tcW w:type="dxa" w:w="1036"/>
            <w:shd w:val="clear" w:color="auto" w:fill="F2F2F2"/>
            <w:vAlign w:val="center"/>
          </w:tcPr>
          <w:p>
            <w:pPr>
              <w:spacing w:after="40" w:before="0" w:line="259" w:lineRule="auto"/>
            </w:pPr>
            <w:r>
              <w:rPr>
                <w:rFonts w:ascii="Calibri" w:hAnsi="Calibri"/>
                <w:b/>
                <w:i w:val="0"/>
                <w:color w:val="212121"/>
                <w:sz w:val="16"/>
              </w:rPr>
              <w:t>Interpretation</w:t>
            </w:r>
          </w:p>
        </w:tc>
        <w:tc>
          <w:tcPr>
            <w:tcW w:type="dxa" w:w="1036"/>
            <w:shd w:val="clear" w:color="auto" w:fill="F2F2F2"/>
            <w:vAlign w:val="center"/>
          </w:tcPr>
          <w:p>
            <w:pPr>
              <w:spacing w:after="40" w:before="0" w:line="259" w:lineRule="auto"/>
            </w:pPr>
            <w:r>
              <w:rPr>
                <w:rFonts w:ascii="Calibri" w:hAnsi="Calibri"/>
                <w:b/>
                <w:i w:val="0"/>
                <w:color w:val="212121"/>
                <w:sz w:val="16"/>
              </w:rPr>
              <w:t>Profiles</w:t>
            </w:r>
          </w:p>
        </w:tc>
        <w:tc>
          <w:tcPr>
            <w:tcW w:type="dxa" w:w="720"/>
            <w:shd w:val="clear" w:color="auto" w:fill="F2F2F2"/>
            <w:vAlign w:val="center"/>
          </w:tcPr>
          <w:p>
            <w:pPr>
              <w:spacing w:after="40" w:before="0" w:line="259" w:lineRule="auto"/>
            </w:pPr>
            <w:r>
              <w:rPr>
                <w:rFonts w:ascii="Calibri" w:hAnsi="Calibri"/>
                <w:b/>
                <w:i w:val="0"/>
                <w:color w:val="212121"/>
                <w:sz w:val="16"/>
              </w:rPr>
              <w:t>LHP</w:t>
            </w:r>
          </w:p>
        </w:tc>
        <w:tc>
          <w:tcPr>
            <w:tcW w:type="dxa" w:w="720"/>
            <w:shd w:val="clear" w:color="auto" w:fill="F2F2F2"/>
            <w:vAlign w:val="center"/>
          </w:tcPr>
          <w:p>
            <w:pPr>
              <w:spacing w:after="40" w:before="0" w:line="259" w:lineRule="auto"/>
            </w:pPr>
            <w:r>
              <w:rPr>
                <w:rFonts w:ascii="Calibri" w:hAnsi="Calibri"/>
                <w:b/>
                <w:i w:val="0"/>
                <w:color w:val="212121"/>
                <w:sz w:val="16"/>
              </w:rPr>
              <w:t>Importance</w:t>
            </w:r>
          </w:p>
        </w:tc>
        <w:tc>
          <w:tcPr>
            <w:tcW w:type="dxa" w:w="720"/>
            <w:shd w:val="clear" w:color="auto" w:fill="F2F2F2"/>
            <w:vAlign w:val="center"/>
          </w:tcPr>
          <w:p>
            <w:pPr>
              <w:spacing w:after="40" w:before="0" w:line="259" w:lineRule="auto"/>
            </w:pPr>
            <w:r>
              <w:rPr>
                <w:rFonts w:ascii="Calibri" w:hAnsi="Calibri"/>
                <w:b/>
                <w:i w:val="0"/>
                <w:color w:val="212121"/>
                <w:sz w:val="16"/>
              </w:rPr>
              <w:t>Note</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Serology</w:t>
            </w:r>
          </w:p>
        </w:tc>
        <w:tc>
          <w:tcPr>
            <w:tcW w:type="dxa" w:w="1036"/>
            <w:vAlign w:val="top"/>
          </w:tcPr>
          <w:p>
            <w:pPr>
              <w:spacing w:after="40" w:before="0" w:line="259" w:lineRule="auto"/>
            </w:pPr>
            <w:r>
              <w:rPr>
                <w:rFonts w:ascii="Calibri" w:hAnsi="Calibri"/>
                <w:b w:val="0"/>
                <w:i w:val="0"/>
                <w:color w:val="212121"/>
                <w:sz w:val="16"/>
              </w:rPr>
              <w:t>Anti-SSA/Ro (Ro60/Ro52)</w:t>
            </w:r>
          </w:p>
        </w:tc>
        <w:tc>
          <w:tcPr>
            <w:tcW w:type="dxa" w:w="892"/>
            <w:vAlign w:val="top"/>
          </w:tcPr>
          <w:p>
            <w:pPr>
              <w:spacing w:after="40" w:before="0" w:line="259" w:lineRule="auto"/>
            </w:pPr>
            <w:r>
              <w:rPr>
                <w:rFonts w:ascii="Calibri" w:hAnsi="Calibri"/>
                <w:b w:val="0"/>
                <w:i w:val="0"/>
                <w:color w:val="212121"/>
                <w:sz w:val="16"/>
              </w:rPr>
              <w:t>Autoantibody assay</w:t>
            </w:r>
          </w:p>
        </w:tc>
        <w:tc>
          <w:tcPr>
            <w:tcW w:type="dxa" w:w="950"/>
            <w:vAlign w:val="top"/>
          </w:tcPr>
          <w:p>
            <w:pPr>
              <w:spacing w:after="40" w:before="0" w:line="259" w:lineRule="auto"/>
            </w:pPr>
            <w:r>
              <w:rPr>
                <w:rFonts w:ascii="Calibri" w:hAnsi="Calibri"/>
                <w:b w:val="0"/>
                <w:i w:val="0"/>
                <w:color w:val="212121"/>
                <w:sz w:val="16"/>
              </w:rPr>
              <w:t>Negative</w:t>
            </w:r>
          </w:p>
        </w:tc>
        <w:tc>
          <w:tcPr>
            <w:tcW w:type="dxa" w:w="950"/>
            <w:vAlign w:val="top"/>
          </w:tcPr>
          <w:p>
            <w:pPr>
              <w:spacing w:after="40" w:before="0" w:line="259" w:lineRule="auto"/>
            </w:pPr>
            <w:r>
              <w:rPr>
                <w:rFonts w:ascii="Calibri" w:hAnsi="Calibri"/>
                <w:b w:val="0"/>
                <w:i w:val="0"/>
                <w:color w:val="212121"/>
                <w:sz w:val="16"/>
              </w:rPr>
              <w:t>Positive (about 60–70% of pSS)</w:t>
            </w:r>
          </w:p>
        </w:tc>
        <w:tc>
          <w:tcPr>
            <w:tcW w:type="dxa" w:w="1036"/>
            <w:vAlign w:val="top"/>
          </w:tcPr>
          <w:p>
            <w:pPr>
              <w:spacing w:after="40" w:before="0" w:line="259" w:lineRule="auto"/>
            </w:pPr>
            <w:r>
              <w:rPr>
                <w:rFonts w:ascii="Calibri" w:hAnsi="Calibri"/>
                <w:b w:val="0"/>
                <w:i w:val="0"/>
                <w:color w:val="212121"/>
                <w:sz w:val="16"/>
              </w:rPr>
              <w:t>Key classification criterion (weight 3); marks systemic and lymphoma risk and pregnancy-related fetal heart-block risk</w:t>
            </w:r>
          </w:p>
        </w:tc>
        <w:tc>
          <w:tcPr>
            <w:tcW w:type="dxa" w:w="1036"/>
            <w:vAlign w:val="top"/>
          </w:tcPr>
          <w:p>
            <w:pPr>
              <w:spacing w:after="40" w:before="0" w:line="259" w:lineRule="auto"/>
            </w:pPr>
            <w:r>
              <w:rPr>
                <w:rFonts w:ascii="Calibri" w:hAnsi="Calibri"/>
                <w:b w:val="0"/>
                <w:i w:val="0"/>
                <w:color w:val="212121"/>
                <w:sz w:val="16"/>
              </w:rPr>
              <w:t>Suspected Sjögren's, sicca patients, women planning pregnancy</w:t>
            </w:r>
          </w:p>
        </w:tc>
        <w:tc>
          <w:tcPr>
            <w:tcW w:type="dxa" w:w="720"/>
            <w:vAlign w:val="top"/>
          </w:tcPr>
          <w:p>
            <w:pPr>
              <w:spacing w:after="40" w:before="0" w:line="259" w:lineRule="auto"/>
            </w:pPr>
            <w:r>
              <w:rPr>
                <w:rFonts w:ascii="Calibri" w:hAnsi="Calibri"/>
                <w:b w:val="0"/>
                <w:i w:val="0"/>
                <w:color w:val="212121"/>
                <w:sz w:val="16"/>
              </w:rPr>
              <w:t>NA</w:t>
            </w:r>
          </w:p>
        </w:tc>
        <w:tc>
          <w:tcPr>
            <w:tcW w:type="dxa" w:w="720"/>
            <w:vAlign w:val="top"/>
          </w:tcPr>
          <w:p>
            <w:pPr>
              <w:spacing w:after="40" w:before="0" w:line="259" w:lineRule="auto"/>
            </w:pPr>
            <w:r>
              <w:rPr>
                <w:rFonts w:ascii="Calibri" w:hAnsi="Calibri"/>
                <w:b w:val="0"/>
                <w:i w:val="0"/>
                <w:color w:val="212121"/>
                <w:sz w:val="16"/>
              </w:rPr>
              <w:t>Diagnostic (major criterion)</w:t>
            </w:r>
          </w:p>
        </w:tc>
        <w:tc>
          <w:tcPr>
            <w:tcW w:type="dxa" w:w="720"/>
            <w:vAlign w:val="top"/>
          </w:tcPr>
          <w:p>
            <w:pPr>
              <w:spacing w:after="40" w:before="0" w:line="259" w:lineRule="auto"/>
            </w:pPr>
            <w:r>
              <w:rPr>
                <w:rFonts w:ascii="Calibri" w:hAnsi="Calibri"/>
                <w:b w:val="0"/>
                <w:i w:val="0"/>
                <w:color w:val="212121"/>
                <w:sz w:val="16"/>
              </w:rPr>
              <w:t>Anti-Ro against the Ro ribonucleoprotein is central to diagnosis</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Serology</w:t>
            </w:r>
          </w:p>
        </w:tc>
        <w:tc>
          <w:tcPr>
            <w:tcW w:type="dxa" w:w="1036"/>
            <w:vAlign w:val="top"/>
          </w:tcPr>
          <w:p>
            <w:pPr>
              <w:spacing w:after="40" w:before="0" w:line="259" w:lineRule="auto"/>
            </w:pPr>
            <w:r>
              <w:rPr>
                <w:rFonts w:ascii="Calibri" w:hAnsi="Calibri"/>
                <w:b w:val="0"/>
                <w:i w:val="0"/>
                <w:color w:val="212121"/>
                <w:sz w:val="16"/>
              </w:rPr>
              <w:t>Anti-SSB/La</w:t>
            </w:r>
          </w:p>
        </w:tc>
        <w:tc>
          <w:tcPr>
            <w:tcW w:type="dxa" w:w="892"/>
            <w:vAlign w:val="top"/>
          </w:tcPr>
          <w:p>
            <w:pPr>
              <w:spacing w:after="40" w:before="0" w:line="259" w:lineRule="auto"/>
            </w:pPr>
            <w:r>
              <w:rPr>
                <w:rFonts w:ascii="Calibri" w:hAnsi="Calibri"/>
                <w:b w:val="0"/>
                <w:i w:val="0"/>
                <w:color w:val="212121"/>
                <w:sz w:val="16"/>
              </w:rPr>
              <w:t>Autoantibody assay</w:t>
            </w:r>
          </w:p>
        </w:tc>
        <w:tc>
          <w:tcPr>
            <w:tcW w:type="dxa" w:w="950"/>
            <w:vAlign w:val="top"/>
          </w:tcPr>
          <w:p>
            <w:pPr>
              <w:spacing w:after="40" w:before="0" w:line="259" w:lineRule="auto"/>
            </w:pPr>
            <w:r>
              <w:rPr>
                <w:rFonts w:ascii="Calibri" w:hAnsi="Calibri"/>
                <w:b w:val="0"/>
                <w:i w:val="0"/>
                <w:color w:val="212121"/>
                <w:sz w:val="16"/>
              </w:rPr>
              <w:t>Negative</w:t>
            </w:r>
          </w:p>
        </w:tc>
        <w:tc>
          <w:tcPr>
            <w:tcW w:type="dxa" w:w="950"/>
            <w:vAlign w:val="top"/>
          </w:tcPr>
          <w:p>
            <w:pPr>
              <w:spacing w:after="40" w:before="0" w:line="259" w:lineRule="auto"/>
            </w:pPr>
            <w:r>
              <w:rPr>
                <w:rFonts w:ascii="Calibri" w:hAnsi="Calibri"/>
                <w:b w:val="0"/>
                <w:i w:val="0"/>
                <w:color w:val="212121"/>
                <w:sz w:val="16"/>
              </w:rPr>
              <w:t>Positive (about 40%)</w:t>
            </w:r>
          </w:p>
        </w:tc>
        <w:tc>
          <w:tcPr>
            <w:tcW w:type="dxa" w:w="1036"/>
            <w:vAlign w:val="top"/>
          </w:tcPr>
          <w:p>
            <w:pPr>
              <w:spacing w:after="40" w:before="0" w:line="259" w:lineRule="auto"/>
            </w:pPr>
            <w:r>
              <w:rPr>
                <w:rFonts w:ascii="Calibri" w:hAnsi="Calibri"/>
                <w:b w:val="0"/>
                <w:i w:val="0"/>
                <w:color w:val="212121"/>
                <w:sz w:val="16"/>
              </w:rPr>
              <w:t>Supports the diagnosis, usually alongside anti-Ro; rarely isolated</w:t>
            </w:r>
          </w:p>
        </w:tc>
        <w:tc>
          <w:tcPr>
            <w:tcW w:type="dxa" w:w="1036"/>
            <w:vAlign w:val="top"/>
          </w:tcPr>
          <w:p>
            <w:pPr>
              <w:spacing w:after="40" w:before="0" w:line="259" w:lineRule="auto"/>
            </w:pPr>
            <w:r>
              <w:rPr>
                <w:rFonts w:ascii="Calibri" w:hAnsi="Calibri"/>
                <w:b w:val="0"/>
                <w:i w:val="0"/>
                <w:color w:val="212121"/>
                <w:sz w:val="16"/>
              </w:rPr>
              <w:t>Suspected Sjögren's</w:t>
            </w:r>
          </w:p>
        </w:tc>
        <w:tc>
          <w:tcPr>
            <w:tcW w:type="dxa" w:w="720"/>
            <w:vAlign w:val="top"/>
          </w:tcPr>
          <w:p>
            <w:pPr>
              <w:spacing w:after="40" w:before="0" w:line="259" w:lineRule="auto"/>
            </w:pPr>
            <w:r>
              <w:rPr>
                <w:rFonts w:ascii="Calibri" w:hAnsi="Calibri"/>
                <w:b w:val="0"/>
                <w:i w:val="0"/>
                <w:color w:val="212121"/>
                <w:sz w:val="16"/>
              </w:rPr>
              <w:t>NA</w:t>
            </w:r>
          </w:p>
        </w:tc>
        <w:tc>
          <w:tcPr>
            <w:tcW w:type="dxa" w:w="720"/>
            <w:vAlign w:val="top"/>
          </w:tcPr>
          <w:p>
            <w:pPr>
              <w:spacing w:after="40" w:before="0" w:line="259" w:lineRule="auto"/>
            </w:pPr>
            <w:r>
              <w:rPr>
                <w:rFonts w:ascii="Calibri" w:hAnsi="Calibri"/>
                <w:b w:val="0"/>
                <w:i w:val="0"/>
                <w:color w:val="212121"/>
                <w:sz w:val="16"/>
              </w:rPr>
              <w:t>Supportive</w:t>
            </w:r>
          </w:p>
        </w:tc>
        <w:tc>
          <w:tcPr>
            <w:tcW w:type="dxa" w:w="720"/>
            <w:vAlign w:val="top"/>
          </w:tcPr>
          <w:p>
            <w:pPr>
              <w:spacing w:after="40" w:before="0" w:line="259" w:lineRule="auto"/>
            </w:pPr>
            <w:r>
              <w:rPr>
                <w:rFonts w:ascii="Calibri" w:hAnsi="Calibri"/>
                <w:b w:val="0"/>
                <w:i w:val="0"/>
                <w:color w:val="212121"/>
                <w:sz w:val="16"/>
              </w:rPr>
              <w:t>No longer independently scored in 2016 criteria but clinically useful</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Serology</w:t>
            </w:r>
          </w:p>
        </w:tc>
        <w:tc>
          <w:tcPr>
            <w:tcW w:type="dxa" w:w="1036"/>
            <w:vAlign w:val="top"/>
          </w:tcPr>
          <w:p>
            <w:pPr>
              <w:spacing w:after="40" w:before="0" w:line="259" w:lineRule="auto"/>
            </w:pPr>
            <w:r>
              <w:rPr>
                <w:rFonts w:ascii="Calibri" w:hAnsi="Calibri"/>
                <w:b w:val="0"/>
                <w:i w:val="0"/>
                <w:color w:val="212121"/>
                <w:sz w:val="16"/>
              </w:rPr>
              <w:t>Antinuclear antibody (ANA)</w:t>
            </w:r>
          </w:p>
        </w:tc>
        <w:tc>
          <w:tcPr>
            <w:tcW w:type="dxa" w:w="892"/>
            <w:vAlign w:val="top"/>
          </w:tcPr>
          <w:p>
            <w:pPr>
              <w:spacing w:after="40" w:before="0" w:line="259" w:lineRule="auto"/>
            </w:pPr>
            <w:r>
              <w:rPr>
                <w:rFonts w:ascii="Calibri" w:hAnsi="Calibri"/>
                <w:b w:val="0"/>
                <w:i w:val="0"/>
                <w:color w:val="212121"/>
                <w:sz w:val="16"/>
              </w:rPr>
              <w:t>Immunofluorescence</w:t>
            </w:r>
          </w:p>
        </w:tc>
        <w:tc>
          <w:tcPr>
            <w:tcW w:type="dxa" w:w="950"/>
            <w:vAlign w:val="top"/>
          </w:tcPr>
          <w:p>
            <w:pPr>
              <w:spacing w:after="40" w:before="0" w:line="259" w:lineRule="auto"/>
            </w:pPr>
            <w:r>
              <w:rPr>
                <w:rFonts w:ascii="Calibri" w:hAnsi="Calibri"/>
                <w:b w:val="0"/>
                <w:i w:val="0"/>
                <w:color w:val="212121"/>
                <w:sz w:val="16"/>
              </w:rPr>
              <w:t>Negative (&lt; 1:80)</w:t>
            </w:r>
          </w:p>
        </w:tc>
        <w:tc>
          <w:tcPr>
            <w:tcW w:type="dxa" w:w="950"/>
            <w:vAlign w:val="top"/>
          </w:tcPr>
          <w:p>
            <w:pPr>
              <w:spacing w:after="40" w:before="0" w:line="259" w:lineRule="auto"/>
            </w:pPr>
            <w:r>
              <w:rPr>
                <w:rFonts w:ascii="Calibri" w:hAnsi="Calibri"/>
                <w:b w:val="0"/>
                <w:i w:val="0"/>
                <w:color w:val="212121"/>
                <w:sz w:val="16"/>
              </w:rPr>
              <w:t>Positive, often speckled, ≥ 1:80 (about 80–90%)</w:t>
            </w:r>
          </w:p>
        </w:tc>
        <w:tc>
          <w:tcPr>
            <w:tcW w:type="dxa" w:w="1036"/>
            <w:vAlign w:val="top"/>
          </w:tcPr>
          <w:p>
            <w:pPr>
              <w:spacing w:after="40" w:before="0" w:line="259" w:lineRule="auto"/>
            </w:pPr>
            <w:r>
              <w:rPr>
                <w:rFonts w:ascii="Calibri" w:hAnsi="Calibri"/>
                <w:b w:val="0"/>
                <w:i w:val="0"/>
                <w:color w:val="212121"/>
                <w:sz w:val="16"/>
              </w:rPr>
              <w:t>Sensitive screening test; a negative ANA makes Sjögren's less likely but does not exclude it</w:t>
            </w:r>
          </w:p>
        </w:tc>
        <w:tc>
          <w:tcPr>
            <w:tcW w:type="dxa" w:w="1036"/>
            <w:vAlign w:val="top"/>
          </w:tcPr>
          <w:p>
            <w:pPr>
              <w:spacing w:after="40" w:before="0" w:line="259" w:lineRule="auto"/>
            </w:pPr>
            <w:r>
              <w:rPr>
                <w:rFonts w:ascii="Calibri" w:hAnsi="Calibri"/>
                <w:b w:val="0"/>
                <w:i w:val="0"/>
                <w:color w:val="212121"/>
                <w:sz w:val="16"/>
              </w:rPr>
              <w:t>Any suspected connective-tissue disease</w:t>
            </w:r>
          </w:p>
        </w:tc>
        <w:tc>
          <w:tcPr>
            <w:tcW w:type="dxa" w:w="720"/>
            <w:vAlign w:val="top"/>
          </w:tcPr>
          <w:p>
            <w:pPr>
              <w:spacing w:after="40" w:before="0" w:line="259" w:lineRule="auto"/>
            </w:pPr>
            <w:r>
              <w:rPr>
                <w:rFonts w:ascii="Calibri" w:hAnsi="Calibri"/>
                <w:b w:val="0"/>
                <w:i w:val="0"/>
                <w:color w:val="212121"/>
                <w:sz w:val="16"/>
              </w:rPr>
              <w:t>NA</w:t>
            </w:r>
          </w:p>
        </w:tc>
        <w:tc>
          <w:tcPr>
            <w:tcW w:type="dxa" w:w="720"/>
            <w:vAlign w:val="top"/>
          </w:tcPr>
          <w:p>
            <w:pPr>
              <w:spacing w:after="40" w:before="0" w:line="259" w:lineRule="auto"/>
            </w:pPr>
            <w:r>
              <w:rPr>
                <w:rFonts w:ascii="Calibri" w:hAnsi="Calibri"/>
                <w:b w:val="0"/>
                <w:i w:val="0"/>
                <w:color w:val="212121"/>
                <w:sz w:val="16"/>
              </w:rPr>
              <w:t>Screening</w:t>
            </w:r>
          </w:p>
        </w:tc>
        <w:tc>
          <w:tcPr>
            <w:tcW w:type="dxa" w:w="720"/>
            <w:vAlign w:val="top"/>
          </w:tcPr>
          <w:p>
            <w:pPr>
              <w:spacing w:after="40" w:before="0" w:line="259" w:lineRule="auto"/>
            </w:pPr>
            <w:r>
              <w:rPr>
                <w:rFonts w:ascii="Calibri" w:hAnsi="Calibri"/>
                <w:b w:val="0"/>
                <w:i w:val="0"/>
                <w:color w:val="212121"/>
                <w:sz w:val="16"/>
              </w:rPr>
              <w:t>Non-specific; interpret with anti-Ro/La and clinical picture</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Serology</w:t>
            </w:r>
          </w:p>
        </w:tc>
        <w:tc>
          <w:tcPr>
            <w:tcW w:type="dxa" w:w="1036"/>
            <w:vAlign w:val="top"/>
          </w:tcPr>
          <w:p>
            <w:pPr>
              <w:spacing w:after="40" w:before="0" w:line="259" w:lineRule="auto"/>
            </w:pPr>
            <w:r>
              <w:rPr>
                <w:rFonts w:ascii="Calibri" w:hAnsi="Calibri"/>
                <w:b w:val="0"/>
                <w:i w:val="0"/>
                <w:color w:val="212121"/>
                <w:sz w:val="16"/>
              </w:rPr>
              <w:t>Rheumatoid factor (RF)</w:t>
            </w:r>
          </w:p>
        </w:tc>
        <w:tc>
          <w:tcPr>
            <w:tcW w:type="dxa" w:w="892"/>
            <w:vAlign w:val="top"/>
          </w:tcPr>
          <w:p>
            <w:pPr>
              <w:spacing w:after="40" w:before="0" w:line="259" w:lineRule="auto"/>
            </w:pPr>
            <w:r>
              <w:rPr>
                <w:rFonts w:ascii="Calibri" w:hAnsi="Calibri"/>
                <w:b w:val="0"/>
                <w:i w:val="0"/>
                <w:color w:val="212121"/>
                <w:sz w:val="16"/>
              </w:rPr>
              <w:t>Autoantibody assay</w:t>
            </w:r>
          </w:p>
        </w:tc>
        <w:tc>
          <w:tcPr>
            <w:tcW w:type="dxa" w:w="950"/>
            <w:vAlign w:val="top"/>
          </w:tcPr>
          <w:p>
            <w:pPr>
              <w:spacing w:after="40" w:before="0" w:line="259" w:lineRule="auto"/>
            </w:pPr>
            <w:r>
              <w:rPr>
                <w:rFonts w:ascii="Calibri" w:hAnsi="Calibri"/>
                <w:b w:val="0"/>
                <w:i w:val="0"/>
                <w:color w:val="212121"/>
                <w:sz w:val="16"/>
              </w:rPr>
              <w:t>Negative</w:t>
            </w:r>
          </w:p>
        </w:tc>
        <w:tc>
          <w:tcPr>
            <w:tcW w:type="dxa" w:w="950"/>
            <w:vAlign w:val="top"/>
          </w:tcPr>
          <w:p>
            <w:pPr>
              <w:spacing w:after="40" w:before="0" w:line="259" w:lineRule="auto"/>
            </w:pPr>
            <w:r>
              <w:rPr>
                <w:rFonts w:ascii="Calibri" w:hAnsi="Calibri"/>
                <w:b w:val="0"/>
                <w:i w:val="0"/>
                <w:color w:val="212121"/>
                <w:sz w:val="16"/>
              </w:rPr>
              <w:t>Positive (about 40–50%)</w:t>
            </w:r>
          </w:p>
        </w:tc>
        <w:tc>
          <w:tcPr>
            <w:tcW w:type="dxa" w:w="1036"/>
            <w:vAlign w:val="top"/>
          </w:tcPr>
          <w:p>
            <w:pPr>
              <w:spacing w:after="40" w:before="0" w:line="259" w:lineRule="auto"/>
            </w:pPr>
            <w:r>
              <w:rPr>
                <w:rFonts w:ascii="Calibri" w:hAnsi="Calibri"/>
                <w:b w:val="0"/>
                <w:i w:val="0"/>
                <w:color w:val="212121"/>
                <w:sz w:val="16"/>
              </w:rPr>
              <w:t>Common in Sjögren's; high titres associate with systemic disease and lymphoma risk</w:t>
            </w:r>
          </w:p>
        </w:tc>
        <w:tc>
          <w:tcPr>
            <w:tcW w:type="dxa" w:w="1036"/>
            <w:vAlign w:val="top"/>
          </w:tcPr>
          <w:p>
            <w:pPr>
              <w:spacing w:after="40" w:before="0" w:line="259" w:lineRule="auto"/>
            </w:pPr>
            <w:r>
              <w:rPr>
                <w:rFonts w:ascii="Calibri" w:hAnsi="Calibri"/>
                <w:b w:val="0"/>
                <w:i w:val="0"/>
                <w:color w:val="212121"/>
                <w:sz w:val="16"/>
              </w:rPr>
              <w:t>Sicca patients, overlap with RA</w:t>
            </w:r>
          </w:p>
        </w:tc>
        <w:tc>
          <w:tcPr>
            <w:tcW w:type="dxa" w:w="720"/>
            <w:vAlign w:val="top"/>
          </w:tcPr>
          <w:p>
            <w:pPr>
              <w:spacing w:after="40" w:before="0" w:line="259" w:lineRule="auto"/>
            </w:pPr>
            <w:r>
              <w:rPr>
                <w:rFonts w:ascii="Calibri" w:hAnsi="Calibri"/>
                <w:b w:val="0"/>
                <w:i w:val="0"/>
                <w:color w:val="212121"/>
                <w:sz w:val="16"/>
              </w:rPr>
              <w:t>NA</w:t>
            </w:r>
          </w:p>
        </w:tc>
        <w:tc>
          <w:tcPr>
            <w:tcW w:type="dxa" w:w="720"/>
            <w:vAlign w:val="top"/>
          </w:tcPr>
          <w:p>
            <w:pPr>
              <w:spacing w:after="40" w:before="0" w:line="259" w:lineRule="auto"/>
            </w:pPr>
            <w:r>
              <w:rPr>
                <w:rFonts w:ascii="Calibri" w:hAnsi="Calibri"/>
                <w:b w:val="0"/>
                <w:i w:val="0"/>
                <w:color w:val="212121"/>
                <w:sz w:val="16"/>
              </w:rPr>
              <w:t>Supportive</w:t>
            </w:r>
          </w:p>
        </w:tc>
        <w:tc>
          <w:tcPr>
            <w:tcW w:type="dxa" w:w="720"/>
            <w:vAlign w:val="top"/>
          </w:tcPr>
          <w:p>
            <w:pPr>
              <w:spacing w:after="40" w:before="0" w:line="259" w:lineRule="auto"/>
            </w:pPr>
            <w:r>
              <w:rPr>
                <w:rFonts w:ascii="Calibri" w:hAnsi="Calibri"/>
                <w:b w:val="0"/>
                <w:i w:val="0"/>
                <w:color w:val="212121"/>
                <w:sz w:val="16"/>
              </w:rPr>
              <w:t>Positive RF does not by itself indicate rheumatoid arthritis</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Immunology</w:t>
            </w:r>
          </w:p>
        </w:tc>
        <w:tc>
          <w:tcPr>
            <w:tcW w:type="dxa" w:w="1036"/>
            <w:vAlign w:val="top"/>
          </w:tcPr>
          <w:p>
            <w:pPr>
              <w:spacing w:after="40" w:before="0" w:line="259" w:lineRule="auto"/>
            </w:pPr>
            <w:r>
              <w:rPr>
                <w:rFonts w:ascii="Calibri" w:hAnsi="Calibri"/>
                <w:b w:val="0"/>
                <w:i w:val="0"/>
                <w:color w:val="212121"/>
                <w:sz w:val="16"/>
              </w:rPr>
              <w:t>Serum immunoglobulin G / gammaglobulins</w:t>
            </w:r>
          </w:p>
        </w:tc>
        <w:tc>
          <w:tcPr>
            <w:tcW w:type="dxa" w:w="892"/>
            <w:vAlign w:val="top"/>
          </w:tcPr>
          <w:p>
            <w:pPr>
              <w:spacing w:after="40" w:before="0" w:line="259" w:lineRule="auto"/>
            </w:pPr>
            <w:r>
              <w:rPr>
                <w:rFonts w:ascii="Calibri" w:hAnsi="Calibri"/>
                <w:b w:val="0"/>
                <w:i w:val="0"/>
                <w:color w:val="212121"/>
                <w:sz w:val="16"/>
              </w:rPr>
              <w:t>Serum protein / IgG</w:t>
            </w:r>
          </w:p>
        </w:tc>
        <w:tc>
          <w:tcPr>
            <w:tcW w:type="dxa" w:w="950"/>
            <w:vAlign w:val="top"/>
          </w:tcPr>
          <w:p>
            <w:pPr>
              <w:spacing w:after="40" w:before="0" w:line="259" w:lineRule="auto"/>
            </w:pPr>
            <w:r>
              <w:rPr>
                <w:rFonts w:ascii="Calibri" w:hAnsi="Calibri"/>
                <w:b w:val="0"/>
                <w:i w:val="0"/>
                <w:color w:val="212121"/>
                <w:sz w:val="16"/>
              </w:rPr>
              <w:t>Normal IgG</w:t>
            </w:r>
          </w:p>
        </w:tc>
        <w:tc>
          <w:tcPr>
            <w:tcW w:type="dxa" w:w="950"/>
            <w:vAlign w:val="top"/>
          </w:tcPr>
          <w:p>
            <w:pPr>
              <w:spacing w:after="40" w:before="0" w:line="259" w:lineRule="auto"/>
            </w:pPr>
            <w:r>
              <w:rPr>
                <w:rFonts w:ascii="Calibri" w:hAnsi="Calibri"/>
                <w:b w:val="0"/>
                <w:i w:val="0"/>
                <w:color w:val="212121"/>
                <w:sz w:val="16"/>
              </w:rPr>
              <w:t>Polyclonal hypergammaglobulinaemia (high IgG)</w:t>
            </w:r>
          </w:p>
        </w:tc>
        <w:tc>
          <w:tcPr>
            <w:tcW w:type="dxa" w:w="1036"/>
            <w:vAlign w:val="top"/>
          </w:tcPr>
          <w:p>
            <w:pPr>
              <w:spacing w:after="40" w:before="0" w:line="259" w:lineRule="auto"/>
            </w:pPr>
            <w:r>
              <w:rPr>
                <w:rFonts w:ascii="Calibri" w:hAnsi="Calibri"/>
                <w:b w:val="0"/>
                <w:i w:val="0"/>
                <w:color w:val="212121"/>
                <w:sz w:val="16"/>
              </w:rPr>
              <w:t>Reflects B-cell hyperactivity; a marker of disease activity and, if it later falls with a rising monoclonal band, a lymphoma warning</w:t>
            </w:r>
          </w:p>
        </w:tc>
        <w:tc>
          <w:tcPr>
            <w:tcW w:type="dxa" w:w="1036"/>
            <w:vAlign w:val="top"/>
          </w:tcPr>
          <w:p>
            <w:pPr>
              <w:spacing w:after="40" w:before="0" w:line="259" w:lineRule="auto"/>
            </w:pPr>
            <w:r>
              <w:rPr>
                <w:rFonts w:ascii="Calibri" w:hAnsi="Calibri"/>
                <w:b w:val="0"/>
                <w:i w:val="0"/>
                <w:color w:val="212121"/>
                <w:sz w:val="16"/>
              </w:rPr>
              <w:t>Sicca patients, systemic disease</w:t>
            </w:r>
          </w:p>
        </w:tc>
        <w:tc>
          <w:tcPr>
            <w:tcW w:type="dxa" w:w="720"/>
            <w:vAlign w:val="top"/>
          </w:tcPr>
          <w:p>
            <w:pPr>
              <w:spacing w:after="40" w:before="0" w:line="259" w:lineRule="auto"/>
            </w:pPr>
            <w:r>
              <w:rPr>
                <w:rFonts w:ascii="Calibri" w:hAnsi="Calibri"/>
                <w:b w:val="0"/>
                <w:i w:val="0"/>
                <w:color w:val="212121"/>
                <w:sz w:val="16"/>
              </w:rPr>
              <w:t>NA</w:t>
            </w:r>
          </w:p>
        </w:tc>
        <w:tc>
          <w:tcPr>
            <w:tcW w:type="dxa" w:w="720"/>
            <w:vAlign w:val="top"/>
          </w:tcPr>
          <w:p>
            <w:pPr>
              <w:spacing w:after="40" w:before="0" w:line="259" w:lineRule="auto"/>
            </w:pPr>
            <w:r>
              <w:rPr>
                <w:rFonts w:ascii="Calibri" w:hAnsi="Calibri"/>
                <w:b w:val="0"/>
                <w:i w:val="0"/>
                <w:color w:val="212121"/>
                <w:sz w:val="16"/>
              </w:rPr>
              <w:t>Prognostic</w:t>
            </w:r>
          </w:p>
        </w:tc>
        <w:tc>
          <w:tcPr>
            <w:tcW w:type="dxa" w:w="720"/>
            <w:vAlign w:val="top"/>
          </w:tcPr>
          <w:p>
            <w:pPr>
              <w:spacing w:after="40" w:before="0" w:line="259" w:lineRule="auto"/>
            </w:pPr>
            <w:r>
              <w:rPr>
                <w:rFonts w:ascii="Calibri" w:hAnsi="Calibri"/>
                <w:b w:val="0"/>
                <w:i w:val="0"/>
                <w:color w:val="212121"/>
                <w:sz w:val="16"/>
              </w:rPr>
              <w:t>Track over time; watch for monoclonal gammopathy</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Immunology</w:t>
            </w:r>
          </w:p>
        </w:tc>
        <w:tc>
          <w:tcPr>
            <w:tcW w:type="dxa" w:w="1036"/>
            <w:vAlign w:val="top"/>
          </w:tcPr>
          <w:p>
            <w:pPr>
              <w:spacing w:after="40" w:before="0" w:line="259" w:lineRule="auto"/>
            </w:pPr>
            <w:r>
              <w:rPr>
                <w:rFonts w:ascii="Calibri" w:hAnsi="Calibri"/>
                <w:b w:val="0"/>
                <w:i w:val="0"/>
                <w:color w:val="212121"/>
                <w:sz w:val="16"/>
              </w:rPr>
              <w:t>Complement C4 &amp; cryoglobulins</w:t>
            </w:r>
          </w:p>
        </w:tc>
        <w:tc>
          <w:tcPr>
            <w:tcW w:type="dxa" w:w="892"/>
            <w:vAlign w:val="top"/>
          </w:tcPr>
          <w:p>
            <w:pPr>
              <w:spacing w:after="40" w:before="0" w:line="259" w:lineRule="auto"/>
            </w:pPr>
            <w:r>
              <w:rPr>
                <w:rFonts w:ascii="Calibri" w:hAnsi="Calibri"/>
                <w:b w:val="0"/>
                <w:i w:val="0"/>
                <w:color w:val="212121"/>
                <w:sz w:val="16"/>
              </w:rPr>
              <w:t>Complement / cryoglobulin assay</w:t>
            </w:r>
          </w:p>
        </w:tc>
        <w:tc>
          <w:tcPr>
            <w:tcW w:type="dxa" w:w="950"/>
            <w:vAlign w:val="top"/>
          </w:tcPr>
          <w:p>
            <w:pPr>
              <w:spacing w:after="40" w:before="0" w:line="259" w:lineRule="auto"/>
            </w:pPr>
            <w:r>
              <w:rPr>
                <w:rFonts w:ascii="Calibri" w:hAnsi="Calibri"/>
                <w:b w:val="0"/>
                <w:i w:val="0"/>
                <w:color w:val="212121"/>
                <w:sz w:val="16"/>
              </w:rPr>
              <w:t>Normal C4, no cryoglobulins</w:t>
            </w:r>
          </w:p>
        </w:tc>
        <w:tc>
          <w:tcPr>
            <w:tcW w:type="dxa" w:w="950"/>
            <w:vAlign w:val="top"/>
          </w:tcPr>
          <w:p>
            <w:pPr>
              <w:spacing w:after="40" w:before="0" w:line="259" w:lineRule="auto"/>
            </w:pPr>
            <w:r>
              <w:rPr>
                <w:rFonts w:ascii="Calibri" w:hAnsi="Calibri"/>
                <w:b w:val="0"/>
                <w:i w:val="0"/>
                <w:color w:val="212121"/>
                <w:sz w:val="16"/>
              </w:rPr>
              <w:t>Low C4 and/or cryoglobulins present</w:t>
            </w:r>
          </w:p>
        </w:tc>
        <w:tc>
          <w:tcPr>
            <w:tcW w:type="dxa" w:w="1036"/>
            <w:vAlign w:val="top"/>
          </w:tcPr>
          <w:p>
            <w:pPr>
              <w:spacing w:after="40" w:before="0" w:line="259" w:lineRule="auto"/>
            </w:pPr>
            <w:r>
              <w:rPr>
                <w:rFonts w:ascii="Calibri" w:hAnsi="Calibri"/>
                <w:b w:val="0"/>
                <w:i w:val="0"/>
                <w:color w:val="212121"/>
                <w:sz w:val="16"/>
              </w:rPr>
              <w:t>Low C4 and cryoglobulinaemia are among the strongest predictors of vasculitis, systemic disease and lymphoma</w:t>
            </w:r>
          </w:p>
        </w:tc>
        <w:tc>
          <w:tcPr>
            <w:tcW w:type="dxa" w:w="1036"/>
            <w:vAlign w:val="top"/>
          </w:tcPr>
          <w:p>
            <w:pPr>
              <w:spacing w:after="40" w:before="0" w:line="259" w:lineRule="auto"/>
            </w:pPr>
            <w:r>
              <w:rPr>
                <w:rFonts w:ascii="Calibri" w:hAnsi="Calibri"/>
                <w:b w:val="0"/>
                <w:i w:val="0"/>
                <w:color w:val="212121"/>
                <w:sz w:val="16"/>
              </w:rPr>
              <w:t>Patients with purpura, vasculitis, systemic disease</w:t>
            </w:r>
          </w:p>
        </w:tc>
        <w:tc>
          <w:tcPr>
            <w:tcW w:type="dxa" w:w="720"/>
            <w:vAlign w:val="top"/>
          </w:tcPr>
          <w:p>
            <w:pPr>
              <w:spacing w:after="40" w:before="0" w:line="259" w:lineRule="auto"/>
            </w:pPr>
            <w:r>
              <w:rPr>
                <w:rFonts w:ascii="Calibri" w:hAnsi="Calibri"/>
                <w:b w:val="0"/>
                <w:i w:val="0"/>
                <w:color w:val="212121"/>
                <w:sz w:val="16"/>
              </w:rPr>
              <w:t>NA</w:t>
            </w:r>
          </w:p>
        </w:tc>
        <w:tc>
          <w:tcPr>
            <w:tcW w:type="dxa" w:w="720"/>
            <w:vAlign w:val="top"/>
          </w:tcPr>
          <w:p>
            <w:pPr>
              <w:spacing w:after="40" w:before="0" w:line="259" w:lineRule="auto"/>
            </w:pPr>
            <w:r>
              <w:rPr>
                <w:rFonts w:ascii="Calibri" w:hAnsi="Calibri"/>
                <w:b w:val="0"/>
                <w:i w:val="0"/>
                <w:color w:val="212121"/>
                <w:sz w:val="16"/>
              </w:rPr>
              <w:t>Prognostic (high-risk marker)</w:t>
            </w:r>
          </w:p>
        </w:tc>
        <w:tc>
          <w:tcPr>
            <w:tcW w:type="dxa" w:w="720"/>
            <w:vAlign w:val="top"/>
          </w:tcPr>
          <w:p>
            <w:pPr>
              <w:spacing w:after="40" w:before="0" w:line="259" w:lineRule="auto"/>
            </w:pPr>
            <w:r>
              <w:rPr>
                <w:rFonts w:ascii="Calibri" w:hAnsi="Calibri"/>
                <w:b w:val="0"/>
                <w:i w:val="0"/>
                <w:color w:val="212121"/>
                <w:sz w:val="16"/>
              </w:rPr>
              <w:t>Flag for closer surveillance</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Histology</w:t>
            </w:r>
          </w:p>
        </w:tc>
        <w:tc>
          <w:tcPr>
            <w:tcW w:type="dxa" w:w="1036"/>
            <w:vAlign w:val="top"/>
          </w:tcPr>
          <w:p>
            <w:pPr>
              <w:spacing w:after="40" w:before="0" w:line="259" w:lineRule="auto"/>
            </w:pPr>
            <w:r>
              <w:rPr>
                <w:rFonts w:ascii="Calibri" w:hAnsi="Calibri"/>
                <w:b w:val="0"/>
                <w:i w:val="0"/>
                <w:color w:val="212121"/>
                <w:sz w:val="16"/>
              </w:rPr>
              <w:t>Labial minor salivary-gland biopsy (focus score)</w:t>
            </w:r>
          </w:p>
        </w:tc>
        <w:tc>
          <w:tcPr>
            <w:tcW w:type="dxa" w:w="892"/>
            <w:vAlign w:val="top"/>
          </w:tcPr>
          <w:p>
            <w:pPr>
              <w:spacing w:after="40" w:before="0" w:line="259" w:lineRule="auto"/>
            </w:pPr>
            <w:r>
              <w:rPr>
                <w:rFonts w:ascii="Calibri" w:hAnsi="Calibri"/>
                <w:b w:val="0"/>
                <w:i w:val="0"/>
                <w:color w:val="212121"/>
                <w:sz w:val="16"/>
              </w:rPr>
              <w:t>Histopathology</w:t>
            </w:r>
          </w:p>
        </w:tc>
        <w:tc>
          <w:tcPr>
            <w:tcW w:type="dxa" w:w="950"/>
            <w:vAlign w:val="top"/>
          </w:tcPr>
          <w:p>
            <w:pPr>
              <w:spacing w:after="40" w:before="0" w:line="259" w:lineRule="auto"/>
            </w:pPr>
            <w:r>
              <w:rPr>
                <w:rFonts w:ascii="Calibri" w:hAnsi="Calibri"/>
                <w:b w:val="0"/>
                <w:i w:val="0"/>
                <w:color w:val="212121"/>
                <w:sz w:val="16"/>
              </w:rPr>
              <w:t>Focus score &lt; 1 focus/4 mm²</w:t>
            </w:r>
          </w:p>
        </w:tc>
        <w:tc>
          <w:tcPr>
            <w:tcW w:type="dxa" w:w="950"/>
            <w:vAlign w:val="top"/>
          </w:tcPr>
          <w:p>
            <w:pPr>
              <w:spacing w:after="40" w:before="0" w:line="259" w:lineRule="auto"/>
            </w:pPr>
            <w:r>
              <w:rPr>
                <w:rFonts w:ascii="Calibri" w:hAnsi="Calibri"/>
                <w:b w:val="0"/>
                <w:i w:val="0"/>
                <w:color w:val="212121"/>
                <w:sz w:val="16"/>
              </w:rPr>
              <w:t>Focus score ≥ 1 (focal lymphocytic sialadenitis)</w:t>
            </w:r>
          </w:p>
        </w:tc>
        <w:tc>
          <w:tcPr>
            <w:tcW w:type="dxa" w:w="1036"/>
            <w:vAlign w:val="top"/>
          </w:tcPr>
          <w:p>
            <w:pPr>
              <w:spacing w:after="40" w:before="0" w:line="259" w:lineRule="auto"/>
            </w:pPr>
            <w:r>
              <w:rPr>
                <w:rFonts w:ascii="Calibri" w:hAnsi="Calibri"/>
                <w:b w:val="0"/>
                <w:i w:val="0"/>
                <w:color w:val="212121"/>
                <w:sz w:val="16"/>
              </w:rPr>
              <w:t>Histological hallmark and a major classification criterion (weight 3); especially useful in seronegative patients</w:t>
            </w:r>
          </w:p>
        </w:tc>
        <w:tc>
          <w:tcPr>
            <w:tcW w:type="dxa" w:w="1036"/>
            <w:vAlign w:val="top"/>
          </w:tcPr>
          <w:p>
            <w:pPr>
              <w:spacing w:after="40" w:before="0" w:line="259" w:lineRule="auto"/>
            </w:pPr>
            <w:r>
              <w:rPr>
                <w:rFonts w:ascii="Calibri" w:hAnsi="Calibri"/>
                <w:b w:val="0"/>
                <w:i w:val="0"/>
                <w:color w:val="212121"/>
                <w:sz w:val="16"/>
              </w:rPr>
              <w:t>Anti-Ro-negative or diagnostically uncertain cases</w:t>
            </w:r>
          </w:p>
        </w:tc>
        <w:tc>
          <w:tcPr>
            <w:tcW w:type="dxa" w:w="720"/>
            <w:vAlign w:val="top"/>
          </w:tcPr>
          <w:p>
            <w:pPr>
              <w:spacing w:after="40" w:before="0" w:line="259" w:lineRule="auto"/>
            </w:pPr>
            <w:r>
              <w:rPr>
                <w:rFonts w:ascii="Calibri" w:hAnsi="Calibri"/>
                <w:b w:val="0"/>
                <w:i w:val="0"/>
                <w:color w:val="212121"/>
                <w:sz w:val="16"/>
              </w:rPr>
              <w:t>NA</w:t>
            </w:r>
          </w:p>
        </w:tc>
        <w:tc>
          <w:tcPr>
            <w:tcW w:type="dxa" w:w="720"/>
            <w:vAlign w:val="top"/>
          </w:tcPr>
          <w:p>
            <w:pPr>
              <w:spacing w:after="40" w:before="0" w:line="259" w:lineRule="auto"/>
            </w:pPr>
            <w:r>
              <w:rPr>
                <w:rFonts w:ascii="Calibri" w:hAnsi="Calibri"/>
                <w:b w:val="0"/>
                <w:i w:val="0"/>
                <w:color w:val="212121"/>
                <w:sz w:val="16"/>
              </w:rPr>
              <w:t>Diagnostic (major criterion)</w:t>
            </w:r>
          </w:p>
        </w:tc>
        <w:tc>
          <w:tcPr>
            <w:tcW w:type="dxa" w:w="720"/>
            <w:vAlign w:val="top"/>
          </w:tcPr>
          <w:p>
            <w:pPr>
              <w:spacing w:after="40" w:before="0" w:line="259" w:lineRule="auto"/>
            </w:pPr>
            <w:r>
              <w:rPr>
                <w:rFonts w:ascii="Calibri" w:hAnsi="Calibri"/>
                <w:b w:val="0"/>
                <w:i w:val="0"/>
                <w:color w:val="212121"/>
                <w:sz w:val="16"/>
              </w:rPr>
              <w:t>Requires adequate glandular tissue and expert reporting</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Biochemical / haematology</w:t>
            </w:r>
          </w:p>
        </w:tc>
        <w:tc>
          <w:tcPr>
            <w:tcW w:type="dxa" w:w="1036"/>
            <w:vAlign w:val="top"/>
          </w:tcPr>
          <w:p>
            <w:pPr>
              <w:spacing w:after="40" w:before="0" w:line="259" w:lineRule="auto"/>
            </w:pPr>
            <w:r>
              <w:rPr>
                <w:rFonts w:ascii="Calibri" w:hAnsi="Calibri"/>
                <w:b w:val="0"/>
                <w:i w:val="0"/>
                <w:color w:val="212121"/>
                <w:sz w:val="16"/>
              </w:rPr>
              <w:t>Renal panel, urine pH &amp; CBC</w:t>
            </w:r>
          </w:p>
        </w:tc>
        <w:tc>
          <w:tcPr>
            <w:tcW w:type="dxa" w:w="892"/>
            <w:vAlign w:val="top"/>
          </w:tcPr>
          <w:p>
            <w:pPr>
              <w:spacing w:after="40" w:before="0" w:line="259" w:lineRule="auto"/>
            </w:pPr>
            <w:r>
              <w:rPr>
                <w:rFonts w:ascii="Calibri" w:hAnsi="Calibri"/>
                <w:b w:val="0"/>
                <w:i w:val="0"/>
                <w:color w:val="212121"/>
                <w:sz w:val="16"/>
              </w:rPr>
              <w:t>Blood &amp; urine tests</w:t>
            </w:r>
          </w:p>
        </w:tc>
        <w:tc>
          <w:tcPr>
            <w:tcW w:type="dxa" w:w="950"/>
            <w:vAlign w:val="top"/>
          </w:tcPr>
          <w:p>
            <w:pPr>
              <w:spacing w:after="40" w:before="0" w:line="259" w:lineRule="auto"/>
            </w:pPr>
            <w:r>
              <w:rPr>
                <w:rFonts w:ascii="Calibri" w:hAnsi="Calibri"/>
                <w:b w:val="0"/>
                <w:i w:val="0"/>
                <w:color w:val="212121"/>
                <w:sz w:val="16"/>
              </w:rPr>
              <w:t>Normal electrolytes, urine acidifies, normal counts</w:t>
            </w:r>
          </w:p>
        </w:tc>
        <w:tc>
          <w:tcPr>
            <w:tcW w:type="dxa" w:w="950"/>
            <w:vAlign w:val="top"/>
          </w:tcPr>
          <w:p>
            <w:pPr>
              <w:spacing w:after="40" w:before="0" w:line="259" w:lineRule="auto"/>
            </w:pPr>
            <w:r>
              <w:rPr>
                <w:rFonts w:ascii="Calibri" w:hAnsi="Calibri"/>
                <w:b w:val="0"/>
                <w:i w:val="0"/>
                <w:color w:val="212121"/>
                <w:sz w:val="16"/>
              </w:rPr>
              <w:t>Hypokalaemia with alkaline urine (distal RTA), rising creatinine, cytopenias</w:t>
            </w:r>
          </w:p>
        </w:tc>
        <w:tc>
          <w:tcPr>
            <w:tcW w:type="dxa" w:w="1036"/>
            <w:vAlign w:val="top"/>
          </w:tcPr>
          <w:p>
            <w:pPr>
              <w:spacing w:after="40" w:before="0" w:line="259" w:lineRule="auto"/>
            </w:pPr>
            <w:r>
              <w:rPr>
                <w:rFonts w:ascii="Calibri" w:hAnsi="Calibri"/>
                <w:b w:val="0"/>
                <w:i w:val="0"/>
                <w:color w:val="212121"/>
                <w:sz w:val="16"/>
              </w:rPr>
              <w:t>Screens for tubulointerstitial nephritis, distal renal tubular acidosis and autoimmune cytopenias</w:t>
            </w:r>
          </w:p>
        </w:tc>
        <w:tc>
          <w:tcPr>
            <w:tcW w:type="dxa" w:w="1036"/>
            <w:vAlign w:val="top"/>
          </w:tcPr>
          <w:p>
            <w:pPr>
              <w:spacing w:after="40" w:before="0" w:line="259" w:lineRule="auto"/>
            </w:pPr>
            <w:r>
              <w:rPr>
                <w:rFonts w:ascii="Calibri" w:hAnsi="Calibri"/>
                <w:b w:val="0"/>
                <w:i w:val="0"/>
                <w:color w:val="212121"/>
                <w:sz w:val="16"/>
              </w:rPr>
              <w:t>Patients with systemic disease, weakness, or abnormal renal function</w:t>
            </w:r>
          </w:p>
        </w:tc>
        <w:tc>
          <w:tcPr>
            <w:tcW w:type="dxa" w:w="720"/>
            <w:vAlign w:val="top"/>
          </w:tcPr>
          <w:p>
            <w:pPr>
              <w:spacing w:after="40" w:before="0" w:line="259" w:lineRule="auto"/>
            </w:pPr>
            <w:r>
              <w:rPr>
                <w:rFonts w:ascii="Calibri" w:hAnsi="Calibri"/>
                <w:b w:val="0"/>
                <w:i w:val="0"/>
                <w:color w:val="212121"/>
                <w:sz w:val="16"/>
              </w:rPr>
              <w:t>NA</w:t>
            </w:r>
          </w:p>
        </w:tc>
        <w:tc>
          <w:tcPr>
            <w:tcW w:type="dxa" w:w="720"/>
            <w:vAlign w:val="top"/>
          </w:tcPr>
          <w:p>
            <w:pPr>
              <w:spacing w:after="40" w:before="0" w:line="259" w:lineRule="auto"/>
            </w:pPr>
            <w:r>
              <w:rPr>
                <w:rFonts w:ascii="Calibri" w:hAnsi="Calibri"/>
                <w:b w:val="0"/>
                <w:i w:val="0"/>
                <w:color w:val="212121"/>
                <w:sz w:val="16"/>
              </w:rPr>
              <w:t>Screening / monitoring</w:t>
            </w:r>
          </w:p>
        </w:tc>
        <w:tc>
          <w:tcPr>
            <w:tcW w:type="dxa" w:w="720"/>
            <w:vAlign w:val="top"/>
          </w:tcPr>
          <w:p>
            <w:pPr>
              <w:spacing w:after="40" w:before="0" w:line="259" w:lineRule="auto"/>
            </w:pPr>
            <w:r>
              <w:rPr>
                <w:rFonts w:ascii="Calibri" w:hAnsi="Calibri"/>
                <w:b w:val="0"/>
                <w:i w:val="0"/>
                <w:color w:val="212121"/>
                <w:sz w:val="16"/>
              </w:rPr>
              <w:t>Distal RTA can present with hypokalaemic weakness</w:t>
            </w:r>
          </w:p>
        </w:tc>
      </w:tr>
    </w:tbl>
    <w:p>
      <w:pPr>
        <w:spacing w:before="160" w:after="120"/>
      </w:pPr>
      <w:r>
        <w:rPr>
          <w:rFonts w:ascii="Calibri" w:hAnsi="Calibri"/>
          <w:b/>
          <w:i w:val="0"/>
          <w:color w:val="212121"/>
          <w:sz w:val="22"/>
        </w:rPr>
        <w:t>Qualitative THP</w:t>
      </w:r>
    </w:p>
    <w:tbl>
      <w:tblPr>
        <w:tblW w:type="dxa" w:w="9792"/>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873"/>
        <w:gridCol w:w="873"/>
        <w:gridCol w:w="873"/>
        <w:gridCol w:w="873"/>
        <w:gridCol w:w="873"/>
        <w:gridCol w:w="873"/>
        <w:gridCol w:w="873"/>
        <w:gridCol w:w="873"/>
        <w:gridCol w:w="873"/>
        <w:gridCol w:w="873"/>
        <w:gridCol w:w="873"/>
      </w:tblGrid>
      <w:tr>
        <w:trPr>
          <w:cantSplit/>
        </w:trPr>
        <w:tc>
          <w:tcPr>
            <w:tcW w:type="dxa" w:w="892"/>
            <w:shd w:val="clear" w:color="auto" w:fill="F2F2F2"/>
            <w:vAlign w:val="center"/>
          </w:tcPr>
          <w:p>
            <w:pPr>
              <w:spacing w:after="40" w:before="0" w:line="259" w:lineRule="auto"/>
            </w:pPr>
            <w:r>
              <w:rPr>
                <w:rFonts w:ascii="Calibri" w:hAnsi="Calibri"/>
                <w:b/>
                <w:i w:val="0"/>
                <w:color w:val="212121"/>
                <w:sz w:val="16"/>
              </w:rPr>
              <w:t>Diagnostic Workup</w:t>
            </w:r>
          </w:p>
        </w:tc>
        <w:tc>
          <w:tcPr>
            <w:tcW w:type="dxa" w:w="835"/>
            <w:shd w:val="clear" w:color="auto" w:fill="F2F2F2"/>
            <w:vAlign w:val="center"/>
          </w:tcPr>
          <w:p>
            <w:pPr>
              <w:spacing w:after="40" w:before="0" w:line="259" w:lineRule="auto"/>
            </w:pPr>
            <w:r>
              <w:rPr>
                <w:rFonts w:ascii="Calibri" w:hAnsi="Calibri"/>
                <w:b/>
                <w:i w:val="0"/>
                <w:color w:val="212121"/>
                <w:sz w:val="16"/>
              </w:rPr>
              <w:t>Tests</w:t>
            </w:r>
          </w:p>
        </w:tc>
        <w:tc>
          <w:tcPr>
            <w:tcW w:type="dxa" w:w="950"/>
            <w:shd w:val="clear" w:color="auto" w:fill="F2F2F2"/>
            <w:vAlign w:val="center"/>
          </w:tcPr>
          <w:p>
            <w:pPr>
              <w:spacing w:after="40" w:before="0" w:line="259" w:lineRule="auto"/>
            </w:pPr>
            <w:r>
              <w:rPr>
                <w:rFonts w:ascii="Calibri" w:hAnsi="Calibri"/>
                <w:b/>
                <w:i w:val="0"/>
                <w:color w:val="212121"/>
                <w:sz w:val="16"/>
              </w:rPr>
              <w:t>THP</w:t>
            </w:r>
          </w:p>
        </w:tc>
        <w:tc>
          <w:tcPr>
            <w:tcW w:type="dxa" w:w="979"/>
            <w:shd w:val="clear" w:color="auto" w:fill="F2F2F2"/>
            <w:vAlign w:val="center"/>
          </w:tcPr>
          <w:p>
            <w:pPr>
              <w:spacing w:after="40" w:before="0" w:line="259" w:lineRule="auto"/>
            </w:pPr>
            <w:r>
              <w:rPr>
                <w:rFonts w:ascii="Calibri" w:hAnsi="Calibri"/>
                <w:b/>
                <w:i w:val="0"/>
                <w:color w:val="212121"/>
                <w:sz w:val="16"/>
              </w:rPr>
              <w:t>Parameter</w:t>
            </w:r>
          </w:p>
        </w:tc>
        <w:tc>
          <w:tcPr>
            <w:tcW w:type="dxa" w:w="950"/>
            <w:shd w:val="clear" w:color="auto" w:fill="F2F2F2"/>
            <w:vAlign w:val="center"/>
          </w:tcPr>
          <w:p>
            <w:pPr>
              <w:spacing w:after="40" w:before="0" w:line="259" w:lineRule="auto"/>
            </w:pPr>
            <w:r>
              <w:rPr>
                <w:rFonts w:ascii="Calibri" w:hAnsi="Calibri"/>
                <w:b/>
                <w:i w:val="0"/>
                <w:color w:val="212121"/>
                <w:sz w:val="16"/>
              </w:rPr>
              <w:t>Normal findings</w:t>
            </w:r>
          </w:p>
        </w:tc>
        <w:tc>
          <w:tcPr>
            <w:tcW w:type="dxa" w:w="950"/>
            <w:shd w:val="clear" w:color="auto" w:fill="F2F2F2"/>
            <w:vAlign w:val="center"/>
          </w:tcPr>
          <w:p>
            <w:pPr>
              <w:spacing w:after="40" w:before="0" w:line="259" w:lineRule="auto"/>
            </w:pPr>
            <w:r>
              <w:rPr>
                <w:rFonts w:ascii="Calibri" w:hAnsi="Calibri"/>
                <w:b/>
                <w:i w:val="0"/>
                <w:color w:val="212121"/>
                <w:sz w:val="16"/>
              </w:rPr>
              <w:t>Abnormal findings</w:t>
            </w:r>
          </w:p>
        </w:tc>
        <w:tc>
          <w:tcPr>
            <w:tcW w:type="dxa" w:w="1036"/>
            <w:shd w:val="clear" w:color="auto" w:fill="F2F2F2"/>
            <w:vAlign w:val="center"/>
          </w:tcPr>
          <w:p>
            <w:pPr>
              <w:spacing w:after="40" w:before="0" w:line="259" w:lineRule="auto"/>
            </w:pPr>
            <w:r>
              <w:rPr>
                <w:rFonts w:ascii="Calibri" w:hAnsi="Calibri"/>
                <w:b/>
                <w:i w:val="0"/>
                <w:color w:val="212121"/>
                <w:sz w:val="16"/>
              </w:rPr>
              <w:t>Interpretation</w:t>
            </w:r>
          </w:p>
        </w:tc>
        <w:tc>
          <w:tcPr>
            <w:tcW w:type="dxa" w:w="1036"/>
            <w:shd w:val="clear" w:color="auto" w:fill="F2F2F2"/>
            <w:vAlign w:val="center"/>
          </w:tcPr>
          <w:p>
            <w:pPr>
              <w:spacing w:after="40" w:before="0" w:line="259" w:lineRule="auto"/>
            </w:pPr>
            <w:r>
              <w:rPr>
                <w:rFonts w:ascii="Calibri" w:hAnsi="Calibri"/>
                <w:b/>
                <w:i w:val="0"/>
                <w:color w:val="212121"/>
                <w:sz w:val="16"/>
              </w:rPr>
              <w:t>Profiles</w:t>
            </w:r>
          </w:p>
        </w:tc>
        <w:tc>
          <w:tcPr>
            <w:tcW w:type="dxa" w:w="720"/>
            <w:shd w:val="clear" w:color="auto" w:fill="F2F2F2"/>
            <w:vAlign w:val="center"/>
          </w:tcPr>
          <w:p>
            <w:pPr>
              <w:spacing w:after="40" w:before="0" w:line="259" w:lineRule="auto"/>
            </w:pPr>
            <w:r>
              <w:rPr>
                <w:rFonts w:ascii="Calibri" w:hAnsi="Calibri"/>
                <w:b/>
                <w:i w:val="0"/>
                <w:color w:val="212121"/>
                <w:sz w:val="16"/>
              </w:rPr>
              <w:t>LHP</w:t>
            </w:r>
          </w:p>
        </w:tc>
        <w:tc>
          <w:tcPr>
            <w:tcW w:type="dxa" w:w="720"/>
            <w:shd w:val="clear" w:color="auto" w:fill="F2F2F2"/>
            <w:vAlign w:val="center"/>
          </w:tcPr>
          <w:p>
            <w:pPr>
              <w:spacing w:after="40" w:before="0" w:line="259" w:lineRule="auto"/>
            </w:pPr>
            <w:r>
              <w:rPr>
                <w:rFonts w:ascii="Calibri" w:hAnsi="Calibri"/>
                <w:b/>
                <w:i w:val="0"/>
                <w:color w:val="212121"/>
                <w:sz w:val="16"/>
              </w:rPr>
              <w:t>Importance</w:t>
            </w:r>
          </w:p>
        </w:tc>
        <w:tc>
          <w:tcPr>
            <w:tcW w:type="dxa" w:w="720"/>
            <w:shd w:val="clear" w:color="auto" w:fill="F2F2F2"/>
            <w:vAlign w:val="center"/>
          </w:tcPr>
          <w:p>
            <w:pPr>
              <w:spacing w:after="40" w:before="0" w:line="259" w:lineRule="auto"/>
            </w:pPr>
            <w:r>
              <w:rPr>
                <w:rFonts w:ascii="Calibri" w:hAnsi="Calibri"/>
                <w:b/>
                <w:i w:val="0"/>
                <w:color w:val="212121"/>
                <w:sz w:val="16"/>
              </w:rPr>
              <w:t>Note</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Sicca symptom history</w:t>
            </w:r>
          </w:p>
        </w:tc>
        <w:tc>
          <w:tcPr>
            <w:tcW w:type="dxa" w:w="979"/>
            <w:vAlign w:val="top"/>
          </w:tcPr>
          <w:p>
            <w:pPr>
              <w:spacing w:after="40" w:before="0" w:line="259" w:lineRule="auto"/>
            </w:pPr>
            <w:r>
              <w:rPr>
                <w:rFonts w:ascii="Calibri" w:hAnsi="Calibri"/>
                <w:b w:val="0"/>
                <w:i w:val="0"/>
                <w:color w:val="212121"/>
                <w:sz w:val="16"/>
              </w:rPr>
              <w:t>Daily dry eyes and dry mouth (&gt; 3 months)</w:t>
            </w:r>
          </w:p>
        </w:tc>
        <w:tc>
          <w:tcPr>
            <w:tcW w:type="dxa" w:w="950"/>
            <w:vAlign w:val="top"/>
          </w:tcPr>
          <w:p>
            <w:pPr>
              <w:spacing w:after="40" w:before="0" w:line="259" w:lineRule="auto"/>
            </w:pPr>
            <w:r>
              <w:rPr>
                <w:rFonts w:ascii="Calibri" w:hAnsi="Calibri"/>
                <w:b w:val="0"/>
                <w:i w:val="0"/>
                <w:color w:val="212121"/>
                <w:sz w:val="16"/>
              </w:rPr>
              <w:t>No persistent dryness</w:t>
            </w:r>
          </w:p>
        </w:tc>
        <w:tc>
          <w:tcPr>
            <w:tcW w:type="dxa" w:w="950"/>
            <w:vAlign w:val="top"/>
          </w:tcPr>
          <w:p>
            <w:pPr>
              <w:spacing w:after="40" w:before="0" w:line="259" w:lineRule="auto"/>
            </w:pPr>
            <w:r>
              <w:rPr>
                <w:rFonts w:ascii="Calibri" w:hAnsi="Calibri"/>
                <w:b w:val="0"/>
                <w:i w:val="0"/>
                <w:color w:val="212121"/>
                <w:sz w:val="16"/>
              </w:rPr>
              <w:t>Daily gritty/dry eyes; dry mouth needing fluids to swallow dry food</w:t>
            </w:r>
          </w:p>
        </w:tc>
        <w:tc>
          <w:tcPr>
            <w:tcW w:type="dxa" w:w="1036"/>
            <w:vAlign w:val="top"/>
          </w:tcPr>
          <w:p>
            <w:pPr>
              <w:spacing w:after="40" w:before="0" w:line="259" w:lineRule="auto"/>
            </w:pPr>
            <w:r>
              <w:rPr>
                <w:rFonts w:ascii="Calibri" w:hAnsi="Calibri"/>
                <w:b w:val="0"/>
                <w:i w:val="0"/>
                <w:color w:val="212121"/>
                <w:sz w:val="16"/>
              </w:rPr>
              <w:t>The entry point for classification and the core symptom cluster</w:t>
            </w:r>
          </w:p>
        </w:tc>
        <w:tc>
          <w:tcPr>
            <w:tcW w:type="dxa" w:w="1036"/>
            <w:vAlign w:val="top"/>
          </w:tcPr>
          <w:p>
            <w:pPr>
              <w:spacing w:after="40" w:before="0" w:line="259" w:lineRule="auto"/>
            </w:pPr>
            <w:r>
              <w:rPr>
                <w:rFonts w:ascii="Calibri" w:hAnsi="Calibri"/>
                <w:b w:val="0"/>
                <w:i w:val="0"/>
                <w:color w:val="212121"/>
                <w:sz w:val="16"/>
              </w:rPr>
              <w:t>Adults with persistent dryness</w:t>
            </w:r>
          </w:p>
        </w:tc>
        <w:tc>
          <w:tcPr>
            <w:tcW w:type="dxa" w:w="720"/>
            <w:vAlign w:val="top"/>
          </w:tcPr>
          <w:p>
            <w:pPr>
              <w:spacing w:after="40" w:before="0" w:line="259" w:lineRule="auto"/>
            </w:pPr>
            <w:r>
              <w:rPr>
                <w:rFonts w:ascii="Calibri" w:hAnsi="Calibri"/>
                <w:b w:val="0"/>
                <w:i w:val="0"/>
                <w:color w:val="212121"/>
                <w:sz w:val="16"/>
              </w:rPr>
              <w:t>Water</w:t>
            </w:r>
          </w:p>
        </w:tc>
        <w:tc>
          <w:tcPr>
            <w:tcW w:type="dxa" w:w="720"/>
            <w:vAlign w:val="top"/>
          </w:tcPr>
          <w:p>
            <w:pPr>
              <w:spacing w:after="40" w:before="0" w:line="259" w:lineRule="auto"/>
            </w:pPr>
            <w:r>
              <w:rPr>
                <w:rFonts w:ascii="Calibri" w:hAnsi="Calibri"/>
                <w:b w:val="0"/>
                <w:i w:val="0"/>
                <w:color w:val="212121"/>
                <w:sz w:val="16"/>
              </w:rPr>
              <w:t>Screening</w:t>
            </w:r>
          </w:p>
        </w:tc>
        <w:tc>
          <w:tcPr>
            <w:tcW w:type="dxa" w:w="720"/>
            <w:vAlign w:val="top"/>
          </w:tcPr>
          <w:p>
            <w:pPr>
              <w:spacing w:after="40" w:before="0" w:line="259" w:lineRule="auto"/>
            </w:pPr>
            <w:r>
              <w:rPr>
                <w:rFonts w:ascii="Calibri" w:hAnsi="Calibri"/>
                <w:b w:val="0"/>
                <w:i w:val="0"/>
                <w:color w:val="212121"/>
                <w:sz w:val="16"/>
              </w:rPr>
              <w:t>Use the standard sicca questions (eyes, mouth, need to sip)</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Systemic &amp; family review</w:t>
            </w:r>
          </w:p>
        </w:tc>
        <w:tc>
          <w:tcPr>
            <w:tcW w:type="dxa" w:w="979"/>
            <w:vAlign w:val="top"/>
          </w:tcPr>
          <w:p>
            <w:pPr>
              <w:spacing w:after="40" w:before="0" w:line="259" w:lineRule="auto"/>
            </w:pPr>
            <w:r>
              <w:rPr>
                <w:rFonts w:ascii="Calibri" w:hAnsi="Calibri"/>
                <w:b w:val="0"/>
                <w:i w:val="0"/>
                <w:color w:val="212121"/>
                <w:sz w:val="16"/>
              </w:rPr>
              <w:t>Fatigue, arthralgia, Raynaud's, purpura, neuropathy, autoimmune family history</w:t>
            </w:r>
          </w:p>
        </w:tc>
        <w:tc>
          <w:tcPr>
            <w:tcW w:type="dxa" w:w="950"/>
            <w:vAlign w:val="top"/>
          </w:tcPr>
          <w:p>
            <w:pPr>
              <w:spacing w:after="40" w:before="0" w:line="259" w:lineRule="auto"/>
            </w:pPr>
            <w:r>
              <w:rPr>
                <w:rFonts w:ascii="Calibri" w:hAnsi="Calibri"/>
                <w:b w:val="0"/>
                <w:i w:val="0"/>
                <w:color w:val="212121"/>
                <w:sz w:val="16"/>
              </w:rPr>
              <w:t>None</w:t>
            </w:r>
          </w:p>
        </w:tc>
        <w:tc>
          <w:tcPr>
            <w:tcW w:type="dxa" w:w="950"/>
            <w:vAlign w:val="top"/>
          </w:tcPr>
          <w:p>
            <w:pPr>
              <w:spacing w:after="40" w:before="0" w:line="259" w:lineRule="auto"/>
            </w:pPr>
            <w:r>
              <w:rPr>
                <w:rFonts w:ascii="Calibri" w:hAnsi="Calibri"/>
                <w:b w:val="0"/>
                <w:i w:val="0"/>
                <w:color w:val="212121"/>
                <w:sz w:val="16"/>
              </w:rPr>
              <w:t>Any extraglandular feature or first-degree autoimmune history</w:t>
            </w:r>
          </w:p>
        </w:tc>
        <w:tc>
          <w:tcPr>
            <w:tcW w:type="dxa" w:w="1036"/>
            <w:vAlign w:val="top"/>
          </w:tcPr>
          <w:p>
            <w:pPr>
              <w:spacing w:after="40" w:before="0" w:line="259" w:lineRule="auto"/>
            </w:pPr>
            <w:r>
              <w:rPr>
                <w:rFonts w:ascii="Calibri" w:hAnsi="Calibri"/>
                <w:b w:val="0"/>
                <w:i w:val="0"/>
                <w:color w:val="212121"/>
                <w:sz w:val="16"/>
              </w:rPr>
              <w:t>Identifies systemic (extraglandular) disease and inherited susceptibility</w:t>
            </w:r>
          </w:p>
        </w:tc>
        <w:tc>
          <w:tcPr>
            <w:tcW w:type="dxa" w:w="1036"/>
            <w:vAlign w:val="top"/>
          </w:tcPr>
          <w:p>
            <w:pPr>
              <w:spacing w:after="40" w:before="0" w:line="259" w:lineRule="auto"/>
            </w:pPr>
            <w:r>
              <w:rPr>
                <w:rFonts w:ascii="Calibri" w:hAnsi="Calibri"/>
                <w:b w:val="0"/>
                <w:i w:val="0"/>
                <w:color w:val="212121"/>
                <w:sz w:val="16"/>
              </w:rPr>
              <w:t>Suspected Sjögren's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Prognostic</w:t>
            </w:r>
          </w:p>
        </w:tc>
        <w:tc>
          <w:tcPr>
            <w:tcW w:type="dxa" w:w="720"/>
            <w:vAlign w:val="top"/>
          </w:tcPr>
          <w:p>
            <w:pPr>
              <w:spacing w:after="40" w:before="0" w:line="259" w:lineRule="auto"/>
            </w:pPr>
            <w:r>
              <w:rPr>
                <w:rFonts w:ascii="Calibri" w:hAnsi="Calibri"/>
                <w:b w:val="0"/>
                <w:i w:val="0"/>
                <w:color w:val="212121"/>
                <w:sz w:val="16"/>
              </w:rPr>
              <w:t>Fatigue is often the most disabling symptom</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Ocular function</w:t>
            </w:r>
          </w:p>
        </w:tc>
        <w:tc>
          <w:tcPr>
            <w:tcW w:type="dxa" w:w="950"/>
            <w:vAlign w:val="top"/>
          </w:tcPr>
          <w:p>
            <w:pPr>
              <w:spacing w:after="40" w:before="0" w:line="259" w:lineRule="auto"/>
            </w:pPr>
            <w:r>
              <w:rPr>
                <w:rFonts w:ascii="Calibri" w:hAnsi="Calibri"/>
                <w:b w:val="0"/>
                <w:i w:val="0"/>
                <w:color w:val="212121"/>
                <w:sz w:val="16"/>
              </w:rPr>
              <w:t>Schirmer's test</w:t>
            </w:r>
          </w:p>
        </w:tc>
        <w:tc>
          <w:tcPr>
            <w:tcW w:type="dxa" w:w="979"/>
            <w:vAlign w:val="top"/>
          </w:tcPr>
          <w:p>
            <w:pPr>
              <w:spacing w:after="40" w:before="0" w:line="259" w:lineRule="auto"/>
            </w:pPr>
            <w:r>
              <w:rPr>
                <w:rFonts w:ascii="Calibri" w:hAnsi="Calibri"/>
                <w:b w:val="0"/>
                <w:i w:val="0"/>
                <w:color w:val="212121"/>
                <w:sz w:val="16"/>
              </w:rPr>
              <w:t>Unanaesthetised tear wetting over 5 min</w:t>
            </w:r>
          </w:p>
        </w:tc>
        <w:tc>
          <w:tcPr>
            <w:tcW w:type="dxa" w:w="950"/>
            <w:vAlign w:val="top"/>
          </w:tcPr>
          <w:p>
            <w:pPr>
              <w:spacing w:after="40" w:before="0" w:line="259" w:lineRule="auto"/>
            </w:pPr>
            <w:r>
              <w:rPr>
                <w:rFonts w:ascii="Calibri" w:hAnsi="Calibri"/>
                <w:b w:val="0"/>
                <w:i w:val="0"/>
                <w:color w:val="212121"/>
                <w:sz w:val="16"/>
              </w:rPr>
              <w:t>&gt; 10 mm/5 min</w:t>
            </w:r>
          </w:p>
        </w:tc>
        <w:tc>
          <w:tcPr>
            <w:tcW w:type="dxa" w:w="950"/>
            <w:vAlign w:val="top"/>
          </w:tcPr>
          <w:p>
            <w:pPr>
              <w:spacing w:after="40" w:before="0" w:line="259" w:lineRule="auto"/>
            </w:pPr>
            <w:r>
              <w:rPr>
                <w:rFonts w:ascii="Calibri" w:hAnsi="Calibri"/>
                <w:b w:val="0"/>
                <w:i w:val="0"/>
                <w:color w:val="212121"/>
                <w:sz w:val="16"/>
              </w:rPr>
              <w:t>≤ 5 mm/5 min in at least one eye</w:t>
            </w:r>
          </w:p>
        </w:tc>
        <w:tc>
          <w:tcPr>
            <w:tcW w:type="dxa" w:w="1036"/>
            <w:vAlign w:val="top"/>
          </w:tcPr>
          <w:p>
            <w:pPr>
              <w:spacing w:after="40" w:before="0" w:line="259" w:lineRule="auto"/>
            </w:pPr>
            <w:r>
              <w:rPr>
                <w:rFonts w:ascii="Calibri" w:hAnsi="Calibri"/>
                <w:b w:val="0"/>
                <w:i w:val="0"/>
                <w:color w:val="212121"/>
                <w:sz w:val="16"/>
              </w:rPr>
              <w:t>Objective evidence of aqueous tear deficiency; a classification item</w:t>
            </w:r>
          </w:p>
        </w:tc>
        <w:tc>
          <w:tcPr>
            <w:tcW w:type="dxa" w:w="1036"/>
            <w:vAlign w:val="top"/>
          </w:tcPr>
          <w:p>
            <w:pPr>
              <w:spacing w:after="40" w:before="0" w:line="259" w:lineRule="auto"/>
            </w:pPr>
            <w:r>
              <w:rPr>
                <w:rFonts w:ascii="Calibri" w:hAnsi="Calibri"/>
                <w:b w:val="0"/>
                <w:i w:val="0"/>
                <w:color w:val="212121"/>
                <w:sz w:val="16"/>
              </w:rPr>
              <w:t>Patients with dry, gritty eyes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Diagnostic</w:t>
            </w:r>
          </w:p>
        </w:tc>
        <w:tc>
          <w:tcPr>
            <w:tcW w:type="dxa" w:w="720"/>
            <w:vAlign w:val="top"/>
          </w:tcPr>
          <w:p>
            <w:pPr>
              <w:spacing w:after="40" w:before="0" w:line="259" w:lineRule="auto"/>
            </w:pPr>
            <w:r>
              <w:rPr>
                <w:rFonts w:ascii="Calibri" w:hAnsi="Calibri"/>
                <w:b w:val="0"/>
                <w:i w:val="0"/>
                <w:color w:val="212121"/>
                <w:sz w:val="16"/>
              </w:rPr>
              <w:t>Complement with ocular staining</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Ocular surface</w:t>
            </w:r>
          </w:p>
        </w:tc>
        <w:tc>
          <w:tcPr>
            <w:tcW w:type="dxa" w:w="950"/>
            <w:vAlign w:val="top"/>
          </w:tcPr>
          <w:p>
            <w:pPr>
              <w:spacing w:after="40" w:before="0" w:line="259" w:lineRule="auto"/>
            </w:pPr>
            <w:r>
              <w:rPr>
                <w:rFonts w:ascii="Calibri" w:hAnsi="Calibri"/>
                <w:b w:val="0"/>
                <w:i w:val="0"/>
                <w:color w:val="212121"/>
                <w:sz w:val="16"/>
              </w:rPr>
              <w:t>Ocular staining (fluorescein/lissamine)</w:t>
            </w:r>
          </w:p>
        </w:tc>
        <w:tc>
          <w:tcPr>
            <w:tcW w:type="dxa" w:w="979"/>
            <w:vAlign w:val="top"/>
          </w:tcPr>
          <w:p>
            <w:pPr>
              <w:spacing w:after="40" w:before="0" w:line="259" w:lineRule="auto"/>
            </w:pPr>
            <w:r>
              <w:rPr>
                <w:rFonts w:ascii="Calibri" w:hAnsi="Calibri"/>
                <w:b w:val="0"/>
                <w:i w:val="0"/>
                <w:color w:val="212121"/>
                <w:sz w:val="16"/>
              </w:rPr>
              <w:t>Ocular Staining Score / van Bijsterveld</w:t>
            </w:r>
          </w:p>
        </w:tc>
        <w:tc>
          <w:tcPr>
            <w:tcW w:type="dxa" w:w="950"/>
            <w:vAlign w:val="top"/>
          </w:tcPr>
          <w:p>
            <w:pPr>
              <w:spacing w:after="40" w:before="0" w:line="259" w:lineRule="auto"/>
            </w:pPr>
            <w:r>
              <w:rPr>
                <w:rFonts w:ascii="Calibri" w:hAnsi="Calibri"/>
                <w:b w:val="0"/>
                <w:i w:val="0"/>
                <w:color w:val="212121"/>
                <w:sz w:val="16"/>
              </w:rPr>
              <w:t>No significant staining</w:t>
            </w:r>
          </w:p>
        </w:tc>
        <w:tc>
          <w:tcPr>
            <w:tcW w:type="dxa" w:w="950"/>
            <w:vAlign w:val="top"/>
          </w:tcPr>
          <w:p>
            <w:pPr>
              <w:spacing w:after="40" w:before="0" w:line="259" w:lineRule="auto"/>
            </w:pPr>
            <w:r>
              <w:rPr>
                <w:rFonts w:ascii="Calibri" w:hAnsi="Calibri"/>
                <w:b w:val="0"/>
                <w:i w:val="0"/>
                <w:color w:val="212121"/>
                <w:sz w:val="16"/>
              </w:rPr>
              <w:t>OSS ≥ 5 (or van Bijsterveld ≥ 4) in ≥ 1 eye</w:t>
            </w:r>
          </w:p>
        </w:tc>
        <w:tc>
          <w:tcPr>
            <w:tcW w:type="dxa" w:w="1036"/>
            <w:vAlign w:val="top"/>
          </w:tcPr>
          <w:p>
            <w:pPr>
              <w:spacing w:after="40" w:before="0" w:line="259" w:lineRule="auto"/>
            </w:pPr>
            <w:r>
              <w:rPr>
                <w:rFonts w:ascii="Calibri" w:hAnsi="Calibri"/>
                <w:b w:val="0"/>
                <w:i w:val="0"/>
                <w:color w:val="212121"/>
                <w:sz w:val="16"/>
              </w:rPr>
              <w:t>Demonstrates keratoconjunctivitis sicca and corneal/conjunctival damage</w:t>
            </w:r>
          </w:p>
        </w:tc>
        <w:tc>
          <w:tcPr>
            <w:tcW w:type="dxa" w:w="1036"/>
            <w:vAlign w:val="top"/>
          </w:tcPr>
          <w:p>
            <w:pPr>
              <w:spacing w:after="40" w:before="0" w:line="259" w:lineRule="auto"/>
            </w:pPr>
            <w:r>
              <w:rPr>
                <w:rFonts w:ascii="Calibri" w:hAnsi="Calibri"/>
                <w:b w:val="0"/>
                <w:i w:val="0"/>
                <w:color w:val="212121"/>
                <w:sz w:val="16"/>
              </w:rPr>
              <w:t>Patients with dry-eye symptoms</w:t>
            </w:r>
          </w:p>
        </w:tc>
        <w:tc>
          <w:tcPr>
            <w:tcW w:type="dxa" w:w="720"/>
            <w:vAlign w:val="top"/>
          </w:tcPr>
          <w:p>
            <w:pPr>
              <w:spacing w:after="40" w:before="0" w:line="259" w:lineRule="auto"/>
            </w:pPr>
            <w:r>
              <w:rPr>
                <w:rFonts w:ascii="Calibri" w:hAnsi="Calibri"/>
                <w:b w:val="0"/>
                <w:i w:val="0"/>
                <w:color w:val="212121"/>
                <w:sz w:val="16"/>
              </w:rPr>
              <w:t>Hygiene</w:t>
            </w:r>
          </w:p>
        </w:tc>
        <w:tc>
          <w:tcPr>
            <w:tcW w:type="dxa" w:w="720"/>
            <w:vAlign w:val="top"/>
          </w:tcPr>
          <w:p>
            <w:pPr>
              <w:spacing w:after="40" w:before="0" w:line="259" w:lineRule="auto"/>
            </w:pPr>
            <w:r>
              <w:rPr>
                <w:rFonts w:ascii="Calibri" w:hAnsi="Calibri"/>
                <w:b w:val="0"/>
                <w:i w:val="0"/>
                <w:color w:val="212121"/>
                <w:sz w:val="16"/>
              </w:rPr>
              <w:t>Diagnostic</w:t>
            </w:r>
          </w:p>
        </w:tc>
        <w:tc>
          <w:tcPr>
            <w:tcW w:type="dxa" w:w="720"/>
            <w:vAlign w:val="top"/>
          </w:tcPr>
          <w:p>
            <w:pPr>
              <w:spacing w:after="40" w:before="0" w:line="259" w:lineRule="auto"/>
            </w:pPr>
            <w:r>
              <w:rPr>
                <w:rFonts w:ascii="Calibri" w:hAnsi="Calibri"/>
                <w:b w:val="0"/>
                <w:i w:val="0"/>
                <w:color w:val="212121"/>
                <w:sz w:val="16"/>
              </w:rPr>
              <w:t>Performed at the slit lamp by an eye specialist</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Oral function &amp; exam</w:t>
            </w:r>
          </w:p>
        </w:tc>
        <w:tc>
          <w:tcPr>
            <w:tcW w:type="dxa" w:w="950"/>
            <w:vAlign w:val="top"/>
          </w:tcPr>
          <w:p>
            <w:pPr>
              <w:spacing w:after="40" w:before="0" w:line="259" w:lineRule="auto"/>
            </w:pPr>
            <w:r>
              <w:rPr>
                <w:rFonts w:ascii="Calibri" w:hAnsi="Calibri"/>
                <w:b w:val="0"/>
                <w:i w:val="0"/>
                <w:color w:val="212121"/>
                <w:sz w:val="16"/>
              </w:rPr>
              <w:t>Unstimulated salivary flow + oral inspection</w:t>
            </w:r>
          </w:p>
        </w:tc>
        <w:tc>
          <w:tcPr>
            <w:tcW w:type="dxa" w:w="979"/>
            <w:vAlign w:val="top"/>
          </w:tcPr>
          <w:p>
            <w:pPr>
              <w:spacing w:after="40" w:before="0" w:line="259" w:lineRule="auto"/>
            </w:pPr>
            <w:r>
              <w:rPr>
                <w:rFonts w:ascii="Calibri" w:hAnsi="Calibri"/>
                <w:b w:val="0"/>
                <w:i w:val="0"/>
                <w:color w:val="212121"/>
                <w:sz w:val="16"/>
              </w:rPr>
              <w:t>Whole salivary flow; caries, candidiasis, salivary pooling</w:t>
            </w:r>
          </w:p>
        </w:tc>
        <w:tc>
          <w:tcPr>
            <w:tcW w:type="dxa" w:w="950"/>
            <w:vAlign w:val="top"/>
          </w:tcPr>
          <w:p>
            <w:pPr>
              <w:spacing w:after="40" w:before="0" w:line="259" w:lineRule="auto"/>
            </w:pPr>
            <w:r>
              <w:rPr>
                <w:rFonts w:ascii="Calibri" w:hAnsi="Calibri"/>
                <w:b w:val="0"/>
                <w:i w:val="0"/>
                <w:color w:val="212121"/>
                <w:sz w:val="16"/>
              </w:rPr>
              <w:t>Flow &gt; 0.1 mL/min; moist mucosa, no rampant caries</w:t>
            </w:r>
          </w:p>
        </w:tc>
        <w:tc>
          <w:tcPr>
            <w:tcW w:type="dxa" w:w="950"/>
            <w:vAlign w:val="top"/>
          </w:tcPr>
          <w:p>
            <w:pPr>
              <w:spacing w:after="40" w:before="0" w:line="259" w:lineRule="auto"/>
            </w:pPr>
            <w:r>
              <w:rPr>
                <w:rFonts w:ascii="Calibri" w:hAnsi="Calibri"/>
                <w:b w:val="0"/>
                <w:i w:val="0"/>
                <w:color w:val="212121"/>
                <w:sz w:val="16"/>
              </w:rPr>
              <w:t>Flow ≤ 0.1 mL/min; dry, fissured tongue, cervical caries, candidiasis, mirror sticks to mucosa</w:t>
            </w:r>
          </w:p>
        </w:tc>
        <w:tc>
          <w:tcPr>
            <w:tcW w:type="dxa" w:w="1036"/>
            <w:vAlign w:val="top"/>
          </w:tcPr>
          <w:p>
            <w:pPr>
              <w:spacing w:after="40" w:before="0" w:line="259" w:lineRule="auto"/>
            </w:pPr>
            <w:r>
              <w:rPr>
                <w:rFonts w:ascii="Calibri" w:hAnsi="Calibri"/>
                <w:b w:val="0"/>
                <w:i w:val="0"/>
                <w:color w:val="212121"/>
                <w:sz w:val="16"/>
              </w:rPr>
              <w:t>Objective hyposalivation plus its oral consequences; a classification item</w:t>
            </w:r>
          </w:p>
        </w:tc>
        <w:tc>
          <w:tcPr>
            <w:tcW w:type="dxa" w:w="1036"/>
            <w:vAlign w:val="top"/>
          </w:tcPr>
          <w:p>
            <w:pPr>
              <w:spacing w:after="40" w:before="0" w:line="259" w:lineRule="auto"/>
            </w:pPr>
            <w:r>
              <w:rPr>
                <w:rFonts w:ascii="Calibri" w:hAnsi="Calibri"/>
                <w:b w:val="0"/>
                <w:i w:val="0"/>
                <w:color w:val="212121"/>
                <w:sz w:val="16"/>
              </w:rPr>
              <w:t>Patients with dry mouth, dental problems</w:t>
            </w:r>
          </w:p>
        </w:tc>
        <w:tc>
          <w:tcPr>
            <w:tcW w:type="dxa" w:w="720"/>
            <w:vAlign w:val="top"/>
          </w:tcPr>
          <w:p>
            <w:pPr>
              <w:spacing w:after="40" w:before="0" w:line="259" w:lineRule="auto"/>
            </w:pPr>
            <w:r>
              <w:rPr>
                <w:rFonts w:ascii="Calibri" w:hAnsi="Calibri"/>
                <w:b w:val="0"/>
                <w:i w:val="0"/>
                <w:color w:val="212121"/>
                <w:sz w:val="16"/>
              </w:rPr>
              <w:t>Hygiene</w:t>
            </w:r>
          </w:p>
        </w:tc>
        <w:tc>
          <w:tcPr>
            <w:tcW w:type="dxa" w:w="720"/>
            <w:vAlign w:val="top"/>
          </w:tcPr>
          <w:p>
            <w:pPr>
              <w:spacing w:after="40" w:before="0" w:line="259" w:lineRule="auto"/>
            </w:pPr>
            <w:r>
              <w:rPr>
                <w:rFonts w:ascii="Calibri" w:hAnsi="Calibri"/>
                <w:b w:val="0"/>
                <w:i w:val="0"/>
                <w:color w:val="212121"/>
                <w:sz w:val="16"/>
              </w:rPr>
              <w:t>Diagnostic</w:t>
            </w:r>
          </w:p>
        </w:tc>
        <w:tc>
          <w:tcPr>
            <w:tcW w:type="dxa" w:w="720"/>
            <w:vAlign w:val="top"/>
          </w:tcPr>
          <w:p>
            <w:pPr>
              <w:spacing w:after="40" w:before="0" w:line="259" w:lineRule="auto"/>
            </w:pPr>
            <w:r>
              <w:rPr>
                <w:rFonts w:ascii="Calibri" w:hAnsi="Calibri"/>
                <w:b w:val="0"/>
                <w:i w:val="0"/>
                <w:color w:val="212121"/>
                <w:sz w:val="16"/>
              </w:rPr>
              <w:t>Coordinate care with dentistry</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General &amp; gland exam</w:t>
            </w:r>
          </w:p>
        </w:tc>
        <w:tc>
          <w:tcPr>
            <w:tcW w:type="dxa" w:w="950"/>
            <w:vAlign w:val="top"/>
          </w:tcPr>
          <w:p>
            <w:pPr>
              <w:spacing w:after="40" w:before="0" w:line="259" w:lineRule="auto"/>
            </w:pPr>
            <w:r>
              <w:rPr>
                <w:rFonts w:ascii="Calibri" w:hAnsi="Calibri"/>
                <w:b w:val="0"/>
                <w:i w:val="0"/>
                <w:color w:val="212121"/>
                <w:sz w:val="16"/>
              </w:rPr>
              <w:t>Parotid, lymph-node &amp; systemic exam</w:t>
            </w:r>
          </w:p>
        </w:tc>
        <w:tc>
          <w:tcPr>
            <w:tcW w:type="dxa" w:w="979"/>
            <w:vAlign w:val="top"/>
          </w:tcPr>
          <w:p>
            <w:pPr>
              <w:spacing w:after="40" w:before="0" w:line="259" w:lineRule="auto"/>
            </w:pPr>
            <w:r>
              <w:rPr>
                <w:rFonts w:ascii="Calibri" w:hAnsi="Calibri"/>
                <w:b w:val="0"/>
                <w:i w:val="0"/>
                <w:color w:val="212121"/>
                <w:sz w:val="16"/>
              </w:rPr>
              <w:t>Gland size, lymphadenopathy, chest, skin, neurology</w:t>
            </w:r>
          </w:p>
        </w:tc>
        <w:tc>
          <w:tcPr>
            <w:tcW w:type="dxa" w:w="950"/>
            <w:vAlign w:val="top"/>
          </w:tcPr>
          <w:p>
            <w:pPr>
              <w:spacing w:after="40" w:before="0" w:line="259" w:lineRule="auto"/>
            </w:pPr>
            <w:r>
              <w:rPr>
                <w:rFonts w:ascii="Calibri" w:hAnsi="Calibri"/>
                <w:b w:val="0"/>
                <w:i w:val="0"/>
                <w:color w:val="212121"/>
                <w:sz w:val="16"/>
              </w:rPr>
              <w:t>No persistent enlargement</w:t>
            </w:r>
          </w:p>
        </w:tc>
        <w:tc>
          <w:tcPr>
            <w:tcW w:type="dxa" w:w="950"/>
            <w:vAlign w:val="top"/>
          </w:tcPr>
          <w:p>
            <w:pPr>
              <w:spacing w:after="40" w:before="0" w:line="259" w:lineRule="auto"/>
            </w:pPr>
            <w:r>
              <w:rPr>
                <w:rFonts w:ascii="Calibri" w:hAnsi="Calibri"/>
                <w:b w:val="0"/>
                <w:i w:val="0"/>
                <w:color w:val="212121"/>
                <w:sz w:val="16"/>
              </w:rPr>
              <w:t>Persistent/hard or unilateral gland or node enlargement; crackles; palpable purpura</w:t>
            </w:r>
          </w:p>
        </w:tc>
        <w:tc>
          <w:tcPr>
            <w:tcW w:type="dxa" w:w="1036"/>
            <w:vAlign w:val="top"/>
          </w:tcPr>
          <w:p>
            <w:pPr>
              <w:spacing w:after="40" w:before="0" w:line="259" w:lineRule="auto"/>
            </w:pPr>
            <w:r>
              <w:rPr>
                <w:rFonts w:ascii="Calibri" w:hAnsi="Calibri"/>
                <w:b w:val="0"/>
                <w:i w:val="0"/>
                <w:color w:val="212121"/>
                <w:sz w:val="16"/>
              </w:rPr>
              <w:t>Detects systemic involvement and lymphoma red flags</w:t>
            </w:r>
          </w:p>
        </w:tc>
        <w:tc>
          <w:tcPr>
            <w:tcW w:type="dxa" w:w="1036"/>
            <w:vAlign w:val="top"/>
          </w:tcPr>
          <w:p>
            <w:pPr>
              <w:spacing w:after="40" w:before="0" w:line="259" w:lineRule="auto"/>
            </w:pPr>
            <w:r>
              <w:rPr>
                <w:rFonts w:ascii="Calibri" w:hAnsi="Calibri"/>
                <w:b w:val="0"/>
                <w:i w:val="0"/>
                <w:color w:val="212121"/>
                <w:sz w:val="16"/>
              </w:rPr>
              <w:t>Patients with gland swelling or systemic features</w:t>
            </w:r>
          </w:p>
        </w:tc>
        <w:tc>
          <w:tcPr>
            <w:tcW w:type="dxa" w:w="720"/>
            <w:vAlign w:val="top"/>
          </w:tcPr>
          <w:p>
            <w:pPr>
              <w:spacing w:after="40" w:before="0" w:line="259" w:lineRule="auto"/>
            </w:pPr>
            <w:r>
              <w:rPr>
                <w:rFonts w:ascii="Calibri" w:hAnsi="Calibri"/>
                <w:b w:val="0"/>
                <w:i w:val="0"/>
                <w:color w:val="212121"/>
                <w:sz w:val="16"/>
              </w:rPr>
              <w:t>NA</w:t>
            </w:r>
          </w:p>
        </w:tc>
        <w:tc>
          <w:tcPr>
            <w:tcW w:type="dxa" w:w="720"/>
            <w:vAlign w:val="top"/>
          </w:tcPr>
          <w:p>
            <w:pPr>
              <w:spacing w:after="40" w:before="0" w:line="259" w:lineRule="auto"/>
            </w:pPr>
            <w:r>
              <w:rPr>
                <w:rFonts w:ascii="Calibri" w:hAnsi="Calibri"/>
                <w:b w:val="0"/>
                <w:i w:val="0"/>
                <w:color w:val="212121"/>
                <w:sz w:val="16"/>
              </w:rPr>
              <w:t>Prognostic (lymphoma surveillance)</w:t>
            </w:r>
          </w:p>
        </w:tc>
        <w:tc>
          <w:tcPr>
            <w:tcW w:type="dxa" w:w="720"/>
            <w:vAlign w:val="top"/>
          </w:tcPr>
          <w:p>
            <w:pPr>
              <w:spacing w:after="40" w:before="0" w:line="259" w:lineRule="auto"/>
            </w:pPr>
            <w:r>
              <w:rPr>
                <w:rFonts w:ascii="Calibri" w:hAnsi="Calibri"/>
                <w:b w:val="0"/>
                <w:i w:val="0"/>
                <w:color w:val="212121"/>
                <w:sz w:val="16"/>
              </w:rPr>
              <w:t>New persistent unilateral swelling needs urgent evaluation</w:t>
            </w:r>
          </w:p>
        </w:tc>
      </w:tr>
    </w:tbl>
    <w:p>
      <w:pPr>
        <w:spacing w:before="200" w:after="120"/>
      </w:pPr>
      <w:r>
        <w:rPr>
          <w:rFonts w:ascii="Calibri" w:hAnsi="Calibri"/>
          <w:b/>
          <w:i w:val="0"/>
          <w:color w:val="212121"/>
          <w:sz w:val="25"/>
        </w:rPr>
        <w:t>Clinical features</w:t>
      </w:r>
    </w:p>
    <w:p>
      <w:pPr>
        <w:spacing w:before="160" w:after="120"/>
      </w:pPr>
      <w:r>
        <w:rPr>
          <w:rFonts w:ascii="Calibri" w:hAnsi="Calibri"/>
          <w:b/>
          <w:i w:val="0"/>
          <w:color w:val="212121"/>
          <w:sz w:val="22"/>
        </w:rPr>
        <w:t>Symptoms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304"/>
            <w:shd w:val="clear" w:color="auto" w:fill="F2F2F2"/>
            <w:vAlign w:val="center"/>
          </w:tcPr>
          <w:p>
            <w:pPr>
              <w:spacing w:after="40" w:before="0" w:line="259" w:lineRule="auto"/>
            </w:pPr>
            <w:r>
              <w:rPr>
                <w:rFonts w:ascii="Calibri" w:hAnsi="Calibri"/>
                <w:b/>
                <w:i w:val="0"/>
                <w:color w:val="212121"/>
                <w:sz w:val="19"/>
              </w:rPr>
              <w:t>Symptom</w:t>
            </w:r>
          </w:p>
        </w:tc>
        <w:tc>
          <w:tcPr>
            <w:tcW w:type="dxa" w:w="1584"/>
            <w:shd w:val="clear" w:color="auto" w:fill="F2F2F2"/>
            <w:vAlign w:val="center"/>
          </w:tcPr>
          <w:p>
            <w:pPr>
              <w:spacing w:after="40" w:before="0" w:line="259" w:lineRule="auto"/>
            </w:pPr>
            <w:r>
              <w:rPr>
                <w:rFonts w:ascii="Calibri" w:hAnsi="Calibri"/>
                <w:b/>
                <w:i w:val="0"/>
                <w:color w:val="212121"/>
                <w:sz w:val="19"/>
              </w:rPr>
              <w:t>Type</w:t>
            </w:r>
          </w:p>
        </w:tc>
        <w:tc>
          <w:tcPr>
            <w:tcW w:type="dxa" w:w="5716"/>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2304"/>
            <w:vAlign w:val="top"/>
          </w:tcPr>
          <w:p>
            <w:pPr>
              <w:spacing w:after="40" w:before="0" w:line="259" w:lineRule="auto"/>
            </w:pPr>
            <w:r>
              <w:rPr>
                <w:rFonts w:ascii="Calibri" w:hAnsi="Calibri"/>
                <w:b/>
                <w:i w:val="0"/>
                <w:color w:val="212121"/>
                <w:sz w:val="19"/>
              </w:rPr>
              <w:t>Dry, gritty eyes (keratoconjunctivitis sicca)</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Burning, foreign-body or sandy sensation, redness and light sensitivity from deficient tears.</w:t>
            </w:r>
          </w:p>
        </w:tc>
      </w:tr>
      <w:tr>
        <w:trPr>
          <w:cantSplit/>
        </w:trPr>
        <w:tc>
          <w:tcPr>
            <w:tcW w:type="dxa" w:w="2304"/>
            <w:vAlign w:val="top"/>
          </w:tcPr>
          <w:p>
            <w:pPr>
              <w:spacing w:after="40" w:before="0" w:line="259" w:lineRule="auto"/>
            </w:pPr>
            <w:r>
              <w:rPr>
                <w:rFonts w:ascii="Calibri" w:hAnsi="Calibri"/>
                <w:b/>
                <w:i w:val="0"/>
                <w:color w:val="212121"/>
                <w:sz w:val="19"/>
              </w:rPr>
              <w:t>Dry mouth (xerostomia)</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Reduced saliva causing difficulty chewing and swallowing dry food, altered taste and the need to sip water constantly.</w:t>
            </w:r>
          </w:p>
        </w:tc>
      </w:tr>
      <w:tr>
        <w:trPr>
          <w:cantSplit/>
        </w:trPr>
        <w:tc>
          <w:tcPr>
            <w:tcW w:type="dxa" w:w="2304"/>
            <w:vAlign w:val="top"/>
          </w:tcPr>
          <w:p>
            <w:pPr>
              <w:spacing w:after="40" w:before="0" w:line="259" w:lineRule="auto"/>
            </w:pPr>
            <w:r>
              <w:rPr>
                <w:rFonts w:ascii="Calibri" w:hAnsi="Calibri"/>
                <w:b/>
                <w:i w:val="0"/>
                <w:color w:val="212121"/>
                <w:sz w:val="19"/>
              </w:rPr>
              <w:t>Profound fatigue</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Persistent, disabling tiredness that is often the most limiting symptom and out of proportion to dryness.</w:t>
            </w:r>
          </w:p>
        </w:tc>
      </w:tr>
      <w:tr>
        <w:trPr>
          <w:cantSplit/>
        </w:trPr>
        <w:tc>
          <w:tcPr>
            <w:tcW w:type="dxa" w:w="2304"/>
            <w:vAlign w:val="top"/>
          </w:tcPr>
          <w:p>
            <w:pPr>
              <w:spacing w:after="40" w:before="0" w:line="259" w:lineRule="auto"/>
            </w:pPr>
            <w:r>
              <w:rPr>
                <w:rFonts w:ascii="Calibri" w:hAnsi="Calibri"/>
                <w:b/>
                <w:i w:val="0"/>
                <w:color w:val="212121"/>
                <w:sz w:val="19"/>
              </w:rPr>
              <w:t>Joint pain and morning stiffness</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Non-erosive inflammatory arthralgia/arthritis, often of the hands and wrists.</w:t>
            </w:r>
          </w:p>
        </w:tc>
      </w:tr>
      <w:tr>
        <w:trPr>
          <w:cantSplit/>
        </w:trPr>
        <w:tc>
          <w:tcPr>
            <w:tcW w:type="dxa" w:w="2304"/>
            <w:vAlign w:val="top"/>
          </w:tcPr>
          <w:p>
            <w:pPr>
              <w:spacing w:after="40" w:before="0" w:line="259" w:lineRule="auto"/>
            </w:pPr>
            <w:r>
              <w:rPr>
                <w:rFonts w:ascii="Calibri" w:hAnsi="Calibri"/>
                <w:b/>
                <w:i w:val="0"/>
                <w:color w:val="212121"/>
                <w:sz w:val="19"/>
              </w:rPr>
              <w:t>Difficulty swallowing dry food</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Dysphagia for dry solids and the habit of drinking with every mouthful, due to lack of saliva.</w:t>
            </w:r>
          </w:p>
        </w:tc>
      </w:tr>
      <w:tr>
        <w:trPr>
          <w:cantSplit/>
        </w:trPr>
        <w:tc>
          <w:tcPr>
            <w:tcW w:type="dxa" w:w="2304"/>
            <w:vAlign w:val="top"/>
          </w:tcPr>
          <w:p>
            <w:pPr>
              <w:spacing w:after="40" w:before="0" w:line="259" w:lineRule="auto"/>
            </w:pPr>
            <w:r>
              <w:rPr>
                <w:rFonts w:ascii="Calibri" w:hAnsi="Calibri"/>
                <w:b/>
                <w:i w:val="0"/>
                <w:color w:val="212121"/>
                <w:sz w:val="19"/>
              </w:rPr>
              <w:t>Dry throat, hoarseness and dry cough</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Dryness of the airway lining causing throat clearing, a chronic non-productive cough and voice change.</w:t>
            </w:r>
          </w:p>
        </w:tc>
      </w:tr>
      <w:tr>
        <w:trPr>
          <w:cantSplit/>
        </w:trPr>
        <w:tc>
          <w:tcPr>
            <w:tcW w:type="dxa" w:w="2304"/>
            <w:vAlign w:val="top"/>
          </w:tcPr>
          <w:p>
            <w:pPr>
              <w:spacing w:after="40" w:before="0" w:line="259" w:lineRule="auto"/>
            </w:pPr>
            <w:r>
              <w:rPr>
                <w:rFonts w:ascii="Calibri" w:hAnsi="Calibri"/>
                <w:b/>
                <w:i w:val="0"/>
                <w:color w:val="212121"/>
                <w:sz w:val="19"/>
              </w:rPr>
              <w:t>Dry, itchy skin</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Reduced sweat and sebaceous secretion leaves skin dry and prone to itch.</w:t>
            </w:r>
          </w:p>
        </w:tc>
      </w:tr>
      <w:tr>
        <w:trPr>
          <w:cantSplit/>
        </w:trPr>
        <w:tc>
          <w:tcPr>
            <w:tcW w:type="dxa" w:w="2304"/>
            <w:vAlign w:val="top"/>
          </w:tcPr>
          <w:p>
            <w:pPr>
              <w:spacing w:after="40" w:before="0" w:line="259" w:lineRule="auto"/>
            </w:pPr>
            <w:r>
              <w:rPr>
                <w:rFonts w:ascii="Calibri" w:hAnsi="Calibri"/>
                <w:b/>
                <w:i w:val="0"/>
                <w:color w:val="212121"/>
                <w:sz w:val="19"/>
              </w:rPr>
              <w:t>Vaginal dryness and dyspareunia</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Dryness of genital mucosa in women, causing discomfort and painful intercourse.</w:t>
            </w:r>
          </w:p>
        </w:tc>
      </w:tr>
      <w:tr>
        <w:trPr>
          <w:cantSplit/>
        </w:trPr>
        <w:tc>
          <w:tcPr>
            <w:tcW w:type="dxa" w:w="2304"/>
            <w:vAlign w:val="top"/>
          </w:tcPr>
          <w:p>
            <w:pPr>
              <w:spacing w:after="40" w:before="0" w:line="259" w:lineRule="auto"/>
            </w:pPr>
            <w:r>
              <w:rPr>
                <w:rFonts w:ascii="Calibri" w:hAnsi="Calibri"/>
                <w:b/>
                <w:i w:val="0"/>
                <w:color w:val="212121"/>
                <w:sz w:val="19"/>
              </w:rPr>
              <w:t>Recurrent salivary (parotid) gland swelling</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Episodic or persistent parotid/submandibular swelling; persistent unilateral swelling is a lymphoma warning.</w:t>
            </w:r>
          </w:p>
        </w:tc>
      </w:tr>
      <w:tr>
        <w:trPr>
          <w:cantSplit/>
        </w:trPr>
        <w:tc>
          <w:tcPr>
            <w:tcW w:type="dxa" w:w="2304"/>
            <w:vAlign w:val="top"/>
          </w:tcPr>
          <w:p>
            <w:pPr>
              <w:spacing w:after="40" w:before="0" w:line="259" w:lineRule="auto"/>
            </w:pPr>
            <w:r>
              <w:rPr>
                <w:rFonts w:ascii="Calibri" w:hAnsi="Calibri"/>
                <w:b/>
                <w:i w:val="0"/>
                <w:color w:val="212121"/>
                <w:sz w:val="19"/>
              </w:rPr>
              <w:t>Raynaud's phenomenon</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Colour change and pain of the fingers on cold exposure, reflecting associated vascular autoimmunity.</w:t>
            </w:r>
          </w:p>
        </w:tc>
      </w:tr>
      <w:tr>
        <w:trPr>
          <w:cantSplit/>
        </w:trPr>
        <w:tc>
          <w:tcPr>
            <w:tcW w:type="dxa" w:w="2304"/>
            <w:vAlign w:val="top"/>
          </w:tcPr>
          <w:p>
            <w:pPr>
              <w:spacing w:after="40" w:before="0" w:line="259" w:lineRule="auto"/>
            </w:pPr>
            <w:r>
              <w:rPr>
                <w:rFonts w:ascii="Calibri" w:hAnsi="Calibri"/>
                <w:b/>
                <w:i w:val="0"/>
                <w:color w:val="212121"/>
                <w:sz w:val="19"/>
              </w:rPr>
              <w:t>Numbness or tingling (peripheral neuropathy)</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Sensory or small-fibre neuropathy causing burning, tingling or numbness of the limbs.</w:t>
            </w:r>
          </w:p>
        </w:tc>
      </w:tr>
      <w:tr>
        <w:trPr>
          <w:cantSplit/>
        </w:trPr>
        <w:tc>
          <w:tcPr>
            <w:tcW w:type="dxa" w:w="2304"/>
            <w:vAlign w:val="top"/>
          </w:tcPr>
          <w:p>
            <w:pPr>
              <w:spacing w:after="40" w:before="0" w:line="259" w:lineRule="auto"/>
            </w:pPr>
            <w:r>
              <w:rPr>
                <w:rFonts w:ascii="Calibri" w:hAnsi="Calibri"/>
                <w:b/>
                <w:i w:val="0"/>
                <w:color w:val="212121"/>
                <w:sz w:val="19"/>
              </w:rPr>
              <w:t>Brain fog, poor concentration and low mood</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Cognitive complaints, anxiety and depression that markedly reduce quality of life.</w:t>
            </w:r>
          </w:p>
        </w:tc>
      </w:tr>
      <w:tr>
        <w:trPr>
          <w:cantSplit/>
        </w:trPr>
        <w:tc>
          <w:tcPr>
            <w:tcW w:type="dxa" w:w="2304"/>
            <w:vAlign w:val="top"/>
          </w:tcPr>
          <w:p>
            <w:pPr>
              <w:spacing w:after="40" w:before="0" w:line="259" w:lineRule="auto"/>
            </w:pPr>
            <w:r>
              <w:rPr>
                <w:rFonts w:ascii="Calibri" w:hAnsi="Calibri"/>
                <w:b/>
                <w:i w:val="0"/>
                <w:color w:val="212121"/>
                <w:sz w:val="19"/>
              </w:rPr>
              <w:t>Skin rash / purpura on the legs</w:t>
            </w:r>
          </w:p>
        </w:tc>
        <w:tc>
          <w:tcPr>
            <w:tcW w:type="dxa" w:w="1584"/>
            <w:vAlign w:val="top"/>
          </w:tcPr>
          <w:p>
            <w:pPr>
              <w:spacing w:after="40" w:before="0" w:line="259" w:lineRule="auto"/>
            </w:pPr>
            <w:r>
              <w:rPr>
                <w:rFonts w:ascii="Calibri" w:hAnsi="Calibri"/>
                <w:b w:val="0"/>
                <w:i w:val="0"/>
                <w:color w:val="212121"/>
                <w:sz w:val="19"/>
              </w:rPr>
              <w:t>Rare</w:t>
            </w:r>
          </w:p>
        </w:tc>
        <w:tc>
          <w:tcPr>
            <w:tcW w:type="dxa" w:w="5716"/>
            <w:vAlign w:val="top"/>
          </w:tcPr>
          <w:p>
            <w:pPr>
              <w:spacing w:after="40" w:before="0" w:line="259" w:lineRule="auto"/>
            </w:pPr>
            <w:r>
              <w:rPr>
                <w:rFonts w:ascii="Calibri" w:hAnsi="Calibri"/>
                <w:b w:val="0"/>
                <w:i w:val="0"/>
                <w:color w:val="212121"/>
                <w:sz w:val="19"/>
              </w:rPr>
              <w:t>Palpable purpura signals cutaneous small-vessel vasculitis, often with cryoglobulins, and marks higher-risk disease.</w:t>
            </w:r>
          </w:p>
        </w:tc>
      </w:tr>
    </w:tbl>
    <w:p>
      <w:pPr>
        <w:spacing w:before="160" w:after="120"/>
      </w:pPr>
      <w:r>
        <w:rPr>
          <w:rFonts w:ascii="Calibri" w:hAnsi="Calibri"/>
          <w:b/>
          <w:i w:val="0"/>
          <w:color w:val="212121"/>
          <w:sz w:val="22"/>
        </w:rPr>
        <w:t>Signs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3456"/>
            <w:shd w:val="clear" w:color="auto" w:fill="F2F2F2"/>
            <w:vAlign w:val="center"/>
          </w:tcPr>
          <w:p>
            <w:pPr>
              <w:spacing w:after="40" w:before="0" w:line="259" w:lineRule="auto"/>
            </w:pPr>
            <w:r>
              <w:rPr>
                <w:rFonts w:ascii="Calibri" w:hAnsi="Calibri"/>
                <w:b/>
                <w:i w:val="0"/>
                <w:color w:val="212121"/>
                <w:sz w:val="19"/>
              </w:rPr>
              <w:t>Sign</w:t>
            </w:r>
          </w:p>
        </w:tc>
        <w:tc>
          <w:tcPr>
            <w:tcW w:type="dxa" w:w="1728"/>
            <w:shd w:val="clear" w:color="auto" w:fill="F2F2F2"/>
            <w:vAlign w:val="center"/>
          </w:tcPr>
          <w:p>
            <w:pPr>
              <w:spacing w:after="40" w:before="0" w:line="259" w:lineRule="auto"/>
            </w:pPr>
            <w:r>
              <w:rPr>
                <w:rFonts w:ascii="Calibri" w:hAnsi="Calibri"/>
                <w:b/>
                <w:i w:val="0"/>
                <w:color w:val="212121"/>
                <w:sz w:val="19"/>
              </w:rPr>
              <w:t>Type</w:t>
            </w:r>
          </w:p>
        </w:tc>
        <w:tc>
          <w:tcPr>
            <w:tcW w:type="dxa" w:w="4420"/>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3456"/>
            <w:vAlign w:val="top"/>
          </w:tcPr>
          <w:p>
            <w:pPr>
              <w:spacing w:after="40" w:before="0" w:line="259" w:lineRule="auto"/>
            </w:pPr>
            <w:r>
              <w:rPr>
                <w:rFonts w:ascii="Calibri" w:hAnsi="Calibri"/>
                <w:b/>
                <w:i w:val="0"/>
                <w:color w:val="212121"/>
                <w:sz w:val="19"/>
              </w:rPr>
              <w:t>Positive Schirmer's test (≤ 5 mm/5 min)</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Objective aqueous tear deficiency on filter-paper testing.</w:t>
            </w:r>
          </w:p>
        </w:tc>
      </w:tr>
      <w:tr>
        <w:trPr>
          <w:cantSplit/>
        </w:trPr>
        <w:tc>
          <w:tcPr>
            <w:tcW w:type="dxa" w:w="3456"/>
            <w:vAlign w:val="top"/>
          </w:tcPr>
          <w:p>
            <w:pPr>
              <w:spacing w:after="40" w:before="0" w:line="259" w:lineRule="auto"/>
            </w:pPr>
            <w:r>
              <w:rPr>
                <w:rFonts w:ascii="Calibri" w:hAnsi="Calibri"/>
                <w:b/>
                <w:i w:val="0"/>
                <w:color w:val="212121"/>
                <w:sz w:val="19"/>
              </w:rPr>
              <w:t>Ocular surface (corneal/conjunctival) staining</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Punctate keratopathy on fluorescein/lissamine staining at the slit lamp — keratoconjunctivitis sicca.</w:t>
            </w:r>
          </w:p>
        </w:tc>
      </w:tr>
      <w:tr>
        <w:trPr>
          <w:cantSplit/>
        </w:trPr>
        <w:tc>
          <w:tcPr>
            <w:tcW w:type="dxa" w:w="3456"/>
            <w:vAlign w:val="top"/>
          </w:tcPr>
          <w:p>
            <w:pPr>
              <w:spacing w:after="40" w:before="0" w:line="259" w:lineRule="auto"/>
            </w:pPr>
            <w:r>
              <w:rPr>
                <w:rFonts w:ascii="Calibri" w:hAnsi="Calibri"/>
                <w:b/>
                <w:i w:val="0"/>
                <w:color w:val="212121"/>
                <w:sz w:val="19"/>
              </w:rPr>
              <w:t>Dry, erythematous, fissured tongue with depapillation</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Smooth, red tongue; a dental mirror or tongue depressor sticks to the dry mucosa.</w:t>
            </w:r>
          </w:p>
        </w:tc>
      </w:tr>
      <w:tr>
        <w:trPr>
          <w:cantSplit/>
        </w:trPr>
        <w:tc>
          <w:tcPr>
            <w:tcW w:type="dxa" w:w="3456"/>
            <w:vAlign w:val="top"/>
          </w:tcPr>
          <w:p>
            <w:pPr>
              <w:spacing w:after="40" w:before="0" w:line="259" w:lineRule="auto"/>
            </w:pPr>
            <w:r>
              <w:rPr>
                <w:rFonts w:ascii="Calibri" w:hAnsi="Calibri"/>
                <w:b/>
                <w:i w:val="0"/>
                <w:color w:val="212121"/>
                <w:sz w:val="19"/>
              </w:rPr>
              <w:t>Rampant cervical / root dental caries</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Rapidly progressive decay at the gum line and tooth roots owing to loss of protective saliva.</w:t>
            </w:r>
          </w:p>
        </w:tc>
      </w:tr>
      <w:tr>
        <w:trPr>
          <w:cantSplit/>
        </w:trPr>
        <w:tc>
          <w:tcPr>
            <w:tcW w:type="dxa" w:w="3456"/>
            <w:vAlign w:val="top"/>
          </w:tcPr>
          <w:p>
            <w:pPr>
              <w:spacing w:after="40" w:before="0" w:line="259" w:lineRule="auto"/>
            </w:pPr>
            <w:r>
              <w:rPr>
                <w:rFonts w:ascii="Calibri" w:hAnsi="Calibri"/>
                <w:b/>
                <w:i w:val="0"/>
                <w:color w:val="212121"/>
                <w:sz w:val="19"/>
              </w:rPr>
              <w:t>Oral candidiasis / angular cheilitis</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Erythematous or pseudomembranous candidiasis and cracked mouth corners in the dry mouth.</w:t>
            </w:r>
          </w:p>
        </w:tc>
      </w:tr>
      <w:tr>
        <w:trPr>
          <w:cantSplit/>
        </w:trPr>
        <w:tc>
          <w:tcPr>
            <w:tcW w:type="dxa" w:w="3456"/>
            <w:vAlign w:val="top"/>
          </w:tcPr>
          <w:p>
            <w:pPr>
              <w:spacing w:after="40" w:before="0" w:line="259" w:lineRule="auto"/>
            </w:pPr>
            <w:r>
              <w:rPr>
                <w:rFonts w:ascii="Calibri" w:hAnsi="Calibri"/>
                <w:b/>
                <w:i w:val="0"/>
                <w:color w:val="212121"/>
                <w:sz w:val="19"/>
              </w:rPr>
              <w:t>Reduced salivary pooling / low unstimulated flow</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Little or no saliva pooling in the floor of the mouth; flow ≤ 0.1 mL/min.</w:t>
            </w:r>
          </w:p>
        </w:tc>
      </w:tr>
      <w:tr>
        <w:trPr>
          <w:cantSplit/>
        </w:trPr>
        <w:tc>
          <w:tcPr>
            <w:tcW w:type="dxa" w:w="3456"/>
            <w:vAlign w:val="top"/>
          </w:tcPr>
          <w:p>
            <w:pPr>
              <w:spacing w:after="40" w:before="0" w:line="259" w:lineRule="auto"/>
            </w:pPr>
            <w:r>
              <w:rPr>
                <w:rFonts w:ascii="Calibri" w:hAnsi="Calibri"/>
                <w:b/>
                <w:i w:val="0"/>
                <w:color w:val="212121"/>
                <w:sz w:val="19"/>
              </w:rPr>
              <w:t>Parotid / submandibular gland enlargement</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Firm, sometimes bilateral major salivary-gland swelling from lymphocytic infiltration.</w:t>
            </w:r>
          </w:p>
        </w:tc>
      </w:tr>
      <w:tr>
        <w:trPr>
          <w:cantSplit/>
        </w:trPr>
        <w:tc>
          <w:tcPr>
            <w:tcW w:type="dxa" w:w="3456"/>
            <w:vAlign w:val="top"/>
          </w:tcPr>
          <w:p>
            <w:pPr>
              <w:spacing w:after="40" w:before="0" w:line="259" w:lineRule="auto"/>
            </w:pPr>
            <w:r>
              <w:rPr>
                <w:rFonts w:ascii="Calibri" w:hAnsi="Calibri"/>
                <w:b/>
                <w:i w:val="0"/>
                <w:color w:val="212121"/>
                <w:sz w:val="19"/>
              </w:rPr>
              <w:t>Palpable purpura / cutaneous vasculitis</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Non-blanching purpura on the lower legs, often with cryoglobulinaemia and low complement.</w:t>
            </w:r>
          </w:p>
        </w:tc>
      </w:tr>
      <w:tr>
        <w:trPr>
          <w:cantSplit/>
        </w:trPr>
        <w:tc>
          <w:tcPr>
            <w:tcW w:type="dxa" w:w="3456"/>
            <w:vAlign w:val="top"/>
          </w:tcPr>
          <w:p>
            <w:pPr>
              <w:spacing w:after="40" w:before="0" w:line="259" w:lineRule="auto"/>
            </w:pPr>
            <w:r>
              <w:rPr>
                <w:rFonts w:ascii="Calibri" w:hAnsi="Calibri"/>
                <w:b/>
                <w:i w:val="0"/>
                <w:color w:val="212121"/>
                <w:sz w:val="19"/>
              </w:rPr>
              <w:t>Sensory peripheral neuropathy on examination</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Reduced pinprick, vibration or light-touch sensation from small- or large-fibre neuropathy.</w:t>
            </w:r>
          </w:p>
        </w:tc>
      </w:tr>
      <w:tr>
        <w:trPr>
          <w:cantSplit/>
        </w:trPr>
        <w:tc>
          <w:tcPr>
            <w:tcW w:type="dxa" w:w="3456"/>
            <w:vAlign w:val="top"/>
          </w:tcPr>
          <w:p>
            <w:pPr>
              <w:spacing w:after="40" w:before="0" w:line="259" w:lineRule="auto"/>
            </w:pPr>
            <w:r>
              <w:rPr>
                <w:rFonts w:ascii="Calibri" w:hAnsi="Calibri"/>
                <w:b/>
                <w:i w:val="0"/>
                <w:color w:val="212121"/>
                <w:sz w:val="19"/>
              </w:rPr>
              <w:t>Fine bibasal inspiratory crackles</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Velcro-like crackles suggesting interstitial lung disease.</w:t>
            </w:r>
          </w:p>
        </w:tc>
      </w:tr>
      <w:tr>
        <w:trPr>
          <w:cantSplit/>
        </w:trPr>
        <w:tc>
          <w:tcPr>
            <w:tcW w:type="dxa" w:w="3456"/>
            <w:vAlign w:val="top"/>
          </w:tcPr>
          <w:p>
            <w:pPr>
              <w:spacing w:after="40" w:before="0" w:line="259" w:lineRule="auto"/>
            </w:pPr>
            <w:r>
              <w:rPr>
                <w:rFonts w:ascii="Calibri" w:hAnsi="Calibri"/>
                <w:b/>
                <w:i w:val="0"/>
                <w:color w:val="212121"/>
                <w:sz w:val="19"/>
              </w:rPr>
              <w:t>Persistent hard, unilateral gland or lymph-node enlargement</w:t>
            </w:r>
          </w:p>
        </w:tc>
        <w:tc>
          <w:tcPr>
            <w:tcW w:type="dxa" w:w="1728"/>
            <w:vAlign w:val="top"/>
          </w:tcPr>
          <w:p>
            <w:pPr>
              <w:spacing w:after="40" w:before="0" w:line="259" w:lineRule="auto"/>
            </w:pPr>
            <w:r>
              <w:rPr>
                <w:rFonts w:ascii="Calibri" w:hAnsi="Calibri"/>
                <w:b w:val="0"/>
                <w:i w:val="0"/>
                <w:color w:val="212121"/>
                <w:sz w:val="19"/>
              </w:rPr>
              <w:t>Rare</w:t>
            </w:r>
          </w:p>
        </w:tc>
        <w:tc>
          <w:tcPr>
            <w:tcW w:type="dxa" w:w="4420"/>
            <w:vAlign w:val="top"/>
          </w:tcPr>
          <w:p>
            <w:pPr>
              <w:spacing w:after="40" w:before="0" w:line="259" w:lineRule="auto"/>
            </w:pPr>
            <w:r>
              <w:rPr>
                <w:rFonts w:ascii="Calibri" w:hAnsi="Calibri"/>
                <w:b w:val="0"/>
                <w:i w:val="0"/>
                <w:color w:val="212121"/>
                <w:sz w:val="19"/>
              </w:rPr>
              <w:t>A red flag for B-cell non-Hodgkin lymphoma requiring urgent biopsy.</w:t>
            </w:r>
          </w:p>
        </w:tc>
      </w:tr>
    </w:tbl>
    <w:p>
      <w:pPr>
        <w:spacing w:before="200" w:after="120"/>
      </w:pPr>
      <w:r>
        <w:rPr>
          <w:rFonts w:ascii="Calibri" w:hAnsi="Calibri"/>
          <w:b/>
          <w:i w:val="0"/>
          <w:color w:val="212121"/>
          <w:sz w:val="25"/>
        </w:rPr>
        <w:t>Concomitant conditions</w:t>
      </w:r>
    </w:p>
    <w:p>
      <w:pPr>
        <w:spacing w:before="160" w:after="120"/>
      </w:pPr>
      <w:r>
        <w:rPr>
          <w:rFonts w:ascii="Calibri" w:hAnsi="Calibri"/>
          <w:b/>
          <w:i w:val="0"/>
          <w:color w:val="212121"/>
          <w:sz w:val="22"/>
        </w:rPr>
        <w:t>Relationship Types (classification key)</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802"/>
        <w:gridCol w:w="4802"/>
      </w:tblGrid>
      <w:tr>
        <w:trPr>
          <w:cantSplit/>
        </w:trPr>
        <w:tc>
          <w:tcPr>
            <w:tcW w:type="dxa" w:w="2808"/>
            <w:shd w:val="clear" w:color="auto" w:fill="F2F2F2"/>
            <w:vAlign w:val="center"/>
          </w:tcPr>
          <w:p>
            <w:pPr>
              <w:spacing w:after="40" w:before="0" w:line="259" w:lineRule="auto"/>
            </w:pPr>
            <w:r>
              <w:rPr>
                <w:rFonts w:ascii="Calibri" w:hAnsi="Calibri"/>
                <w:b/>
                <w:i w:val="0"/>
                <w:color w:val="212121"/>
                <w:sz w:val="19"/>
              </w:rPr>
              <w:t>Relationship type</w:t>
            </w:r>
          </w:p>
        </w:tc>
        <w:tc>
          <w:tcPr>
            <w:tcW w:type="dxa" w:w="6796"/>
            <w:shd w:val="clear" w:color="auto" w:fill="F2F2F2"/>
            <w:vAlign w:val="center"/>
          </w:tcPr>
          <w:p>
            <w:pPr>
              <w:spacing w:after="40" w:before="0" w:line="259" w:lineRule="auto"/>
            </w:pPr>
            <w:r>
              <w:rPr>
                <w:rFonts w:ascii="Calibri" w:hAnsi="Calibri"/>
                <w:b/>
                <w:i w:val="0"/>
                <w:color w:val="212121"/>
                <w:sz w:val="19"/>
              </w:rPr>
              <w:t>Definition</w:t>
            </w:r>
          </w:p>
        </w:tc>
      </w:tr>
      <w:tr>
        <w:trPr>
          <w:cantSplit/>
        </w:trPr>
        <w:tc>
          <w:tcPr>
            <w:tcW w:type="dxa" w:w="2808"/>
            <w:vAlign w:val="top"/>
          </w:tcPr>
          <w:p>
            <w:pPr>
              <w:spacing w:after="40" w:before="0" w:line="259" w:lineRule="auto"/>
            </w:pPr>
            <w:r>
              <w:rPr>
                <w:rFonts w:ascii="Calibri" w:hAnsi="Calibri"/>
                <w:b/>
                <w:i w:val="0"/>
                <w:color w:val="212121"/>
                <w:sz w:val="19"/>
              </w:rPr>
              <w:t>Predisposes To</w:t>
            </w:r>
          </w:p>
        </w:tc>
        <w:tc>
          <w:tcPr>
            <w:tcW w:type="dxa" w:w="6796"/>
            <w:vAlign w:val="top"/>
          </w:tcPr>
          <w:p>
            <w:pPr>
              <w:spacing w:after="40" w:before="0" w:line="259" w:lineRule="auto"/>
            </w:pPr>
            <w:r>
              <w:rPr>
                <w:rFonts w:ascii="Calibri" w:hAnsi="Calibri"/>
                <w:b w:val="0"/>
                <w:i w:val="0"/>
                <w:color w:val="212121"/>
                <w:sz w:val="19"/>
              </w:rPr>
              <w:t>One condition increases the likelihood of developing another.</w:t>
            </w:r>
          </w:p>
        </w:tc>
      </w:tr>
      <w:tr>
        <w:trPr>
          <w:cantSplit/>
        </w:trPr>
        <w:tc>
          <w:tcPr>
            <w:tcW w:type="dxa" w:w="2808"/>
            <w:vAlign w:val="top"/>
          </w:tcPr>
          <w:p>
            <w:pPr>
              <w:spacing w:after="40" w:before="0" w:line="259" w:lineRule="auto"/>
            </w:pPr>
            <w:r>
              <w:rPr>
                <w:rFonts w:ascii="Calibri" w:hAnsi="Calibri"/>
                <w:b/>
                <w:i w:val="0"/>
                <w:color w:val="212121"/>
                <w:sz w:val="19"/>
              </w:rPr>
              <w:t>Bidirectional Association</w:t>
            </w:r>
          </w:p>
        </w:tc>
        <w:tc>
          <w:tcPr>
            <w:tcW w:type="dxa" w:w="6796"/>
            <w:vAlign w:val="top"/>
          </w:tcPr>
          <w:p>
            <w:pPr>
              <w:spacing w:after="40" w:before="0" w:line="259" w:lineRule="auto"/>
            </w:pPr>
            <w:r>
              <w:rPr>
                <w:rFonts w:ascii="Calibri" w:hAnsi="Calibri"/>
                <w:b w:val="0"/>
                <w:i w:val="0"/>
                <w:color w:val="212121"/>
                <w:sz w:val="19"/>
              </w:rPr>
              <w:t>Both conditions influence each other.</w:t>
            </w:r>
          </w:p>
        </w:tc>
      </w:tr>
      <w:tr>
        <w:trPr>
          <w:cantSplit/>
        </w:trPr>
        <w:tc>
          <w:tcPr>
            <w:tcW w:type="dxa" w:w="2808"/>
            <w:vAlign w:val="top"/>
          </w:tcPr>
          <w:p>
            <w:pPr>
              <w:spacing w:after="40" w:before="0" w:line="259" w:lineRule="auto"/>
            </w:pPr>
            <w:r>
              <w:rPr>
                <w:rFonts w:ascii="Calibri" w:hAnsi="Calibri"/>
                <w:b/>
                <w:i w:val="0"/>
                <w:color w:val="212121"/>
                <w:sz w:val="19"/>
              </w:rPr>
              <w:t>Shared Pathophysiology</w:t>
            </w:r>
          </w:p>
        </w:tc>
        <w:tc>
          <w:tcPr>
            <w:tcW w:type="dxa" w:w="6796"/>
            <w:vAlign w:val="top"/>
          </w:tcPr>
          <w:p>
            <w:pPr>
              <w:spacing w:after="40" w:before="0" w:line="259" w:lineRule="auto"/>
            </w:pPr>
            <w:r>
              <w:rPr>
                <w:rFonts w:ascii="Calibri" w:hAnsi="Calibri"/>
                <w:b w:val="0"/>
                <w:i w:val="0"/>
                <w:color w:val="212121"/>
                <w:sz w:val="19"/>
              </w:rPr>
              <w:t>Common biological mechanisms and shared etiologies.</w:t>
            </w:r>
          </w:p>
        </w:tc>
      </w:tr>
      <w:tr>
        <w:trPr>
          <w:cantSplit/>
        </w:trPr>
        <w:tc>
          <w:tcPr>
            <w:tcW w:type="dxa" w:w="2808"/>
            <w:vAlign w:val="top"/>
          </w:tcPr>
          <w:p>
            <w:pPr>
              <w:spacing w:after="40" w:before="0" w:line="259" w:lineRule="auto"/>
            </w:pPr>
            <w:r>
              <w:rPr>
                <w:rFonts w:ascii="Calibri" w:hAnsi="Calibri"/>
                <w:b/>
                <w:i w:val="0"/>
                <w:color w:val="212121"/>
                <w:sz w:val="19"/>
              </w:rPr>
              <w:t>Complication Of</w:t>
            </w:r>
          </w:p>
        </w:tc>
        <w:tc>
          <w:tcPr>
            <w:tcW w:type="dxa" w:w="6796"/>
            <w:vAlign w:val="top"/>
          </w:tcPr>
          <w:p>
            <w:pPr>
              <w:spacing w:after="40" w:before="0" w:line="259" w:lineRule="auto"/>
            </w:pPr>
            <w:r>
              <w:rPr>
                <w:rFonts w:ascii="Calibri" w:hAnsi="Calibri"/>
                <w:b w:val="0"/>
                <w:i w:val="0"/>
                <w:color w:val="212121"/>
                <w:sz w:val="19"/>
              </w:rPr>
              <w:t>One condition develops as a consequence of the other.</w:t>
            </w:r>
          </w:p>
        </w:tc>
      </w:tr>
      <w:tr>
        <w:trPr>
          <w:cantSplit/>
        </w:trPr>
        <w:tc>
          <w:tcPr>
            <w:tcW w:type="dxa" w:w="2808"/>
            <w:vAlign w:val="top"/>
          </w:tcPr>
          <w:p>
            <w:pPr>
              <w:spacing w:after="40" w:before="0" w:line="259" w:lineRule="auto"/>
            </w:pPr>
            <w:r>
              <w:rPr>
                <w:rFonts w:ascii="Calibri" w:hAnsi="Calibri"/>
                <w:b/>
                <w:i w:val="0"/>
                <w:color w:val="212121"/>
                <w:sz w:val="19"/>
              </w:rPr>
              <w:t>Treatment Interaction</w:t>
            </w:r>
          </w:p>
        </w:tc>
        <w:tc>
          <w:tcPr>
            <w:tcW w:type="dxa" w:w="6796"/>
            <w:vAlign w:val="top"/>
          </w:tcPr>
          <w:p>
            <w:pPr>
              <w:spacing w:after="40" w:before="0" w:line="259" w:lineRule="auto"/>
            </w:pPr>
            <w:r>
              <w:rPr>
                <w:rFonts w:ascii="Calibri" w:hAnsi="Calibri"/>
                <w:b w:val="0"/>
                <w:i w:val="0"/>
                <w:color w:val="212121"/>
                <w:sz w:val="19"/>
              </w:rPr>
              <w:t>Treatment of one condition affects the other.</w:t>
            </w:r>
          </w:p>
        </w:tc>
      </w:tr>
      <w:tr>
        <w:trPr>
          <w:cantSplit/>
        </w:trPr>
        <w:tc>
          <w:tcPr>
            <w:tcW w:type="dxa" w:w="2808"/>
            <w:vAlign w:val="top"/>
          </w:tcPr>
          <w:p>
            <w:pPr>
              <w:spacing w:after="40" w:before="0" w:line="259" w:lineRule="auto"/>
            </w:pPr>
            <w:r>
              <w:rPr>
                <w:rFonts w:ascii="Calibri" w:hAnsi="Calibri"/>
                <w:b/>
                <w:i w:val="0"/>
                <w:color w:val="212121"/>
                <w:sz w:val="19"/>
              </w:rPr>
              <w:t>Clinical Management Impact</w:t>
            </w:r>
          </w:p>
        </w:tc>
        <w:tc>
          <w:tcPr>
            <w:tcW w:type="dxa" w:w="6796"/>
            <w:vAlign w:val="top"/>
          </w:tcPr>
          <w:p>
            <w:pPr>
              <w:spacing w:after="40" w:before="0" w:line="259" w:lineRule="auto"/>
            </w:pPr>
            <w:r>
              <w:rPr>
                <w:rFonts w:ascii="Calibri" w:hAnsi="Calibri"/>
                <w:b w:val="0"/>
                <w:i w:val="0"/>
                <w:color w:val="212121"/>
                <w:sz w:val="19"/>
              </w:rPr>
              <w:t>Coexistence alters diagnosis, monitoring, prognosis, or treatment planning.</w:t>
            </w:r>
          </w:p>
        </w:tc>
      </w:tr>
    </w:tbl>
    <w:p>
      <w:pPr>
        <w:spacing w:before="160" w:after="120"/>
      </w:pPr>
      <w:r>
        <w:rPr>
          <w:rFonts w:ascii="Calibri" w:hAnsi="Calibri"/>
          <w:b/>
          <w:i w:val="0"/>
          <w:color w:val="212121"/>
          <w:sz w:val="22"/>
        </w:rPr>
        <w:t>Complications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1728"/>
            <w:shd w:val="clear" w:color="auto" w:fill="F2F2F2"/>
            <w:vAlign w:val="center"/>
          </w:tcPr>
          <w:p>
            <w:pPr>
              <w:spacing w:after="40" w:before="0" w:line="259" w:lineRule="auto"/>
            </w:pPr>
            <w:r>
              <w:rPr>
                <w:rFonts w:ascii="Calibri" w:hAnsi="Calibri"/>
                <w:b/>
                <w:i w:val="0"/>
                <w:color w:val="212121"/>
                <w:sz w:val="19"/>
              </w:rPr>
              <w:t>Type</w:t>
            </w:r>
          </w:p>
        </w:tc>
        <w:tc>
          <w:tcPr>
            <w:tcW w:type="dxa" w:w="4896"/>
            <w:shd w:val="clear" w:color="auto" w:fill="F2F2F2"/>
            <w:vAlign w:val="center"/>
          </w:tcPr>
          <w:p>
            <w:pPr>
              <w:spacing w:after="40" w:before="0" w:line="259" w:lineRule="auto"/>
            </w:pPr>
            <w:r>
              <w:rPr>
                <w:rFonts w:ascii="Calibri" w:hAnsi="Calibri"/>
                <w:b/>
                <w:i w:val="0"/>
                <w:color w:val="212121"/>
                <w:sz w:val="19"/>
              </w:rPr>
              <w:t>Complications</w:t>
            </w:r>
          </w:p>
        </w:tc>
        <w:tc>
          <w:tcPr>
            <w:tcW w:type="dxa" w:w="2980"/>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1728"/>
            <w:vAlign w:val="top"/>
          </w:tcPr>
          <w:p>
            <w:pPr>
              <w:spacing w:after="40" w:before="0" w:line="259" w:lineRule="auto"/>
            </w:pPr>
            <w:r>
              <w:rPr>
                <w:rFonts w:ascii="Calibri" w:hAnsi="Calibri"/>
                <w:b/>
                <w:i w:val="0"/>
                <w:color w:val="212121"/>
                <w:sz w:val="19"/>
              </w:rPr>
              <w:t>Primary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Severe dry eye with corneal abrasion, ulceration or filamentary keratitis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Rampant dental caries, dental erosion and premature tooth loss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Oral candidiasis and angular cheilitis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Recurrent bacterial sialadenitis and painful salivary-gland swelling</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Dysphagia and impaired nutrition from lack of saliva</w:t>
            </w:r>
          </w:p>
        </w:tc>
        <w:tc>
          <w:tcPr>
            <w:tcW w:type="dxa" w:w="2980"/>
            <w:vAlign w:val="top"/>
          </w:tcPr>
          <w:p>
            <w:pPr>
              <w:spacing w:after="40" w:before="0" w:line="259" w:lineRule="auto"/>
            </w:pPr>
            <w:r>
              <w:rPr>
                <w:rFonts w:ascii="Calibri" w:hAnsi="Calibri"/>
                <w:b w:val="0"/>
                <w:i w:val="0"/>
                <w:color w:val="212121"/>
                <w:sz w:val="19"/>
              </w:rPr>
              <w:t>Direct consequences of destroyed lacrimal and salivary glands and the resulting dryness</w:t>
            </w:r>
          </w:p>
        </w:tc>
      </w:tr>
      <w:tr>
        <w:trPr>
          <w:cantSplit/>
        </w:trPr>
        <w:tc>
          <w:tcPr>
            <w:tcW w:type="dxa" w:w="1728"/>
            <w:vAlign w:val="top"/>
          </w:tcPr>
          <w:p>
            <w:pPr>
              <w:spacing w:after="40" w:before="0" w:line="259" w:lineRule="auto"/>
            </w:pPr>
            <w:r>
              <w:rPr>
                <w:rFonts w:ascii="Calibri" w:hAnsi="Calibri"/>
                <w:b/>
                <w:i w:val="0"/>
                <w:color w:val="212121"/>
                <w:sz w:val="19"/>
              </w:rPr>
              <w:t>Secondary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Interstitial lung disease (about 17% of primary Sjögren's)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Tubulointerstitial nephritis and distal renal tubular acidosis (hypokalaemia)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Peripheral, small-fibre and cranial (e.g. trigeminal) neuropathies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Cutaneous vasculitis and cryoglobulinaemia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Autoimmune cytopenias and non-erosive inflammatory arthritis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Pregnancy: transplacental anti-Ro/La causing neonatal lupus and congenital heart block</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Accelerated cardiovascular risk from chronic inflammation</w:t>
            </w:r>
          </w:p>
        </w:tc>
        <w:tc>
          <w:tcPr>
            <w:tcW w:type="dxa" w:w="2980"/>
            <w:vAlign w:val="top"/>
          </w:tcPr>
          <w:p>
            <w:pPr>
              <w:spacing w:after="40" w:before="0" w:line="259" w:lineRule="auto"/>
            </w:pPr>
            <w:r>
              <w:rPr>
                <w:rFonts w:ascii="Calibri" w:hAnsi="Calibri"/>
                <w:b w:val="0"/>
                <w:i w:val="0"/>
                <w:color w:val="212121"/>
                <w:sz w:val="19"/>
              </w:rPr>
              <w:t>Systemic (extraglandular) organ involvement from immune-complex disease and lymphocytic infiltration</w:t>
            </w:r>
          </w:p>
        </w:tc>
      </w:tr>
      <w:tr>
        <w:trPr>
          <w:cantSplit/>
        </w:trPr>
        <w:tc>
          <w:tcPr>
            <w:tcW w:type="dxa" w:w="1728"/>
            <w:vAlign w:val="top"/>
          </w:tcPr>
          <w:p>
            <w:pPr>
              <w:spacing w:after="40" w:before="0" w:line="259" w:lineRule="auto"/>
            </w:pPr>
            <w:r>
              <w:rPr>
                <w:rFonts w:ascii="Calibri" w:hAnsi="Calibri"/>
                <w:b/>
                <w:i w:val="0"/>
                <w:color w:val="212121"/>
                <w:sz w:val="19"/>
              </w:rPr>
              <w:t>Tertiary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B-cell non-Hodgkin lymphoma, especially MALT/parotid type (arises in roughly 5% of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Corneal perforation and permanent visual loss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End-stage renal disease from chronic interstitial nephritis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Progressive pulmonary fibrosis and respiratory failure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Excess mortality driven mainly by lymphoma and severe systemic disease</w:t>
            </w:r>
          </w:p>
        </w:tc>
        <w:tc>
          <w:tcPr>
            <w:tcW w:type="dxa" w:w="2980"/>
            <w:vAlign w:val="top"/>
          </w:tcPr>
          <w:p>
            <w:pPr>
              <w:spacing w:after="40" w:before="0" w:line="259" w:lineRule="auto"/>
            </w:pPr>
            <w:r>
              <w:rPr>
                <w:rFonts w:ascii="Calibri" w:hAnsi="Calibri"/>
                <w:b w:val="0"/>
                <w:i w:val="0"/>
                <w:color w:val="212121"/>
                <w:sz w:val="19"/>
              </w:rPr>
              <w:t>Irreversible, life-threatening outcomes of longstanding uncontrolled disease</w:t>
            </w:r>
          </w:p>
        </w:tc>
      </w:tr>
    </w:tbl>
    <w:p>
      <w:pPr>
        <w:spacing w:before="160" w:after="120"/>
      </w:pPr>
      <w:r>
        <w:rPr>
          <w:rFonts w:ascii="Calibri" w:hAnsi="Calibri"/>
          <w:b/>
          <w:i w:val="0"/>
          <w:color w:val="212121"/>
          <w:sz w:val="22"/>
        </w:rPr>
        <w:t>Associated Medical Conditions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232"/>
            <w:shd w:val="clear" w:color="auto" w:fill="F2F2F2"/>
            <w:vAlign w:val="center"/>
          </w:tcPr>
          <w:p>
            <w:pPr>
              <w:spacing w:after="40" w:before="0" w:line="259" w:lineRule="auto"/>
            </w:pPr>
            <w:r>
              <w:rPr>
                <w:rFonts w:ascii="Calibri" w:hAnsi="Calibri"/>
                <w:b/>
                <w:i w:val="0"/>
                <w:color w:val="212121"/>
                <w:sz w:val="19"/>
              </w:rPr>
              <w:t>AMC</w:t>
            </w:r>
          </w:p>
        </w:tc>
        <w:tc>
          <w:tcPr>
            <w:tcW w:type="dxa" w:w="2520"/>
            <w:shd w:val="clear" w:color="auto" w:fill="F2F2F2"/>
            <w:vAlign w:val="center"/>
          </w:tcPr>
          <w:p>
            <w:pPr>
              <w:spacing w:after="40" w:before="0" w:line="259" w:lineRule="auto"/>
            </w:pPr>
            <w:r>
              <w:rPr>
                <w:rFonts w:ascii="Calibri" w:hAnsi="Calibri"/>
                <w:b/>
                <w:i w:val="0"/>
                <w:color w:val="212121"/>
                <w:sz w:val="19"/>
              </w:rPr>
              <w:t>Relationship</w:t>
            </w:r>
          </w:p>
        </w:tc>
        <w:tc>
          <w:tcPr>
            <w:tcW w:type="dxa" w:w="4852"/>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2232"/>
            <w:vAlign w:val="top"/>
          </w:tcPr>
          <w:p>
            <w:pPr>
              <w:spacing w:after="40" w:before="0" w:line="259" w:lineRule="auto"/>
            </w:pPr>
            <w:r>
              <w:rPr>
                <w:rFonts w:ascii="Calibri" w:hAnsi="Calibri"/>
                <w:b/>
                <w:i w:val="0"/>
                <w:color w:val="212121"/>
                <w:sz w:val="19"/>
              </w:rPr>
              <w:t>Rheumatoid arthritis</w:t>
            </w:r>
          </w:p>
        </w:tc>
        <w:tc>
          <w:tcPr>
            <w:tcW w:type="dxa" w:w="2520"/>
            <w:vAlign w:val="top"/>
          </w:tcPr>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Bidirectional Association</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The commonest setting for secondary Sjögren's; shared autoimmunity adds sicca disease and fatigue to the joint disease. In northern-Indian RA patients strict criteria gave 5.5%, with symptom-based Western criteria reporting 20–32%.</w:t>
            </w:r>
          </w:p>
          <w:p>
            <w:pPr>
              <w:spacing w:after="40" w:before="0" w:line="259" w:lineRule="auto"/>
            </w:pPr>
            <w:r>
              <w:rPr>
                <w:rFonts w:ascii="Calibri" w:hAnsi="Calibri"/>
                <w:b/>
                <w:i w:val="0"/>
                <w:color w:val="212121"/>
                <w:sz w:val="19"/>
              </w:rPr>
              <w:t>~5.5% (India, strict) to 20–32%</w:t>
            </w:r>
          </w:p>
        </w:tc>
      </w:tr>
      <w:tr>
        <w:trPr>
          <w:cantSplit/>
        </w:trPr>
        <w:tc>
          <w:tcPr>
            <w:tcW w:type="dxa" w:w="2232"/>
            <w:vAlign w:val="top"/>
          </w:tcPr>
          <w:p>
            <w:pPr>
              <w:spacing w:after="40" w:before="0" w:line="259" w:lineRule="auto"/>
            </w:pPr>
            <w:r>
              <w:rPr>
                <w:rFonts w:ascii="Calibri" w:hAnsi="Calibri"/>
                <w:b/>
                <w:i w:val="0"/>
                <w:color w:val="212121"/>
                <w:sz w:val="19"/>
              </w:rPr>
              <w:t>Systemic lupus erythematosus</w:t>
            </w:r>
          </w:p>
        </w:tc>
        <w:tc>
          <w:tcPr>
            <w:tcW w:type="dxa" w:w="2520"/>
            <w:vAlign w:val="top"/>
          </w:tcPr>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Bidirectional Association</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Shares anti-Ro/La serology and interferon-driven immunity with Sjögren's, so the two overlap clinically and serologically.</w:t>
            </w:r>
          </w:p>
          <w:p>
            <w:pPr>
              <w:spacing w:after="40" w:before="0" w:line="259" w:lineRule="auto"/>
            </w:pPr>
            <w:r>
              <w:rPr>
                <w:rFonts w:ascii="Calibri" w:hAnsi="Calibri"/>
                <w:b/>
                <w:i w:val="0"/>
                <w:color w:val="212121"/>
                <w:sz w:val="19"/>
              </w:rPr>
              <w:t>~15–36%</w:t>
            </w:r>
          </w:p>
        </w:tc>
      </w:tr>
      <w:tr>
        <w:trPr>
          <w:cantSplit/>
        </w:trPr>
        <w:tc>
          <w:tcPr>
            <w:tcW w:type="dxa" w:w="2232"/>
            <w:vAlign w:val="top"/>
          </w:tcPr>
          <w:p>
            <w:pPr>
              <w:spacing w:after="40" w:before="0" w:line="259" w:lineRule="auto"/>
            </w:pPr>
            <w:r>
              <w:rPr>
                <w:rFonts w:ascii="Calibri" w:hAnsi="Calibri"/>
                <w:b/>
                <w:i w:val="0"/>
                <w:color w:val="212121"/>
                <w:sz w:val="19"/>
              </w:rPr>
              <w:t>Systemic sclerosis</w:t>
            </w:r>
          </w:p>
        </w:tc>
        <w:tc>
          <w:tcPr>
            <w:tcW w:type="dxa" w:w="2520"/>
            <w:vAlign w:val="top"/>
          </w:tcPr>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Overlap compounds dryness, Raynaud's phenomenon and the risk of interstitial lung disease through shared fibro-inflammatory mechanisms.</w:t>
            </w:r>
          </w:p>
          <w:p>
            <w:pPr>
              <w:spacing w:after="40" w:before="0" w:line="259" w:lineRule="auto"/>
            </w:pPr>
            <w:r>
              <w:rPr>
                <w:rFonts w:ascii="Calibri" w:hAnsi="Calibri"/>
                <w:b/>
                <w:i w:val="0"/>
                <w:color w:val="212121"/>
                <w:sz w:val="19"/>
              </w:rPr>
              <w:t>~11–24%</w:t>
            </w:r>
          </w:p>
        </w:tc>
      </w:tr>
      <w:tr>
        <w:trPr>
          <w:cantSplit/>
        </w:trPr>
        <w:tc>
          <w:tcPr>
            <w:tcW w:type="dxa" w:w="2232"/>
            <w:vAlign w:val="top"/>
          </w:tcPr>
          <w:p>
            <w:pPr>
              <w:spacing w:after="40" w:before="0" w:line="259" w:lineRule="auto"/>
            </w:pPr>
            <w:r>
              <w:rPr>
                <w:rFonts w:ascii="Calibri" w:hAnsi="Calibri"/>
                <w:b/>
                <w:i w:val="0"/>
                <w:color w:val="212121"/>
                <w:sz w:val="19"/>
              </w:rPr>
              <w:t>Autoimmune thyroid disease (Hashimoto's/Graves')</w:t>
            </w:r>
          </w:p>
        </w:tc>
        <w:tc>
          <w:tcPr>
            <w:tcW w:type="dxa" w:w="2520"/>
            <w:vAlign w:val="top"/>
          </w:tcPr>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Bidirectional Association</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One of the most frequent companions of Sjögren's, reflecting a shared tendency to organ-specific autoimmunity; each raises the chance of finding the other, so thyroid screening is routine.</w:t>
            </w:r>
          </w:p>
        </w:tc>
      </w:tr>
      <w:tr>
        <w:trPr>
          <w:cantSplit/>
        </w:trPr>
        <w:tc>
          <w:tcPr>
            <w:tcW w:type="dxa" w:w="2232"/>
            <w:vAlign w:val="top"/>
          </w:tcPr>
          <w:p>
            <w:pPr>
              <w:spacing w:after="40" w:before="0" w:line="259" w:lineRule="auto"/>
            </w:pPr>
            <w:r>
              <w:rPr>
                <w:rFonts w:ascii="Calibri" w:hAnsi="Calibri"/>
                <w:b/>
                <w:i w:val="0"/>
                <w:color w:val="212121"/>
                <w:sz w:val="19"/>
              </w:rPr>
              <w:t>B-cell non-Hodgkin lymphoma (MALT)</w:t>
            </w:r>
          </w:p>
        </w:tc>
        <w:tc>
          <w:tcPr>
            <w:tcW w:type="dxa" w:w="2520"/>
            <w:vAlign w:val="top"/>
          </w:tcPr>
          <w:p>
            <w:pPr>
              <w:spacing w:after="40" w:before="0" w:line="259" w:lineRule="auto"/>
            </w:pPr>
            <w:r>
              <w:rPr>
                <w:rFonts w:ascii="Calibri" w:hAnsi="Calibri"/>
                <w:b w:val="0"/>
                <w:i w:val="0"/>
                <w:color w:val="212121"/>
                <w:sz w:val="18"/>
              </w:rPr>
              <w:t>• Predisposes To</w:t>
            </w:r>
          </w:p>
          <w:p>
            <w:pPr>
              <w:spacing w:after="40" w:before="0" w:line="259" w:lineRule="auto"/>
            </w:pPr>
            <w:r>
              <w:rPr>
                <w:rFonts w:ascii="Calibri" w:hAnsi="Calibri"/>
                <w:b w:val="0"/>
                <w:i w:val="0"/>
                <w:color w:val="212121"/>
                <w:sz w:val="18"/>
              </w:rPr>
              <w:t>• Complication Of</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The most feared complication; chronic B-cell stimulation can evolve into MALT/parotid lymphoma, especially with persistent gland swelling, low C4, cryoglobulins or a monoclonal band. Arises in roughly 5% of patients.</w:t>
            </w:r>
          </w:p>
          <w:p>
            <w:pPr>
              <w:spacing w:after="40" w:before="0" w:line="259" w:lineRule="auto"/>
            </w:pPr>
            <w:r>
              <w:rPr>
                <w:rFonts w:ascii="Calibri" w:hAnsi="Calibri"/>
                <w:b/>
                <w:i w:val="0"/>
                <w:color w:val="212121"/>
                <w:sz w:val="19"/>
              </w:rPr>
              <w:t>~5%</w:t>
            </w:r>
          </w:p>
        </w:tc>
      </w:tr>
      <w:tr>
        <w:trPr>
          <w:cantSplit/>
        </w:trPr>
        <w:tc>
          <w:tcPr>
            <w:tcW w:type="dxa" w:w="2232"/>
            <w:vAlign w:val="top"/>
          </w:tcPr>
          <w:p>
            <w:pPr>
              <w:spacing w:after="40" w:before="0" w:line="259" w:lineRule="auto"/>
            </w:pPr>
            <w:r>
              <w:rPr>
                <w:rFonts w:ascii="Calibri" w:hAnsi="Calibri"/>
                <w:b/>
                <w:i w:val="0"/>
                <w:color w:val="212121"/>
                <w:sz w:val="19"/>
              </w:rPr>
              <w:t>Interstitial lung disease</w:t>
            </w:r>
          </w:p>
        </w:tc>
        <w:tc>
          <w:tcPr>
            <w:tcW w:type="dxa" w:w="2520"/>
            <w:vAlign w:val="top"/>
          </w:tcPr>
          <w:p>
            <w:pPr>
              <w:spacing w:after="40" w:before="0" w:line="259" w:lineRule="auto"/>
            </w:pPr>
            <w:r>
              <w:rPr>
                <w:rFonts w:ascii="Calibri" w:hAnsi="Calibri"/>
                <w:b w:val="0"/>
                <w:i w:val="0"/>
                <w:color w:val="212121"/>
                <w:sz w:val="18"/>
              </w:rPr>
              <w:t>• Complication Of</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Lymphocytic infiltration and fibrosis of the lung cause cough, breathlessness and crackles; a leading source of morbidity and excess mortality.</w:t>
            </w:r>
          </w:p>
          <w:p>
            <w:pPr>
              <w:spacing w:after="40" w:before="0" w:line="259" w:lineRule="auto"/>
            </w:pPr>
            <w:r>
              <w:rPr>
                <w:rFonts w:ascii="Calibri" w:hAnsi="Calibri"/>
                <w:b/>
                <w:i w:val="0"/>
                <w:color w:val="212121"/>
                <w:sz w:val="19"/>
              </w:rPr>
              <w:t>~17% of pSS</w:t>
            </w:r>
          </w:p>
        </w:tc>
      </w:tr>
      <w:tr>
        <w:trPr>
          <w:cantSplit/>
        </w:trPr>
        <w:tc>
          <w:tcPr>
            <w:tcW w:type="dxa" w:w="2232"/>
            <w:vAlign w:val="top"/>
          </w:tcPr>
          <w:p>
            <w:pPr>
              <w:spacing w:after="40" w:before="0" w:line="259" w:lineRule="auto"/>
            </w:pPr>
            <w:r>
              <w:rPr>
                <w:rFonts w:ascii="Calibri" w:hAnsi="Calibri"/>
                <w:b/>
                <w:i w:val="0"/>
                <w:color w:val="212121"/>
                <w:sz w:val="19"/>
              </w:rPr>
              <w:t>Renal tubular acidosis / interstitial nephritis</w:t>
            </w:r>
          </w:p>
        </w:tc>
        <w:tc>
          <w:tcPr>
            <w:tcW w:type="dxa" w:w="2520"/>
            <w:vAlign w:val="top"/>
          </w:tcPr>
          <w:p>
            <w:pPr>
              <w:spacing w:after="40" w:before="0" w:line="259" w:lineRule="auto"/>
            </w:pPr>
            <w:r>
              <w:rPr>
                <w:rFonts w:ascii="Calibri" w:hAnsi="Calibri"/>
                <w:b w:val="0"/>
                <w:i w:val="0"/>
                <w:color w:val="212121"/>
                <w:sz w:val="18"/>
              </w:rPr>
              <w:t>• Complication Of</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Tubulointerstitial nephritis and distal renal tubular acidosis can cause hypokalaemic weakness and progressive kidney impairment; nephritis was found in about 30% of an Indian pSS cohort.</w:t>
            </w:r>
          </w:p>
          <w:p>
            <w:pPr>
              <w:spacing w:after="40" w:before="0" w:line="259" w:lineRule="auto"/>
            </w:pPr>
            <w:r>
              <w:rPr>
                <w:rFonts w:ascii="Calibri" w:hAnsi="Calibri"/>
                <w:b/>
                <w:i w:val="0"/>
                <w:color w:val="212121"/>
                <w:sz w:val="19"/>
              </w:rPr>
              <w:t>~30% (Indian cohort)</w:t>
            </w:r>
          </w:p>
        </w:tc>
      </w:tr>
      <w:tr>
        <w:trPr>
          <w:cantSplit/>
        </w:trPr>
        <w:tc>
          <w:tcPr>
            <w:tcW w:type="dxa" w:w="2232"/>
            <w:vAlign w:val="top"/>
          </w:tcPr>
          <w:p>
            <w:pPr>
              <w:spacing w:after="40" w:before="0" w:line="259" w:lineRule="auto"/>
            </w:pPr>
            <w:r>
              <w:rPr>
                <w:rFonts w:ascii="Calibri" w:hAnsi="Calibri"/>
                <w:b/>
                <w:i w:val="0"/>
                <w:color w:val="212121"/>
                <w:sz w:val="19"/>
              </w:rPr>
              <w:t>Peripheral neuropathy</w:t>
            </w:r>
          </w:p>
        </w:tc>
        <w:tc>
          <w:tcPr>
            <w:tcW w:type="dxa" w:w="2520"/>
            <w:vAlign w:val="top"/>
          </w:tcPr>
          <w:p>
            <w:pPr>
              <w:spacing w:after="40" w:before="0" w:line="259" w:lineRule="auto"/>
            </w:pPr>
            <w:r>
              <w:rPr>
                <w:rFonts w:ascii="Calibri" w:hAnsi="Calibri"/>
                <w:b w:val="0"/>
                <w:i w:val="0"/>
                <w:color w:val="212121"/>
                <w:sz w:val="18"/>
              </w:rPr>
              <w:t>• Complication Of</w:t>
            </w:r>
          </w:p>
          <w:p>
            <w:pPr>
              <w:spacing w:after="40" w:before="0" w:line="259" w:lineRule="auto"/>
            </w:pPr>
            <w:r>
              <w:rPr>
                <w:rFonts w:ascii="Calibri" w:hAnsi="Calibri"/>
                <w:b w:val="0"/>
                <w:i w:val="0"/>
                <w:color w:val="212121"/>
                <w:sz w:val="18"/>
              </w:rPr>
              <w:t>• Shared Pathophysiology</w:t>
            </w:r>
          </w:p>
        </w:tc>
        <w:tc>
          <w:tcPr>
            <w:tcW w:type="dxa" w:w="4852"/>
            <w:vAlign w:val="top"/>
          </w:tcPr>
          <w:p>
            <w:pPr>
              <w:spacing w:after="40" w:before="0" w:line="259" w:lineRule="auto"/>
            </w:pPr>
            <w:r>
              <w:rPr>
                <w:rFonts w:ascii="Calibri" w:hAnsi="Calibri"/>
                <w:b w:val="0"/>
                <w:i w:val="0"/>
                <w:color w:val="212121"/>
                <w:sz w:val="19"/>
              </w:rPr>
              <w:t>Sensory, small-fibre and cranial neuropathies arise from immune-mediated nerve and ganglion damage, sometimes preceding sicca symptoms.</w:t>
            </w:r>
          </w:p>
        </w:tc>
      </w:tr>
      <w:tr>
        <w:trPr>
          <w:cantSplit/>
        </w:trPr>
        <w:tc>
          <w:tcPr>
            <w:tcW w:type="dxa" w:w="2232"/>
            <w:vAlign w:val="top"/>
          </w:tcPr>
          <w:p>
            <w:pPr>
              <w:spacing w:after="40" w:before="0" w:line="259" w:lineRule="auto"/>
            </w:pPr>
            <w:r>
              <w:rPr>
                <w:rFonts w:ascii="Calibri" w:hAnsi="Calibri"/>
                <w:b/>
                <w:i w:val="0"/>
                <w:color w:val="212121"/>
                <w:sz w:val="19"/>
              </w:rPr>
              <w:t>Depression, anxiety &amp; cognitive dysfunction</w:t>
            </w:r>
          </w:p>
        </w:tc>
        <w:tc>
          <w:tcPr>
            <w:tcW w:type="dxa" w:w="2520"/>
            <w:vAlign w:val="top"/>
          </w:tcPr>
          <w:p>
            <w:pPr>
              <w:spacing w:after="40" w:before="0" w:line="259" w:lineRule="auto"/>
            </w:pPr>
            <w:r>
              <w:rPr>
                <w:rFonts w:ascii="Calibri" w:hAnsi="Calibri"/>
                <w:b w:val="0"/>
                <w:i w:val="0"/>
                <w:color w:val="212121"/>
                <w:sz w:val="18"/>
              </w:rPr>
              <w:t>• Bidirectional Association</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Mood disorder and 'brain fog' are common, interacting bidirectionally with fatigue, pain and poor sleep to reduce quality of life.</w:t>
            </w:r>
          </w:p>
        </w:tc>
      </w:tr>
      <w:tr>
        <w:trPr>
          <w:cantSplit/>
        </w:trPr>
        <w:tc>
          <w:tcPr>
            <w:tcW w:type="dxa" w:w="2232"/>
            <w:vAlign w:val="top"/>
          </w:tcPr>
          <w:p>
            <w:pPr>
              <w:spacing w:after="40" w:before="0" w:line="259" w:lineRule="auto"/>
            </w:pPr>
            <w:r>
              <w:rPr>
                <w:rFonts w:ascii="Calibri" w:hAnsi="Calibri"/>
                <w:b/>
                <w:i w:val="0"/>
                <w:color w:val="212121"/>
                <w:sz w:val="19"/>
              </w:rPr>
              <w:t>Fibromyalgia / chronic widespread pain</w:t>
            </w:r>
          </w:p>
        </w:tc>
        <w:tc>
          <w:tcPr>
            <w:tcW w:type="dxa" w:w="2520"/>
            <w:vAlign w:val="top"/>
          </w:tcPr>
          <w:p>
            <w:pPr>
              <w:spacing w:after="40" w:before="0" w:line="259" w:lineRule="auto"/>
            </w:pPr>
            <w:r>
              <w:rPr>
                <w:rFonts w:ascii="Calibri" w:hAnsi="Calibri"/>
                <w:b w:val="0"/>
                <w:i w:val="0"/>
                <w:color w:val="212121"/>
                <w:sz w:val="18"/>
              </w:rPr>
              <w:t>• Bidirectional Association</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Frequently coexists and amplifies fatigue and pain, complicating assessment of inflammatory disease activity.</w:t>
            </w:r>
          </w:p>
        </w:tc>
      </w:tr>
      <w:tr>
        <w:trPr>
          <w:cantSplit/>
        </w:trPr>
        <w:tc>
          <w:tcPr>
            <w:tcW w:type="dxa" w:w="2232"/>
            <w:vAlign w:val="top"/>
          </w:tcPr>
          <w:p>
            <w:pPr>
              <w:spacing w:after="40" w:before="0" w:line="259" w:lineRule="auto"/>
            </w:pPr>
            <w:r>
              <w:rPr>
                <w:rFonts w:ascii="Calibri" w:hAnsi="Calibri"/>
                <w:b/>
                <w:i w:val="0"/>
                <w:color w:val="212121"/>
                <w:sz w:val="19"/>
              </w:rPr>
              <w:t>Neonatal lupus &amp; congenital heart block</w:t>
            </w:r>
          </w:p>
        </w:tc>
        <w:tc>
          <w:tcPr>
            <w:tcW w:type="dxa" w:w="2520"/>
            <w:vAlign w:val="top"/>
          </w:tcPr>
          <w:p>
            <w:pPr>
              <w:spacing w:after="40" w:before="0" w:line="259" w:lineRule="auto"/>
            </w:pPr>
            <w:r>
              <w:rPr>
                <w:rFonts w:ascii="Calibri" w:hAnsi="Calibri"/>
                <w:b w:val="0"/>
                <w:i w:val="0"/>
                <w:color w:val="212121"/>
                <w:sz w:val="18"/>
              </w:rPr>
              <w:t>• Complication Of</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In anti-Ro/La-positive mothers, antibodies cross the placenta and can cause neonatal lupus rash and, most seriously, congenital complete heart block, mandating fetal cardiac monitoring in pregnancy.</w:t>
            </w:r>
          </w:p>
        </w:tc>
      </w:tr>
      <w:tr>
        <w:trPr>
          <w:cantSplit/>
        </w:trPr>
        <w:tc>
          <w:tcPr>
            <w:tcW w:type="dxa" w:w="2232"/>
            <w:vAlign w:val="top"/>
          </w:tcPr>
          <w:p>
            <w:pPr>
              <w:spacing w:after="40" w:before="0" w:line="259" w:lineRule="auto"/>
            </w:pPr>
            <w:r>
              <w:rPr>
                <w:rFonts w:ascii="Calibri" w:hAnsi="Calibri"/>
                <w:b/>
                <w:i w:val="0"/>
                <w:color w:val="212121"/>
                <w:sz w:val="19"/>
              </w:rPr>
              <w:t>Primary biliary cholangitis / autoimmune hepatitis</w:t>
            </w:r>
          </w:p>
        </w:tc>
        <w:tc>
          <w:tcPr>
            <w:tcW w:type="dxa" w:w="2520"/>
            <w:vAlign w:val="top"/>
          </w:tcPr>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Autoimmune liver disease overlaps with Sjögren's through shared epithelial autoimmunity and warrants liver screening.</w:t>
            </w:r>
          </w:p>
        </w:tc>
      </w:tr>
    </w:tbl>
    <w:p>
      <w:pPr>
        <w:spacing w:before="200" w:after="120"/>
      </w:pPr>
      <w:r>
        <w:rPr>
          <w:rFonts w:ascii="Calibri" w:hAnsi="Calibri"/>
          <w:b/>
          <w:i w:val="0"/>
          <w:color w:val="212121"/>
          <w:sz w:val="25"/>
        </w:rPr>
        <w:t>Suggestions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921"/>
        <w:gridCol w:w="1921"/>
        <w:gridCol w:w="1921"/>
        <w:gridCol w:w="1921"/>
        <w:gridCol w:w="1921"/>
      </w:tblGrid>
      <w:tr>
        <w:trPr>
          <w:cantSplit/>
        </w:trPr>
        <w:tc>
          <w:tcPr>
            <w:tcW w:type="dxa" w:w="1224"/>
            <w:shd w:val="clear" w:color="auto" w:fill="F2F2F2"/>
            <w:vAlign w:val="center"/>
          </w:tcPr>
          <w:p>
            <w:pPr>
              <w:spacing w:after="40" w:before="0" w:line="259" w:lineRule="auto"/>
            </w:pPr>
            <w:r>
              <w:rPr>
                <w:rFonts w:ascii="Calibri" w:hAnsi="Calibri"/>
                <w:b/>
                <w:i w:val="0"/>
                <w:color w:val="212121"/>
                <w:sz w:val="19"/>
              </w:rPr>
              <w:t>LHP</w:t>
            </w:r>
          </w:p>
        </w:tc>
        <w:tc>
          <w:tcPr>
            <w:tcW w:type="dxa" w:w="1224"/>
            <w:shd w:val="clear" w:color="auto" w:fill="F2F2F2"/>
            <w:vAlign w:val="center"/>
          </w:tcPr>
          <w:p>
            <w:pPr>
              <w:spacing w:after="40" w:before="0" w:line="259" w:lineRule="auto"/>
            </w:pPr>
            <w:r>
              <w:rPr>
                <w:rFonts w:ascii="Calibri" w:hAnsi="Calibri"/>
                <w:b/>
                <w:i w:val="0"/>
                <w:color w:val="212121"/>
                <w:sz w:val="19"/>
              </w:rPr>
              <w:t>Type</w:t>
            </w:r>
          </w:p>
        </w:tc>
        <w:tc>
          <w:tcPr>
            <w:tcW w:type="dxa" w:w="4176"/>
            <w:shd w:val="clear" w:color="auto" w:fill="F2F2F2"/>
            <w:vAlign w:val="center"/>
          </w:tcPr>
          <w:p>
            <w:pPr>
              <w:spacing w:after="40" w:before="0" w:line="259" w:lineRule="auto"/>
            </w:pPr>
            <w:r>
              <w:rPr>
                <w:rFonts w:ascii="Calibri" w:hAnsi="Calibri"/>
                <w:b/>
                <w:i w:val="0"/>
                <w:color w:val="212121"/>
                <w:sz w:val="19"/>
              </w:rPr>
              <w:t>Suggestion</w:t>
            </w:r>
          </w:p>
        </w:tc>
        <w:tc>
          <w:tcPr>
            <w:tcW w:type="dxa" w:w="1944"/>
            <w:shd w:val="clear" w:color="auto" w:fill="F2F2F2"/>
            <w:vAlign w:val="center"/>
          </w:tcPr>
          <w:p>
            <w:pPr>
              <w:spacing w:after="40" w:before="0" w:line="259" w:lineRule="auto"/>
            </w:pPr>
            <w:r>
              <w:rPr>
                <w:rFonts w:ascii="Calibri" w:hAnsi="Calibri"/>
                <w:b/>
                <w:i w:val="0"/>
                <w:color w:val="212121"/>
                <w:sz w:val="19"/>
              </w:rPr>
              <w:t>Profile</w:t>
            </w:r>
          </w:p>
        </w:tc>
        <w:tc>
          <w:tcPr>
            <w:tcW w:type="dxa" w:w="1036"/>
            <w:shd w:val="clear" w:color="auto" w:fill="F2F2F2"/>
            <w:vAlign w:val="center"/>
          </w:tcPr>
          <w:p>
            <w:pPr>
              <w:spacing w:after="40" w:before="0" w:line="259" w:lineRule="auto"/>
            </w:pPr>
            <w:r>
              <w:rPr>
                <w:rFonts w:ascii="Calibri" w:hAnsi="Calibri"/>
                <w:b/>
                <w:i w:val="0"/>
                <w:color w:val="212121"/>
                <w:sz w:val="19"/>
              </w:rPr>
              <w:t>Importance</w:t>
            </w:r>
          </w:p>
        </w:tc>
      </w:tr>
      <w:tr>
        <w:trPr>
          <w:cantSplit/>
        </w:trPr>
        <w:tc>
          <w:tcPr>
            <w:tcW w:type="dxa" w:w="1224"/>
            <w:vAlign w:val="center"/>
          </w:tcPr>
          <w:p>
            <w:pPr>
              <w:spacing w:after="40"/>
            </w:pPr>
            <w:r>
              <w:rPr>
                <w:rFonts w:ascii="Calibri" w:hAnsi="Calibri"/>
                <w:b w:val="0"/>
                <w:i w:val="0"/>
                <w:color w:val="212121"/>
                <w:sz w:val="19"/>
              </w:rPr>
              <w:t>Education</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Understand that Sjögren's is a treatable but lifelong systemic autoimmune disease, not merely 'dry eyes and mouth', and that steady self-care of dryness prevents most complications.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Learn the warning signs that need prompt review: a persistent, hard or one-sided salivary-gland swelling, new numbness or weakness, breathlessness, or purpuric rash on the legs.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Recognise that anticholinergic medicines (some antihistamines, bladder, blood-pressure, sleep and mood drugs) worsen dryness — review these with a doctor rather than stopping them yourself.</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If planning pregnancy, tell the doctor about anti-Ro/La antibodies so the baby's heart can be monitored, as these antibodies can rarely cause fetal heart block.</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Attend regular dental, eye and rheumatology review even when feeling well, and keep vaccinations and cardiovascular risk factors in check.</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Do not ignore persistent fatigue or low mood — they are genuine, manageable parts of the illness.</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Newly diagnosed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People with sicca symptoms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Women planning pregnancy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Family members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All adults with Sjögren's</w:t>
            </w:r>
          </w:p>
        </w:tc>
        <w:tc>
          <w:tcPr>
            <w:tcW w:type="dxa" w:w="1036"/>
            <w:vAlign w:val="top"/>
          </w:tcPr>
          <w:p>
            <w:pPr>
              <w:spacing w:after="40" w:before="0" w:line="259" w:lineRule="auto"/>
            </w:pPr>
            <w:r>
              <w:rPr>
                <w:rFonts w:ascii="Calibri" w:hAnsi="Calibri"/>
                <w:b w:val="0"/>
                <w:i w:val="0"/>
                <w:color w:val="212121"/>
                <w:sz w:val="19"/>
              </w:rPr>
              <w:t>NA</w:t>
            </w:r>
          </w:p>
        </w:tc>
      </w:tr>
      <w:tr>
        <w:trPr>
          <w:cantSplit/>
        </w:trPr>
        <w:tc>
          <w:tcPr>
            <w:tcW w:type="dxa" w:w="1224"/>
            <w:vAlign w:val="center"/>
          </w:tcPr>
          <w:p>
            <w:pPr>
              <w:spacing w:after="40"/>
            </w:pPr>
            <w:r>
              <w:rPr>
                <w:rFonts w:ascii="Calibri" w:hAnsi="Calibri"/>
                <w:b w:val="0"/>
                <w:i w:val="0"/>
                <w:color w:val="212121"/>
                <w:sz w:val="19"/>
              </w:rPr>
              <w:t>Physical Activity</w:t>
            </w: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Build up gradually to at least 150 minutes/week of moderate activity such as brisk walking, cycling, yoga or swimming, pacing effort to avoid post-exertional fatigue.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Use graded aerobic exercise specifically to combat the fatigue of Sjögren's — one of the few measures with evidence of benefit.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Add gentle strengthening and range-of-movement work 2 days/week to protect joints and muscle.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Break up prolonged sitting and screen time, and take regular blink and eye-rest breaks during visual tasks.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Choose low-impact options and warm up well if joints are painful, and keep eyes lubricated and hydrated during exercise.</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fatigue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Adults with Sjögren's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Those with joint pain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Deconditioned/sedentary patients</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Align w:val="center"/>
          </w:tcPr>
          <w:p>
            <w:pPr>
              <w:spacing w:after="40"/>
            </w:pPr>
            <w:r>
              <w:rPr>
                <w:rFonts w:ascii="Calibri" w:hAnsi="Calibri"/>
                <w:b w:val="0"/>
                <w:i w:val="0"/>
                <w:color w:val="212121"/>
                <w:sz w:val="19"/>
              </w:rPr>
              <w:t>Food</w:t>
            </w: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Sip water frequently and moisten food with sauces, dals or curd to make dry meals easier to chew and swallow.</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Minimise sugary and acidic foods and drinks, especially between meals, to protect teeth in the dry mouth.</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Use sugar-free gum, lozenges or xylitol products to stimulate what saliva remains.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Favour a balanced, anti-inflammatory diet rich in vegetables, fruit, whole grains, pulses and omega-3 sources (fish, flax, walnuts).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Limit alcohol and caffeine, which dry the mouth and eyes, and avoid very salty or spicy foods if they irritate a dry mouth.</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Correct vitamin D and any nutritional deficiency, particularly if swallowing or appetite is poor.</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dry mouth</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Those with dental problems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Adults with Sjögren's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poor nutrition</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Align w:val="center"/>
          </w:tcPr>
          <w:p>
            <w:pPr>
              <w:spacing w:after="40"/>
            </w:pPr>
            <w:r>
              <w:rPr>
                <w:rFonts w:ascii="Calibri" w:hAnsi="Calibri"/>
                <w:b w:val="0"/>
                <w:i w:val="0"/>
                <w:color w:val="212121"/>
                <w:sz w:val="19"/>
              </w:rPr>
              <w:t>Sleep</w:t>
            </w: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Keep a regular sleep–wake schedule and a cool, humidified bedroom to reduce nocturnal dryness.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Use eye lubricant/ointment and a sip of water or saliva substitute at the bedside for night-time dryness.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Limit caffeine and screens in the evening, as both worsen sleep and dryness.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Treat pain, nocturia and low mood, which commonly fragment sleep in Sjögren's.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Seek assessment for sleep apnoea if snoring, witnessed pauses or unrefreshing sleep persist.</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fatigue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Those with night-time dryness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Adults with poor sleep</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pain or low mood</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Align w:val="center"/>
          </w:tcPr>
          <w:p>
            <w:pPr>
              <w:spacing w:after="40"/>
            </w:pPr>
            <w:r>
              <w:rPr>
                <w:rFonts w:ascii="Calibri" w:hAnsi="Calibri"/>
                <w:b w:val="0"/>
                <w:i w:val="0"/>
                <w:color w:val="212121"/>
                <w:sz w:val="19"/>
              </w:rPr>
              <w:t>Smoking</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Stop all tobacco — smoked and chewed — as it worsens dry mouth, dental disease, oral thrush and lung involvement.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Use structured quit support (counselling, nicotine replacement or pharmacotherapy) and set a firm quit date.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second-hand smoke and other airway irritants that aggravate a dry throat and cough.</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Understand that quitting also lowers the cardiovascular and lung risks that accompany Sjögren's.</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Current tobacco users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lung involvement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Those with dental disease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All patients</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Align w:val="center"/>
          </w:tcPr>
          <w:p>
            <w:pPr>
              <w:spacing w:after="40"/>
            </w:pPr>
            <w:r>
              <w:rPr>
                <w:rFonts w:ascii="Calibri" w:hAnsi="Calibri"/>
                <w:b w:val="0"/>
                <w:i w:val="0"/>
                <w:color w:val="212121"/>
                <w:sz w:val="19"/>
              </w:rPr>
              <w:t>Alcohol</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Keep alcohol to a minimum, as it dries mucous membranes and worsens dry mouth and eyes.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alcohol if taking methotrexate or leflunomide because of the added risk of liver injury.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Do not use alcohol-containing mouthwashes, which further dry and irritate the mouth.</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Choose water or sugar-free drinks to stay hydrated instead.</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Regular drinkers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on methotrexate/leflunomide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Those with dry mouth</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All patients</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Align w:val="center"/>
          </w:tcPr>
          <w:p>
            <w:pPr>
              <w:spacing w:after="40"/>
            </w:pPr>
            <w:r>
              <w:rPr>
                <w:rFonts w:ascii="Calibri" w:hAnsi="Calibri"/>
                <w:b w:val="0"/>
                <w:i w:val="0"/>
                <w:color w:val="212121"/>
                <w:sz w:val="19"/>
              </w:rPr>
              <w:t>Mental health</w:t>
            </w: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Acknowledge that fatigue, 'brain fog', anxiety and depression are real features of Sjögren's and can be treated.</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Access counselling or cognitive behavioural therapy and, where appropriate, medication for mood — while checking that any drug does not worsen dryness.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Use pacing, energy-conservation and stress-management techniques to cope with fatigue.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Stay socially connected and consider a patient support group to reduce isolation.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Report worsening mood, poor concentration or sleep to the care team rather than accepting them as inevitable.</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fatigue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Those with anxiety or depression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Newly diagnosed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Adults with cognitive complaints</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Align w:val="center"/>
          </w:tcPr>
          <w:p>
            <w:pPr>
              <w:spacing w:after="40"/>
            </w:pPr>
            <w:r>
              <w:rPr>
                <w:rFonts w:ascii="Calibri" w:hAnsi="Calibri"/>
                <w:b w:val="0"/>
                <w:i w:val="0"/>
                <w:color w:val="212121"/>
                <w:sz w:val="19"/>
              </w:rPr>
              <w:t>Hygiene</w:t>
            </w: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Brush twice daily with high-fluoride toothpaste, clean between teeth, and see a dentist every 3–6 months to prevent rampant caries.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Use saliva substitutes, sugar-free gum and frequent water sips through the day for dry mouth, and treat oral thrush promptly.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Use preservative-free artificial tears regularly (not only when symptomatic), lubricating ointment at night, and warm-compress lid hygiene for the eyes.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Humidify indoor air, avoid direct fans/air-conditioning draughts to the face, and wear wrap-around/moisture-chamber glasses in dry or windy conditions.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Keep skin and genital mucosa moisturised, and seek early treatment of any eye pain, redness or vision change.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Attend regular eye reviews so corneal damage is caught and treated early.</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All patients with sicca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dry mouth</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dry eyes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Those with dental or eye complications</w:t>
            </w:r>
          </w:p>
        </w:tc>
        <w:tc>
          <w:tcPr>
            <w:tcW w:type="dxa" w:w="1036"/>
            <w:vAlign w:val="top"/>
          </w:tcPr>
          <w:p>
            <w:pPr>
              <w:spacing w:after="40" w:before="0" w:line="259" w:lineRule="auto"/>
            </w:pPr>
            <w:r>
              <w:rPr>
                <w:rFonts w:ascii="Calibri" w:hAnsi="Calibri"/>
                <w:b w:val="0"/>
                <w:i w:val="0"/>
                <w:color w:val="212121"/>
                <w:sz w:val="19"/>
              </w:rPr>
              <w:t>High</w:t>
            </w:r>
          </w:p>
        </w:tc>
      </w:tr>
    </w:tbl>
    <w:sectPr w:rsidR="00FC693F" w:rsidRPr="0006063C" w:rsidSect="00034616">
      <w:pgSz w:w="11909" w:h="16834"/>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line="269" w:lineRule="auto"/>
    </w:pPr>
    <w:rPr>
      <w:rFonts w:ascii="Calibri" w:hAnsi="Calibri" w:cs="Calibri"/>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pubmed.ncbi.nlm.nih.gov/24938285/" TargetMode="External"/><Relationship Id="rId10" Type="http://schemas.openxmlformats.org/officeDocument/2006/relationships/hyperlink" Target="https://www.sjogrens.org/understanding-sjogrens" TargetMode="External"/><Relationship Id="rId11" Type="http://schemas.openxmlformats.org/officeDocument/2006/relationships/hyperlink" Target="https://pubmed.ncbi.nlm.nih.gov/14710969/" TargetMode="External"/><Relationship Id="rId12" Type="http://schemas.openxmlformats.org/officeDocument/2006/relationships/hyperlink" Target="https://pubmed.ncbi.nlm.nih.gov/29027763/" TargetMode="External"/><Relationship Id="rId13" Type="http://schemas.openxmlformats.org/officeDocument/2006/relationships/hyperlink" Target="https://www.nidcr.nih.gov/health-info/sjogrens-syndrome" TargetMode="External"/><Relationship Id="rId14" Type="http://schemas.openxmlformats.org/officeDocument/2006/relationships/hyperlink" Target="https://www.ncbi.nlm.nih.gov/books/NBK431049/" TargetMode="External"/><Relationship Id="rId15" Type="http://schemas.openxmlformats.org/officeDocument/2006/relationships/hyperlink" Target="https://pubmed.ncbi.nlm.nih.gov/27383445/" TargetMode="External"/><Relationship Id="rId16" Type="http://schemas.openxmlformats.org/officeDocument/2006/relationships/hyperlink" Target="https://pubmed.ncbi.nlm.nih.gov/28198156/" TargetMode="External"/><Relationship Id="rId17" Type="http://schemas.openxmlformats.org/officeDocument/2006/relationships/hyperlink" Target="https://pubmed.ncbi.nlm.nih.gov/2861065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