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Hypothyroidism</w:t>
      </w:r>
    </w:p>
    <w:p>
      <w:pPr>
        <w:spacing w:before="0" w:after="160"/>
      </w:pPr>
      <w:r>
        <w:rPr>
          <w:rFonts w:ascii="Calibri" w:hAnsi="Calibri"/>
          <w:b/>
          <w:i w:val="0"/>
          <w:color w:val="212121"/>
          <w:sz w:val="22"/>
        </w:rPr>
        <w:t xml:space="preserve">AKA </w:t>
      </w:r>
      <w:r>
        <w:rPr>
          <w:rFonts w:ascii="Calibri" w:hAnsi="Calibri"/>
          <w:b w:val="0"/>
          <w:i w:val="0"/>
          <w:color w:val="212121"/>
          <w:sz w:val="22"/>
        </w:rPr>
        <w:t>i.e., Underactive thyroid, Low thyroid, Hypothyreosis; autoimmune form is Hashimoto's thyroiditis; the severe end-stage form is called Myxedema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Hypothyroidism is a common endocrine disorder in which the thyroid gland fails to produce enough thyroid hormones (thyroxine, T4, and triiodothyronine, T3) to meet the body's metabolic demands, slowing metabolism throughout the body. Typical features include fatigue, weight gain, cold intolerance, dry skin and constipation. In iodine-sufficient areas the commonest cause is autoimmune (Hashimoto's) thyroiditis, while iodine deficiency remains an important cause worldwide. It is defined biochemically by a raised serum TSH with either a low free T4 (overt hypothyroidism) or a normal free T4 (subclinical hypothyroidism).</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Hypothyroidism is one of the most common endocrine disorders in India. A landmark 8-city epidemiological study of 5,360 adults (Unnikrishnan et al.) found an overall prevalence of 10.95% — roughly 1 in 9 adults — of which about a third (3.47%) were previously undiagnosed and anti-TPO antibodies were positive in 21.85%. The burden is markedly higher in women: subclinical hypothyroidism affects an estimated 11.4% of Indian women versus 6.2% of men, and hospital registries of treated patients are roughly 70% female. Inland cities show higher prevalence than coastal cities, and hypothyroidism (mostly subclinical) complicates around 11% of Indian pregnancies.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Hypothyroidism is a biochemical diagnosis confirmed on thyroid function testing, usually after a raised TSH is found on screening and repeated for confirmation. The following criteria are used (reference ranges are laboratory- and assay-specific, and trimester-specific ranges apply in pregnancy):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TSH is the most sensitive first-line test; a persistently elevated TSH above the laboratory upper reference limit (commonly ~4.0–4.5 mIU/L) indicates primary hypothyroidism.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Overt (clinical) primary hypothyroidism: elevated TSH together with a low free T4.</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Subclinical hypothyroidism: elevated TSH (often 4.5–10 mIU/L) with a normal free T4; a TSH persistently ≥ 10 mIU/L generally warrants treatment.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Central (secondary/tertiary) hypothyroidism: a low or inappropriately normal TSH with a low free T4, pointing to pituitary or hypothalamic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Anti-thyroid peroxidase (anti-TPO) antibodies confirm autoimmune (Hashimoto's) aetiology and predict progression from subclinical to overt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Newborn screening (heel-prick TSH/T4) is used to detect congenital hypothyroidism, which must be treated within the first weeks of life to prevent intellectual disability.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Hypothyroidism is classified by the level of the defect, its severity, and its time course:</w:t>
      </w:r>
    </w:p>
    <w:p>
      <w:pPr>
        <w:spacing w:before="0" w:after="80"/>
      </w:pPr>
      <w:r>
        <w:rPr>
          <w:rFonts w:ascii="Calibri" w:hAnsi="Calibri"/>
          <w:b w:val="0"/>
          <w:i w:val="0"/>
          <w:color w:val="212121"/>
          <w:sz w:val="21"/>
        </w:rPr>
        <w:t>(1) Primary hypothyroidism, due to failure of the thyroid gland itself and accounting for the great majority of cases; common causes are autoimmune (Hashimoto's) thyroiditis, iodine deficiency, and iatrogenic loss of gland function after thyroidectomy, radioactive iodine or neck irradiation.</w:t>
      </w:r>
    </w:p>
    <w:p>
      <w:pPr>
        <w:spacing w:before="0" w:after="80"/>
      </w:pPr>
      <w:r>
        <w:rPr>
          <w:rFonts w:ascii="Calibri" w:hAnsi="Calibri"/>
          <w:b w:val="0"/>
          <w:i w:val="0"/>
          <w:color w:val="212121"/>
          <w:sz w:val="21"/>
        </w:rPr>
        <w:t>(2) Subclinical hypothyroidism, a mild/early biochemical stage with a raised TSH but normal free T4, frequently asymptomatic and common in women and the elderly.</w:t>
      </w:r>
    </w:p>
    <w:p>
      <w:pPr>
        <w:spacing w:before="0" w:after="80"/>
      </w:pPr>
      <w:r>
        <w:rPr>
          <w:rFonts w:ascii="Calibri" w:hAnsi="Calibri"/>
          <w:b w:val="0"/>
          <w:i w:val="0"/>
          <w:color w:val="212121"/>
          <w:sz w:val="21"/>
        </w:rPr>
        <w:t>(3) Central hypothyroidism (secondary/tertiary), caused by insufficient TSH from pituitary disease or insufficient TRH from hypothalamic disease; here TSH is low or inappropriately normal despite a low free T4.</w:t>
      </w:r>
    </w:p>
    <w:p>
      <w:pPr>
        <w:spacing w:before="0" w:after="80"/>
      </w:pPr>
      <w:r>
        <w:rPr>
          <w:rFonts w:ascii="Calibri" w:hAnsi="Calibri"/>
          <w:b w:val="0"/>
          <w:i w:val="0"/>
          <w:color w:val="212121"/>
          <w:sz w:val="21"/>
        </w:rPr>
        <w:t>(4) Congenital hypothyroidism, present from birth due to thyroid dysgenesis (agenesis/ectopia) or dyshormonogenesis, detected on newborn screening.</w:t>
      </w:r>
    </w:p>
    <w:p>
      <w:pPr>
        <w:spacing w:before="0" w:after="80"/>
      </w:pPr>
      <w:r>
        <w:rPr>
          <w:rFonts w:ascii="Calibri" w:hAnsi="Calibri"/>
          <w:b w:val="0"/>
          <w:i w:val="0"/>
          <w:color w:val="212121"/>
          <w:sz w:val="21"/>
        </w:rPr>
        <w:t>(5) Transient hypothyroidism, a self-limiting phase seen in postpartum thyroiditis, subacute (de Quervain's) thyroiditis and painless (silent) thyroiditis, and with certain drugs; thyroid function often recovers, though some progress to permanent hypothyroidism.</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Autoimmune thyroiditis (Hashimoto's): Lymphocytic infiltration and anti-TPO/anti-thyroglobulin antibodies progressively destroy thyroid tissue; the commonest cause in iodine-sufficient India and strongly female-predominant.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Iodine deficiency: Inadequate dietary iodine limits hormone synthesis and causes goitre and hypothyroidism; historically endemic in India's sub-Himalayan goitre belt and still relevant where iodised-salt coverage is incomplete.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Iatrogenic causes: Total or partial thyroidectomy, radioactive iodine ablation for hyperthyroidism, and external neck radiotherapy remove or damage functioning gland.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Drug-induced: Amiodarone, lithium, antithyroid drugs, tyrosine-kinase inhibitors, interferon-alpha and iodinated contrast can impair thyroid hormone production.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Iodine excess: Large iodine loads can transiently suppress hormone synthesis (Wolff-Chaikoff effect), precipitating hypothyroidism especially in autoimmune-prone individuals.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Central causes: Pituitary or hypothalamic tumours, surgery, radiation, infiltrative disease or Sheehan's syndrome reduce TSH/TRH drive.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Congenital defects: Thyroid dysgenesis or inherited dyshormonogenesis cause hormone deficiency from birth.</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Prevalence is high across adult life and a large fraction is undiagnosed because early symptoms (fatigue, weight gain) are non-specific. Untreated disease slows metabolism and raises cardiovascular risk over time.</w:t>
            </w:r>
          </w:p>
          <w:p>
            <w:pPr>
              <w:spacing w:after="40" w:before="60" w:line="259" w:lineRule="auto"/>
            </w:pPr>
            <w:r>
              <w:rPr>
                <w:rFonts w:ascii="Calibri" w:hAnsi="Calibri"/>
                <w:b w:val="0"/>
                <w:i w:val="0"/>
                <w:color w:val="212121"/>
                <w:sz w:val="19"/>
              </w:rPr>
              <w:t>An 8-city Indian study of 5,360 adults found hypothyroidism in 10.95%, of which 3.47% were newly detected (previously undiagnosed).</w:t>
            </w:r>
          </w:p>
          <w:p>
            <w:pPr>
              <w:spacing w:after="40" w:line="252" w:lineRule="auto"/>
            </w:pPr>
            <w:hyperlink r:id="rId9">
              <w:r>
                <w:rPr>
                  <w:rFonts w:ascii="Calibri" w:hAnsi="Calibri" w:cs="Calibri"/>
                  <w:sz w:val="18"/>
                  <w:color w:val="1155CC"/>
                  <w:u w:val="single"/>
                </w:rPr>
                <w:t xml:space="preserve">pubmed.ncbi.nlm.nih.gov/23961480 — hypothyroidism in 8 Indian cities</w:t>
              </w:r>
            </w:hyperlink>
          </w:p>
          <w:p>
            <w:pPr>
              <w:spacing w:before="60" w:after="40"/>
            </w:pPr>
            <w:r>
              <w:rPr>
                <w:rFonts w:ascii="Calibri" w:hAnsi="Calibri"/>
                <w:b w:val="0"/>
                <w:i w:val="0"/>
                <w:color w:val="5A5A5A"/>
                <w:sz w:val="18"/>
              </w:rPr>
              <w:t>#hypothyroidism  #TSH  #undiagnosed  #fatigue  #metabolism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Risk rises with age as autoimmune thyroiditis accumulates and thyroid reserve falls. Symptoms are easily mistaken for normal ageing, so subclinical disease is often missed.</w:t>
            </w:r>
          </w:p>
          <w:p>
            <w:pPr>
              <w:spacing w:after="40" w:before="60" w:line="259" w:lineRule="auto"/>
            </w:pPr>
            <w:r>
              <w:rPr>
                <w:rFonts w:ascii="Calibri" w:hAnsi="Calibri"/>
                <w:b w:val="0"/>
                <w:i w:val="0"/>
                <w:color w:val="212121"/>
                <w:sz w:val="19"/>
              </w:rPr>
              <w:t>Older age was significantly associated with hypothyroidism in the 8-city Indian survey; subclinical hypothyroidism is particularly common in older adults.</w:t>
            </w:r>
          </w:p>
          <w:p>
            <w:pPr>
              <w:spacing w:after="40" w:line="252" w:lineRule="auto"/>
            </w:pPr>
            <w:hyperlink r:id="rId9">
              <w:r>
                <w:rPr>
                  <w:rFonts w:ascii="Calibri" w:hAnsi="Calibri" w:cs="Calibri"/>
                  <w:sz w:val="18"/>
                  <w:color w:val="1155CC"/>
                  <w:u w:val="single"/>
                </w:rPr>
                <w:t xml:space="preserve">pubmed.ncbi.nlm.nih.gov/23961480 — age and hypothyroidism</w:t>
              </w:r>
            </w:hyperlink>
          </w:p>
          <w:p>
            <w:pPr>
              <w:spacing w:before="60" w:after="40"/>
            </w:pPr>
            <w:r>
              <w:rPr>
                <w:rFonts w:ascii="Calibri" w:hAnsi="Calibri"/>
                <w:b w:val="0"/>
                <w:i w:val="0"/>
                <w:color w:val="5A5A5A"/>
                <w:sz w:val="18"/>
              </w:rPr>
              <w:t>#ageing  #subclinical  #underdiagnosed  #thyroidreserve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Neonates / Newborns</w:t>
            </w:r>
          </w:p>
        </w:tc>
        <w:tc>
          <w:tcPr>
            <w:tcW w:type="dxa" w:w="4276"/>
            <w:vAlign w:val="top"/>
          </w:tcPr>
          <w:p>
            <w:pPr>
              <w:spacing w:after="60" w:line="259" w:lineRule="auto"/>
            </w:pPr>
            <w:r>
              <w:rPr>
                <w:rFonts w:ascii="Calibri" w:hAnsi="Calibri"/>
                <w:b w:val="0"/>
                <w:i w:val="0"/>
                <w:color w:val="212121"/>
                <w:sz w:val="19"/>
              </w:rPr>
              <w:t>Congenital hypothyroidism from thyroid dysgenesis or dyshormonogenesis must be detected and treated within weeks of birth to prevent irreversible intellectual disability (cretinism); India has a newborn-screening coverage gap.</w:t>
            </w:r>
          </w:p>
          <w:p>
            <w:pPr>
              <w:spacing w:after="40" w:before="60" w:line="259" w:lineRule="auto"/>
            </w:pPr>
            <w:r>
              <w:rPr>
                <w:rFonts w:ascii="Calibri" w:hAnsi="Calibri"/>
                <w:b w:val="0"/>
                <w:i w:val="0"/>
                <w:color w:val="212121"/>
                <w:sz w:val="19"/>
              </w:rPr>
              <w:t>Congenital hypothyroidism occurs in roughly 1 in 2,640 Indian neonates — higher than the classic global figure of about 1 in 3,800.</w:t>
            </w:r>
          </w:p>
          <w:p>
            <w:pPr>
              <w:spacing w:after="40" w:line="252" w:lineRule="auto"/>
            </w:pPr>
            <w:hyperlink r:id="rId10">
              <w:r>
                <w:rPr>
                  <w:rFonts w:ascii="Calibri" w:hAnsi="Calibri" w:cs="Calibri"/>
                  <w:sz w:val="18"/>
                  <w:color w:val="1155CC"/>
                  <w:u w:val="single"/>
                </w:rPr>
                <w:t xml:space="preserve">pmc.ncbi.nlm.nih.gov/PMC3169866 — thyroid disorders in India</w:t>
              </w:r>
            </w:hyperlink>
          </w:p>
          <w:p>
            <w:pPr>
              <w:spacing w:before="60" w:after="40"/>
            </w:pPr>
            <w:r>
              <w:rPr>
                <w:rFonts w:ascii="Calibri" w:hAnsi="Calibri"/>
                <w:b w:val="0"/>
                <w:i w:val="0"/>
                <w:color w:val="5A5A5A"/>
                <w:sz w:val="18"/>
              </w:rPr>
              <w:t>#congenital  #newbornscreening  #cretinism  #earlytreatment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several times more often than men because of oestrogen effects on thyroid autoimmunity and the triggers of pregnancy and the postpartum period. Menstrual disturbance and subfertility are common presentations.</w:t>
            </w:r>
          </w:p>
          <w:p>
            <w:pPr>
              <w:spacing w:after="40" w:before="60" w:line="259" w:lineRule="auto"/>
            </w:pPr>
            <w:r>
              <w:rPr>
                <w:rFonts w:ascii="Calibri" w:hAnsi="Calibri"/>
                <w:b w:val="0"/>
                <w:i w:val="0"/>
                <w:color w:val="212121"/>
                <w:sz w:val="19"/>
              </w:rPr>
              <w:t>Subclinical hypothyroidism affects an estimated 11.4% of Indian women versus 6.2% of men; treated-patient registries are about 70% female.</w:t>
            </w:r>
          </w:p>
          <w:p>
            <w:pPr>
              <w:spacing w:after="40" w:line="252" w:lineRule="auto"/>
            </w:pPr>
            <w:hyperlink r:id="rId10">
              <w:r>
                <w:rPr>
                  <w:rFonts w:ascii="Calibri" w:hAnsi="Calibri" w:cs="Calibri"/>
                  <w:sz w:val="18"/>
                  <w:color w:val="1155CC"/>
                  <w:u w:val="single"/>
                </w:rPr>
                <w:t xml:space="preserve">pmc.ncbi.nlm.nih.gov/PMC3169866 — sex differences in thyroid disease</w:t>
              </w:r>
            </w:hyperlink>
          </w:p>
          <w:p>
            <w:pPr>
              <w:spacing w:before="60" w:after="40"/>
            </w:pPr>
            <w:r>
              <w:rPr>
                <w:rFonts w:ascii="Calibri" w:hAnsi="Calibri"/>
                <w:b w:val="0"/>
                <w:i w:val="0"/>
                <w:color w:val="5A5A5A"/>
                <w:sz w:val="18"/>
              </w:rPr>
              <w:t>#women  #autoimmunity  #oestrogen  #menstrual  #subfertility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adults</w:t>
            </w:r>
          </w:p>
        </w:tc>
        <w:tc>
          <w:tcPr>
            <w:tcW w:type="dxa" w:w="4276"/>
            <w:vAlign w:val="top"/>
          </w:tcPr>
          <w:p>
            <w:pPr>
              <w:spacing w:after="60" w:line="259" w:lineRule="auto"/>
            </w:pPr>
            <w:r>
              <w:rPr>
                <w:rFonts w:ascii="Calibri" w:hAnsi="Calibri"/>
                <w:b w:val="0"/>
                <w:i w:val="0"/>
                <w:color w:val="212121"/>
                <w:sz w:val="19"/>
              </w:rPr>
              <w:t>Urbanisation brings higher iodine intake from processed and iodised foods plus better case-detection, but also more autoimmune thyroid disease; much of it remains subclinical and undiagnosed without screening.</w:t>
            </w:r>
          </w:p>
          <w:p>
            <w:pPr>
              <w:spacing w:after="40" w:before="60" w:line="259" w:lineRule="auto"/>
            </w:pPr>
            <w:r>
              <w:rPr>
                <w:rFonts w:ascii="Calibri" w:hAnsi="Calibri"/>
                <w:b w:val="0"/>
                <w:i w:val="0"/>
                <w:color w:val="212121"/>
                <w:sz w:val="19"/>
              </w:rPr>
              <w:t>The 10.95% adult prevalence was documented across eight major Indian cities, with a substantial undiagnosed fraction.</w:t>
            </w:r>
          </w:p>
          <w:p>
            <w:pPr>
              <w:spacing w:after="40" w:line="252" w:lineRule="auto"/>
            </w:pPr>
            <w:hyperlink r:id="rId9">
              <w:r>
                <w:rPr>
                  <w:rFonts w:ascii="Calibri" w:hAnsi="Calibri" w:cs="Calibri"/>
                  <w:sz w:val="18"/>
                  <w:color w:val="1155CC"/>
                  <w:u w:val="single"/>
                </w:rPr>
                <w:t xml:space="preserve">pubmed.ncbi.nlm.nih.gov/23961480 — urban 8-city prevalence</w:t>
              </w:r>
            </w:hyperlink>
          </w:p>
          <w:p>
            <w:pPr>
              <w:spacing w:before="60" w:after="40"/>
            </w:pPr>
            <w:r>
              <w:rPr>
                <w:rFonts w:ascii="Calibri" w:hAnsi="Calibri"/>
                <w:b w:val="0"/>
                <w:i w:val="0"/>
                <w:color w:val="5A5A5A"/>
                <w:sz w:val="18"/>
              </w:rPr>
              <w:t>#urban  #screeninggap  #autoimmune  #casedetection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Inland (non-coastal) India</w:t>
            </w:r>
          </w:p>
        </w:tc>
        <w:tc>
          <w:tcPr>
            <w:tcW w:type="dxa" w:w="4276"/>
            <w:vAlign w:val="top"/>
          </w:tcPr>
          <w:p>
            <w:pPr>
              <w:spacing w:after="60" w:line="259" w:lineRule="auto"/>
            </w:pPr>
            <w:r>
              <w:rPr>
                <w:rFonts w:ascii="Calibri" w:hAnsi="Calibri"/>
                <w:b w:val="0"/>
                <w:i w:val="0"/>
                <w:color w:val="212121"/>
                <w:sz w:val="19"/>
              </w:rPr>
              <w:t>Populations far from the sea have historically had lower dietary iodine than coastal communities that eat iodine-rich seafood, contributing to more goitre and hypothyroidism inland.</w:t>
            </w:r>
          </w:p>
          <w:p>
            <w:pPr>
              <w:spacing w:after="40" w:before="60" w:line="259" w:lineRule="auto"/>
            </w:pPr>
            <w:r>
              <w:rPr>
                <w:rFonts w:ascii="Calibri" w:hAnsi="Calibri"/>
                <w:b w:val="0"/>
                <w:i w:val="0"/>
                <w:color w:val="212121"/>
                <w:sz w:val="19"/>
              </w:rPr>
              <w:t>In the 8-city study, inland cities showed a higher prevalence of hypothyroidism than coastal cities.</w:t>
            </w:r>
          </w:p>
          <w:p>
            <w:pPr>
              <w:spacing w:after="40" w:line="252" w:lineRule="auto"/>
            </w:pPr>
            <w:hyperlink r:id="rId9">
              <w:r>
                <w:rPr>
                  <w:rFonts w:ascii="Calibri" w:hAnsi="Calibri" w:cs="Calibri"/>
                  <w:sz w:val="18"/>
                  <w:color w:val="1155CC"/>
                  <w:u w:val="single"/>
                </w:rPr>
                <w:t xml:space="preserve">pubmed.ncbi.nlm.nih.gov/23961480 — inland vs coastal prevalence</w:t>
              </w:r>
            </w:hyperlink>
          </w:p>
          <w:p>
            <w:pPr>
              <w:spacing w:before="60" w:after="40"/>
            </w:pPr>
            <w:r>
              <w:rPr>
                <w:rFonts w:ascii="Calibri" w:hAnsi="Calibri"/>
                <w:b w:val="0"/>
                <w:i w:val="0"/>
                <w:color w:val="5A5A5A"/>
                <w:sz w:val="18"/>
              </w:rPr>
              <w:t>#inland  #coastal  #iodine  #geography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Sub-Himalayan / hilly goitre-belt residents</w:t>
            </w:r>
          </w:p>
        </w:tc>
        <w:tc>
          <w:tcPr>
            <w:tcW w:type="dxa" w:w="4276"/>
            <w:vAlign w:val="top"/>
          </w:tcPr>
          <w:p>
            <w:pPr>
              <w:spacing w:after="60" w:line="259" w:lineRule="auto"/>
            </w:pPr>
            <w:r>
              <w:rPr>
                <w:rFonts w:ascii="Calibri" w:hAnsi="Calibri"/>
                <w:b w:val="0"/>
                <w:i w:val="0"/>
                <w:color w:val="212121"/>
                <w:sz w:val="19"/>
              </w:rPr>
              <w:t>The Himalayan and sub-Himalayan foothills are a classic endemic goitre belt where leaching of iodine from soil causes iodine-deficiency goitre and hypothyroidism, historically including endemic cretinism.</w:t>
            </w:r>
          </w:p>
          <w:p>
            <w:pPr>
              <w:spacing w:after="40" w:before="60" w:line="259" w:lineRule="auto"/>
            </w:pPr>
            <w:r>
              <w:rPr>
                <w:rFonts w:ascii="Calibri" w:hAnsi="Calibri"/>
                <w:b w:val="0"/>
                <w:i w:val="0"/>
                <w:color w:val="212121"/>
                <w:sz w:val="19"/>
              </w:rPr>
              <w:t>Palpable goitre has been reported in around 12% of adults in Indian surveys, reflecting long-standing iodine-deficiency disorders.</w:t>
            </w:r>
          </w:p>
          <w:p>
            <w:pPr>
              <w:spacing w:after="40" w:line="252" w:lineRule="auto"/>
            </w:pPr>
            <w:hyperlink r:id="rId10">
              <w:r>
                <w:rPr>
                  <w:rFonts w:ascii="Calibri" w:hAnsi="Calibri" w:cs="Calibri"/>
                  <w:sz w:val="18"/>
                  <w:color w:val="1155CC"/>
                  <w:u w:val="single"/>
                </w:rPr>
                <w:t xml:space="preserve">pmc.ncbi.nlm.nih.gov/PMC3169866 — goitre and IDD in India</w:t>
              </w:r>
            </w:hyperlink>
          </w:p>
          <w:p>
            <w:pPr>
              <w:spacing w:before="60" w:after="40"/>
            </w:pPr>
            <w:r>
              <w:rPr>
                <w:rFonts w:ascii="Calibri" w:hAnsi="Calibri"/>
                <w:b w:val="0"/>
                <w:i w:val="0"/>
                <w:color w:val="5A5A5A"/>
                <w:sz w:val="18"/>
              </w:rPr>
              <w:t>#goitrebelt  #Himalaya  #iodinedeficiency  #endemicgoitre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Sedentary office workers, homemakers</w:t>
            </w:r>
          </w:p>
        </w:tc>
        <w:tc>
          <w:tcPr>
            <w:tcW w:type="dxa" w:w="4276"/>
            <w:vAlign w:val="top"/>
          </w:tcPr>
          <w:p>
            <w:pPr>
              <w:spacing w:after="60" w:line="259" w:lineRule="auto"/>
            </w:pPr>
            <w:r>
              <w:rPr>
                <w:rFonts w:ascii="Calibri" w:hAnsi="Calibri"/>
                <w:b w:val="0"/>
                <w:i w:val="0"/>
                <w:color w:val="212121"/>
                <w:sz w:val="19"/>
              </w:rPr>
              <w:t>Physical inactivity does not cause hypothyroidism but interacts with it: the low metabolic rate promotes weight gain, dyslipidaemia and fatigue, and inactivity compounds these, worsening symptom burden.</w:t>
            </w:r>
          </w:p>
          <w:p>
            <w:pPr>
              <w:spacing w:after="40" w:before="60" w:line="259" w:lineRule="auto"/>
            </w:pPr>
            <w:r>
              <w:rPr>
                <w:rFonts w:ascii="Calibri" w:hAnsi="Calibri"/>
                <w:b w:val="0"/>
                <w:i w:val="0"/>
                <w:color w:val="212121"/>
                <w:sz w:val="19"/>
              </w:rPr>
              <w:t>Weight gain despite poor appetite is reported by about a third of Indian hypothyroid patients, and low activity magnifies this.</w:t>
            </w:r>
          </w:p>
          <w:p>
            <w:pPr>
              <w:spacing w:after="40" w:line="252" w:lineRule="auto"/>
            </w:pPr>
            <w:hyperlink r:id="rId11">
              <w:r>
                <w:rPr>
                  <w:rFonts w:ascii="Calibri" w:hAnsi="Calibri" w:cs="Calibri"/>
                  <w:sz w:val="18"/>
                  <w:color w:val="1155CC"/>
                  <w:u w:val="single"/>
                </w:rPr>
                <w:t xml:space="preserve">pmc.ncbi.nlm.nih.gov/PMC5367235 — Indian Thyroid Registry</w:t>
              </w:r>
            </w:hyperlink>
          </w:p>
          <w:p>
            <w:pPr>
              <w:spacing w:before="60" w:after="40"/>
            </w:pPr>
            <w:r>
              <w:rPr>
                <w:rFonts w:ascii="Calibri" w:hAnsi="Calibri"/>
                <w:b w:val="0"/>
                <w:i w:val="0"/>
                <w:color w:val="5A5A5A"/>
                <w:sz w:val="18"/>
              </w:rPr>
              <w:t>#sedentary  #weightgain  #lowmetabolism  #dyslipidaemia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Tobacco smoke contains thiocyanate, a goitrogen that competes with iodide uptake, and smoking modulates thyroid autoimmunity; it also worsens outcomes in thyroid eye disease. Effects on autoimmune hypothyroidism are complex but adverse.</w:t>
            </w:r>
          </w:p>
          <w:p>
            <w:pPr>
              <w:spacing w:after="40" w:before="60" w:line="259" w:lineRule="auto"/>
            </w:pPr>
            <w:r>
              <w:rPr>
                <w:rFonts w:ascii="Calibri" w:hAnsi="Calibri"/>
                <w:b w:val="0"/>
                <w:i w:val="0"/>
                <w:color w:val="212121"/>
                <w:sz w:val="19"/>
              </w:rPr>
              <w:t>Thiocyanate from tobacco impairs thyroidal iodide uptake and can aggravate iodine-deficiency effects on the gland.</w:t>
            </w:r>
          </w:p>
          <w:p>
            <w:pPr>
              <w:spacing w:before="60" w:after="40"/>
            </w:pPr>
            <w:r>
              <w:rPr>
                <w:rFonts w:ascii="Calibri" w:hAnsi="Calibri"/>
                <w:b w:val="0"/>
                <w:i w:val="0"/>
                <w:color w:val="5A5A5A"/>
                <w:sz w:val="18"/>
              </w:rPr>
              <w:t>#smoking  #thiocyanate  #goitrogen  #autoimmunity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drinkers</w:t>
            </w:r>
          </w:p>
        </w:tc>
        <w:tc>
          <w:tcPr>
            <w:tcW w:type="dxa" w:w="4276"/>
            <w:vAlign w:val="top"/>
          </w:tcPr>
          <w:p>
            <w:pPr>
              <w:spacing w:after="60" w:line="259" w:lineRule="auto"/>
            </w:pPr>
            <w:r>
              <w:rPr>
                <w:rFonts w:ascii="Calibri" w:hAnsi="Calibri"/>
                <w:b w:val="0"/>
                <w:i w:val="0"/>
                <w:color w:val="212121"/>
                <w:sz w:val="19"/>
              </w:rPr>
              <w:t>Chronic heavy alcohol use has a direct toxic effect that reduces thyroid volume and can blunt hormone output, and it complicates management by affecting liver metabolism of thyroid hormone.</w:t>
            </w:r>
          </w:p>
          <w:p>
            <w:pPr>
              <w:spacing w:after="40" w:before="60" w:line="259" w:lineRule="auto"/>
            </w:pPr>
            <w:r>
              <w:rPr>
                <w:rFonts w:ascii="Calibri" w:hAnsi="Calibri"/>
                <w:b w:val="0"/>
                <w:i w:val="0"/>
                <w:color w:val="212121"/>
                <w:sz w:val="19"/>
              </w:rPr>
              <w:t>Heavy chronic alcohol intake is associated with reduced thyroid volume and altered thyroid function.</w:t>
            </w:r>
          </w:p>
          <w:p>
            <w:pPr>
              <w:spacing w:before="60" w:after="40"/>
            </w:pPr>
            <w:r>
              <w:rPr>
                <w:rFonts w:ascii="Calibri" w:hAnsi="Calibri"/>
                <w:b w:val="0"/>
                <w:i w:val="0"/>
                <w:color w:val="5A5A5A"/>
                <w:sz w:val="18"/>
              </w:rPr>
              <w:t>#alcohol  #thyroidvolume  #liver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w:t>
            </w:r>
          </w:p>
        </w:tc>
        <w:tc>
          <w:tcPr>
            <w:tcW w:type="dxa" w:w="4276"/>
            <w:vAlign w:val="top"/>
          </w:tcPr>
          <w:p>
            <w:pPr>
              <w:spacing w:after="60" w:line="259" w:lineRule="auto"/>
            </w:pPr>
            <w:r>
              <w:rPr>
                <w:rFonts w:ascii="Calibri" w:hAnsi="Calibri"/>
                <w:b w:val="0"/>
                <w:i w:val="0"/>
                <w:color w:val="212121"/>
                <w:sz w:val="19"/>
              </w:rPr>
              <w:t>Excess adiposity is associated with modestly higher TSH levels through leptin-mediated and inflammatory effects; conversely, hypothyroidism promotes weight gain, creating a reinforcing loop.</w:t>
            </w:r>
          </w:p>
          <w:p>
            <w:pPr>
              <w:spacing w:after="40" w:before="60" w:line="259" w:lineRule="auto"/>
            </w:pPr>
            <w:r>
              <w:rPr>
                <w:rFonts w:ascii="Calibri" w:hAnsi="Calibri"/>
                <w:b w:val="0"/>
                <w:i w:val="0"/>
                <w:color w:val="212121"/>
                <w:sz w:val="19"/>
              </w:rPr>
              <w:t>Higher body weight is associated with higher TSH; weight gain is a leading presenting complaint in hypothyroidism.</w:t>
            </w:r>
          </w:p>
          <w:p>
            <w:pPr>
              <w:spacing w:after="40" w:line="252" w:lineRule="auto"/>
            </w:pPr>
            <w:hyperlink r:id="rId11">
              <w:r>
                <w:rPr>
                  <w:rFonts w:ascii="Calibri" w:hAnsi="Calibri" w:cs="Calibri"/>
                  <w:sz w:val="18"/>
                  <w:color w:val="1155CC"/>
                  <w:u w:val="single"/>
                </w:rPr>
                <w:t xml:space="preserve">pmc.ncbi.nlm.nih.gov/PMC5367235 — Indian Thyroid Registry</w:t>
              </w:r>
            </w:hyperlink>
          </w:p>
          <w:p>
            <w:pPr>
              <w:spacing w:before="60" w:after="40"/>
            </w:pPr>
            <w:r>
              <w:rPr>
                <w:rFonts w:ascii="Calibri" w:hAnsi="Calibri"/>
                <w:b w:val="0"/>
                <w:i w:val="0"/>
                <w:color w:val="5A5A5A"/>
                <w:sz w:val="18"/>
              </w:rPr>
              <w:t>#overweight  #TSH  #leptin  #weightgain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w:t>
            </w:r>
          </w:p>
        </w:tc>
        <w:tc>
          <w:tcPr>
            <w:tcW w:type="dxa" w:w="4276"/>
            <w:vAlign w:val="top"/>
          </w:tcPr>
          <w:p>
            <w:pPr>
              <w:spacing w:after="60" w:line="259" w:lineRule="auto"/>
            </w:pPr>
            <w:r>
              <w:rPr>
                <w:rFonts w:ascii="Calibri" w:hAnsi="Calibri"/>
                <w:b w:val="0"/>
                <w:i w:val="0"/>
                <w:color w:val="212121"/>
                <w:sz w:val="19"/>
              </w:rPr>
              <w:t>Obesity is linked to elevated TSH and free T3 as an adaptive response and to greater metabolic risk; obese hypothyroid patients face compounded dyslipidaemia and cardiovascular risk.</w:t>
            </w:r>
          </w:p>
          <w:p>
            <w:pPr>
              <w:spacing w:after="40" w:before="60" w:line="259" w:lineRule="auto"/>
            </w:pPr>
            <w:r>
              <w:rPr>
                <w:rFonts w:ascii="Calibri" w:hAnsi="Calibri"/>
                <w:b w:val="0"/>
                <w:i w:val="0"/>
                <w:color w:val="212121"/>
                <w:sz w:val="19"/>
              </w:rPr>
              <w:t>Obesity is commonly accompanied by mildly raised TSH that overlaps with subclinical hypothyroidism.</w:t>
            </w:r>
          </w:p>
          <w:p>
            <w:pPr>
              <w:spacing w:before="60" w:after="40"/>
            </w:pPr>
            <w:r>
              <w:rPr>
                <w:rFonts w:ascii="Calibri" w:hAnsi="Calibri"/>
                <w:b w:val="0"/>
                <w:i w:val="0"/>
                <w:color w:val="5A5A5A"/>
                <w:sz w:val="18"/>
              </w:rPr>
              <w:t>#obesity  #TSH  #metabolicrisk  #cardiovascular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Low-iodine diet / poor iodised-salt access</w:t>
            </w:r>
          </w:p>
        </w:tc>
        <w:tc>
          <w:tcPr>
            <w:tcW w:type="dxa" w:w="4276"/>
            <w:vAlign w:val="top"/>
          </w:tcPr>
          <w:p>
            <w:pPr>
              <w:spacing w:after="60" w:line="259" w:lineRule="auto"/>
            </w:pPr>
            <w:r>
              <w:rPr>
                <w:rFonts w:ascii="Calibri" w:hAnsi="Calibri"/>
                <w:b w:val="0"/>
                <w:i w:val="0"/>
                <w:color w:val="212121"/>
                <w:sz w:val="19"/>
              </w:rPr>
              <w:t>Inadequate dietary iodine limits thyroid hormone synthesis and is a leading global cause of hypothyroidism and goitre; universal salt iodisation has cut but not eliminated this risk in India.</w:t>
            </w:r>
          </w:p>
          <w:p>
            <w:pPr>
              <w:spacing w:after="40" w:before="60" w:line="259" w:lineRule="auto"/>
            </w:pPr>
            <w:r>
              <w:rPr>
                <w:rFonts w:ascii="Calibri" w:hAnsi="Calibri"/>
                <w:b w:val="0"/>
                <w:i w:val="0"/>
                <w:color w:val="212121"/>
                <w:sz w:val="19"/>
              </w:rPr>
              <w:t>About 76.3% of Indian households consume adequately iodised salt (≥ 15 ppm); coverage lags in several southern states, leaving pockets of deficiency.</w:t>
            </w:r>
          </w:p>
          <w:p>
            <w:pPr>
              <w:spacing w:after="40" w:line="252" w:lineRule="auto"/>
            </w:pPr>
            <w:hyperlink r:id="rId12">
              <w:r>
                <w:rPr>
                  <w:rFonts w:ascii="Calibri" w:hAnsi="Calibri" w:cs="Calibri"/>
                  <w:sz w:val="18"/>
                  <w:color w:val="1155CC"/>
                  <w:u w:val="single"/>
                </w:rPr>
                <w:t xml:space="preserve">nutritionintl.org — India Iodine Survey 2018–19</w:t>
              </w:r>
            </w:hyperlink>
          </w:p>
          <w:p>
            <w:pPr>
              <w:spacing w:before="60" w:after="40"/>
            </w:pPr>
            <w:r>
              <w:rPr>
                <w:rFonts w:ascii="Calibri" w:hAnsi="Calibri"/>
                <w:b w:val="0"/>
                <w:i w:val="0"/>
                <w:color w:val="5A5A5A"/>
                <w:sz w:val="18"/>
              </w:rPr>
              <w:t>#iodine  #saltiodisation  #diet  #goitre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High goitrogen intake</w:t>
            </w:r>
          </w:p>
        </w:tc>
        <w:tc>
          <w:tcPr>
            <w:tcW w:type="dxa" w:w="4276"/>
            <w:vAlign w:val="top"/>
          </w:tcPr>
          <w:p>
            <w:pPr>
              <w:spacing w:after="60" w:line="259" w:lineRule="auto"/>
            </w:pPr>
            <w:r>
              <w:rPr>
                <w:rFonts w:ascii="Calibri" w:hAnsi="Calibri"/>
                <w:b w:val="0"/>
                <w:i w:val="0"/>
                <w:color w:val="212121"/>
                <w:sz w:val="19"/>
              </w:rPr>
              <w:t>Large habitual intakes of goitrogens — cassava/tapioca, raw cruciferous vegetables, soy and millet — or a very high iodine load can interfere with hormone synthesis, especially when iodine status is borderline.</w:t>
            </w:r>
          </w:p>
          <w:p>
            <w:pPr>
              <w:spacing w:after="40" w:before="60" w:line="259" w:lineRule="auto"/>
            </w:pPr>
            <w:r>
              <w:rPr>
                <w:rFonts w:ascii="Calibri" w:hAnsi="Calibri"/>
                <w:b w:val="0"/>
                <w:i w:val="0"/>
                <w:color w:val="212121"/>
                <w:sz w:val="19"/>
              </w:rPr>
              <w:t>Dietary goitrogens impair iodide utilisation and can precipitate goitre and hypothyroidism in susceptible individuals.</w:t>
            </w:r>
          </w:p>
          <w:p>
            <w:pPr>
              <w:spacing w:before="60" w:after="40"/>
            </w:pPr>
            <w:r>
              <w:rPr>
                <w:rFonts w:ascii="Calibri" w:hAnsi="Calibri"/>
                <w:b w:val="0"/>
                <w:i w:val="0"/>
                <w:color w:val="5A5A5A"/>
                <w:sz w:val="18"/>
              </w:rPr>
              <w:t>#goitrogens  #cassava  #soy  #cruciferous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autoimmune thyroid disease</w:t>
            </w:r>
          </w:p>
        </w:tc>
        <w:tc>
          <w:tcPr>
            <w:tcW w:type="dxa" w:w="4276"/>
            <w:vAlign w:val="top"/>
          </w:tcPr>
          <w:p>
            <w:pPr>
              <w:spacing w:after="60" w:line="259" w:lineRule="auto"/>
            </w:pPr>
            <w:r>
              <w:rPr>
                <w:rFonts w:ascii="Calibri" w:hAnsi="Calibri"/>
                <w:b w:val="0"/>
                <w:i w:val="0"/>
                <w:color w:val="212121"/>
                <w:sz w:val="19"/>
              </w:rPr>
              <w:t>Autoimmune thyroid disease clusters strongly in families; inheriting susceptibility genes (HLA, PTPN22, CTLA4) plus a female relative history sharply raises the risk of Hashimoto's hypothyroidism.</w:t>
            </w:r>
          </w:p>
          <w:p>
            <w:pPr>
              <w:spacing w:after="40" w:before="60" w:line="259" w:lineRule="auto"/>
            </w:pPr>
            <w:r>
              <w:rPr>
                <w:rFonts w:ascii="Calibri" w:hAnsi="Calibri"/>
                <w:b w:val="0"/>
                <w:i w:val="0"/>
                <w:color w:val="212121"/>
                <w:sz w:val="19"/>
              </w:rPr>
              <w:t>Anti-TPO antibodies — the marker of thyroid autoimmunity — were positive in 21.85% of adults in the 8-city Indian study.</w:t>
            </w:r>
          </w:p>
          <w:p>
            <w:pPr>
              <w:spacing w:after="40" w:line="252" w:lineRule="auto"/>
            </w:pPr>
            <w:hyperlink r:id="rId9">
              <w:r>
                <w:rPr>
                  <w:rFonts w:ascii="Calibri" w:hAnsi="Calibri" w:cs="Calibri"/>
                  <w:sz w:val="18"/>
                  <w:color w:val="1155CC"/>
                  <w:u w:val="single"/>
                </w:rPr>
                <w:t xml:space="preserve">pubmed.ncbi.nlm.nih.gov/23961480 — anti-TPO positivity</w:t>
              </w:r>
            </w:hyperlink>
          </w:p>
          <w:p>
            <w:pPr>
              <w:spacing w:before="60" w:after="40"/>
            </w:pPr>
            <w:r>
              <w:rPr>
                <w:rFonts w:ascii="Calibri" w:hAnsi="Calibri"/>
                <w:b w:val="0"/>
                <w:i w:val="0"/>
                <w:color w:val="5A5A5A"/>
                <w:sz w:val="18"/>
              </w:rPr>
              <w:t>#familyhistory  #autoimmune  #antiTPO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2 diabetes</w:t>
            </w:r>
          </w:p>
        </w:tc>
        <w:tc>
          <w:tcPr>
            <w:tcW w:type="dxa" w:w="2160"/>
            <w:vAlign w:val="top"/>
          </w:tcPr>
          <w:p>
            <w:pPr>
              <w:spacing w:after="40" w:before="0" w:line="259" w:lineRule="auto"/>
            </w:pPr>
            <w:r>
              <w:rPr>
                <w:rFonts w:ascii="Calibri" w:hAnsi="Calibri"/>
                <w:b w:val="0"/>
                <w:i w:val="0"/>
                <w:color w:val="212121"/>
                <w:sz w:val="19"/>
              </w:rPr>
              <w:t>Patients with type 2 diabetes mellitus</w:t>
            </w:r>
          </w:p>
        </w:tc>
        <w:tc>
          <w:tcPr>
            <w:tcW w:type="dxa" w:w="4276"/>
            <w:vAlign w:val="top"/>
          </w:tcPr>
          <w:p>
            <w:pPr>
              <w:spacing w:after="60" w:line="259" w:lineRule="auto"/>
            </w:pPr>
            <w:r>
              <w:rPr>
                <w:rFonts w:ascii="Calibri" w:hAnsi="Calibri"/>
                <w:b w:val="0"/>
                <w:i w:val="0"/>
                <w:color w:val="212121"/>
                <w:sz w:val="19"/>
              </w:rPr>
              <w:t>Thyroid and glucose metabolism are closely linked; hypothyroidism worsens insulin resistance, lipid profiles and glycaemic control, and shares autoimmune predisposition with diabetes.</w:t>
            </w:r>
          </w:p>
          <w:p>
            <w:pPr>
              <w:spacing w:after="40" w:before="60" w:line="259" w:lineRule="auto"/>
            </w:pPr>
            <w:r>
              <w:rPr>
                <w:rFonts w:ascii="Calibri" w:hAnsi="Calibri"/>
                <w:b w:val="0"/>
                <w:i w:val="0"/>
                <w:color w:val="212121"/>
                <w:sz w:val="19"/>
              </w:rPr>
              <w:t>In a multicentre Indian study, hypothyroidism was found in about 24.8% of patients with type 2 diabetes — a greater than 20% burden warranting routine screening.</w:t>
            </w:r>
          </w:p>
          <w:p>
            <w:pPr>
              <w:spacing w:after="40" w:line="252" w:lineRule="auto"/>
            </w:pPr>
            <w:hyperlink r:id="rId13">
              <w:r>
                <w:rPr>
                  <w:rFonts w:ascii="Calibri" w:hAnsi="Calibri" w:cs="Calibri"/>
                  <w:sz w:val="18"/>
                  <w:color w:val="1155CC"/>
                  <w:u w:val="single"/>
                </w:rPr>
                <w:t xml:space="preserve">dovepress.com — hypothyroidism in Indian T2DM</w:t>
              </w:r>
            </w:hyperlink>
          </w:p>
          <w:p>
            <w:pPr>
              <w:spacing w:before="60" w:after="40"/>
            </w:pPr>
            <w:r>
              <w:rPr>
                <w:rFonts w:ascii="Calibri" w:hAnsi="Calibri"/>
                <w:b w:val="0"/>
                <w:i w:val="0"/>
                <w:color w:val="5A5A5A"/>
                <w:sz w:val="18"/>
              </w:rPr>
              <w:t>#T2DM  #insulinresistance  #dyslipidaemia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Pregnancy raises thyroid hormone demand; untreated maternal hypothyroidism increases miscarriage, pre-eclampsia, preterm birth and impaired fetal neurodevelopment, so early screening and treatment are essential.</w:t>
            </w:r>
          </w:p>
          <w:p>
            <w:pPr>
              <w:spacing w:after="40" w:before="60" w:line="259" w:lineRule="auto"/>
            </w:pPr>
            <w:r>
              <w:rPr>
                <w:rFonts w:ascii="Calibri" w:hAnsi="Calibri"/>
                <w:b w:val="0"/>
                <w:i w:val="0"/>
                <w:color w:val="212121"/>
                <w:sz w:val="19"/>
              </w:rPr>
              <w:t>A meta-analysis of Indian studies found a pooled hypothyroidism prevalence of 11.07% in pregnancy (subclinical 9.51%, overt 2.74%).</w:t>
            </w:r>
          </w:p>
          <w:p>
            <w:pPr>
              <w:spacing w:after="40" w:line="252" w:lineRule="auto"/>
            </w:pPr>
            <w:hyperlink r:id="rId14">
              <w:r>
                <w:rPr>
                  <w:rFonts w:ascii="Calibri" w:hAnsi="Calibri" w:cs="Calibri"/>
                  <w:sz w:val="18"/>
                  <w:color w:val="1155CC"/>
                  <w:u w:val="single"/>
                </w:rPr>
                <w:t xml:space="preserve">onlinelibrary.wiley.com — hypothyroidism in Indian pregnancy (meta-analysis)</w:t>
              </w:r>
            </w:hyperlink>
          </w:p>
          <w:p>
            <w:pPr>
              <w:spacing w:before="60" w:after="40"/>
            </w:pPr>
            <w:r>
              <w:rPr>
                <w:rFonts w:ascii="Calibri" w:hAnsi="Calibri"/>
                <w:b w:val="0"/>
                <w:i w:val="0"/>
                <w:color w:val="5A5A5A"/>
                <w:sz w:val="18"/>
              </w:rPr>
              <w:t>#pregnancy  #maternal  #fetaldevelopment  #screening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Postpartum</w:t>
            </w:r>
          </w:p>
        </w:tc>
        <w:tc>
          <w:tcPr>
            <w:tcW w:type="dxa" w:w="2160"/>
            <w:vAlign w:val="top"/>
          </w:tcPr>
          <w:p>
            <w:pPr>
              <w:spacing w:after="40" w:before="0" w:line="259" w:lineRule="auto"/>
            </w:pPr>
            <w:r>
              <w:rPr>
                <w:rFonts w:ascii="Calibri" w:hAnsi="Calibri"/>
                <w:b w:val="0"/>
                <w:i w:val="0"/>
                <w:color w:val="212121"/>
                <w:sz w:val="19"/>
              </w:rPr>
              <w:t>Postpartum women (first year after delivery)</w:t>
            </w:r>
          </w:p>
        </w:tc>
        <w:tc>
          <w:tcPr>
            <w:tcW w:type="dxa" w:w="4276"/>
            <w:vAlign w:val="top"/>
          </w:tcPr>
          <w:p>
            <w:pPr>
              <w:spacing w:after="60" w:line="259" w:lineRule="auto"/>
            </w:pPr>
            <w:r>
              <w:rPr>
                <w:rFonts w:ascii="Calibri" w:hAnsi="Calibri"/>
                <w:b w:val="0"/>
                <w:i w:val="0"/>
                <w:color w:val="212121"/>
                <w:sz w:val="19"/>
              </w:rPr>
              <w:t>Postpartum thyroiditis is an autoimmune, usually transient disorder in the year after delivery, often passing through a thyrotoxic then hypothyroid phase; a proportion progress to permanent hypothyroidism.</w:t>
            </w:r>
          </w:p>
          <w:p>
            <w:pPr>
              <w:spacing w:after="40" w:before="60" w:line="259" w:lineRule="auto"/>
            </w:pPr>
            <w:r>
              <w:rPr>
                <w:rFonts w:ascii="Calibri" w:hAnsi="Calibri"/>
                <w:b w:val="0"/>
                <w:i w:val="0"/>
                <w:color w:val="212121"/>
                <w:sz w:val="19"/>
              </w:rPr>
              <w:t>Postpartum thyroiditis affects roughly 3–8% of pregnancies and is strongly linked to pre-existing anti-thyroid antibodies.</w:t>
            </w:r>
          </w:p>
          <w:p>
            <w:pPr>
              <w:spacing w:after="40" w:line="252" w:lineRule="auto"/>
            </w:pPr>
            <w:hyperlink r:id="rId15">
              <w:r>
                <w:rPr>
                  <w:rFonts w:ascii="Calibri" w:hAnsi="Calibri" w:cs="Calibri"/>
                  <w:sz w:val="18"/>
                  <w:color w:val="1155CC"/>
                  <w:u w:val="single"/>
                </w:rPr>
                <w:t xml:space="preserve">ncbi.nlm.nih.gov — postpartum thyroiditis (Endotext)</w:t>
              </w:r>
            </w:hyperlink>
          </w:p>
          <w:p>
            <w:pPr>
              <w:spacing w:before="60" w:after="40"/>
            </w:pPr>
            <w:r>
              <w:rPr>
                <w:rFonts w:ascii="Calibri" w:hAnsi="Calibri"/>
                <w:b w:val="0"/>
                <w:i w:val="0"/>
                <w:color w:val="5A5A5A"/>
                <w:sz w:val="18"/>
              </w:rPr>
              <w:t>#postpartum  #thyroiditis  #autoimmune  #transient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Autoimmune disease</w:t>
            </w:r>
          </w:p>
        </w:tc>
        <w:tc>
          <w:tcPr>
            <w:tcW w:type="dxa" w:w="2160"/>
            <w:vAlign w:val="top"/>
          </w:tcPr>
          <w:p>
            <w:pPr>
              <w:spacing w:after="40" w:before="0" w:line="259" w:lineRule="auto"/>
            </w:pPr>
            <w:r>
              <w:rPr>
                <w:rFonts w:ascii="Calibri" w:hAnsi="Calibri"/>
                <w:b w:val="0"/>
                <w:i w:val="0"/>
                <w:color w:val="212121"/>
                <w:sz w:val="19"/>
              </w:rPr>
              <w:t>Patients with other autoimmune conditions</w:t>
            </w:r>
          </w:p>
        </w:tc>
        <w:tc>
          <w:tcPr>
            <w:tcW w:type="dxa" w:w="4276"/>
            <w:vAlign w:val="top"/>
          </w:tcPr>
          <w:p>
            <w:pPr>
              <w:spacing w:after="60" w:line="259" w:lineRule="auto"/>
            </w:pPr>
            <w:r>
              <w:rPr>
                <w:rFonts w:ascii="Calibri" w:hAnsi="Calibri"/>
                <w:b w:val="0"/>
                <w:i w:val="0"/>
                <w:color w:val="212121"/>
                <w:sz w:val="19"/>
              </w:rPr>
              <w:t>Autoimmune hypothyroidism co-occurs with type 1 diabetes, coeliac disease, vitiligo, pernicious anaemia, rheumatoid arthritis and Addison's disease as part of polyglandular autoimmunity.</w:t>
            </w:r>
          </w:p>
          <w:p>
            <w:pPr>
              <w:spacing w:after="40" w:before="60" w:line="259" w:lineRule="auto"/>
            </w:pPr>
            <w:r>
              <w:rPr>
                <w:rFonts w:ascii="Calibri" w:hAnsi="Calibri"/>
                <w:b w:val="0"/>
                <w:i w:val="0"/>
                <w:color w:val="212121"/>
                <w:sz w:val="19"/>
              </w:rPr>
              <w:t>Hashimoto's thyroiditis frequently clusters with other organ-specific autoimmune diseases, warranting a low threshold for thyroid testing.</w:t>
            </w:r>
          </w:p>
          <w:p>
            <w:pPr>
              <w:spacing w:before="60" w:after="40"/>
            </w:pPr>
            <w:r>
              <w:rPr>
                <w:rFonts w:ascii="Calibri" w:hAnsi="Calibri"/>
                <w:b w:val="0"/>
                <w:i w:val="0"/>
                <w:color w:val="5A5A5A"/>
                <w:sz w:val="18"/>
              </w:rPr>
              <w:t>#autoimmunity  #T1DM  #coeliac  #vitiligo  #polyglandular</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Inactivity does not cause hypothyroidism but the low metabolic rate promotes weight gain, dyslipidaemia and deconditioning; regular activity improves weight, lipids, mood and fatigue in treated patients.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Dietary iodine is the key modifiable factor: both deficiency and excess impair hormone synthesis, and goitrogens (soy, cruciferous vegetables, cassava, millet) and selenium status further modulate thyroid function.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Hypothyroidism causes daytime somnolence and fatigue and is associated with obstructive sleep apnoea via myxoedematous soft-tissue changes; poor sleep worsens the symptom burden.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thiocyanate is a goitrogen that impairs iodide uptake, and smoking modulates thyroid autoimmunity and markedly worsens associated thyroid eye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heavy alcohol use can reduce thyroid volume and blunt hormone output and complicates hormone metabolism, but moderate intake has limited direct effect.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Hypothyroidism commonly causes low mood, poor concentration and depression, and the relationship is bidirectional; symptoms often improve with adequate hormone replacement.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Relevance is mainly through iodine content of water and salt in a region; hydration itself has little direct effect on thyroid function.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and coffee taken with levothyroxine can reduce its absorption, so timing matters, but caffeine does not cause hypothyroidism.</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Pregnancy and the postpartum period, drugs (amiodarone, lithium, tyrosine-kinase inhibitors, interferon), radioiodine or neck surgery/radiation, and large iodine loads can precipitate or unmask hypothyroidism.</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Urinary iodine concentration (population median)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100–199 µg/L (adequate)</w:t>
            </w:r>
          </w:p>
        </w:tc>
        <w:tc>
          <w:tcPr>
            <w:tcW w:type="dxa" w:w="1512"/>
            <w:vAlign w:val="top"/>
          </w:tcPr>
          <w:p>
            <w:pPr>
              <w:spacing w:after="40" w:before="0" w:line="259" w:lineRule="auto"/>
            </w:pPr>
            <w:r>
              <w:rPr>
                <w:rFonts w:ascii="Calibri" w:hAnsi="Calibri"/>
                <w:b w:val="0"/>
                <w:i w:val="0"/>
                <w:color w:val="212121"/>
                <w:sz w:val="19"/>
              </w:rPr>
              <w:t>&lt; 100 µg/L (deficient); &gt; 300 µg/L (excess)</w:t>
            </w:r>
          </w:p>
        </w:tc>
        <w:tc>
          <w:tcPr>
            <w:tcW w:type="dxa" w:w="1468"/>
            <w:vAlign w:val="top"/>
          </w:tcPr>
          <w:p>
            <w:pPr>
              <w:spacing w:after="60" w:line="259" w:lineRule="auto"/>
            </w:pPr>
            <w:r>
              <w:rPr>
                <w:rFonts w:ascii="Calibri" w:hAnsi="Calibri"/>
                <w:b w:val="0"/>
                <w:i w:val="0"/>
                <w:color w:val="212121"/>
                <w:sz w:val="19"/>
              </w:rPr>
              <w:t>Population marker of iodine nutrition; both deficiency and excess can cause hypothyroidism</w:t>
            </w:r>
          </w:p>
          <w:p>
            <w:pPr>
              <w:spacing w:after="40" w:line="252" w:lineRule="auto"/>
            </w:pPr>
            <w:hyperlink r:id="rId12">
              <w:r>
                <w:rPr>
                  <w:rFonts w:ascii="Calibri" w:hAnsi="Calibri" w:cs="Calibri"/>
                  <w:sz w:val="18"/>
                  <w:color w:val="1155CC"/>
                  <w:u w:val="single"/>
                </w:rPr>
                <w:t xml:space="preserve">https://www.nutritionintl.org/wp-content/uploads/2021/06/India-Iodine-Survey-2018-19-final-report.pdf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iodine intake (µg/day)</w:t>
            </w:r>
          </w:p>
        </w:tc>
        <w:tc>
          <w:tcPr>
            <w:tcW w:type="dxa" w:w="1655"/>
            <w:vAlign w:val="top"/>
          </w:tcPr>
          <w:p>
            <w:pPr>
              <w:spacing w:after="40" w:before="0" w:line="259" w:lineRule="auto"/>
            </w:pPr>
            <w:r>
              <w:rPr>
                <w:rFonts w:ascii="Calibri" w:hAnsi="Calibri"/>
                <w:b w:val="0"/>
                <w:i w:val="0"/>
                <w:color w:val="212121"/>
                <w:sz w:val="19"/>
              </w:rPr>
              <w:t>Adults; pregnant/lactating women</w:t>
            </w:r>
          </w:p>
        </w:tc>
        <w:tc>
          <w:tcPr>
            <w:tcW w:type="dxa" w:w="1512"/>
            <w:vAlign w:val="top"/>
          </w:tcPr>
          <w:p>
            <w:pPr>
              <w:spacing w:after="40" w:before="0" w:line="259" w:lineRule="auto"/>
            </w:pPr>
            <w:r>
              <w:rPr>
                <w:rFonts w:ascii="Calibri" w:hAnsi="Calibri"/>
                <w:b w:val="0"/>
                <w:i w:val="0"/>
                <w:color w:val="212121"/>
                <w:sz w:val="19"/>
              </w:rPr>
              <w:t>150 µg/day (adults); 250 µg/day (pregnancy/lactation)</w:t>
            </w:r>
          </w:p>
        </w:tc>
        <w:tc>
          <w:tcPr>
            <w:tcW w:type="dxa" w:w="1512"/>
            <w:vAlign w:val="top"/>
          </w:tcPr>
          <w:p>
            <w:pPr>
              <w:spacing w:after="40" w:before="0" w:line="259" w:lineRule="auto"/>
            </w:pPr>
            <w:r>
              <w:rPr>
                <w:rFonts w:ascii="Calibri" w:hAnsi="Calibri"/>
                <w:b w:val="0"/>
                <w:i w:val="0"/>
                <w:color w:val="212121"/>
                <w:sz w:val="19"/>
              </w:rPr>
              <w:t>Chronically &lt; 100 µg/day</w:t>
            </w:r>
          </w:p>
        </w:tc>
        <w:tc>
          <w:tcPr>
            <w:tcW w:type="dxa" w:w="1468"/>
            <w:vAlign w:val="top"/>
          </w:tcPr>
          <w:p>
            <w:pPr>
              <w:spacing w:after="40" w:before="0" w:line="259" w:lineRule="auto"/>
            </w:pPr>
            <w:r>
              <w:rPr>
                <w:rFonts w:ascii="Calibri" w:hAnsi="Calibri"/>
                <w:b w:val="0"/>
                <w:i w:val="0"/>
                <w:color w:val="212121"/>
                <w:sz w:val="19"/>
              </w:rPr>
              <w:t>Iodised salt is the main source; requirements rise in pregnancy and lactation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TSH (mIU/L)</w:t>
            </w:r>
          </w:p>
        </w:tc>
        <w:tc>
          <w:tcPr>
            <w:tcW w:type="dxa" w:w="1655"/>
            <w:vAlign w:val="top"/>
          </w:tcPr>
          <w:p>
            <w:pPr>
              <w:spacing w:after="40" w:before="0" w:line="259" w:lineRule="auto"/>
            </w:pPr>
            <w:r>
              <w:rPr>
                <w:rFonts w:ascii="Calibri" w:hAnsi="Calibri"/>
                <w:b w:val="0"/>
                <w:i w:val="0"/>
                <w:color w:val="212121"/>
                <w:sz w:val="19"/>
              </w:rPr>
              <w:t>Adults, women, elderly</w:t>
            </w:r>
          </w:p>
        </w:tc>
        <w:tc>
          <w:tcPr>
            <w:tcW w:type="dxa" w:w="1512"/>
            <w:vAlign w:val="top"/>
          </w:tcPr>
          <w:p>
            <w:pPr>
              <w:spacing w:after="40" w:before="0" w:line="259" w:lineRule="auto"/>
            </w:pPr>
            <w:r>
              <w:rPr>
                <w:rFonts w:ascii="Calibri" w:hAnsi="Calibri"/>
                <w:b w:val="0"/>
                <w:i w:val="0"/>
                <w:color w:val="212121"/>
                <w:sz w:val="19"/>
              </w:rPr>
              <w:t>0.4–4.0 mIU/L</w:t>
            </w:r>
          </w:p>
        </w:tc>
        <w:tc>
          <w:tcPr>
            <w:tcW w:type="dxa" w:w="1512"/>
            <w:vAlign w:val="top"/>
          </w:tcPr>
          <w:p>
            <w:pPr>
              <w:spacing w:after="40" w:before="0" w:line="259" w:lineRule="auto"/>
            </w:pPr>
            <w:r>
              <w:rPr>
                <w:rFonts w:ascii="Calibri" w:hAnsi="Calibri"/>
                <w:b w:val="0"/>
                <w:i w:val="0"/>
                <w:color w:val="212121"/>
                <w:sz w:val="19"/>
              </w:rPr>
              <w:t>&gt; 4.5 mIU/L (raised); ≥ 10 mIU/L (overt-range)</w:t>
            </w:r>
          </w:p>
        </w:tc>
        <w:tc>
          <w:tcPr>
            <w:tcW w:type="dxa" w:w="1468"/>
            <w:vAlign w:val="top"/>
          </w:tcPr>
          <w:p>
            <w:pPr>
              <w:spacing w:after="40" w:before="0" w:line="259" w:lineRule="auto"/>
            </w:pPr>
            <w:r>
              <w:rPr>
                <w:rFonts w:ascii="Calibri" w:hAnsi="Calibri"/>
                <w:b w:val="0"/>
                <w:i w:val="0"/>
                <w:color w:val="212121"/>
                <w:sz w:val="19"/>
              </w:rPr>
              <w:t>Most sensitive screening test for primary hypothyroidism; confirm on repeat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Free T4 (ng/dL)</w:t>
            </w:r>
          </w:p>
        </w:tc>
        <w:tc>
          <w:tcPr>
            <w:tcW w:type="dxa" w:w="1655"/>
            <w:vAlign w:val="top"/>
          </w:tcPr>
          <w:p>
            <w:pPr>
              <w:spacing w:after="40" w:before="0" w:line="259" w:lineRule="auto"/>
            </w:pPr>
            <w:r>
              <w:rPr>
                <w:rFonts w:ascii="Calibri" w:hAnsi="Calibri"/>
                <w:b w:val="0"/>
                <w:i w:val="0"/>
                <w:color w:val="212121"/>
                <w:sz w:val="19"/>
              </w:rPr>
              <w:t>Adults with raised TSH</w:t>
            </w:r>
          </w:p>
        </w:tc>
        <w:tc>
          <w:tcPr>
            <w:tcW w:type="dxa" w:w="1512"/>
            <w:vAlign w:val="top"/>
          </w:tcPr>
          <w:p>
            <w:pPr>
              <w:spacing w:after="40" w:before="0" w:line="259" w:lineRule="auto"/>
            </w:pPr>
            <w:r>
              <w:rPr>
                <w:rFonts w:ascii="Calibri" w:hAnsi="Calibri"/>
                <w:b w:val="0"/>
                <w:i w:val="0"/>
                <w:color w:val="212121"/>
                <w:sz w:val="19"/>
              </w:rPr>
              <w:t>~0.8–1.8 ng/dL</w:t>
            </w:r>
          </w:p>
        </w:tc>
        <w:tc>
          <w:tcPr>
            <w:tcW w:type="dxa" w:w="1512"/>
            <w:vAlign w:val="top"/>
          </w:tcPr>
          <w:p>
            <w:pPr>
              <w:spacing w:after="40" w:before="0" w:line="259" w:lineRule="auto"/>
            </w:pPr>
            <w:r>
              <w:rPr>
                <w:rFonts w:ascii="Calibri" w:hAnsi="Calibri"/>
                <w:b w:val="0"/>
                <w:i w:val="0"/>
                <w:color w:val="212121"/>
                <w:sz w:val="19"/>
              </w:rPr>
              <w:t>Below reference range with high TSH</w:t>
            </w:r>
          </w:p>
        </w:tc>
        <w:tc>
          <w:tcPr>
            <w:tcW w:type="dxa" w:w="1468"/>
            <w:vAlign w:val="top"/>
          </w:tcPr>
          <w:p>
            <w:pPr>
              <w:spacing w:after="40" w:before="0" w:line="259" w:lineRule="auto"/>
            </w:pPr>
            <w:r>
              <w:rPr>
                <w:rFonts w:ascii="Calibri" w:hAnsi="Calibri"/>
                <w:b w:val="0"/>
                <w:i w:val="0"/>
                <w:color w:val="212121"/>
                <w:sz w:val="19"/>
              </w:rPr>
              <w:t>Low free T4 with high TSH defines overt primary hypothyroidism</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Anti-TPO antibodies (IU/mL)</w:t>
            </w:r>
          </w:p>
        </w:tc>
        <w:tc>
          <w:tcPr>
            <w:tcW w:type="dxa" w:w="1655"/>
            <w:vAlign w:val="top"/>
          </w:tcPr>
          <w:p>
            <w:pPr>
              <w:spacing w:after="40" w:before="0" w:line="259" w:lineRule="auto"/>
            </w:pPr>
            <w:r>
              <w:rPr>
                <w:rFonts w:ascii="Calibri" w:hAnsi="Calibri"/>
                <w:b w:val="0"/>
                <w:i w:val="0"/>
                <w:color w:val="212121"/>
                <w:sz w:val="19"/>
              </w:rPr>
              <w:t>Suspected autoimmune disease</w:t>
            </w:r>
          </w:p>
        </w:tc>
        <w:tc>
          <w:tcPr>
            <w:tcW w:type="dxa" w:w="1512"/>
            <w:vAlign w:val="top"/>
          </w:tcPr>
          <w:p>
            <w:pPr>
              <w:spacing w:after="40" w:before="0" w:line="259" w:lineRule="auto"/>
            </w:pPr>
            <w:r>
              <w:rPr>
                <w:rFonts w:ascii="Calibri" w:hAnsi="Calibri"/>
                <w:b w:val="0"/>
                <w:i w:val="0"/>
                <w:color w:val="212121"/>
                <w:sz w:val="19"/>
              </w:rPr>
              <w:t>Negative / &lt; ~35 IU/mL</w:t>
            </w:r>
          </w:p>
        </w:tc>
        <w:tc>
          <w:tcPr>
            <w:tcW w:type="dxa" w:w="1512"/>
            <w:vAlign w:val="top"/>
          </w:tcPr>
          <w:p>
            <w:pPr>
              <w:spacing w:after="40" w:before="0" w:line="259" w:lineRule="auto"/>
            </w:pPr>
            <w:r>
              <w:rPr>
                <w:rFonts w:ascii="Calibri" w:hAnsi="Calibri"/>
                <w:b w:val="0"/>
                <w:i w:val="0"/>
                <w:color w:val="212121"/>
                <w:sz w:val="19"/>
              </w:rPr>
              <w:t>Elevated (positive)</w:t>
            </w:r>
          </w:p>
        </w:tc>
        <w:tc>
          <w:tcPr>
            <w:tcW w:type="dxa" w:w="1468"/>
            <w:vAlign w:val="top"/>
          </w:tcPr>
          <w:p>
            <w:pPr>
              <w:spacing w:after="60" w:line="259" w:lineRule="auto"/>
            </w:pPr>
            <w:r>
              <w:rPr>
                <w:rFonts w:ascii="Calibri" w:hAnsi="Calibri"/>
                <w:b w:val="0"/>
                <w:i w:val="0"/>
                <w:color w:val="212121"/>
                <w:sz w:val="19"/>
              </w:rPr>
              <w:t>Confirms Hashimoto's; positive in about 21.85% of adults in the 8-city Indian study</w:t>
            </w:r>
          </w:p>
          <w:p>
            <w:pPr>
              <w:spacing w:after="40" w:line="252" w:lineRule="auto"/>
            </w:pPr>
            <w:hyperlink r:id="rId9">
              <w:r>
                <w:rPr>
                  <w:rFonts w:ascii="Calibri" w:hAnsi="Calibri" w:cs="Calibri"/>
                  <w:sz w:val="18"/>
                  <w:color w:val="1155CC"/>
                  <w:u w:val="single"/>
                </w:rPr>
                <w:t xml:space="preserve">https://pubmed.ncbi.nlm.nih.gov/23961480/</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 (Asian-Indian cut-off)</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Hypothyroidism promotes weight gain; higher BMI is linked to higher TSH</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Aerobic activity (minutes/week)</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 150 min/week moderate activity</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Improves weight, lipids, mood and fatigue in treated hypothyroidism</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LDL / total cholesterol (mg/dL)</w:t>
            </w:r>
          </w:p>
        </w:tc>
        <w:tc>
          <w:tcPr>
            <w:tcW w:type="dxa" w:w="1655"/>
            <w:vAlign w:val="top"/>
          </w:tcPr>
          <w:p>
            <w:pPr>
              <w:spacing w:after="40" w:before="0" w:line="259" w:lineRule="auto"/>
            </w:pPr>
            <w:r>
              <w:rPr>
                <w:rFonts w:ascii="Calibri" w:hAnsi="Calibri"/>
                <w:b w:val="0"/>
                <w:i w:val="0"/>
                <w:color w:val="212121"/>
                <w:sz w:val="19"/>
              </w:rPr>
              <w:t>Hypothyroid adults</w:t>
            </w:r>
          </w:p>
        </w:tc>
        <w:tc>
          <w:tcPr>
            <w:tcW w:type="dxa" w:w="1512"/>
            <w:vAlign w:val="top"/>
          </w:tcPr>
          <w:p>
            <w:pPr>
              <w:spacing w:after="40" w:before="0" w:line="259" w:lineRule="auto"/>
            </w:pPr>
            <w:r>
              <w:rPr>
                <w:rFonts w:ascii="Calibri" w:hAnsi="Calibri"/>
                <w:b w:val="0"/>
                <w:i w:val="0"/>
                <w:color w:val="212121"/>
                <w:sz w:val="19"/>
              </w:rPr>
              <w:t>LDL &lt; 100 mg/dL</w:t>
            </w:r>
          </w:p>
        </w:tc>
        <w:tc>
          <w:tcPr>
            <w:tcW w:type="dxa" w:w="1512"/>
            <w:vAlign w:val="top"/>
          </w:tcPr>
          <w:p>
            <w:pPr>
              <w:spacing w:after="40" w:before="0" w:line="259" w:lineRule="auto"/>
            </w:pPr>
            <w:r>
              <w:rPr>
                <w:rFonts w:ascii="Calibri" w:hAnsi="Calibri"/>
                <w:b w:val="0"/>
                <w:i w:val="0"/>
                <w:color w:val="212121"/>
                <w:sz w:val="19"/>
              </w:rPr>
              <w:t>Rising LDL/total cholesterol</w:t>
            </w:r>
          </w:p>
        </w:tc>
        <w:tc>
          <w:tcPr>
            <w:tcW w:type="dxa" w:w="1468"/>
            <w:vAlign w:val="top"/>
          </w:tcPr>
          <w:p>
            <w:pPr>
              <w:spacing w:after="40" w:before="0" w:line="259" w:lineRule="auto"/>
            </w:pPr>
            <w:r>
              <w:rPr>
                <w:rFonts w:ascii="Calibri" w:hAnsi="Calibri"/>
                <w:b w:val="0"/>
                <w:i w:val="0"/>
                <w:color w:val="212121"/>
                <w:sz w:val="19"/>
              </w:rPr>
              <w:t>Hypothyroidism raises LDL and total cholesterol; often improves with treatment</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Excessive daytime somnolence; suspected sleep apnoea</w:t>
            </w:r>
          </w:p>
        </w:tc>
        <w:tc>
          <w:tcPr>
            <w:tcW w:type="dxa" w:w="1468"/>
            <w:vAlign w:val="top"/>
          </w:tcPr>
          <w:p>
            <w:pPr>
              <w:spacing w:after="40" w:before="0" w:line="259" w:lineRule="auto"/>
            </w:pPr>
            <w:r>
              <w:rPr>
                <w:rFonts w:ascii="Calibri" w:hAnsi="Calibri"/>
                <w:b w:val="0"/>
                <w:i w:val="0"/>
                <w:color w:val="212121"/>
                <w:sz w:val="19"/>
              </w:rPr>
              <w:t>Hypothyroidism causes fatigue and is associated with obstructive sleep apnoea</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Tobacco thiocyanate is a goitrogen and worsens thyroid eye disease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14 units/week (lower is better)</w:t>
            </w:r>
          </w:p>
        </w:tc>
        <w:tc>
          <w:tcPr>
            <w:tcW w:type="dxa" w:w="1512"/>
            <w:vAlign w:val="top"/>
          </w:tcPr>
          <w:p>
            <w:pPr>
              <w:spacing w:after="40" w:before="0" w:line="259" w:lineRule="auto"/>
            </w:pPr>
            <w:r>
              <w:rPr>
                <w:rFonts w:ascii="Calibri" w:hAnsi="Calibri"/>
                <w:b w:val="0"/>
                <w:i w:val="0"/>
                <w:color w:val="212121"/>
                <w:sz w:val="19"/>
              </w:rPr>
              <w:t>Heavy chronic intake</w:t>
            </w:r>
          </w:p>
        </w:tc>
        <w:tc>
          <w:tcPr>
            <w:tcW w:type="dxa" w:w="1468"/>
            <w:vAlign w:val="top"/>
          </w:tcPr>
          <w:p>
            <w:pPr>
              <w:spacing w:after="40" w:before="0" w:line="259" w:lineRule="auto"/>
            </w:pPr>
            <w:r>
              <w:rPr>
                <w:rFonts w:ascii="Calibri" w:hAnsi="Calibri"/>
                <w:b w:val="0"/>
                <w:i w:val="0"/>
                <w:color w:val="212121"/>
                <w:sz w:val="19"/>
              </w:rPr>
              <w:t>Heavy use reduces thyroid volume and complicates hormone metabolism</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&gt; 4.5 mIU/L (raised); ≥ 10 mIU/L overt-range</w:t>
            </w:r>
          </w:p>
        </w:tc>
        <w:tc>
          <w:tcPr>
            <w:tcW w:type="dxa" w:w="1036"/>
            <w:vAlign w:val="top"/>
          </w:tcPr>
          <w:p>
            <w:pPr>
              <w:spacing w:after="40" w:before="0" w:line="259" w:lineRule="auto"/>
            </w:pPr>
            <w:r>
              <w:rPr>
                <w:rFonts w:ascii="Calibri" w:hAnsi="Calibri"/>
                <w:b w:val="0"/>
                <w:i w:val="0"/>
                <w:color w:val="212121"/>
                <w:sz w:val="16"/>
              </w:rPr>
              <w:t>Most sensitive screen; raised TSH indicates primary hypothyroidism</w:t>
            </w:r>
          </w:p>
        </w:tc>
        <w:tc>
          <w:tcPr>
            <w:tcW w:type="dxa" w:w="1036"/>
            <w:vAlign w:val="top"/>
          </w:tcPr>
          <w:p>
            <w:pPr>
              <w:spacing w:after="40" w:before="0" w:line="259" w:lineRule="auto"/>
            </w:pPr>
            <w:r>
              <w:rPr>
                <w:rFonts w:ascii="Calibri" w:hAnsi="Calibri"/>
                <w:b w:val="0"/>
                <w:i w:val="0"/>
                <w:color w:val="212121"/>
                <w:sz w:val="16"/>
              </w:rPr>
              <w:t>Women, elderly, pregnant women, T2DM patients</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Gold standard / first-line</w:t>
            </w:r>
          </w:p>
        </w:tc>
        <w:tc>
          <w:tcPr>
            <w:tcW w:type="dxa" w:w="720"/>
            <w:vAlign w:val="top"/>
          </w:tcPr>
          <w:p>
            <w:pPr>
              <w:spacing w:after="40" w:before="0" w:line="259" w:lineRule="auto"/>
            </w:pPr>
            <w:r>
              <w:rPr>
                <w:rFonts w:ascii="Calibri" w:hAnsi="Calibri"/>
                <w:b w:val="0"/>
                <w:i w:val="0"/>
                <w:color w:val="212121"/>
                <w:sz w:val="16"/>
              </w:rPr>
              <w:t>Confirm on a repeat sample; use trimester-specific ranges in pregnancy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Free Thyroxine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~0.8–1.8 ng/dL</w:t>
            </w:r>
          </w:p>
        </w:tc>
        <w:tc>
          <w:tcPr>
            <w:tcW w:type="dxa" w:w="950"/>
            <w:vAlign w:val="top"/>
          </w:tcPr>
          <w:p>
            <w:pPr>
              <w:spacing w:after="40" w:before="0" w:line="259" w:lineRule="auto"/>
            </w:pPr>
            <w:r>
              <w:rPr>
                <w:rFonts w:ascii="Calibri" w:hAnsi="Calibri"/>
                <w:b w:val="0"/>
                <w:i w:val="0"/>
                <w:color w:val="212121"/>
                <w:sz w:val="16"/>
              </w:rPr>
              <w:t>Low with high TSH</w:t>
            </w:r>
          </w:p>
        </w:tc>
        <w:tc>
          <w:tcPr>
            <w:tcW w:type="dxa" w:w="1036"/>
            <w:vAlign w:val="top"/>
          </w:tcPr>
          <w:p>
            <w:pPr>
              <w:spacing w:after="40" w:before="0" w:line="259" w:lineRule="auto"/>
            </w:pPr>
            <w:r>
              <w:rPr>
                <w:rFonts w:ascii="Calibri" w:hAnsi="Calibri"/>
                <w:b w:val="0"/>
                <w:i w:val="0"/>
                <w:color w:val="212121"/>
                <w:sz w:val="16"/>
              </w:rPr>
              <w:t>Distinguishes overt (low FT4) from subclinical (normal FT4) hypothyroidism</w:t>
            </w:r>
          </w:p>
        </w:tc>
        <w:tc>
          <w:tcPr>
            <w:tcW w:type="dxa" w:w="1036"/>
            <w:vAlign w:val="top"/>
          </w:tcPr>
          <w:p>
            <w:pPr>
              <w:spacing w:after="40" w:before="0" w:line="259" w:lineRule="auto"/>
            </w:pPr>
            <w:r>
              <w:rPr>
                <w:rFonts w:ascii="Calibri" w:hAnsi="Calibri"/>
                <w:b w:val="0"/>
                <w:i w:val="0"/>
                <w:color w:val="212121"/>
                <w:sz w:val="16"/>
              </w:rPr>
              <w:t>Adults with raised TSH</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Low FT4 with low/normal TSH suggests central hypothyroidism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Free Triiodothyronine (Free T3)</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~2.3–4.2 pg/mL</w:t>
            </w:r>
          </w:p>
        </w:tc>
        <w:tc>
          <w:tcPr>
            <w:tcW w:type="dxa" w:w="950"/>
            <w:vAlign w:val="top"/>
          </w:tcPr>
          <w:p>
            <w:pPr>
              <w:spacing w:after="40" w:before="0" w:line="259" w:lineRule="auto"/>
            </w:pPr>
            <w:r>
              <w:rPr>
                <w:rFonts w:ascii="Calibri" w:hAnsi="Calibri"/>
                <w:b w:val="0"/>
                <w:i w:val="0"/>
                <w:color w:val="212121"/>
                <w:sz w:val="16"/>
              </w:rPr>
              <w:t>Low in severe disease</w:t>
            </w:r>
          </w:p>
        </w:tc>
        <w:tc>
          <w:tcPr>
            <w:tcW w:type="dxa" w:w="1036"/>
            <w:vAlign w:val="top"/>
          </w:tcPr>
          <w:p>
            <w:pPr>
              <w:spacing w:after="40" w:before="0" w:line="259" w:lineRule="auto"/>
            </w:pPr>
            <w:r>
              <w:rPr>
                <w:rFonts w:ascii="Calibri" w:hAnsi="Calibri"/>
                <w:b w:val="0"/>
                <w:i w:val="0"/>
                <w:color w:val="212121"/>
                <w:sz w:val="16"/>
              </w:rPr>
              <w:t>Preserved until late; not needed to diagnose primary hypothyroidism</w:t>
            </w:r>
          </w:p>
        </w:tc>
        <w:tc>
          <w:tcPr>
            <w:tcW w:type="dxa" w:w="1036"/>
            <w:vAlign w:val="top"/>
          </w:tcPr>
          <w:p>
            <w:pPr>
              <w:spacing w:after="40" w:before="0" w:line="259" w:lineRule="auto"/>
            </w:pPr>
            <w:r>
              <w:rPr>
                <w:rFonts w:ascii="Calibri" w:hAnsi="Calibri"/>
                <w:b w:val="0"/>
                <w:i w:val="0"/>
                <w:color w:val="212121"/>
                <w:sz w:val="16"/>
              </w:rPr>
              <w:t>Selected/severe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Low in non-thyroidal illness (sick euthyroid) — interpret with caution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Anti-TPO antibodies</w:t>
            </w:r>
          </w:p>
        </w:tc>
        <w:tc>
          <w:tcPr>
            <w:tcW w:type="dxa" w:w="892"/>
            <w:vAlign w:val="top"/>
          </w:tcPr>
          <w:p>
            <w:pPr>
              <w:spacing w:after="40" w:before="0" w:line="259" w:lineRule="auto"/>
            </w:pPr>
            <w:r>
              <w:rPr>
                <w:rFonts w:ascii="Calibri" w:hAnsi="Calibri"/>
                <w:b w:val="0"/>
                <w:i w:val="0"/>
                <w:color w:val="212121"/>
                <w:sz w:val="16"/>
              </w:rPr>
              <w:t>Thyroid Autoantibody Test</w:t>
            </w:r>
          </w:p>
        </w:tc>
        <w:tc>
          <w:tcPr>
            <w:tcW w:type="dxa" w:w="950"/>
            <w:vAlign w:val="top"/>
          </w:tcPr>
          <w:p>
            <w:pPr>
              <w:spacing w:after="40" w:before="0" w:line="259" w:lineRule="auto"/>
            </w:pPr>
            <w:r>
              <w:rPr>
                <w:rFonts w:ascii="Calibri" w:hAnsi="Calibri"/>
                <w:b w:val="0"/>
                <w:i w:val="0"/>
                <w:color w:val="212121"/>
                <w:sz w:val="16"/>
              </w:rPr>
              <w:t>Negative / &lt; ~35 IU/mL</w:t>
            </w:r>
          </w:p>
        </w:tc>
        <w:tc>
          <w:tcPr>
            <w:tcW w:type="dxa" w:w="950"/>
            <w:vAlign w:val="top"/>
          </w:tcPr>
          <w:p>
            <w:pPr>
              <w:spacing w:after="40" w:before="0" w:line="259" w:lineRule="auto"/>
            </w:pPr>
            <w:r>
              <w:rPr>
                <w:rFonts w:ascii="Calibri" w:hAnsi="Calibri"/>
                <w:b w:val="0"/>
                <w:i w:val="0"/>
                <w:color w:val="212121"/>
                <w:sz w:val="16"/>
              </w:rPr>
              <w:t>Elevated (positive)</w:t>
            </w:r>
          </w:p>
        </w:tc>
        <w:tc>
          <w:tcPr>
            <w:tcW w:type="dxa" w:w="1036"/>
            <w:vAlign w:val="top"/>
          </w:tcPr>
          <w:p>
            <w:pPr>
              <w:spacing w:after="40" w:before="0" w:line="259" w:lineRule="auto"/>
            </w:pPr>
            <w:r>
              <w:rPr>
                <w:rFonts w:ascii="Calibri" w:hAnsi="Calibri"/>
                <w:b w:val="0"/>
                <w:i w:val="0"/>
                <w:color w:val="212121"/>
                <w:sz w:val="16"/>
              </w:rPr>
              <w:t>Confirms autoimmune (Hashimoto's) aetiology; predicts progression</w:t>
            </w:r>
          </w:p>
        </w:tc>
        <w:tc>
          <w:tcPr>
            <w:tcW w:type="dxa" w:w="1036"/>
            <w:vAlign w:val="top"/>
          </w:tcPr>
          <w:p>
            <w:pPr>
              <w:spacing w:after="40" w:before="0" w:line="259" w:lineRule="auto"/>
            </w:pPr>
            <w:r>
              <w:rPr>
                <w:rFonts w:ascii="Calibri" w:hAnsi="Calibri"/>
                <w:b w:val="0"/>
                <w:i w:val="0"/>
                <w:color w:val="212121"/>
                <w:sz w:val="16"/>
              </w:rPr>
              <w:t>Women, family history of autoimmunity, subclinical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 / prognostic</w:t>
            </w:r>
          </w:p>
        </w:tc>
        <w:tc>
          <w:tcPr>
            <w:tcW w:type="dxa" w:w="720"/>
            <w:vAlign w:val="top"/>
          </w:tcPr>
          <w:p>
            <w:pPr>
              <w:spacing w:after="40" w:before="0" w:line="259" w:lineRule="auto"/>
            </w:pPr>
            <w:r>
              <w:rPr>
                <w:rFonts w:ascii="Calibri" w:hAnsi="Calibri"/>
                <w:b w:val="0"/>
                <w:i w:val="0"/>
                <w:color w:val="212121"/>
                <w:sz w:val="16"/>
              </w:rPr>
              <w:t>Positive in ~21.85% of adults in the Indian 8-city study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LDL &lt; 100 mg/dL</w:t>
            </w:r>
          </w:p>
        </w:tc>
        <w:tc>
          <w:tcPr>
            <w:tcW w:type="dxa" w:w="950"/>
            <w:vAlign w:val="top"/>
          </w:tcPr>
          <w:p>
            <w:pPr>
              <w:spacing w:after="40" w:before="0" w:line="259" w:lineRule="auto"/>
            </w:pPr>
            <w:r>
              <w:rPr>
                <w:rFonts w:ascii="Calibri" w:hAnsi="Calibri"/>
                <w:b w:val="0"/>
                <w:i w:val="0"/>
                <w:color w:val="212121"/>
                <w:sz w:val="16"/>
              </w:rPr>
              <w:t>Raised LDL / total cholesterol</w:t>
            </w:r>
          </w:p>
        </w:tc>
        <w:tc>
          <w:tcPr>
            <w:tcW w:type="dxa" w:w="1036"/>
            <w:vAlign w:val="top"/>
          </w:tcPr>
          <w:p>
            <w:pPr>
              <w:spacing w:after="40" w:before="0" w:line="259" w:lineRule="auto"/>
            </w:pPr>
            <w:r>
              <w:rPr>
                <w:rFonts w:ascii="Calibri" w:hAnsi="Calibri"/>
                <w:b w:val="0"/>
                <w:i w:val="0"/>
                <w:color w:val="212121"/>
                <w:sz w:val="16"/>
              </w:rPr>
              <w:t>Hypothyroidism causes reversible hypercholesterolaemia</w:t>
            </w:r>
          </w:p>
        </w:tc>
        <w:tc>
          <w:tcPr>
            <w:tcW w:type="dxa" w:w="1036"/>
            <w:vAlign w:val="top"/>
          </w:tcPr>
          <w:p>
            <w:pPr>
              <w:spacing w:after="40" w:before="0" w:line="259" w:lineRule="auto"/>
            </w:pPr>
            <w:r>
              <w:rPr>
                <w:rFonts w:ascii="Calibri" w:hAnsi="Calibri"/>
                <w:b w:val="0"/>
                <w:i w:val="0"/>
                <w:color w:val="212121"/>
                <w:sz w:val="16"/>
              </w:rPr>
              <w:t>Adults with hypothyroidism, cardiovascular risk</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Often improves after adequate replacement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Hb within reference range</w:t>
            </w:r>
          </w:p>
        </w:tc>
        <w:tc>
          <w:tcPr>
            <w:tcW w:type="dxa" w:w="950"/>
            <w:vAlign w:val="top"/>
          </w:tcPr>
          <w:p>
            <w:pPr>
              <w:spacing w:after="40" w:before="0" w:line="259" w:lineRule="auto"/>
            </w:pPr>
            <w:r>
              <w:rPr>
                <w:rFonts w:ascii="Calibri" w:hAnsi="Calibri"/>
                <w:b w:val="0"/>
                <w:i w:val="0"/>
                <w:color w:val="212121"/>
                <w:sz w:val="16"/>
              </w:rPr>
              <w:t>Anaemia (macrocytic or normocytic)</w:t>
            </w:r>
          </w:p>
        </w:tc>
        <w:tc>
          <w:tcPr>
            <w:tcW w:type="dxa" w:w="1036"/>
            <w:vAlign w:val="top"/>
          </w:tcPr>
          <w:p>
            <w:pPr>
              <w:spacing w:after="40" w:before="0" w:line="259" w:lineRule="auto"/>
            </w:pPr>
            <w:r>
              <w:rPr>
                <w:rFonts w:ascii="Calibri" w:hAnsi="Calibri"/>
                <w:b w:val="0"/>
                <w:i w:val="0"/>
                <w:color w:val="212121"/>
                <w:sz w:val="16"/>
              </w:rPr>
              <w:t>Hypothyroidism causes anaemia; macrocytosis may signal coexisting pernicious anaemia</w:t>
            </w:r>
          </w:p>
        </w:tc>
        <w:tc>
          <w:tcPr>
            <w:tcW w:type="dxa" w:w="1036"/>
            <w:vAlign w:val="top"/>
          </w:tcPr>
          <w:p>
            <w:pPr>
              <w:spacing w:after="40" w:before="0" w:line="259" w:lineRule="auto"/>
            </w:pPr>
            <w:r>
              <w:rPr>
                <w:rFonts w:ascii="Calibri" w:hAnsi="Calibri"/>
                <w:b w:val="0"/>
                <w:i w:val="0"/>
                <w:color w:val="212121"/>
                <w:sz w:val="16"/>
              </w:rPr>
              <w:t>Fatigued patients,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Check B12/folate if macrocytic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Thyroid ultrasound</w:t>
            </w:r>
          </w:p>
        </w:tc>
        <w:tc>
          <w:tcPr>
            <w:tcW w:type="dxa" w:w="892"/>
            <w:vAlign w:val="top"/>
          </w:tcPr>
          <w:p>
            <w:pPr>
              <w:spacing w:after="40" w:before="0" w:line="259" w:lineRule="auto"/>
            </w:pPr>
            <w:r>
              <w:rPr>
                <w:rFonts w:ascii="Calibri" w:hAnsi="Calibri"/>
                <w:b w:val="0"/>
                <w:i w:val="0"/>
                <w:color w:val="212121"/>
                <w:sz w:val="16"/>
              </w:rPr>
              <w:t>Ultrasonography</w:t>
            </w:r>
          </w:p>
        </w:tc>
        <w:tc>
          <w:tcPr>
            <w:tcW w:type="dxa" w:w="950"/>
            <w:vAlign w:val="top"/>
          </w:tcPr>
          <w:p>
            <w:pPr>
              <w:spacing w:after="40" w:before="0" w:line="259" w:lineRule="auto"/>
            </w:pPr>
            <w:r>
              <w:rPr>
                <w:rFonts w:ascii="Calibri" w:hAnsi="Calibri"/>
                <w:b w:val="0"/>
                <w:i w:val="0"/>
                <w:color w:val="212121"/>
                <w:sz w:val="16"/>
              </w:rPr>
              <w:t>Normal echotexture, no nodule</w:t>
            </w:r>
          </w:p>
        </w:tc>
        <w:tc>
          <w:tcPr>
            <w:tcW w:type="dxa" w:w="950"/>
            <w:vAlign w:val="top"/>
          </w:tcPr>
          <w:p>
            <w:pPr>
              <w:spacing w:after="40" w:before="0" w:line="259" w:lineRule="auto"/>
            </w:pPr>
            <w:r>
              <w:rPr>
                <w:rFonts w:ascii="Calibri" w:hAnsi="Calibri"/>
                <w:b w:val="0"/>
                <w:i w:val="0"/>
                <w:color w:val="212121"/>
                <w:sz w:val="16"/>
              </w:rPr>
              <w:t>Heterogeneous gland; nodules</w:t>
            </w:r>
          </w:p>
        </w:tc>
        <w:tc>
          <w:tcPr>
            <w:tcW w:type="dxa" w:w="1036"/>
            <w:vAlign w:val="top"/>
          </w:tcPr>
          <w:p>
            <w:pPr>
              <w:spacing w:after="40" w:before="0" w:line="259" w:lineRule="auto"/>
            </w:pPr>
            <w:r>
              <w:rPr>
                <w:rFonts w:ascii="Calibri" w:hAnsi="Calibri"/>
                <w:b w:val="0"/>
                <w:i w:val="0"/>
                <w:color w:val="212121"/>
                <w:sz w:val="16"/>
              </w:rPr>
              <w:t>Shows Hashimoto's changes and characterises goitre/nodules</w:t>
            </w:r>
          </w:p>
        </w:tc>
        <w:tc>
          <w:tcPr>
            <w:tcW w:type="dxa" w:w="1036"/>
            <w:vAlign w:val="top"/>
          </w:tcPr>
          <w:p>
            <w:pPr>
              <w:spacing w:after="40" w:before="0" w:line="259" w:lineRule="auto"/>
            </w:pPr>
            <w:r>
              <w:rPr>
                <w:rFonts w:ascii="Calibri" w:hAnsi="Calibri"/>
                <w:b w:val="0"/>
                <w:i w:val="0"/>
                <w:color w:val="212121"/>
                <w:sz w:val="16"/>
              </w:rPr>
              <w:t>Palpable goitre or nodule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required for uncomplicated biochemical hypothyroidism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Test</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Impaired glucose / diabetes range</w:t>
            </w:r>
          </w:p>
        </w:tc>
        <w:tc>
          <w:tcPr>
            <w:tcW w:type="dxa" w:w="1036"/>
            <w:vAlign w:val="top"/>
          </w:tcPr>
          <w:p>
            <w:pPr>
              <w:spacing w:after="40" w:before="0" w:line="259" w:lineRule="auto"/>
            </w:pPr>
            <w:r>
              <w:rPr>
                <w:rFonts w:ascii="Calibri" w:hAnsi="Calibri"/>
                <w:b w:val="0"/>
                <w:i w:val="0"/>
                <w:color w:val="212121"/>
                <w:sz w:val="16"/>
              </w:rPr>
              <w:t>Screens for the frequently co-existing dysglycaemia</w:t>
            </w:r>
          </w:p>
        </w:tc>
        <w:tc>
          <w:tcPr>
            <w:tcW w:type="dxa" w:w="1036"/>
            <w:vAlign w:val="top"/>
          </w:tcPr>
          <w:p>
            <w:pPr>
              <w:spacing w:after="40" w:before="0" w:line="259" w:lineRule="auto"/>
            </w:pPr>
            <w:r>
              <w:rPr>
                <w:rFonts w:ascii="Calibri" w:hAnsi="Calibri"/>
                <w:b w:val="0"/>
                <w:i w:val="0"/>
                <w:color w:val="212121"/>
                <w:sz w:val="16"/>
              </w:rPr>
              <w:t>Overweight, T2DM,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Thyroid and glucose disorders frequently co-occur</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Fatigue, cold intolerance, weight gain, constipation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Classic hypometabolic symptom cluster</w:t>
            </w:r>
          </w:p>
        </w:tc>
        <w:tc>
          <w:tcPr>
            <w:tcW w:type="dxa" w:w="1036"/>
            <w:vAlign w:val="top"/>
          </w:tcPr>
          <w:p>
            <w:pPr>
              <w:spacing w:after="40" w:before="0" w:line="259" w:lineRule="auto"/>
            </w:pPr>
            <w:r>
              <w:rPr>
                <w:rFonts w:ascii="Calibri" w:hAnsi="Calibri"/>
                <w:b w:val="0"/>
                <w:i w:val="0"/>
                <w:color w:val="212121"/>
                <w:sz w:val="16"/>
              </w:rPr>
              <w:t>Women, elderly, adults with non-specific fatigue</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Fatigue is reported by ~60% of Indian hypothyroid patients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Thyroid or autoimmune disease in relatives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1 affected first-degree relative</w:t>
            </w:r>
          </w:p>
        </w:tc>
        <w:tc>
          <w:tcPr>
            <w:tcW w:type="dxa" w:w="1036"/>
            <w:vAlign w:val="top"/>
          </w:tcPr>
          <w:p>
            <w:pPr>
              <w:spacing w:after="40" w:before="0" w:line="259" w:lineRule="auto"/>
            </w:pPr>
            <w:r>
              <w:rPr>
                <w:rFonts w:ascii="Calibri" w:hAnsi="Calibri"/>
                <w:b w:val="0"/>
                <w:i w:val="0"/>
                <w:color w:val="212121"/>
                <w:sz w:val="16"/>
              </w:rPr>
              <w:t>Indicates inherited autoimmune susceptibility</w:t>
            </w:r>
          </w:p>
        </w:tc>
        <w:tc>
          <w:tcPr>
            <w:tcW w:type="dxa" w:w="1036"/>
            <w:vAlign w:val="top"/>
          </w:tcPr>
          <w:p>
            <w:pPr>
              <w:spacing w:after="40" w:before="0" w:line="259" w:lineRule="auto"/>
            </w:pPr>
            <w:r>
              <w:rPr>
                <w:rFonts w:ascii="Calibri" w:hAnsi="Calibri"/>
                <w:b w:val="0"/>
                <w:i w:val="0"/>
                <w:color w:val="212121"/>
                <w:sz w:val="16"/>
              </w:rPr>
              <w:t>First-degree relatives of Hashimoto's/autoimmune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other autoimmune diseases in the family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treatment history</w:t>
            </w:r>
          </w:p>
        </w:tc>
        <w:tc>
          <w:tcPr>
            <w:tcW w:type="dxa" w:w="979"/>
            <w:vAlign w:val="top"/>
          </w:tcPr>
          <w:p>
            <w:pPr>
              <w:spacing w:after="40" w:before="0" w:line="259" w:lineRule="auto"/>
            </w:pPr>
            <w:r>
              <w:rPr>
                <w:rFonts w:ascii="Calibri" w:hAnsi="Calibri"/>
                <w:b w:val="0"/>
                <w:i w:val="0"/>
                <w:color w:val="212121"/>
                <w:sz w:val="16"/>
              </w:rPr>
              <w:t>Amiodarone, lithium, radioiodine, thyroid/neck surgery or radiation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Identifies iatrogenic and drug-induced hypothyroidism</w:t>
            </w:r>
          </w:p>
        </w:tc>
        <w:tc>
          <w:tcPr>
            <w:tcW w:type="dxa" w:w="1036"/>
            <w:vAlign w:val="top"/>
          </w:tcPr>
          <w:p>
            <w:pPr>
              <w:spacing w:after="40" w:before="0" w:line="259" w:lineRule="auto"/>
            </w:pPr>
            <w:r>
              <w:rPr>
                <w:rFonts w:ascii="Calibri" w:hAnsi="Calibri"/>
                <w:b w:val="0"/>
                <w:i w:val="0"/>
                <w:color w:val="212121"/>
                <w:sz w:val="16"/>
              </w:rPr>
              <w:t>Cardiac, psychiatric, oncology, post-thyroidectomy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Iodine load from contrast/amiodarone can precipitate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Obstetric history</w:t>
            </w:r>
          </w:p>
        </w:tc>
        <w:tc>
          <w:tcPr>
            <w:tcW w:type="dxa" w:w="979"/>
            <w:vAlign w:val="top"/>
          </w:tcPr>
          <w:p>
            <w:pPr>
              <w:spacing w:after="40" w:before="0" w:line="259" w:lineRule="auto"/>
            </w:pPr>
            <w:r>
              <w:rPr>
                <w:rFonts w:ascii="Calibri" w:hAnsi="Calibri"/>
                <w:b w:val="0"/>
                <w:i w:val="0"/>
                <w:color w:val="212121"/>
                <w:sz w:val="16"/>
              </w:rPr>
              <w:t>Pregnancy, recent delivery, subfertility, menstrual change</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Recent delivery, menorrhagia, subfertility</w:t>
            </w:r>
          </w:p>
        </w:tc>
        <w:tc>
          <w:tcPr>
            <w:tcW w:type="dxa" w:w="1036"/>
            <w:vAlign w:val="top"/>
          </w:tcPr>
          <w:p>
            <w:pPr>
              <w:spacing w:after="40" w:before="0" w:line="259" w:lineRule="auto"/>
            </w:pPr>
            <w:r>
              <w:rPr>
                <w:rFonts w:ascii="Calibri" w:hAnsi="Calibri"/>
                <w:b w:val="0"/>
                <w:i w:val="0"/>
                <w:color w:val="212121"/>
                <w:sz w:val="16"/>
              </w:rPr>
              <w:t>Flags pregnancy-related and postpartum thyroid disease</w:t>
            </w:r>
          </w:p>
        </w:tc>
        <w:tc>
          <w:tcPr>
            <w:tcW w:type="dxa" w:w="1036"/>
            <w:vAlign w:val="top"/>
          </w:tcPr>
          <w:p>
            <w:pPr>
              <w:spacing w:after="40" w:before="0" w:line="259" w:lineRule="auto"/>
            </w:pPr>
            <w:r>
              <w:rPr>
                <w:rFonts w:ascii="Calibri" w:hAnsi="Calibri"/>
                <w:b w:val="0"/>
                <w:i w:val="0"/>
                <w:color w:val="212121"/>
                <w:sz w:val="16"/>
              </w:rPr>
              <w:t>Pregnant and postpartum women, women with infertility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Postpartum thyroiditis occurs in ~3–8% of pregnancies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Neck examination</w:t>
            </w:r>
          </w:p>
        </w:tc>
        <w:tc>
          <w:tcPr>
            <w:tcW w:type="dxa" w:w="979"/>
            <w:vAlign w:val="top"/>
          </w:tcPr>
          <w:p>
            <w:pPr>
              <w:spacing w:after="40" w:before="0" w:line="259" w:lineRule="auto"/>
            </w:pPr>
            <w:r>
              <w:rPr>
                <w:rFonts w:ascii="Calibri" w:hAnsi="Calibri"/>
                <w:b w:val="0"/>
                <w:i w:val="0"/>
                <w:color w:val="212121"/>
                <w:sz w:val="16"/>
              </w:rPr>
              <w:t>Goitre, thyroid nodule, gland texture</w:t>
            </w:r>
          </w:p>
        </w:tc>
        <w:tc>
          <w:tcPr>
            <w:tcW w:type="dxa" w:w="950"/>
            <w:vAlign w:val="top"/>
          </w:tcPr>
          <w:p>
            <w:pPr>
              <w:spacing w:after="40" w:before="0" w:line="259" w:lineRule="auto"/>
            </w:pPr>
            <w:r>
              <w:rPr>
                <w:rFonts w:ascii="Calibri" w:hAnsi="Calibri"/>
                <w:b w:val="0"/>
                <w:i w:val="0"/>
                <w:color w:val="212121"/>
                <w:sz w:val="16"/>
              </w:rPr>
              <w:t>Non-palpable, normal</w:t>
            </w:r>
          </w:p>
        </w:tc>
        <w:tc>
          <w:tcPr>
            <w:tcW w:type="dxa" w:w="950"/>
            <w:vAlign w:val="top"/>
          </w:tcPr>
          <w:p>
            <w:pPr>
              <w:spacing w:after="40" w:before="0" w:line="259" w:lineRule="auto"/>
            </w:pPr>
            <w:r>
              <w:rPr>
                <w:rFonts w:ascii="Calibri" w:hAnsi="Calibri"/>
                <w:b w:val="0"/>
                <w:i w:val="0"/>
                <w:color w:val="212121"/>
                <w:sz w:val="16"/>
              </w:rPr>
              <w:t>Diffuse firm goitre or nodule</w:t>
            </w:r>
          </w:p>
        </w:tc>
        <w:tc>
          <w:tcPr>
            <w:tcW w:type="dxa" w:w="1036"/>
            <w:vAlign w:val="top"/>
          </w:tcPr>
          <w:p>
            <w:pPr>
              <w:spacing w:after="40" w:before="0" w:line="259" w:lineRule="auto"/>
            </w:pPr>
            <w:r>
              <w:rPr>
                <w:rFonts w:ascii="Calibri" w:hAnsi="Calibri"/>
                <w:b w:val="0"/>
                <w:i w:val="0"/>
                <w:color w:val="212121"/>
                <w:sz w:val="16"/>
              </w:rPr>
              <w:t>Diffuse firm goitre suggests Hashimoto's; assess for nodules</w:t>
            </w:r>
          </w:p>
        </w:tc>
        <w:tc>
          <w:tcPr>
            <w:tcW w:type="dxa" w:w="1036"/>
            <w:vAlign w:val="top"/>
          </w:tcPr>
          <w:p>
            <w:pPr>
              <w:spacing w:after="40" w:before="0" w:line="259" w:lineRule="auto"/>
            </w:pPr>
            <w:r>
              <w:rPr>
                <w:rFonts w:ascii="Calibri" w:hAnsi="Calibri"/>
                <w:b w:val="0"/>
                <w:i w:val="0"/>
                <w:color w:val="212121"/>
                <w:sz w:val="16"/>
              </w:rPr>
              <w:t>Goitre-belt residents, iodine-deficient populations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Palpable goitre reported in ~12% of adults in Indian surveys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Deep tendon reflexes</w:t>
            </w:r>
          </w:p>
        </w:tc>
        <w:tc>
          <w:tcPr>
            <w:tcW w:type="dxa" w:w="979"/>
            <w:vAlign w:val="top"/>
          </w:tcPr>
          <w:p>
            <w:pPr>
              <w:spacing w:after="40" w:before="0" w:line="259" w:lineRule="auto"/>
            </w:pPr>
            <w:r>
              <w:rPr>
                <w:rFonts w:ascii="Calibri" w:hAnsi="Calibri"/>
                <w:b w:val="0"/>
                <w:i w:val="0"/>
                <w:color w:val="212121"/>
                <w:sz w:val="16"/>
              </w:rPr>
              <w:t>Ankle-jerk relaxation phase</w:t>
            </w:r>
          </w:p>
        </w:tc>
        <w:tc>
          <w:tcPr>
            <w:tcW w:type="dxa" w:w="950"/>
            <w:vAlign w:val="top"/>
          </w:tcPr>
          <w:p>
            <w:pPr>
              <w:spacing w:after="40" w:before="0" w:line="259" w:lineRule="auto"/>
            </w:pPr>
            <w:r>
              <w:rPr>
                <w:rFonts w:ascii="Calibri" w:hAnsi="Calibri"/>
                <w:b w:val="0"/>
                <w:i w:val="0"/>
                <w:color w:val="212121"/>
                <w:sz w:val="16"/>
              </w:rPr>
              <w:t>Brisk relaxation</w:t>
            </w:r>
          </w:p>
        </w:tc>
        <w:tc>
          <w:tcPr>
            <w:tcW w:type="dxa" w:w="950"/>
            <w:vAlign w:val="top"/>
          </w:tcPr>
          <w:p>
            <w:pPr>
              <w:spacing w:after="40" w:before="0" w:line="259" w:lineRule="auto"/>
            </w:pPr>
            <w:r>
              <w:rPr>
                <w:rFonts w:ascii="Calibri" w:hAnsi="Calibri"/>
                <w:b w:val="0"/>
                <w:i w:val="0"/>
                <w:color w:val="212121"/>
                <w:sz w:val="16"/>
              </w:rPr>
              <w:t>Delayed (hung-up) relaxation</w:t>
            </w:r>
          </w:p>
        </w:tc>
        <w:tc>
          <w:tcPr>
            <w:tcW w:type="dxa" w:w="1036"/>
            <w:vAlign w:val="top"/>
          </w:tcPr>
          <w:p>
            <w:pPr>
              <w:spacing w:after="40" w:before="0" w:line="259" w:lineRule="auto"/>
            </w:pPr>
            <w:r>
              <w:rPr>
                <w:rFonts w:ascii="Calibri" w:hAnsi="Calibri"/>
                <w:b w:val="0"/>
                <w:i w:val="0"/>
                <w:color w:val="212121"/>
                <w:sz w:val="16"/>
              </w:rPr>
              <w:t>Delayed relaxation of reflexes is a classic sign of hypothyroidism</w:t>
            </w:r>
          </w:p>
        </w:tc>
        <w:tc>
          <w:tcPr>
            <w:tcW w:type="dxa" w:w="1036"/>
            <w:vAlign w:val="top"/>
          </w:tcPr>
          <w:p>
            <w:pPr>
              <w:spacing w:after="40" w:before="0" w:line="259" w:lineRule="auto"/>
            </w:pPr>
            <w:r>
              <w:rPr>
                <w:rFonts w:ascii="Calibri" w:hAnsi="Calibri"/>
                <w:b w:val="0"/>
                <w:i w:val="0"/>
                <w:color w:val="212121"/>
                <w:sz w:val="16"/>
              </w:rPr>
              <w:t>Symptomatic adults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Best appreciated at the ankle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Skin, hair &amp; vitals</w:t>
            </w:r>
          </w:p>
        </w:tc>
        <w:tc>
          <w:tcPr>
            <w:tcW w:type="dxa" w:w="979"/>
            <w:vAlign w:val="top"/>
          </w:tcPr>
          <w:p>
            <w:pPr>
              <w:spacing w:after="40" w:before="0" w:line="259" w:lineRule="auto"/>
            </w:pPr>
            <w:r>
              <w:rPr>
                <w:rFonts w:ascii="Calibri" w:hAnsi="Calibri"/>
                <w:b w:val="0"/>
                <w:i w:val="0"/>
                <w:color w:val="212121"/>
                <w:sz w:val="16"/>
              </w:rPr>
              <w:t>Dry coarse skin, hair loss, bradycardia, periorbital puffiness</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Peripheral signs of a hypometabolic state</w:t>
            </w:r>
          </w:p>
        </w:tc>
        <w:tc>
          <w:tcPr>
            <w:tcW w:type="dxa" w:w="1036"/>
            <w:vAlign w:val="top"/>
          </w:tcPr>
          <w:p>
            <w:pPr>
              <w:spacing w:after="40" w:before="0" w:line="259" w:lineRule="auto"/>
            </w:pPr>
            <w:r>
              <w:rPr>
                <w:rFonts w:ascii="Calibri" w:hAnsi="Calibri"/>
                <w:b w:val="0"/>
                <w:i w:val="0"/>
                <w:color w:val="212121"/>
                <w:sz w:val="16"/>
              </w:rPr>
              <w:t>Adults with hypothyroidism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Hair loss (~31%) and dry skin (~17%) are common in Indian registry data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 lethargy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energy from a reduced metabolic rate; the single commonest complaint, reported by ~60% of Indian hypothyroid patients.</w:t>
            </w:r>
          </w:p>
        </w:tc>
      </w:tr>
      <w:tr>
        <w:trPr>
          <w:cantSplit/>
        </w:trPr>
        <w:tc>
          <w:tcPr>
            <w:tcW w:type="dxa" w:w="2304"/>
            <w:vAlign w:val="top"/>
          </w:tcPr>
          <w:p>
            <w:pPr>
              <w:spacing w:after="40" w:before="0" w:line="259" w:lineRule="auto"/>
            </w:pPr>
            <w:r>
              <w:rPr>
                <w:rFonts w:ascii="Calibri" w:hAnsi="Calibri"/>
                <w:b/>
                <w:i w:val="0"/>
                <w:color w:val="212121"/>
                <w:sz w:val="19"/>
              </w:rPr>
              <w:t>Weight gain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Modest weight gain despite poor appetite due to slowed metabolism and fluid retention; reported by ~36% of Indian patients.</w:t>
            </w:r>
          </w:p>
        </w:tc>
      </w:tr>
      <w:tr>
        <w:trPr>
          <w:cantSplit/>
        </w:trPr>
        <w:tc>
          <w:tcPr>
            <w:tcW w:type="dxa" w:w="2304"/>
            <w:vAlign w:val="top"/>
          </w:tcPr>
          <w:p>
            <w:pPr>
              <w:spacing w:after="40" w:before="0" w:line="259" w:lineRule="auto"/>
            </w:pPr>
            <w:r>
              <w:rPr>
                <w:rFonts w:ascii="Calibri" w:hAnsi="Calibri"/>
                <w:b/>
                <w:i w:val="0"/>
                <w:color w:val="212121"/>
                <w:sz w:val="19"/>
              </w:rPr>
              <w:t>Cold intolerance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Feeling cold in normal temperatures because reduced thermogenesis lowers heat production.</w:t>
            </w:r>
          </w:p>
        </w:tc>
      </w:tr>
      <w:tr>
        <w:trPr>
          <w:cantSplit/>
        </w:trPr>
        <w:tc>
          <w:tcPr>
            <w:tcW w:type="dxa" w:w="2304"/>
            <w:vAlign w:val="top"/>
          </w:tcPr>
          <w:p>
            <w:pPr>
              <w:spacing w:after="40" w:before="0" w:line="259" w:lineRule="auto"/>
            </w:pPr>
            <w:r>
              <w:rPr>
                <w:rFonts w:ascii="Calibri" w:hAnsi="Calibri"/>
                <w:b/>
                <w:i w:val="0"/>
                <w:color w:val="212121"/>
                <w:sz w:val="19"/>
              </w:rPr>
              <w:t>Constipation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Slowed gut motility; reported by ~18% of Indian hypothyroid patients.</w:t>
            </w:r>
          </w:p>
        </w:tc>
      </w:tr>
      <w:tr>
        <w:trPr>
          <w:cantSplit/>
        </w:trPr>
        <w:tc>
          <w:tcPr>
            <w:tcW w:type="dxa" w:w="2304"/>
            <w:vAlign w:val="top"/>
          </w:tcPr>
          <w:p>
            <w:pPr>
              <w:spacing w:after="40" w:before="0" w:line="259" w:lineRule="auto"/>
            </w:pPr>
            <w:r>
              <w:rPr>
                <w:rFonts w:ascii="Calibri" w:hAnsi="Calibri"/>
                <w:b/>
                <w:i w:val="0"/>
                <w:color w:val="212121"/>
                <w:sz w:val="19"/>
              </w:rPr>
              <w:t>Dry skin and hair, hair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skin turnover and sweating cause dry, coarse skin; diffuse hair thinning is frequent.</w:t>
            </w:r>
          </w:p>
        </w:tc>
      </w:tr>
      <w:tr>
        <w:trPr>
          <w:cantSplit/>
        </w:trPr>
        <w:tc>
          <w:tcPr>
            <w:tcW w:type="dxa" w:w="2304"/>
            <w:vAlign w:val="top"/>
          </w:tcPr>
          <w:p>
            <w:pPr>
              <w:spacing w:after="40" w:before="0" w:line="259" w:lineRule="auto"/>
            </w:pPr>
            <w:r>
              <w:rPr>
                <w:rFonts w:ascii="Calibri" w:hAnsi="Calibri"/>
                <w:b/>
                <w:i w:val="0"/>
                <w:color w:val="212121"/>
                <w:sz w:val="19"/>
              </w:rPr>
              <w:t>Poor memory and concentration ('brain fog')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Cognitive slowing from central hypometabolism; reported by ~20% of Indian patients.</w:t>
            </w:r>
          </w:p>
        </w:tc>
      </w:tr>
      <w:tr>
        <w:trPr>
          <w:cantSplit/>
        </w:trPr>
        <w:tc>
          <w:tcPr>
            <w:tcW w:type="dxa" w:w="2304"/>
            <w:vAlign w:val="top"/>
          </w:tcPr>
          <w:p>
            <w:pPr>
              <w:spacing w:after="40" w:before="0" w:line="259" w:lineRule="auto"/>
            </w:pPr>
            <w:r>
              <w:rPr>
                <w:rFonts w:ascii="Calibri" w:hAnsi="Calibri"/>
                <w:b/>
                <w:i w:val="0"/>
                <w:color w:val="212121"/>
                <w:sz w:val="19"/>
              </w:rPr>
              <w:t>Low mood / depression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Depressed mood and reduced drive; often improves with hormone replacement.</w:t>
            </w:r>
          </w:p>
        </w:tc>
      </w:tr>
      <w:tr>
        <w:trPr>
          <w:cantSplit/>
        </w:trPr>
        <w:tc>
          <w:tcPr>
            <w:tcW w:type="dxa" w:w="2304"/>
            <w:vAlign w:val="top"/>
          </w:tcPr>
          <w:p>
            <w:pPr>
              <w:spacing w:after="40" w:before="0" w:line="259" w:lineRule="auto"/>
            </w:pPr>
            <w:r>
              <w:rPr>
                <w:rFonts w:ascii="Calibri" w:hAnsi="Calibri"/>
                <w:b/>
                <w:i w:val="0"/>
                <w:color w:val="212121"/>
                <w:sz w:val="19"/>
              </w:rPr>
              <w:t>Menstrual irregularity / menorrhagia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Heavy or irregular periods and subfertility from disrupted reproductive-hormone regulation in women.</w:t>
            </w:r>
          </w:p>
        </w:tc>
      </w:tr>
      <w:tr>
        <w:trPr>
          <w:cantSplit/>
        </w:trPr>
        <w:tc>
          <w:tcPr>
            <w:tcW w:type="dxa" w:w="2304"/>
            <w:vAlign w:val="top"/>
          </w:tcPr>
          <w:p>
            <w:pPr>
              <w:spacing w:after="40" w:before="0" w:line="259" w:lineRule="auto"/>
            </w:pPr>
            <w:r>
              <w:rPr>
                <w:rFonts w:ascii="Calibri" w:hAnsi="Calibri"/>
                <w:b/>
                <w:i w:val="0"/>
                <w:color w:val="212121"/>
                <w:sz w:val="19"/>
              </w:rPr>
              <w:t>Muscle aches, cramps and joint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Myalgia, stiffness and cramps from effects on muscle metabolism.</w:t>
            </w:r>
          </w:p>
        </w:tc>
      </w:tr>
      <w:tr>
        <w:trPr>
          <w:cantSplit/>
        </w:trPr>
        <w:tc>
          <w:tcPr>
            <w:tcW w:type="dxa" w:w="2304"/>
            <w:vAlign w:val="top"/>
          </w:tcPr>
          <w:p>
            <w:pPr>
              <w:spacing w:after="40" w:before="0" w:line="259" w:lineRule="auto"/>
            </w:pPr>
            <w:r>
              <w:rPr>
                <w:rFonts w:ascii="Calibri" w:hAnsi="Calibri"/>
                <w:b/>
                <w:i w:val="0"/>
                <w:color w:val="212121"/>
                <w:sz w:val="19"/>
              </w:rPr>
              <w:t>Hoarseness of voice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Deepened, husky voice from myxoedematous change in the vocal cords.</w:t>
            </w:r>
          </w:p>
        </w:tc>
      </w:tr>
      <w:tr>
        <w:trPr>
          <w:cantSplit/>
        </w:trPr>
        <w:tc>
          <w:tcPr>
            <w:tcW w:type="dxa" w:w="2304"/>
            <w:vAlign w:val="top"/>
          </w:tcPr>
          <w:p>
            <w:pPr>
              <w:spacing w:after="40" w:before="0" w:line="259" w:lineRule="auto"/>
            </w:pPr>
            <w:r>
              <w:rPr>
                <w:rFonts w:ascii="Calibri" w:hAnsi="Calibri"/>
                <w:b/>
                <w:i w:val="0"/>
                <w:color w:val="212121"/>
                <w:sz w:val="19"/>
              </w:rPr>
              <w:t>Paraesthesia / carpal tunnel syndrome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Tingling and numbness from soft-tissue swelling compressing nerves at the wrist.</w:t>
            </w:r>
          </w:p>
        </w:tc>
      </w:tr>
      <w:tr>
        <w:trPr>
          <w:cantSplit/>
        </w:trPr>
        <w:tc>
          <w:tcPr>
            <w:tcW w:type="dxa" w:w="2304"/>
            <w:vAlign w:val="top"/>
          </w:tcPr>
          <w:p>
            <w:pPr>
              <w:spacing w:after="40" w:before="0" w:line="259" w:lineRule="auto"/>
            </w:pPr>
            <w:r>
              <w:rPr>
                <w:rFonts w:ascii="Calibri" w:hAnsi="Calibri"/>
                <w:b/>
                <w:i w:val="0"/>
                <w:color w:val="212121"/>
                <w:sz w:val="19"/>
              </w:rPr>
              <w:t>Neck swelling (goitre)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Visible or palpable thyroid enlargement, especially with Hashimoto's or iodine deficiency.</w:t>
            </w:r>
          </w:p>
        </w:tc>
      </w:tr>
      <w:tr>
        <w:trPr>
          <w:cantSplit/>
        </w:trPr>
        <w:tc>
          <w:tcPr>
            <w:tcW w:type="dxa" w:w="2304"/>
            <w:vAlign w:val="top"/>
          </w:tcPr>
          <w:p>
            <w:pPr>
              <w:spacing w:after="40" w:before="0" w:line="259" w:lineRule="auto"/>
            </w:pPr>
            <w:r>
              <w:rPr>
                <w:rFonts w:ascii="Calibri" w:hAnsi="Calibri"/>
                <w:b/>
                <w:i w:val="0"/>
                <w:color w:val="212121"/>
                <w:sz w:val="19"/>
              </w:rPr>
              <w:t>Reduced hearing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Fluid and myxoedematous change in the middle/inner ear can dull hearing.</w:t>
            </w:r>
          </w:p>
        </w:tc>
      </w:tr>
      <w:tr>
        <w:trPr>
          <w:cantSplit/>
        </w:trPr>
        <w:tc>
          <w:tcPr>
            <w:tcW w:type="dxa" w:w="2304"/>
            <w:vAlign w:val="top"/>
          </w:tcPr>
          <w:p>
            <w:pPr>
              <w:spacing w:after="40" w:before="0" w:line="259" w:lineRule="auto"/>
            </w:pPr>
            <w:r>
              <w:rPr>
                <w:rFonts w:ascii="Calibri" w:hAnsi="Calibri"/>
                <w:b/>
                <w:i w:val="0"/>
                <w:color w:val="212121"/>
                <w:sz w:val="19"/>
              </w:rPr>
              <w:t>Confusion / drowsiness progressing to myxoedema coma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Severe untreated hypothyroidism can cause hypothermia, obtundation and coma — a medical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Bradycardia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Slow heart rate from reduced sympathetic drive and metabolic rate.</w:t>
            </w:r>
          </w:p>
        </w:tc>
      </w:tr>
      <w:tr>
        <w:trPr>
          <w:cantSplit/>
        </w:trPr>
        <w:tc>
          <w:tcPr>
            <w:tcW w:type="dxa" w:w="3456"/>
            <w:vAlign w:val="top"/>
          </w:tcPr>
          <w:p>
            <w:pPr>
              <w:spacing w:after="40" w:before="0" w:line="259" w:lineRule="auto"/>
            </w:pPr>
            <w:r>
              <w:rPr>
                <w:rFonts w:ascii="Calibri" w:hAnsi="Calibri"/>
                <w:b/>
                <w:i w:val="0"/>
                <w:color w:val="212121"/>
                <w:sz w:val="19"/>
              </w:rPr>
              <w:t>Dry, coarse, cool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secretion and circulation; reported in ~17% of Indian registry patients.</w:t>
            </w:r>
          </w:p>
        </w:tc>
      </w:tr>
      <w:tr>
        <w:trPr>
          <w:cantSplit/>
        </w:trPr>
        <w:tc>
          <w:tcPr>
            <w:tcW w:type="dxa" w:w="3456"/>
            <w:vAlign w:val="top"/>
          </w:tcPr>
          <w:p>
            <w:pPr>
              <w:spacing w:after="40" w:before="0" w:line="259" w:lineRule="auto"/>
            </w:pPr>
            <w:r>
              <w:rPr>
                <w:rFonts w:ascii="Calibri" w:hAnsi="Calibri"/>
                <w:b/>
                <w:i w:val="0"/>
                <w:color w:val="212121"/>
                <w:sz w:val="19"/>
              </w:rPr>
              <w:t>Delayed relaxation of deep tendon reflexes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'hung-up' ankle jerk — slow relaxation phase is characteristic of hypothyroidism.</w:t>
            </w:r>
          </w:p>
        </w:tc>
      </w:tr>
      <w:tr>
        <w:trPr>
          <w:cantSplit/>
        </w:trPr>
        <w:tc>
          <w:tcPr>
            <w:tcW w:type="dxa" w:w="3456"/>
            <w:vAlign w:val="top"/>
          </w:tcPr>
          <w:p>
            <w:pPr>
              <w:spacing w:after="40" w:before="0" w:line="259" w:lineRule="auto"/>
            </w:pPr>
            <w:r>
              <w:rPr>
                <w:rFonts w:ascii="Calibri" w:hAnsi="Calibri"/>
                <w:b/>
                <w:i w:val="0"/>
                <w:color w:val="212121"/>
                <w:sz w:val="19"/>
              </w:rPr>
              <w:t>Periorbital puffiness and non-pitting oedema (myxoedema)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Glycosaminoglycan deposition in the dermis causes a puffy face and doughy, non-pitting swelling.</w:t>
            </w:r>
          </w:p>
        </w:tc>
      </w:tr>
      <w:tr>
        <w:trPr>
          <w:cantSplit/>
        </w:trPr>
        <w:tc>
          <w:tcPr>
            <w:tcW w:type="dxa" w:w="3456"/>
            <w:vAlign w:val="top"/>
          </w:tcPr>
          <w:p>
            <w:pPr>
              <w:spacing w:after="40" w:before="0" w:line="259" w:lineRule="auto"/>
            </w:pPr>
            <w:r>
              <w:rPr>
                <w:rFonts w:ascii="Calibri" w:hAnsi="Calibri"/>
                <w:b/>
                <w:i w:val="0"/>
                <w:color w:val="212121"/>
                <w:sz w:val="19"/>
              </w:rPr>
              <w:t>Goitre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firm gland in Hashimoto's or iodine deficiency; palpable goitre affects ~12% of adults in Indian surveys.</w:t>
            </w:r>
          </w:p>
        </w:tc>
      </w:tr>
      <w:tr>
        <w:trPr>
          <w:cantSplit/>
        </w:trPr>
        <w:tc>
          <w:tcPr>
            <w:tcW w:type="dxa" w:w="3456"/>
            <w:vAlign w:val="top"/>
          </w:tcPr>
          <w:p>
            <w:pPr>
              <w:spacing w:after="40" w:before="0" w:line="259" w:lineRule="auto"/>
            </w:pPr>
            <w:r>
              <w:rPr>
                <w:rFonts w:ascii="Calibri" w:hAnsi="Calibri"/>
                <w:b/>
                <w:i w:val="0"/>
                <w:color w:val="212121"/>
                <w:sz w:val="19"/>
              </w:rPr>
              <w:t>Hair loss and loss of the outer eyebrow (madarosis)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scalp hair thinning; loss of the lateral third of the eyebrow is a classic sign. Hair loss noted in ~31% of Indian registry patients.</w:t>
            </w:r>
          </w:p>
        </w:tc>
      </w:tr>
      <w:tr>
        <w:trPr>
          <w:cantSplit/>
        </w:trPr>
        <w:tc>
          <w:tcPr>
            <w:tcW w:type="dxa" w:w="3456"/>
            <w:vAlign w:val="top"/>
          </w:tcPr>
          <w:p>
            <w:pPr>
              <w:spacing w:after="40" w:before="0" w:line="259" w:lineRule="auto"/>
            </w:pPr>
            <w:r>
              <w:rPr>
                <w:rFonts w:ascii="Calibri" w:hAnsi="Calibri"/>
                <w:b/>
                <w:i w:val="0"/>
                <w:color w:val="212121"/>
                <w:sz w:val="19"/>
              </w:rPr>
              <w:t>Hoarse, slow speech (bradylalia)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Deepened voice and slowed speech from soft-tissue change and cognitive slowing.</w:t>
            </w:r>
          </w:p>
        </w:tc>
      </w:tr>
      <w:tr>
        <w:trPr>
          <w:cantSplit/>
        </w:trPr>
        <w:tc>
          <w:tcPr>
            <w:tcW w:type="dxa" w:w="3456"/>
            <w:vAlign w:val="top"/>
          </w:tcPr>
          <w:p>
            <w:pPr>
              <w:spacing w:after="40" w:before="0" w:line="259" w:lineRule="auto"/>
            </w:pPr>
            <w:r>
              <w:rPr>
                <w:rFonts w:ascii="Calibri" w:hAnsi="Calibri"/>
                <w:b/>
                <w:i w:val="0"/>
                <w:color w:val="212121"/>
                <w:sz w:val="19"/>
              </w:rPr>
              <w:t>Pallor / carotenaemia (yellowish palms)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Anaemia causes pallor; reduced conversion of carotene can tinge the skin yellow-orange.</w:t>
            </w:r>
          </w:p>
        </w:tc>
      </w:tr>
      <w:tr>
        <w:trPr>
          <w:cantSplit/>
        </w:trPr>
        <w:tc>
          <w:tcPr>
            <w:tcW w:type="dxa" w:w="3456"/>
            <w:vAlign w:val="top"/>
          </w:tcPr>
          <w:p>
            <w:pPr>
              <w:spacing w:after="40" w:before="0" w:line="259" w:lineRule="auto"/>
            </w:pPr>
            <w:r>
              <w:rPr>
                <w:rFonts w:ascii="Calibri" w:hAnsi="Calibri"/>
                <w:b/>
                <w:i w:val="0"/>
                <w:color w:val="212121"/>
                <w:sz w:val="19"/>
              </w:rPr>
              <w:t>Peripheral / limb swelling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Swelling of the limbs from myxoedema and fluid retention; reported in ~18% of Indian registry patients.</w:t>
            </w:r>
          </w:p>
        </w:tc>
      </w:tr>
      <w:tr>
        <w:trPr>
          <w:cantSplit/>
        </w:trPr>
        <w:tc>
          <w:tcPr>
            <w:tcW w:type="dxa" w:w="3456"/>
            <w:vAlign w:val="top"/>
          </w:tcPr>
          <w:p>
            <w:pPr>
              <w:spacing w:after="40" w:before="0" w:line="259" w:lineRule="auto"/>
            </w:pPr>
            <w:r>
              <w:rPr>
                <w:rFonts w:ascii="Calibri" w:hAnsi="Calibri"/>
                <w:b/>
                <w:i w:val="0"/>
                <w:color w:val="212121"/>
                <w:sz w:val="19"/>
              </w:rPr>
              <w:t>Diastolic hypertension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Increased peripheral vascular resistance can raise the diastolic blood pressure.</w:t>
            </w:r>
          </w:p>
        </w:tc>
      </w:tr>
      <w:tr>
        <w:trPr>
          <w:cantSplit/>
        </w:trPr>
        <w:tc>
          <w:tcPr>
            <w:tcW w:type="dxa" w:w="3456"/>
            <w:vAlign w:val="top"/>
          </w:tcPr>
          <w:p>
            <w:pPr>
              <w:spacing w:after="40" w:before="0" w:line="259" w:lineRule="auto"/>
            </w:pPr>
            <w:r>
              <w:rPr>
                <w:rFonts w:ascii="Calibri" w:hAnsi="Calibri"/>
                <w:b/>
                <w:i w:val="0"/>
                <w:color w:val="212121"/>
                <w:sz w:val="19"/>
              </w:rPr>
              <w:t>Pericardial or pleural effusion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Fluid accumulation in serous cavities in severe, long-standing hypothyroidism.</w:t>
            </w:r>
          </w:p>
        </w:tc>
      </w:tr>
      <w:tr>
        <w:trPr>
          <w:cantSplit/>
        </w:trPr>
        <w:tc>
          <w:tcPr>
            <w:tcW w:type="dxa" w:w="3456"/>
            <w:vAlign w:val="top"/>
          </w:tcPr>
          <w:p>
            <w:pPr>
              <w:spacing w:after="40" w:before="0" w:line="259" w:lineRule="auto"/>
            </w:pPr>
            <w:r>
              <w:rPr>
                <w:rFonts w:ascii="Calibri" w:hAnsi="Calibri"/>
                <w:b/>
                <w:i w:val="0"/>
                <w:color w:val="212121"/>
                <w:sz w:val="19"/>
              </w:rPr>
              <w:t>Hypothermia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Low core temperature in severe disease; a warning feature of impending myxoedema coma.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overt hypothyroidism (profound fatigue, cognitive slowing)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Reversible hypercholesterolaemia /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goitre with compressive symptoms</w:t>
            </w:r>
          </w:p>
        </w:tc>
        <w:tc>
          <w:tcPr>
            <w:tcW w:type="dxa" w:w="2980"/>
            <w:vAlign w:val="top"/>
          </w:tcPr>
          <w:p>
            <w:pPr>
              <w:spacing w:after="40" w:before="0" w:line="259" w:lineRule="auto"/>
            </w:pPr>
            <w:r>
              <w:rPr>
                <w:rFonts w:ascii="Calibri" w:hAnsi="Calibri"/>
                <w:b w:val="0"/>
                <w:i w:val="0"/>
                <w:color w:val="212121"/>
                <w:sz w:val="19"/>
              </w:rPr>
              <w:t>Direct metabolic consequences of thyroid hormone deficiency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accelerated atherosclerosis, coronary artery disease, diastolic hypertension, pericardial effusion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Neuromuscular: carpal tunnel syndrome, peripheral neuropathy, myopathy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 menstrual disturbance, subfertility, increased miscarriage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Neuropsychiatric: depression, poor concentration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sleep apnoea</w:t>
            </w:r>
          </w:p>
        </w:tc>
        <w:tc>
          <w:tcPr>
            <w:tcW w:type="dxa" w:w="2980"/>
            <w:vAlign w:val="top"/>
          </w:tcPr>
          <w:p>
            <w:pPr>
              <w:spacing w:after="40" w:before="0" w:line="259" w:lineRule="auto"/>
            </w:pPr>
            <w:r>
              <w:rPr>
                <w:rFonts w:ascii="Calibri" w:hAnsi="Calibri"/>
                <w:b w:val="0"/>
                <w:i w:val="0"/>
                <w:color w:val="212121"/>
                <w:sz w:val="19"/>
              </w:rPr>
              <w:t>Result from sustained hormone deficiency acting on the heart, vessels, nerves and reproductive axis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Myxoedema coma (hypothermia, obtundation, respiratory failure) — life-threatening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atherosclerotic cardiovascular disease and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pre-eclampsia, preterm birth, low birth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fetal neurodevelopment / congenital cretinism when maternal or congenital disease is untreated</w:t>
            </w:r>
          </w:p>
        </w:tc>
        <w:tc>
          <w:tcPr>
            <w:tcW w:type="dxa" w:w="2980"/>
            <w:vAlign w:val="top"/>
          </w:tcPr>
          <w:p>
            <w:pPr>
              <w:spacing w:after="40" w:before="0" w:line="259" w:lineRule="auto"/>
            </w:pPr>
            <w:r>
              <w:rPr>
                <w:rFonts w:ascii="Calibri" w:hAnsi="Calibri"/>
                <w:b w:val="0"/>
                <w:i w:val="0"/>
                <w:color w:val="212121"/>
                <w:sz w:val="19"/>
              </w:rPr>
              <w:t>Severe, disabling or irreversible outcomes of longstanding or untreated hypothyroidism</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Hypothyroidism raises LDL and total cholesterol by slowing lipoprotein clearance; often reversible with treatment.</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Shares autoimmune predisposition and worsens insulin resistance; hypothyroidism found in ~24.8% of Indian T2DM patients.</w:t>
            </w:r>
          </w:p>
          <w:p>
            <w:pPr>
              <w:spacing w:after="40" w:before="0" w:line="259" w:lineRule="auto"/>
            </w:pPr>
            <w:r>
              <w:rPr>
                <w:rFonts w:ascii="Calibri" w:hAnsi="Calibri"/>
                <w:b/>
                <w:i w:val="0"/>
                <w:color w:val="212121"/>
                <w:sz w:val="19"/>
              </w:rPr>
              <w:t>~13.5% of hypothyroid patients (registry); up to ~25% of T2DM patients have hypothyroidism</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Increased peripheral vascular resistance raises diastolic blood pressure.</w:t>
            </w:r>
          </w:p>
          <w:p>
            <w:pPr>
              <w:spacing w:after="40" w:before="0" w:line="259" w:lineRule="auto"/>
            </w:pPr>
            <w:r>
              <w:rPr>
                <w:rFonts w:ascii="Calibri" w:hAnsi="Calibri"/>
                <w:b/>
                <w:i w:val="0"/>
                <w:color w:val="212121"/>
                <w:sz w:val="19"/>
              </w:rPr>
              <w:t>~11%</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Reduced erythropoiesis and coexisting iron/B12 deficiency; may be macrocytic with pernicious anaemia.</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Low mood and cognitive slowing are common and often improve with replacement.</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Myxoedematous upper-airway soft-tissue changes and obesity contribute.</w:t>
            </w:r>
          </w:p>
        </w:tc>
      </w:tr>
      <w:tr>
        <w:trPr>
          <w:cantSplit/>
        </w:trPr>
        <w:tc>
          <w:tcPr>
            <w:tcW w:type="dxa" w:w="2232"/>
            <w:vAlign w:val="top"/>
          </w:tcPr>
          <w:p>
            <w:pPr>
              <w:spacing w:after="40" w:before="0" w:line="259" w:lineRule="auto"/>
            </w:pPr>
            <w:r>
              <w:rPr>
                <w:rFonts w:ascii="Calibri" w:hAnsi="Calibri"/>
                <w:b/>
                <w:i w:val="0"/>
                <w:color w:val="212121"/>
                <w:sz w:val="19"/>
              </w:rPr>
              <w:t>Other autoimmune diseases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Coeliac disease, type 1 diabetes, vitiligo, pernicious anaemia, rheumatoid arthritis and Addison's disease cluster with Hashimoto's.</w:t>
            </w:r>
          </w:p>
        </w:tc>
      </w:tr>
      <w:tr>
        <w:trPr>
          <w:cantSplit/>
        </w:trPr>
        <w:tc>
          <w:tcPr>
            <w:tcW w:type="dxa" w:w="2232"/>
            <w:vAlign w:val="top"/>
          </w:tcPr>
          <w:p>
            <w:pPr>
              <w:spacing w:after="40" w:before="0" w:line="259" w:lineRule="auto"/>
            </w:pPr>
            <w:r>
              <w:rPr>
                <w:rFonts w:ascii="Calibri" w:hAnsi="Calibri"/>
                <w:b/>
                <w:i w:val="0"/>
                <w:color w:val="212121"/>
                <w:sz w:val="19"/>
              </w:rPr>
              <w:t>Subfertility &amp; menstrual disorders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Menorrhagia, anovulation and subfertility in women; corrects with euthyroidism.</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Low thyroid function is associated with hepatic steatosis and metabolic syndrome.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adequately iodised salt for cooking and store it in a dry, closed container away from heat to preserve iodine content.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unexplained fatigue, weight gain, cold intolerance, constipation, dry skin and heavy periods — and seek TSH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for thyroid screening if you are a woman planning pregnancy, are pregnant, or have a family history of thyroid/autoimmune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subclinical hypothyroidism is common and often symptom-free, so periodic testing matters in at-risk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unsupervised high-dose iodine or kelp/seaweed supplements, which can trigger or worsen thyroid dysfunction.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Goitre-belt residents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levothyroxine on an empty stomach, 30–60 minutes before breakfast, with water, and at a consistent time each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Separate levothyroxine from calcium, iron, antacids, soy and coffee by at least 4 hours, as these reduce its 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stop or change the dose without medical advice, and attend follow-up TSH testing to guide dosing.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Inform your doctor about pregnancy promptly, as levothyroxine requirements rise early in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severe drowsiness, confusion or feeling very cold urgently — warning signs of severe hypothyroidism.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levothyroxine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hypothyroidism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iodine through iodised salt and iodine-containing foods (dairy, eggs, and fish where eaten).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selenium- and zinc-containing foods (nuts, seeds, legumes, whole grains) that support thyroid hormone metabolism.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excessive intake of raw goitrogenic foods (large amounts of raw cabbage, cauliflower, soy, cassava/tapioca); cooking reduces their goitrogenic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take high-dose iodine or kelp supplements without medical advice.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fibre-rich diet to help manage weight, constipation and cholesterol.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Iodine-deficient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planning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at least 150 minutes/week of moderate aerobic activity (brisk walking, cycling, swimming) to counter weight gain and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 training 2–3 days/week to preserve muscle mass and metabolic 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activity up gradually once treatment is started and energy improves, to avoid muscle strain.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activity to improve mood, lipids and constipation alongside hormone replacement.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hypothyroid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7–9 hour sleep schedule to help manage daytime fatigue and somnolence.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evaluation for obstructive sleep apnoea if there is loud snoring, witnessed apnoeas or excessive daytime sleepiness.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Expect daytime energy and sleep quality to improve as thyroid levels normalise on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Fatigued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suspected sleep apnoea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as tobacco thiocyanate is a goitrogen that impairs iodide uptake.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especially if you have autoimmune thyroid disease or thyroid eye disease, which smoking markedly worsens.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(counselling, nicotine replacement) to quit successfully.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thyroid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thyroid eye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Autoimmune-prone individuals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as heavy chronic use can reduce thyroid volume and blunt hormone output.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within low-risk limits (≤ 14 units/week, spread out with alcohol-free 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drinking, which also complicates the metabolism of thyroid hormone.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thyroid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low mood, poor concentration and depression can be symptoms of hypothyroidism and often improve with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the TSH is optimised before attributing persistent mood symptoms to a primary psychiatric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psychological support or counselling if depressive symptoms persist despite euthyroidism.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physical activity and social connection, which support mood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depressive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in the postpartum period</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3961480/" TargetMode="External"/><Relationship Id="rId10" Type="http://schemas.openxmlformats.org/officeDocument/2006/relationships/hyperlink" Target="https://pmc.ncbi.nlm.nih.gov/articles/PMC3169866/" TargetMode="External"/><Relationship Id="rId11" Type="http://schemas.openxmlformats.org/officeDocument/2006/relationships/hyperlink" Target="https://pmc.ncbi.nlm.nih.gov/articles/PMC5367235/" TargetMode="External"/><Relationship Id="rId12" Type="http://schemas.openxmlformats.org/officeDocument/2006/relationships/hyperlink" Target="https://www.nutritionintl.org/wp-content/uploads/2021/06/India-Iodine-Survey-2018-19-final-report.pdf" TargetMode="External"/><Relationship Id="rId13" Type="http://schemas.openxmlformats.org/officeDocument/2006/relationships/hyperlink" Target="https://www.dovepress.com/prevalence-of-hypothyroidism-in-patients-with-type-2-diabetes-mellitus-peer-reviewed-fulltext-article-DMSO" TargetMode="External"/><Relationship Id="rId14" Type="http://schemas.openxmlformats.org/officeDocument/2006/relationships/hyperlink" Target="https://onlinelibrary.wiley.com/doi/10.1155/2021/5515831" TargetMode="External"/><Relationship Id="rId15" Type="http://schemas.openxmlformats.org/officeDocument/2006/relationships/hyperlink" Target="https://www.ncbi.nlm.nih.gov/books/NBK278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