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Hyperthyroidism</w:t>
      </w:r>
    </w:p>
    <w:p>
      <w:pPr>
        <w:spacing w:before="0" w:after="160"/>
      </w:pPr>
      <w:r>
        <w:rPr>
          <w:rFonts w:ascii="Calibri" w:hAnsi="Calibri"/>
          <w:b/>
          <w:i w:val="0"/>
          <w:color w:val="212121"/>
          <w:sz w:val="22"/>
        </w:rPr>
        <w:t xml:space="preserve">AKA </w:t>
      </w:r>
      <w:r>
        <w:rPr>
          <w:rFonts w:ascii="Calibri" w:hAnsi="Calibri"/>
          <w:b w:val="0"/>
          <w:i w:val="0"/>
          <w:color w:val="212121"/>
          <w:sz w:val="22"/>
        </w:rPr>
        <w:t>i.e., Thyrotoxicosis, Overactive thyroid, Graves' disease (most common cause)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Hyperthyroidism is a metabolic disorder caused by excessive synthesis and secretion of thyroid hormones (thyroxine, T4, and triiodothyronine, T3) by an overactive thyroid gland, which accelerates metabolism throughout the body. It is characterised biochemically by a suppressed serum thyroid-stimulating hormone (TSH) together with elevated free T4 and/or free T3. “Thyrotoxicosis” is the broader term for the clinical state of thyroid hormone excess from any source (including gland overactivity, glandular destruction with hormone leak, or exogenous intake), whereas hyperthyroidism specifically denotes overproduction by the gland itself. Untreated, the hypermetabolic state damages the heart, bones and neuromuscular system and can culminate in life-threatening thyroid storm.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Community-based Indian surveys estimate that hyperthyroidism affects roughly 1.6% of adults. In the Cochin (Kerala) thyroid survey, subclinical hyperthyroidism was present in 1.6% and overt hyperthyroidism in 1.3% of subjects, while a Pondicherry study reported subclinical and overt rates of 0.6% and 1.2%. (An earlier list figure of ~12% was almost certainly a transcription of the Indian hypothyroidism prevalence of ~11% and is incorrect for hyperthyroidism.) It is about 10 times more common in women than in 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Hyperthyroidism is diagnosed biochemically and the underlying cause is then established with antibodies and imaging.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suppressed or low serum TSH (typically &lt; 0.1 mIU/L in overt disease) — the most sensitive first-line screening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elevated free thyroxine (free T4) and/or free triiodothyronine (free T3); isolated free-T3 elevation with normal free T4 defines “T3 toxicosis”;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subclinical hyperthyroidism = low/suppressed TSH with normal free T4 and free T3;</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TSH-receptor antibodies (TRAb / thyroid-stimulating immunoglobulin) — diagnostic of Graves' disease (TBII assay ~96–97% sensitive, ~99% specific);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radioactive iodine uptake (RAIU) and thyroid scan to differentiate cause: diffuse increased uptake in Graves', patchy uptake in toxic multinodular goiter, a single “hot” nodule in toxic adenoma, and low/absent uptake in thyroiditis, iodine-induced or exogenous thyrotoxicosis.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Hyperthyroidism/thyrotoxicosis is classified by underlying mechanism and by biochemical severity:</w:t>
      </w:r>
    </w:p>
    <w:p>
      <w:pPr>
        <w:spacing w:before="0" w:after="80"/>
      </w:pPr>
      <w:r>
        <w:rPr>
          <w:rFonts w:ascii="Calibri" w:hAnsi="Calibri"/>
          <w:b w:val="0"/>
          <w:i w:val="0"/>
          <w:color w:val="212121"/>
          <w:sz w:val="21"/>
        </w:rPr>
        <w:t>(1) Graves' disease — an autoimmune disorder in which TSH-receptor stimulating antibodies (TRAb) drive diffuse gland overactivity; it is the commonest cause overall (about 58% in an Indian thyrotoxicosis series) and the only cause associated with true orbitopathy and pretibial myxedema;</w:t>
      </w:r>
    </w:p>
    <w:p>
      <w:pPr>
        <w:spacing w:before="0" w:after="80"/>
      </w:pPr>
      <w:r>
        <w:rPr>
          <w:rFonts w:ascii="Calibri" w:hAnsi="Calibri"/>
          <w:b w:val="0"/>
          <w:i w:val="0"/>
          <w:color w:val="212121"/>
          <w:sz w:val="21"/>
        </w:rPr>
        <w:t>(2) Toxic nodular disease — toxic multinodular goiter (Plummer's disease) and toxic solitary adenoma, where autonomously functioning nodules secrete hormone independent of TSH; these predominate in older adults and in iodine-deficient regions;</w:t>
      </w:r>
    </w:p>
    <w:p>
      <w:pPr>
        <w:spacing w:before="0" w:after="80"/>
      </w:pPr>
      <w:r>
        <w:rPr>
          <w:rFonts w:ascii="Calibri" w:hAnsi="Calibri"/>
          <w:b w:val="0"/>
          <w:i w:val="0"/>
          <w:color w:val="212121"/>
          <w:sz w:val="21"/>
        </w:rPr>
        <w:t>(3) Thyroiditis — destructive release of pre-formed hormone in subacute (de Quervain), painless/silent and postpartum thyroiditis, producing transient thyrotoxicosis with characteristically LOW radioiodine uptake, often followed by a hypothyroid phase;</w:t>
      </w:r>
    </w:p>
    <w:p>
      <w:pPr>
        <w:spacing w:before="0" w:after="80"/>
      </w:pPr>
      <w:r>
        <w:rPr>
          <w:rFonts w:ascii="Calibri" w:hAnsi="Calibri"/>
          <w:b w:val="0"/>
          <w:i w:val="0"/>
          <w:color w:val="212121"/>
          <w:sz w:val="21"/>
        </w:rPr>
        <w:t>(4) Other/exogenous causes — iodine-induced hyperthyroidism (Jod-Basedow phenomenon), amiodarone- and iodinated-contrast-induced thyrotoxicosis, drug/immune-checkpoint-related, factitious (excess levothyroxine), TSH-secreting pituitary adenoma, and hCG-mediated gestational thyrotoxicosis;</w:t>
      </w:r>
    </w:p>
    <w:p>
      <w:pPr>
        <w:spacing w:before="0" w:after="80"/>
      </w:pPr>
      <w:r>
        <w:rPr>
          <w:rFonts w:ascii="Calibri" w:hAnsi="Calibri"/>
          <w:b w:val="0"/>
          <w:i w:val="0"/>
          <w:color w:val="212121"/>
          <w:sz w:val="21"/>
        </w:rPr>
        <w:t>(5) By severity — subclinical (isolated low TSH) versus overt (low TSH with high free hormones), with thyroid storm representing the extreme, decompensated, life-threatening form.</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Autoimmunity (Graves' disease): TSH-receptor stimulating antibodies (TRAb) continuously activate the receptor, causing diffuse hyperplasia and unregulated hormone output; heritability of Graves' is estimated at 60–80%.</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Thyroid nodular autonomy: somatic activating mutations of the TSH receptor or Gsα protein produce autonomously functioning nodules (toxic adenoma / toxic multinodular goiter), especially in long-standing goiter.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Iodine excess: an iodine load (kelp, supplements, amiodarone, radiographic contrast) can precipitate hyperthyroidism in autonomous or previously iodine-deficient nodular glands — the Jod-Basedow phenomenon.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Thyroiditis: viral (subacute), autoimmune (painless/postpartum) or drug-induced inflammation destroys follicles and releases stored hormone, giving transient thyrotoxicosis with low uptake.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Drugs: amiodarone, iodinated contrast, interferon-α, immune-checkpoint inhibitors (e.g., pembrolizumab) and over-replacement with levothyroxine.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triggers: cigarette smoking and major psychological stress are established precipitants of Graves' disease in genetically susceptible individuals.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predisposition: HLA (DRB1*0301), CTLA4 and PTPN22 and &gt;80 susceptibility loci confer familial risk of autoimmune thyroid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years)</w:t>
            </w:r>
          </w:p>
        </w:tc>
        <w:tc>
          <w:tcPr>
            <w:tcW w:type="dxa" w:w="4276"/>
            <w:vAlign w:val="top"/>
          </w:tcPr>
          <w:p>
            <w:pPr>
              <w:spacing w:after="60" w:line="259" w:lineRule="auto"/>
            </w:pPr>
            <w:r>
              <w:rPr>
                <w:rFonts w:ascii="Calibri" w:hAnsi="Calibri"/>
                <w:b w:val="0"/>
                <w:i w:val="0"/>
                <w:color w:val="212121"/>
                <w:sz w:val="19"/>
              </w:rPr>
              <w:t>Graves' disease — the leading cause of hyperthyroidism — has its peak incidence in this age band, when autoimmune activation is most common. Works by TRAb antibodies chronically stimulating the thyroid to overproduce hormone.</w:t>
            </w:r>
          </w:p>
          <w:p>
            <w:pPr>
              <w:spacing w:after="40" w:before="60" w:line="259" w:lineRule="auto"/>
            </w:pPr>
            <w:r>
              <w:rPr>
                <w:rFonts w:ascii="Calibri" w:hAnsi="Calibri"/>
                <w:b w:val="0"/>
                <w:i w:val="0"/>
                <w:color w:val="212121"/>
                <w:sz w:val="19"/>
              </w:rPr>
              <w:t>In an Indian thyrotoxicosis series the mean age was ~42 years and 72% of patients were under 50; Graves' incidence peaks between 30 and 50 years.</w:t>
            </w:r>
          </w:p>
          <w:p>
            <w:pPr>
              <w:spacing w:after="40" w:line="252" w:lineRule="auto"/>
            </w:pPr>
            <w:hyperlink r:id="rId9">
              <w:r>
                <w:rPr>
                  <w:rFonts w:ascii="Calibri" w:hAnsi="Calibri" w:cs="Calibri"/>
                  <w:sz w:val="18"/>
                  <w:color w:val="1155CC"/>
                  <w:u w:val="single"/>
                </w:rPr>
                <w:t xml:space="preserve">ncbi.nlm.nih.gov — Hyperthyroidism (StatPearls)</w:t>
              </w:r>
            </w:hyperlink>
          </w:p>
          <w:p>
            <w:pPr>
              <w:spacing w:before="60" w:after="40"/>
            </w:pPr>
            <w:r>
              <w:rPr>
                <w:rFonts w:ascii="Calibri" w:hAnsi="Calibri"/>
                <w:b w:val="0"/>
                <w:i w:val="0"/>
                <w:color w:val="5A5A5A"/>
                <w:sz w:val="18"/>
              </w:rPr>
              <w:t>#graves  #autoimmune  #TRAb  #youngadults  #peakincidence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toxic multinodular goiter overtakes Graves' as a cause, and presentation is often “apathetic” — dominated by cardiac symptoms (atrial fibrillation, heart failure) and weight loss rather than classic adrenergic features, so it is easily missed.</w:t>
            </w:r>
          </w:p>
          <w:p>
            <w:pPr>
              <w:spacing w:after="40" w:before="60" w:line="259" w:lineRule="auto"/>
            </w:pPr>
            <w:r>
              <w:rPr>
                <w:rFonts w:ascii="Calibri" w:hAnsi="Calibri"/>
                <w:b w:val="0"/>
                <w:i w:val="0"/>
                <w:color w:val="212121"/>
                <w:sz w:val="19"/>
              </w:rPr>
              <w:t>Roughly 1–3% of people over 60–65 years have hyperthyroidism; atrial fibrillation complicates about 15% of cases and is at least three times more common than in euthyroid elders.</w:t>
            </w:r>
          </w:p>
          <w:p>
            <w:pPr>
              <w:spacing w:after="40" w:line="252" w:lineRule="auto"/>
            </w:pPr>
            <w:hyperlink r:id="rId10">
              <w:r>
                <w:rPr>
                  <w:rFonts w:ascii="Calibri" w:hAnsi="Calibri" w:cs="Calibri"/>
                  <w:sz w:val="18"/>
                  <w:color w:val="1155CC"/>
                  <w:u w:val="single"/>
                </w:rPr>
                <w:t xml:space="preserve">ncbi.nlm.nih.gov — Hyperthyroidism in Aging (Endotext)</w:t>
              </w:r>
            </w:hyperlink>
          </w:p>
          <w:p>
            <w:pPr>
              <w:spacing w:before="60" w:after="40"/>
            </w:pPr>
            <w:r>
              <w:rPr>
                <w:rFonts w:ascii="Calibri" w:hAnsi="Calibri"/>
                <w:b w:val="0"/>
                <w:i w:val="0"/>
                <w:color w:val="5A5A5A"/>
                <w:sz w:val="18"/>
              </w:rPr>
              <w:t>#elderly  #apatheticthyrotoxicosis  #atrialfibrillation  #toxicMNG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Autoimmune and nodular thyroid disease are strongly female-predominant, reflecting oestrogen and X-linked immune influences on thyroid autoimmunity.</w:t>
            </w:r>
          </w:p>
          <w:p>
            <w:pPr>
              <w:spacing w:after="40" w:before="60" w:line="259" w:lineRule="auto"/>
            </w:pPr>
            <w:r>
              <w:rPr>
                <w:rFonts w:ascii="Calibri" w:hAnsi="Calibri"/>
                <w:b w:val="0"/>
                <w:i w:val="0"/>
                <w:color w:val="212121"/>
                <w:sz w:val="19"/>
              </w:rPr>
              <w:t>Hyperthyroidism is about 10 times more common in women than men; women made up 78% of patients in an Indian thyrotoxicosis cohort.</w:t>
            </w:r>
          </w:p>
          <w:p>
            <w:pPr>
              <w:spacing w:after="40" w:line="252" w:lineRule="auto"/>
            </w:pPr>
            <w:hyperlink r:id="rId9">
              <w:r>
                <w:rPr>
                  <w:rFonts w:ascii="Calibri" w:hAnsi="Calibri" w:cs="Calibri"/>
                  <w:sz w:val="18"/>
                  <w:color w:val="1155CC"/>
                  <w:u w:val="single"/>
                </w:rPr>
                <w:t xml:space="preserve">ncbi.nlm.nih.gov — Hyperthyroidism (StatPearls)</w:t>
              </w:r>
            </w:hyperlink>
          </w:p>
          <w:p>
            <w:pPr>
              <w:spacing w:before="60" w:after="40"/>
            </w:pPr>
            <w:r>
              <w:rPr>
                <w:rFonts w:ascii="Calibri" w:hAnsi="Calibri"/>
                <w:b w:val="0"/>
                <w:i w:val="0"/>
                <w:color w:val="5A5A5A"/>
                <w:sz w:val="18"/>
              </w:rPr>
              <w:t>#female  #autoimmune  #hormonal  #sexdisparity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Reproductive status</w:t>
            </w:r>
          </w:p>
        </w:tc>
        <w:tc>
          <w:tcPr>
            <w:tcW w:type="dxa" w:w="2160"/>
            <w:vAlign w:val="top"/>
          </w:tcPr>
          <w:p>
            <w:pPr>
              <w:spacing w:after="40" w:before="0" w:line="259" w:lineRule="auto"/>
            </w:pPr>
            <w:r>
              <w:rPr>
                <w:rFonts w:ascii="Calibri" w:hAnsi="Calibri"/>
                <w:b w:val="0"/>
                <w:i w:val="0"/>
                <w:color w:val="212121"/>
                <w:sz w:val="19"/>
              </w:rPr>
              <w:t>Pregnant &amp; postpartum women</w:t>
            </w:r>
          </w:p>
        </w:tc>
        <w:tc>
          <w:tcPr>
            <w:tcW w:type="dxa" w:w="4276"/>
            <w:vAlign w:val="top"/>
          </w:tcPr>
          <w:p>
            <w:pPr>
              <w:spacing w:after="60" w:line="259" w:lineRule="auto"/>
            </w:pPr>
            <w:r>
              <w:rPr>
                <w:rFonts w:ascii="Calibri" w:hAnsi="Calibri"/>
                <w:b w:val="0"/>
                <w:i w:val="0"/>
                <w:color w:val="212121"/>
                <w:sz w:val="19"/>
              </w:rPr>
              <w:t>hCG (structurally similar to TSH) can drive gestational thyrotoxicosis, and the postpartum period triggers autoimmune (postpartum) thyroiditis with a transient hyperthyroid phase; Graves' can also flare after delivery.</w:t>
            </w:r>
          </w:p>
          <w:p>
            <w:pPr>
              <w:spacing w:after="40" w:before="60" w:line="259" w:lineRule="auto"/>
            </w:pPr>
            <w:r>
              <w:rPr>
                <w:rFonts w:ascii="Calibri" w:hAnsi="Calibri"/>
                <w:b w:val="0"/>
                <w:i w:val="0"/>
                <w:color w:val="212121"/>
                <w:sz w:val="19"/>
              </w:rPr>
              <w:t>Postpartum thyroiditis affects roughly 1.1–9% of women after delivery, with up to 25% progressing to permanent hypothyroidism.</w:t>
            </w:r>
          </w:p>
          <w:p>
            <w:pPr>
              <w:spacing w:after="40" w:line="252" w:lineRule="auto"/>
            </w:pPr>
            <w:hyperlink r:id="rId11">
              <w:r>
                <w:rPr>
                  <w:rFonts w:ascii="Calibri" w:hAnsi="Calibri" w:cs="Calibri"/>
                  <w:sz w:val="18"/>
                  <w:color w:val="1155CC"/>
                  <w:u w:val="single"/>
                </w:rPr>
                <w:t xml:space="preserve">aafp.org — Thyroiditis: An Integrated Approach</w:t>
              </w:r>
            </w:hyperlink>
          </w:p>
          <w:p>
            <w:pPr>
              <w:spacing w:before="60" w:after="40"/>
            </w:pPr>
            <w:r>
              <w:rPr>
                <w:rFonts w:ascii="Calibri" w:hAnsi="Calibri"/>
                <w:b w:val="0"/>
                <w:i w:val="0"/>
                <w:color w:val="5A5A5A"/>
                <w:sz w:val="18"/>
              </w:rPr>
              <w:t>#postpartum  #pregnancy  #hCG  #transientthyrotoxicosis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South Indian &amp; coastal (iodine-replete) populations</w:t>
            </w:r>
          </w:p>
        </w:tc>
        <w:tc>
          <w:tcPr>
            <w:tcW w:type="dxa" w:w="4276"/>
            <w:vAlign w:val="top"/>
          </w:tcPr>
          <w:p>
            <w:pPr>
              <w:spacing w:after="60" w:line="259" w:lineRule="auto"/>
            </w:pPr>
            <w:r>
              <w:rPr>
                <w:rFonts w:ascii="Calibri" w:hAnsi="Calibri"/>
                <w:b w:val="0"/>
                <w:i w:val="0"/>
                <w:color w:val="212121"/>
                <w:sz w:val="19"/>
              </w:rPr>
              <w:t>In iodine-sufficient areas such as coastal South India (e.g., Kerala/Cochin), autoimmune Graves' disease is the dominant form of hyperthyroidism, consistent with the pattern seen in iodine-replete regions worldwide.</w:t>
            </w:r>
          </w:p>
          <w:p>
            <w:pPr>
              <w:spacing w:after="40" w:before="60" w:line="259" w:lineRule="auto"/>
            </w:pPr>
            <w:r>
              <w:rPr>
                <w:rFonts w:ascii="Calibri" w:hAnsi="Calibri"/>
                <w:b w:val="0"/>
                <w:i w:val="0"/>
                <w:color w:val="212121"/>
                <w:sz w:val="19"/>
              </w:rPr>
              <w:t>The Cochin (Kerala) community survey found subclinical hyperthyroidism in 1.6% and overt hyperthyroidism in 1.3% of adults.</w:t>
            </w:r>
          </w:p>
          <w:p>
            <w:pPr>
              <w:spacing w:after="40" w:line="252" w:lineRule="auto"/>
            </w:pPr>
            <w:hyperlink r:id="rId12">
              <w:r>
                <w:rPr>
                  <w:rFonts w:ascii="Calibri" w:hAnsi="Calibri" w:cs="Calibri"/>
                  <w:sz w:val="18"/>
                  <w:color w:val="1155CC"/>
                  <w:u w:val="single"/>
                </w:rPr>
                <w:t xml:space="preserve">pubmed.ncbi.nlm.nih.gov/21966658 — Thyroid disorders in India</w:t>
              </w:r>
            </w:hyperlink>
          </w:p>
          <w:p>
            <w:pPr>
              <w:spacing w:before="60" w:after="40"/>
            </w:pPr>
            <w:r>
              <w:rPr>
                <w:rFonts w:ascii="Calibri" w:hAnsi="Calibri"/>
                <w:b w:val="0"/>
                <w:i w:val="0"/>
                <w:color w:val="5A5A5A"/>
                <w:sz w:val="18"/>
              </w:rPr>
              <w:t>#india  #kerala  #iodinereplete  #graves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Iodine status</w:t>
            </w:r>
          </w:p>
        </w:tc>
        <w:tc>
          <w:tcPr>
            <w:tcW w:type="dxa" w:w="2160"/>
            <w:vAlign w:val="top"/>
          </w:tcPr>
          <w:p>
            <w:pPr>
              <w:spacing w:after="40" w:before="0" w:line="259" w:lineRule="auto"/>
            </w:pPr>
            <w:r>
              <w:rPr>
                <w:rFonts w:ascii="Calibri" w:hAnsi="Calibri"/>
                <w:b w:val="0"/>
                <w:i w:val="0"/>
                <w:color w:val="212121"/>
                <w:sz w:val="19"/>
              </w:rPr>
              <w:t>Formerly iodine-deficient / goiter-endemic belts (sub-Himalayan, hilly regions)</w:t>
            </w:r>
          </w:p>
        </w:tc>
        <w:tc>
          <w:tcPr>
            <w:tcW w:type="dxa" w:w="4276"/>
            <w:vAlign w:val="top"/>
          </w:tcPr>
          <w:p>
            <w:pPr>
              <w:spacing w:after="60" w:line="259" w:lineRule="auto"/>
            </w:pPr>
            <w:r>
              <w:rPr>
                <w:rFonts w:ascii="Calibri" w:hAnsi="Calibri"/>
                <w:b w:val="0"/>
                <w:i w:val="0"/>
                <w:color w:val="212121"/>
                <w:sz w:val="19"/>
              </w:rPr>
              <w:t>In regions with long-standing goiter, autonomous nodules accumulate; when iodine intake rises (universal salt iodization, supplements, contrast), these nodules can be pushed into overt hyperthyroidism — the Jod-Basedow phenomenon.</w:t>
            </w:r>
          </w:p>
          <w:p>
            <w:pPr>
              <w:spacing w:after="40" w:before="60" w:line="259" w:lineRule="auto"/>
            </w:pPr>
            <w:r>
              <w:rPr>
                <w:rFonts w:ascii="Calibri" w:hAnsi="Calibri"/>
                <w:b w:val="0"/>
                <w:i w:val="0"/>
                <w:color w:val="212121"/>
                <w:sz w:val="19"/>
              </w:rPr>
              <w:t>Iodine-induced hyperthyroidism classically emerges in older patients with pre-existing nodular goiter following an iodine load.</w:t>
            </w:r>
          </w:p>
          <w:p>
            <w:pPr>
              <w:spacing w:after="40" w:line="252" w:lineRule="auto"/>
            </w:pPr>
            <w:hyperlink r:id="rId13">
              <w:r>
                <w:rPr>
                  <w:rFonts w:ascii="Calibri" w:hAnsi="Calibri" w:cs="Calibri"/>
                  <w:sz w:val="18"/>
                  <w:color w:val="1155CC"/>
                  <w:u w:val="single"/>
                </w:rPr>
                <w:t xml:space="preserve">ncbi.nlm.nih.gov — Jod-Basedow Syndrome (StatPearls)</w:t>
              </w:r>
            </w:hyperlink>
          </w:p>
          <w:p>
            <w:pPr>
              <w:spacing w:before="60" w:after="40"/>
            </w:pPr>
            <w:r>
              <w:rPr>
                <w:rFonts w:ascii="Calibri" w:hAnsi="Calibri"/>
                <w:b w:val="0"/>
                <w:i w:val="0"/>
                <w:color w:val="5A5A5A"/>
                <w:sz w:val="18"/>
              </w:rPr>
              <w:t>#iodine  #jodbasedow  #nodulargoiter  #saltiodization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cigarette smokers</w:t>
            </w:r>
          </w:p>
        </w:tc>
        <w:tc>
          <w:tcPr>
            <w:tcW w:type="dxa" w:w="4276"/>
            <w:vAlign w:val="top"/>
          </w:tcPr>
          <w:p>
            <w:pPr>
              <w:spacing w:after="60" w:line="259" w:lineRule="auto"/>
            </w:pPr>
            <w:r>
              <w:rPr>
                <w:rFonts w:ascii="Calibri" w:hAnsi="Calibri"/>
                <w:b w:val="0"/>
                <w:i w:val="0"/>
                <w:color w:val="212121"/>
                <w:sz w:val="19"/>
              </w:rPr>
              <w:t>Smoking is an established risk factor for Graves' disease and, in particular, for Graves' orbitopathy; combustion products promote thyroid autoimmunity and orbital inflammation.</w:t>
            </w:r>
          </w:p>
          <w:p>
            <w:pPr>
              <w:spacing w:after="40" w:before="60" w:line="259" w:lineRule="auto"/>
            </w:pPr>
            <w:r>
              <w:rPr>
                <w:rFonts w:ascii="Calibri" w:hAnsi="Calibri"/>
                <w:b w:val="0"/>
                <w:i w:val="0"/>
                <w:color w:val="212121"/>
                <w:sz w:val="19"/>
              </w:rPr>
              <w:t>Smokers have roughly double the risk of thyroid eye disease (about 8-fold in heavy smokers), a ~4× higher risk of eye disease after radioiodine, and are ~3× more likely to relapse after antithyroid therapy.</w:t>
            </w:r>
          </w:p>
          <w:p>
            <w:pPr>
              <w:spacing w:after="40" w:line="252" w:lineRule="auto"/>
            </w:pPr>
            <w:hyperlink r:id="rId14">
              <w:r>
                <w:rPr>
                  <w:rFonts w:ascii="Calibri" w:hAnsi="Calibri" w:cs="Calibri"/>
                  <w:sz w:val="18"/>
                  <w:color w:val="1155CC"/>
                  <w:u w:val="single"/>
                </w:rPr>
                <w:t xml:space="preserve">medicalnewstoday.com — Smoking and Graves' disease</w:t>
              </w:r>
            </w:hyperlink>
          </w:p>
          <w:p>
            <w:pPr>
              <w:spacing w:before="60" w:after="40"/>
            </w:pPr>
            <w:r>
              <w:rPr>
                <w:rFonts w:ascii="Calibri" w:hAnsi="Calibri"/>
                <w:b w:val="0"/>
                <w:i w:val="0"/>
                <w:color w:val="5A5A5A"/>
                <w:sz w:val="18"/>
              </w:rPr>
              <w:t>#smoking  #gravesorbitopathy  #TED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Lifelong abstainers (inverse association)</w:t>
            </w:r>
          </w:p>
        </w:tc>
        <w:tc>
          <w:tcPr>
            <w:tcW w:type="dxa" w:w="4276"/>
            <w:vAlign w:val="top"/>
          </w:tcPr>
          <w:p>
            <w:pPr>
              <w:spacing w:after="60" w:line="259" w:lineRule="auto"/>
            </w:pPr>
            <w:r>
              <w:rPr>
                <w:rFonts w:ascii="Calibri" w:hAnsi="Calibri"/>
                <w:b w:val="0"/>
                <w:i w:val="0"/>
                <w:color w:val="212121"/>
                <w:sz w:val="19"/>
              </w:rPr>
              <w:t>Unusually, moderate alcohol intake shows an inverse (protective) association with Graves' disease, so abstainers carry comparatively higher risk; the mechanism may involve immunomodulation. Alcohol is NOT recommended as prevention.</w:t>
            </w:r>
          </w:p>
          <w:p>
            <w:pPr>
              <w:spacing w:after="40" w:before="60" w:line="259" w:lineRule="auto"/>
            </w:pPr>
            <w:r>
              <w:rPr>
                <w:rFonts w:ascii="Calibri" w:hAnsi="Calibri"/>
                <w:b w:val="0"/>
                <w:i w:val="0"/>
                <w:color w:val="212121"/>
                <w:sz w:val="19"/>
              </w:rPr>
              <w:t>The odds ratio for developing Graves' disease between abstainers and minimal alcohol consumers was ~1.7, with protection seen from as little as ~1 drink/week up to ~120 g/week.</w:t>
            </w:r>
          </w:p>
          <w:p>
            <w:pPr>
              <w:spacing w:after="40" w:line="252" w:lineRule="auto"/>
            </w:pPr>
            <w:hyperlink r:id="rId15">
              <w:r>
                <w:rPr>
                  <w:rFonts w:ascii="Calibri" w:hAnsi="Calibri" w:cs="Calibri"/>
                  <w:sz w:val="18"/>
                  <w:color w:val="1155CC"/>
                  <w:u w:val="single"/>
                </w:rPr>
                <w:t xml:space="preserve">thyroid.org — Clinical Thyroidology (Carlé et al.)</w:t>
              </w:r>
            </w:hyperlink>
          </w:p>
          <w:p>
            <w:pPr>
              <w:spacing w:before="60" w:after="40"/>
            </w:pPr>
            <w:r>
              <w:rPr>
                <w:rFonts w:ascii="Calibri" w:hAnsi="Calibri"/>
                <w:b w:val="0"/>
                <w:i w:val="0"/>
                <w:color w:val="5A5A5A"/>
                <w:sz w:val="18"/>
              </w:rPr>
              <w:t>#alcohol  #inverseassociation  #graves  #immunomodulation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Individuals under major/chronic stress</w:t>
            </w:r>
          </w:p>
        </w:tc>
        <w:tc>
          <w:tcPr>
            <w:tcW w:type="dxa" w:w="4276"/>
            <w:vAlign w:val="top"/>
          </w:tcPr>
          <w:p>
            <w:pPr>
              <w:spacing w:after="60" w:line="259" w:lineRule="auto"/>
            </w:pPr>
            <w:r>
              <w:rPr>
                <w:rFonts w:ascii="Calibri" w:hAnsi="Calibri"/>
                <w:b w:val="0"/>
                <w:i w:val="0"/>
                <w:color w:val="212121"/>
                <w:sz w:val="19"/>
              </w:rPr>
              <w:t>Major stressful life events can precipitate the onset of Graves' disease in susceptible individuals, probably via stress-related modulation of the immune system and the hypothalamic-pituitary-adrenal axis.</w:t>
            </w:r>
          </w:p>
          <w:p>
            <w:pPr>
              <w:spacing w:after="40" w:before="60" w:line="259" w:lineRule="auto"/>
            </w:pPr>
            <w:r>
              <w:rPr>
                <w:rFonts w:ascii="Calibri" w:hAnsi="Calibri"/>
                <w:b w:val="0"/>
                <w:i w:val="0"/>
                <w:color w:val="212121"/>
                <w:sz w:val="19"/>
              </w:rPr>
              <w:t>Case-control studies report a significantly higher number and impact of stressful life events preceding the onset of Graves' disease.</w:t>
            </w:r>
          </w:p>
          <w:p>
            <w:pPr>
              <w:spacing w:after="40" w:line="252" w:lineRule="auto"/>
            </w:pPr>
            <w:hyperlink r:id="rId16">
              <w:r>
                <w:rPr>
                  <w:rFonts w:ascii="Calibri" w:hAnsi="Calibri" w:cs="Calibri"/>
                  <w:sz w:val="18"/>
                  <w:color w:val="1155CC"/>
                  <w:u w:val="single"/>
                </w:rPr>
                <w:t xml:space="preserve">pubmed.ncbi.nlm.nih.gov/11453947 — stressful life events &amp; Graves'</w:t>
              </w:r>
            </w:hyperlink>
          </w:p>
          <w:p>
            <w:pPr>
              <w:spacing w:before="60" w:after="40"/>
            </w:pPr>
            <w:r>
              <w:rPr>
                <w:rFonts w:ascii="Calibri" w:hAnsi="Calibri"/>
                <w:b w:val="0"/>
                <w:i w:val="0"/>
                <w:color w:val="5A5A5A"/>
                <w:sz w:val="18"/>
              </w:rPr>
              <w:t>#stress  #lifeevents  #graves  #HPAaxis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Iodine intake</w:t>
            </w:r>
          </w:p>
        </w:tc>
        <w:tc>
          <w:tcPr>
            <w:tcW w:type="dxa" w:w="2160"/>
            <w:vAlign w:val="top"/>
          </w:tcPr>
          <w:p>
            <w:pPr>
              <w:spacing w:after="40" w:before="0" w:line="259" w:lineRule="auto"/>
            </w:pPr>
            <w:r>
              <w:rPr>
                <w:rFonts w:ascii="Calibri" w:hAnsi="Calibri"/>
                <w:b w:val="0"/>
                <w:i w:val="0"/>
                <w:color w:val="212121"/>
                <w:sz w:val="19"/>
              </w:rPr>
              <w:t>High iodine consumers (kelp/seaweed, iodine supplements, contrast)</w:t>
            </w:r>
          </w:p>
        </w:tc>
        <w:tc>
          <w:tcPr>
            <w:tcW w:type="dxa" w:w="4276"/>
            <w:vAlign w:val="top"/>
          </w:tcPr>
          <w:p>
            <w:pPr>
              <w:spacing w:after="60" w:line="259" w:lineRule="auto"/>
            </w:pPr>
            <w:r>
              <w:rPr>
                <w:rFonts w:ascii="Calibri" w:hAnsi="Calibri"/>
                <w:b w:val="0"/>
                <w:i w:val="0"/>
                <w:color w:val="212121"/>
                <w:sz w:val="19"/>
              </w:rPr>
              <w:t>A sudden iodine load provides excess substrate to autonomous thyroid tissue, precipitating hyperthyroidism especially where nodular autonomy exists; amiodarone (37% iodine by weight) is a classic culprit.</w:t>
            </w:r>
          </w:p>
          <w:p>
            <w:pPr>
              <w:spacing w:after="40" w:before="60" w:line="259" w:lineRule="auto"/>
            </w:pPr>
            <w:r>
              <w:rPr>
                <w:rFonts w:ascii="Calibri" w:hAnsi="Calibri"/>
                <w:b w:val="0"/>
                <w:i w:val="0"/>
                <w:color w:val="212121"/>
                <w:sz w:val="19"/>
              </w:rPr>
              <w:t>Amiodarone-induced thyrotoxicosis occurs in about 6% of treated patients in iodine-sufficient and up to ~10% in iodine-deficient areas.</w:t>
            </w:r>
          </w:p>
          <w:p>
            <w:pPr>
              <w:spacing w:after="40" w:line="252" w:lineRule="auto"/>
            </w:pPr>
            <w:hyperlink r:id="rId9">
              <w:r>
                <w:rPr>
                  <w:rFonts w:ascii="Calibri" w:hAnsi="Calibri" w:cs="Calibri"/>
                  <w:sz w:val="18"/>
                  <w:color w:val="1155CC"/>
                  <w:u w:val="single"/>
                </w:rPr>
                <w:t xml:space="preserve">ncbi.nlm.nih.gov — Hyperthyroidism (StatPearls)</w:t>
              </w:r>
            </w:hyperlink>
          </w:p>
          <w:p>
            <w:pPr>
              <w:spacing w:before="60" w:after="40"/>
            </w:pPr>
            <w:r>
              <w:rPr>
                <w:rFonts w:ascii="Calibri" w:hAnsi="Calibri"/>
                <w:b w:val="0"/>
                <w:i w:val="0"/>
                <w:color w:val="5A5A5A"/>
                <w:sz w:val="18"/>
              </w:rPr>
              <w:t>#iodine  #amiodarone  #kelp  #substrateexcess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autoimmune thyroid disease</w:t>
            </w:r>
          </w:p>
        </w:tc>
        <w:tc>
          <w:tcPr>
            <w:tcW w:type="dxa" w:w="4276"/>
            <w:vAlign w:val="top"/>
          </w:tcPr>
          <w:p>
            <w:pPr>
              <w:spacing w:after="60" w:line="259" w:lineRule="auto"/>
            </w:pPr>
            <w:r>
              <w:rPr>
                <w:rFonts w:ascii="Calibri" w:hAnsi="Calibri"/>
                <w:b w:val="0"/>
                <w:i w:val="0"/>
                <w:color w:val="212121"/>
                <w:sz w:val="19"/>
              </w:rPr>
              <w:t>Graves' disease is highly heritable; a family history of Graves', Hashimoto's or other autoimmune disease markedly raises risk through shared HLA, CTLA4 and PTPN22 susceptibility.</w:t>
            </w:r>
          </w:p>
          <w:p>
            <w:pPr>
              <w:spacing w:after="40" w:before="60" w:line="259" w:lineRule="auto"/>
            </w:pPr>
            <w:r>
              <w:rPr>
                <w:rFonts w:ascii="Calibri" w:hAnsi="Calibri"/>
                <w:b w:val="0"/>
                <w:i w:val="0"/>
                <w:color w:val="212121"/>
                <w:sz w:val="19"/>
              </w:rPr>
              <w:t>Monozygotic-twin concordance for Graves' is ~20–35% versus ~2–3% for dizygotic twins, and heritability is estimated at 60–80%; siblings of patients have an 8–10× higher risk.</w:t>
            </w:r>
          </w:p>
          <w:p>
            <w:pPr>
              <w:spacing w:after="40" w:line="252" w:lineRule="auto"/>
            </w:pPr>
            <w:hyperlink r:id="rId17">
              <w:r>
                <w:rPr>
                  <w:rFonts w:ascii="Calibri" w:hAnsi="Calibri" w:cs="Calibri"/>
                  <w:sz w:val="18"/>
                  <w:color w:val="1155CC"/>
                  <w:u w:val="single"/>
                </w:rPr>
                <w:t xml:space="preserve">link.springer.com — The genetics of Graves' disease</w:t>
              </w:r>
            </w:hyperlink>
          </w:p>
          <w:p>
            <w:pPr>
              <w:spacing w:before="60" w:after="40"/>
            </w:pPr>
            <w:r>
              <w:rPr>
                <w:rFonts w:ascii="Calibri" w:hAnsi="Calibri"/>
                <w:b w:val="0"/>
                <w:i w:val="0"/>
                <w:color w:val="5A5A5A"/>
                <w:sz w:val="18"/>
              </w:rPr>
              <w:t>#genetics  #twins  #HLA  #familyhistory  #heritability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Other autoimmune disease</w:t>
            </w:r>
          </w:p>
        </w:tc>
        <w:tc>
          <w:tcPr>
            <w:tcW w:type="dxa" w:w="2160"/>
            <w:vAlign w:val="top"/>
          </w:tcPr>
          <w:p>
            <w:pPr>
              <w:spacing w:after="40" w:before="0" w:line="259" w:lineRule="auto"/>
            </w:pPr>
            <w:r>
              <w:rPr>
                <w:rFonts w:ascii="Calibri" w:hAnsi="Calibri"/>
                <w:b w:val="0"/>
                <w:i w:val="0"/>
                <w:color w:val="212121"/>
                <w:sz w:val="19"/>
              </w:rPr>
              <w:t>Type 1 diabetes, vitiligo, pernicious anemia, celiac disease, rheumatoid arthritis</w:t>
            </w:r>
          </w:p>
        </w:tc>
        <w:tc>
          <w:tcPr>
            <w:tcW w:type="dxa" w:w="4276"/>
            <w:vAlign w:val="top"/>
          </w:tcPr>
          <w:p>
            <w:pPr>
              <w:spacing w:after="60" w:line="259" w:lineRule="auto"/>
            </w:pPr>
            <w:r>
              <w:rPr>
                <w:rFonts w:ascii="Calibri" w:hAnsi="Calibri"/>
                <w:b w:val="0"/>
                <w:i w:val="0"/>
                <w:color w:val="212121"/>
                <w:sz w:val="19"/>
              </w:rPr>
              <w:t>Autoimmune thyroid disease clusters with other organ-specific autoimmune conditions (autoimmune polyglandular tendency), so these patients are at elevated risk of Graves' hyperthyroidism.</w:t>
            </w:r>
          </w:p>
          <w:p>
            <w:pPr>
              <w:spacing w:after="40" w:before="60" w:line="259" w:lineRule="auto"/>
            </w:pPr>
            <w:r>
              <w:rPr>
                <w:rFonts w:ascii="Calibri" w:hAnsi="Calibri"/>
                <w:b w:val="0"/>
                <w:i w:val="0"/>
                <w:color w:val="212121"/>
                <w:sz w:val="19"/>
              </w:rPr>
              <w:t>Graves' disease shares HLA and CTLA4 susceptibility with type 1 diabetes and other autoimmune disorders and frequently co-occurs with them.</w:t>
            </w:r>
          </w:p>
          <w:p>
            <w:pPr>
              <w:spacing w:after="40" w:line="252" w:lineRule="auto"/>
            </w:pPr>
            <w:hyperlink r:id="rId17">
              <w:r>
                <w:rPr>
                  <w:rFonts w:ascii="Calibri" w:hAnsi="Calibri" w:cs="Calibri"/>
                  <w:sz w:val="18"/>
                  <w:color w:val="1155CC"/>
                  <w:u w:val="single"/>
                </w:rPr>
                <w:t xml:space="preserve">link.springer.com — The genetics of Graves' disease</w:t>
              </w:r>
            </w:hyperlink>
          </w:p>
          <w:p>
            <w:pPr>
              <w:spacing w:before="60" w:after="40"/>
            </w:pPr>
            <w:r>
              <w:rPr>
                <w:rFonts w:ascii="Calibri" w:hAnsi="Calibri"/>
                <w:b w:val="0"/>
                <w:i w:val="0"/>
                <w:color w:val="5A5A5A"/>
                <w:sz w:val="18"/>
              </w:rPr>
              <w:t>#autoimmunity  #T1DM  #vitiligo  #polyglandular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Nodular goiter</w:t>
            </w:r>
          </w:p>
        </w:tc>
        <w:tc>
          <w:tcPr>
            <w:tcW w:type="dxa" w:w="2160"/>
            <w:vAlign w:val="top"/>
          </w:tcPr>
          <w:p>
            <w:pPr>
              <w:spacing w:after="40" w:before="0" w:line="259" w:lineRule="auto"/>
            </w:pPr>
            <w:r>
              <w:rPr>
                <w:rFonts w:ascii="Calibri" w:hAnsi="Calibri"/>
                <w:b w:val="0"/>
                <w:i w:val="0"/>
                <w:color w:val="212121"/>
                <w:sz w:val="19"/>
              </w:rPr>
              <w:t>Patients with pre-existing multinodular goiter</w:t>
            </w:r>
          </w:p>
        </w:tc>
        <w:tc>
          <w:tcPr>
            <w:tcW w:type="dxa" w:w="4276"/>
            <w:vAlign w:val="top"/>
          </w:tcPr>
          <w:p>
            <w:pPr>
              <w:spacing w:after="60" w:line="259" w:lineRule="auto"/>
            </w:pPr>
            <w:r>
              <w:rPr>
                <w:rFonts w:ascii="Calibri" w:hAnsi="Calibri"/>
                <w:b w:val="0"/>
                <w:i w:val="0"/>
                <w:color w:val="212121"/>
                <w:sz w:val="19"/>
              </w:rPr>
              <w:t>Long-standing nodular goiters accumulate autonomously functioning tissue that can progress to subclinical then overt toxic multinodular goiter, particularly after an iodine load or with advancing age.</w:t>
            </w:r>
          </w:p>
          <w:p>
            <w:pPr>
              <w:spacing w:after="40" w:before="60" w:line="259" w:lineRule="auto"/>
            </w:pPr>
            <w:r>
              <w:rPr>
                <w:rFonts w:ascii="Calibri" w:hAnsi="Calibri"/>
                <w:b w:val="0"/>
                <w:i w:val="0"/>
                <w:color w:val="212121"/>
                <w:sz w:val="19"/>
              </w:rPr>
              <w:t>Toxic multinodular goiter accounted for ~15% of thyrotoxicosis in an Indian series and is a leading cause in the elderly.</w:t>
            </w:r>
          </w:p>
          <w:p>
            <w:pPr>
              <w:spacing w:after="40" w:line="252" w:lineRule="auto"/>
            </w:pPr>
            <w:hyperlink r:id="rId18">
              <w:r>
                <w:rPr>
                  <w:rFonts w:ascii="Calibri" w:hAnsi="Calibri" w:cs="Calibri"/>
                  <w:sz w:val="18"/>
                  <w:color w:val="1155CC"/>
                  <w:u w:val="single"/>
                </w:rPr>
                <w:t xml:space="preserve">msjonline.org — Clinical profile of thyrotoxicosis (India)</w:t>
              </w:r>
            </w:hyperlink>
          </w:p>
          <w:p>
            <w:pPr>
              <w:spacing w:before="60" w:after="40"/>
            </w:pPr>
            <w:r>
              <w:rPr>
                <w:rFonts w:ascii="Calibri" w:hAnsi="Calibri"/>
                <w:b w:val="0"/>
                <w:i w:val="0"/>
                <w:color w:val="5A5A5A"/>
                <w:sz w:val="18"/>
              </w:rPr>
              <w:t>#toxicMNG  #nodulargoiter  #autonomy  #elderly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Atrial fibrillation</w:t>
            </w:r>
          </w:p>
        </w:tc>
        <w:tc>
          <w:tcPr>
            <w:tcW w:type="dxa" w:w="2160"/>
            <w:vAlign w:val="top"/>
          </w:tcPr>
          <w:p>
            <w:pPr>
              <w:spacing w:after="40" w:before="0" w:line="259" w:lineRule="auto"/>
            </w:pPr>
            <w:r>
              <w:rPr>
                <w:rFonts w:ascii="Calibri" w:hAnsi="Calibri"/>
                <w:b w:val="0"/>
                <w:i w:val="0"/>
                <w:color w:val="212121"/>
                <w:sz w:val="19"/>
              </w:rPr>
              <w:t>Patients presenting with new atrial fibrillation</w:t>
            </w:r>
          </w:p>
        </w:tc>
        <w:tc>
          <w:tcPr>
            <w:tcW w:type="dxa" w:w="4276"/>
            <w:vAlign w:val="top"/>
          </w:tcPr>
          <w:p>
            <w:pPr>
              <w:spacing w:after="60" w:line="259" w:lineRule="auto"/>
            </w:pPr>
            <w:r>
              <w:rPr>
                <w:rFonts w:ascii="Calibri" w:hAnsi="Calibri"/>
                <w:b w:val="0"/>
                <w:i w:val="0"/>
                <w:color w:val="212121"/>
                <w:sz w:val="19"/>
              </w:rPr>
              <w:t>Hyperthyroidism (including subclinical disease) is a reversible cause of atrial fibrillation, so unexplained AF warrants thyroid function testing; excess thyroid hormone shortens atrial refractoriness and increases automaticity.</w:t>
            </w:r>
          </w:p>
          <w:p>
            <w:pPr>
              <w:spacing w:after="40" w:before="60" w:line="259" w:lineRule="auto"/>
            </w:pPr>
            <w:r>
              <w:rPr>
                <w:rFonts w:ascii="Calibri" w:hAnsi="Calibri"/>
                <w:b w:val="0"/>
                <w:i w:val="0"/>
                <w:color w:val="212121"/>
                <w:sz w:val="19"/>
              </w:rPr>
              <w:t>Atrial fibrillation was present in ~28% of patients with subclinical hyperthyroidism versus ~10% of euthyroid individuals, with a relative risk around 3.8 at TSH &lt; 0.1 mIU/L.</w:t>
            </w:r>
          </w:p>
          <w:p>
            <w:pPr>
              <w:spacing w:after="40" w:line="252" w:lineRule="auto"/>
            </w:pPr>
            <w:hyperlink r:id="rId19">
              <w:r>
                <w:rPr>
                  <w:rFonts w:ascii="Calibri" w:hAnsi="Calibri" w:cs="Calibri"/>
                  <w:sz w:val="18"/>
                  <w:color w:val="1155CC"/>
                  <w:u w:val="single"/>
                </w:rPr>
                <w:t xml:space="preserve">frontiersin.org — AF with subclinical hyperthyroidism</w:t>
              </w:r>
            </w:hyperlink>
          </w:p>
          <w:p>
            <w:pPr>
              <w:spacing w:before="60" w:after="40"/>
            </w:pPr>
            <w:r>
              <w:rPr>
                <w:rFonts w:ascii="Calibri" w:hAnsi="Calibri"/>
                <w:b w:val="0"/>
                <w:i w:val="0"/>
                <w:color w:val="5A5A5A"/>
                <w:sz w:val="18"/>
              </w:rPr>
              <w:t>#atrialfibrillation  #subclinical  #reversiblecause  #cardiac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Drug exposure</w:t>
            </w:r>
          </w:p>
        </w:tc>
        <w:tc>
          <w:tcPr>
            <w:tcW w:type="dxa" w:w="2160"/>
            <w:vAlign w:val="top"/>
          </w:tcPr>
          <w:p>
            <w:pPr>
              <w:spacing w:after="40" w:before="0" w:line="259" w:lineRule="auto"/>
            </w:pPr>
            <w:r>
              <w:rPr>
                <w:rFonts w:ascii="Calibri" w:hAnsi="Calibri"/>
                <w:b w:val="0"/>
                <w:i w:val="0"/>
                <w:color w:val="212121"/>
                <w:sz w:val="19"/>
              </w:rPr>
              <w:t>Patients on amiodarone or immune-checkpoint inhibitors</w:t>
            </w:r>
          </w:p>
        </w:tc>
        <w:tc>
          <w:tcPr>
            <w:tcW w:type="dxa" w:w="4276"/>
            <w:vAlign w:val="top"/>
          </w:tcPr>
          <w:p>
            <w:pPr>
              <w:spacing w:after="60" w:line="259" w:lineRule="auto"/>
            </w:pPr>
            <w:r>
              <w:rPr>
                <w:rFonts w:ascii="Calibri" w:hAnsi="Calibri"/>
                <w:b w:val="0"/>
                <w:i w:val="0"/>
                <w:color w:val="212121"/>
                <w:sz w:val="19"/>
              </w:rPr>
              <w:t>Amiodarone delivers a huge iodine load and can be directly thyrotoxic, while immune-checkpoint inhibitors trigger immune-mediated thyroiditis; both can cause thyrotoxicosis requiring monitoring.</w:t>
            </w:r>
          </w:p>
          <w:p>
            <w:pPr>
              <w:spacing w:after="40" w:before="60" w:line="259" w:lineRule="auto"/>
            </w:pPr>
            <w:r>
              <w:rPr>
                <w:rFonts w:ascii="Calibri" w:hAnsi="Calibri"/>
                <w:b w:val="0"/>
                <w:i w:val="0"/>
                <w:color w:val="212121"/>
                <w:sz w:val="19"/>
              </w:rPr>
              <w:t>Amiodarone-induced thyrotoxicosis affects ~6% of users in iodine-sufficient regions and up to ~10% in iodine-deficient regions.</w:t>
            </w:r>
          </w:p>
          <w:p>
            <w:pPr>
              <w:spacing w:after="40" w:line="252" w:lineRule="auto"/>
            </w:pPr>
            <w:hyperlink r:id="rId9">
              <w:r>
                <w:rPr>
                  <w:rFonts w:ascii="Calibri" w:hAnsi="Calibri" w:cs="Calibri"/>
                  <w:sz w:val="18"/>
                  <w:color w:val="1155CC"/>
                  <w:u w:val="single"/>
                </w:rPr>
                <w:t xml:space="preserve">ncbi.nlm.nih.gov — Hyperthyroidism (StatPearls)</w:t>
              </w:r>
            </w:hyperlink>
          </w:p>
          <w:p>
            <w:pPr>
              <w:spacing w:before="60" w:after="40"/>
            </w:pPr>
            <w:r>
              <w:rPr>
                <w:rFonts w:ascii="Calibri" w:hAnsi="Calibri"/>
                <w:b w:val="0"/>
                <w:i w:val="0"/>
                <w:color w:val="5A5A5A"/>
                <w:sz w:val="18"/>
              </w:rPr>
              <w:t>#amiodarone  #checkpointinhibitor  #druginduced  #thyroiditis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infection / thyroiditis</w:t>
            </w:r>
          </w:p>
        </w:tc>
        <w:tc>
          <w:tcPr>
            <w:tcW w:type="dxa" w:w="2160"/>
            <w:vAlign w:val="top"/>
          </w:tcPr>
          <w:p>
            <w:pPr>
              <w:spacing w:after="40" w:before="0" w:line="259" w:lineRule="auto"/>
            </w:pPr>
            <w:r>
              <w:rPr>
                <w:rFonts w:ascii="Calibri" w:hAnsi="Calibri"/>
                <w:b w:val="0"/>
                <w:i w:val="0"/>
                <w:color w:val="212121"/>
                <w:sz w:val="19"/>
              </w:rPr>
              <w:t>Patients with viral or subacute (de Quervain) thyroiditis</w:t>
            </w:r>
          </w:p>
        </w:tc>
        <w:tc>
          <w:tcPr>
            <w:tcW w:type="dxa" w:w="4276"/>
            <w:vAlign w:val="top"/>
          </w:tcPr>
          <w:p>
            <w:pPr>
              <w:spacing w:after="60" w:line="259" w:lineRule="auto"/>
            </w:pPr>
            <w:r>
              <w:rPr>
                <w:rFonts w:ascii="Calibri" w:hAnsi="Calibri"/>
                <w:b w:val="0"/>
                <w:i w:val="0"/>
                <w:color w:val="212121"/>
                <w:sz w:val="19"/>
              </w:rPr>
              <w:t>Viral or post-viral inflammation destroys thyroid follicles and releases stored hormone, producing a self-limited thyrotoxic phase (low radioiodine uptake) that may be mistaken for Graves'.</w:t>
            </w:r>
          </w:p>
          <w:p>
            <w:pPr>
              <w:spacing w:after="40" w:before="60" w:line="259" w:lineRule="auto"/>
            </w:pPr>
            <w:r>
              <w:rPr>
                <w:rFonts w:ascii="Calibri" w:hAnsi="Calibri"/>
                <w:b w:val="0"/>
                <w:i w:val="0"/>
                <w:color w:val="212121"/>
                <w:sz w:val="19"/>
              </w:rPr>
              <w:t>Subacute (de Quervain) thyroiditis has an incidence of about 4.9 per 100,000 per year, with up to 15% developing permanent hypothyroidism.</w:t>
            </w:r>
          </w:p>
          <w:p>
            <w:pPr>
              <w:spacing w:after="40" w:line="252" w:lineRule="auto"/>
            </w:pPr>
            <w:hyperlink r:id="rId11">
              <w:r>
                <w:rPr>
                  <w:rFonts w:ascii="Calibri" w:hAnsi="Calibri" w:cs="Calibri"/>
                  <w:sz w:val="18"/>
                  <w:color w:val="1155CC"/>
                  <w:u w:val="single"/>
                </w:rPr>
                <w:t xml:space="preserve">aafp.org — Thyroiditis: An Integrated Approach</w:t>
              </w:r>
            </w:hyperlink>
          </w:p>
          <w:p>
            <w:pPr>
              <w:spacing w:before="60" w:after="40"/>
            </w:pPr>
            <w:r>
              <w:rPr>
                <w:rFonts w:ascii="Calibri" w:hAnsi="Calibri"/>
                <w:b w:val="0"/>
                <w:i w:val="0"/>
                <w:color w:val="5A5A5A"/>
                <w:sz w:val="18"/>
              </w:rPr>
              <w:t>#thyroiditis  #deQuervain  #viral  #lowuptake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direct cause of hyperthyroidism, but regular weight-bearing exercise helps counter the accelerated bone loss of thyrotoxicosis; vigorous exertion should be limited until the hyperthyroid, tachycardic state is controlled.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Dietary iodine is the key nutritional factor: an iodine load (kelp/seaweed, iodised supplements, amiodarone, contrast) can precipitate hyperthyroidism in autonomous or nodular glands (Jod-Basedow), while adequate but not excessive iodine is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Insomnia and reduced sleep are prominent symptoms of the hypermetabolic state rather than a cause; sleep normally improves once thyrotoxicosis is treated.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Cigarette smoking is a well-established risk factor for Graves' disease and strongly increases the risk and severity of Graves' orbitopathy; heavy smokers have up to ~8× the risk of thyroid eye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Moderate alcohol intake shows an inverse (protective) association with Graves' disease (odds ratio ~1.7 for abstainers vs minimal drinkers); however alcohol is not recommended as prevention and heavy use harms bone and liver.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Major stressful life events can precipitate the onset of Graves' disease in genetically predisposed individuals, and thyrotoxicosis in turn causes anxiety, irritability and, in the elderly, depression (apathetic form).</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does not cause hyperthyroidism but can compound palpitations, tremor, anxiety and insomnia; limiting stimulants is advised while thyrotoxic.</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Iodine load, abrupt withdrawal of antithyroid drugs, infection, surgery, trauma, parturition and iodinated contrast can precipitate overt thyrotoxicosis and thyroid storm.</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 / unexplained weight change</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18.5–24.9 kg/m², stable weight</w:t>
            </w:r>
          </w:p>
        </w:tc>
        <w:tc>
          <w:tcPr>
            <w:tcW w:type="dxa" w:w="1512"/>
            <w:vAlign w:val="top"/>
          </w:tcPr>
          <w:p>
            <w:pPr>
              <w:spacing w:after="40" w:before="0" w:line="259" w:lineRule="auto"/>
            </w:pPr>
            <w:r>
              <w:rPr>
                <w:rFonts w:ascii="Calibri" w:hAnsi="Calibri"/>
                <w:b w:val="0"/>
                <w:i w:val="0"/>
                <w:color w:val="212121"/>
                <w:sz w:val="19"/>
              </w:rPr>
              <w:t>Unintentional weight loss / BMI &lt; 18.5</w:t>
            </w:r>
          </w:p>
        </w:tc>
        <w:tc>
          <w:tcPr>
            <w:tcW w:type="dxa" w:w="1468"/>
            <w:vAlign w:val="top"/>
          </w:tcPr>
          <w:p>
            <w:pPr>
              <w:spacing w:after="40" w:before="0" w:line="259" w:lineRule="auto"/>
            </w:pPr>
            <w:r>
              <w:rPr>
                <w:rFonts w:ascii="Calibri" w:hAnsi="Calibri"/>
                <w:b w:val="0"/>
                <w:i w:val="0"/>
                <w:color w:val="212121"/>
                <w:sz w:val="19"/>
              </w:rPr>
              <w:t>Weight loss despite normal or increased appetite is a cardinal red flag for thyrotoxicosis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Resting heart rate (bpm)</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60–100 bpm, sinus rhythm</w:t>
            </w:r>
          </w:p>
        </w:tc>
        <w:tc>
          <w:tcPr>
            <w:tcW w:type="dxa" w:w="1512"/>
            <w:vAlign w:val="top"/>
          </w:tcPr>
          <w:p>
            <w:pPr>
              <w:spacing w:after="40" w:before="0" w:line="259" w:lineRule="auto"/>
            </w:pPr>
            <w:r>
              <w:rPr>
                <w:rFonts w:ascii="Calibri" w:hAnsi="Calibri"/>
                <w:b w:val="0"/>
                <w:i w:val="0"/>
                <w:color w:val="212121"/>
                <w:sz w:val="19"/>
              </w:rPr>
              <w:t>&gt; 100 bpm persistent, or irregular (AF)</w:t>
            </w:r>
          </w:p>
        </w:tc>
        <w:tc>
          <w:tcPr>
            <w:tcW w:type="dxa" w:w="1468"/>
            <w:vAlign w:val="top"/>
          </w:tcPr>
          <w:p>
            <w:pPr>
              <w:spacing w:after="60" w:line="259" w:lineRule="auto"/>
            </w:pPr>
            <w:r>
              <w:rPr>
                <w:rFonts w:ascii="Calibri" w:hAnsi="Calibri"/>
                <w:b w:val="0"/>
                <w:i w:val="0"/>
                <w:color w:val="212121"/>
                <w:sz w:val="19"/>
              </w:rPr>
              <w:t>Persistent tachycardia or new atrial fibrillation should prompt thyroid testing</w:t>
            </w:r>
          </w:p>
          <w:p>
            <w:pPr>
              <w:spacing w:after="40" w:line="252" w:lineRule="auto"/>
            </w:pPr>
            <w:hyperlink r:id="rId19">
              <w:r>
                <w:rPr>
                  <w:rFonts w:ascii="Calibri" w:hAnsi="Calibri" w:cs="Calibri"/>
                  <w:sz w:val="18"/>
                  <w:color w:val="1155CC"/>
                  <w:u w:val="single"/>
                </w:rPr>
                <w:t xml:space="preserve">https://www.frontiersin.org/journals/endocrinology/articles/10.3389/fendo.2021.795492/full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Bone mineral density (T-score)</w:t>
            </w:r>
          </w:p>
        </w:tc>
        <w:tc>
          <w:tcPr>
            <w:tcW w:type="dxa" w:w="1655"/>
            <w:vAlign w:val="top"/>
          </w:tcPr>
          <w:p>
            <w:pPr>
              <w:spacing w:after="40" w:before="0" w:line="259" w:lineRule="auto"/>
            </w:pPr>
            <w:r>
              <w:rPr>
                <w:rFonts w:ascii="Calibri" w:hAnsi="Calibri"/>
                <w:b w:val="0"/>
                <w:i w:val="0"/>
                <w:color w:val="212121"/>
                <w:sz w:val="19"/>
              </w:rPr>
              <w:t>Postmenopausal women, long-standing/elderly hyperthyroid</w:t>
            </w:r>
          </w:p>
        </w:tc>
        <w:tc>
          <w:tcPr>
            <w:tcW w:type="dxa" w:w="1512"/>
            <w:vAlign w:val="top"/>
          </w:tcPr>
          <w:p>
            <w:pPr>
              <w:spacing w:after="40" w:before="0" w:line="259" w:lineRule="auto"/>
            </w:pPr>
            <w:r>
              <w:rPr>
                <w:rFonts w:ascii="Calibri" w:hAnsi="Calibri"/>
                <w:b w:val="0"/>
                <w:i w:val="0"/>
                <w:color w:val="212121"/>
                <w:sz w:val="19"/>
              </w:rPr>
              <w:t>T-score &gt; −1.0</w:t>
            </w:r>
          </w:p>
        </w:tc>
        <w:tc>
          <w:tcPr>
            <w:tcW w:type="dxa" w:w="1512"/>
            <w:vAlign w:val="top"/>
          </w:tcPr>
          <w:p>
            <w:pPr>
              <w:spacing w:after="40" w:before="0" w:line="259" w:lineRule="auto"/>
            </w:pPr>
            <w:r>
              <w:rPr>
                <w:rFonts w:ascii="Calibri" w:hAnsi="Calibri"/>
                <w:b w:val="0"/>
                <w:i w:val="0"/>
                <w:color w:val="212121"/>
                <w:sz w:val="19"/>
              </w:rPr>
              <w:t>T-score ≤ −2.5 (osteoporosis)</w:t>
            </w:r>
          </w:p>
        </w:tc>
        <w:tc>
          <w:tcPr>
            <w:tcW w:type="dxa" w:w="1468"/>
            <w:vAlign w:val="top"/>
          </w:tcPr>
          <w:p>
            <w:pPr>
              <w:spacing w:after="60" w:line="259" w:lineRule="auto"/>
            </w:pPr>
            <w:r>
              <w:rPr>
                <w:rFonts w:ascii="Calibri" w:hAnsi="Calibri"/>
                <w:b w:val="0"/>
                <w:i w:val="0"/>
                <w:color w:val="212121"/>
                <w:sz w:val="19"/>
              </w:rPr>
              <w:t>Thyrotoxicosis accelerates bone turnover, roughly halving the remodelling cycle and lowering BMD</w:t>
            </w:r>
          </w:p>
          <w:p>
            <w:pPr>
              <w:spacing w:after="40" w:line="252" w:lineRule="auto"/>
            </w:pPr>
            <w:hyperlink r:id="rId20">
              <w:r>
                <w:rPr>
                  <w:rFonts w:ascii="Calibri" w:hAnsi="Calibri" w:cs="Calibri"/>
                  <w:sz w:val="18"/>
                  <w:color w:val="1155CC"/>
                  <w:u w:val="single"/>
                </w:rPr>
                <w:t xml:space="preserve">https://www.mdpi.com/2075-4418/10/3/149</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Urinary iodine concentration (µg/L, population marker)</w:t>
            </w:r>
          </w:p>
        </w:tc>
        <w:tc>
          <w:tcPr>
            <w:tcW w:type="dxa" w:w="1655"/>
            <w:vAlign w:val="top"/>
          </w:tcPr>
          <w:p>
            <w:pPr>
              <w:spacing w:after="40" w:before="0" w:line="259" w:lineRule="auto"/>
            </w:pPr>
            <w:r>
              <w:rPr>
                <w:rFonts w:ascii="Calibri" w:hAnsi="Calibri"/>
                <w:b w:val="0"/>
                <w:i w:val="0"/>
                <w:color w:val="212121"/>
                <w:sz w:val="19"/>
              </w:rPr>
              <w:t>Nodular goiter, elderly</w:t>
            </w:r>
          </w:p>
        </w:tc>
        <w:tc>
          <w:tcPr>
            <w:tcW w:type="dxa" w:w="1512"/>
            <w:vAlign w:val="top"/>
          </w:tcPr>
          <w:p>
            <w:pPr>
              <w:spacing w:after="40" w:before="0" w:line="259" w:lineRule="auto"/>
            </w:pPr>
            <w:r>
              <w:rPr>
                <w:rFonts w:ascii="Calibri" w:hAnsi="Calibri"/>
                <w:b w:val="0"/>
                <w:i w:val="0"/>
                <w:color w:val="212121"/>
                <w:sz w:val="19"/>
              </w:rPr>
              <w:t>100–299 µg/L (adequate)</w:t>
            </w:r>
          </w:p>
        </w:tc>
        <w:tc>
          <w:tcPr>
            <w:tcW w:type="dxa" w:w="1512"/>
            <w:vAlign w:val="top"/>
          </w:tcPr>
          <w:p>
            <w:pPr>
              <w:spacing w:after="40" w:before="0" w:line="259" w:lineRule="auto"/>
            </w:pPr>
            <w:r>
              <w:rPr>
                <w:rFonts w:ascii="Calibri" w:hAnsi="Calibri"/>
                <w:b w:val="0"/>
                <w:i w:val="0"/>
                <w:color w:val="212121"/>
                <w:sz w:val="19"/>
              </w:rPr>
              <w:t>Excess intake / &gt; 300 µg/L in susceptible glands</w:t>
            </w:r>
          </w:p>
        </w:tc>
        <w:tc>
          <w:tcPr>
            <w:tcW w:type="dxa" w:w="1468"/>
            <w:vAlign w:val="top"/>
          </w:tcPr>
          <w:p>
            <w:pPr>
              <w:spacing w:after="60" w:line="259" w:lineRule="auto"/>
            </w:pPr>
            <w:r>
              <w:rPr>
                <w:rFonts w:ascii="Calibri" w:hAnsi="Calibri"/>
                <w:b w:val="0"/>
                <w:i w:val="0"/>
                <w:color w:val="212121"/>
                <w:sz w:val="19"/>
              </w:rPr>
              <w:t>Iodine excess can trigger Jod-Basedow hyperthyroidism in autonomous or nodular thyroids</w:t>
            </w:r>
          </w:p>
          <w:p>
            <w:pPr>
              <w:spacing w:after="40" w:line="252" w:lineRule="auto"/>
            </w:pPr>
            <w:hyperlink r:id="rId21">
              <w:r>
                <w:rPr>
                  <w:rFonts w:ascii="Calibri" w:hAnsi="Calibri" w:cs="Calibri"/>
                  <w:sz w:val="18"/>
                  <w:color w:val="1155CC"/>
                  <w:u w:val="single"/>
                </w:rPr>
                <w:t xml:space="preserve">https://www.who.int/publications-detail-redirect/WHO-NUT-96.13</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Graves' disease, orbitopathy risk</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smoking raises Graves' and orbitopathy risk and worsens treatment outcomes</w:t>
            </w:r>
          </w:p>
          <w:p>
            <w:pPr>
              <w:spacing w:after="40" w:line="252" w:lineRule="auto"/>
            </w:pPr>
            <w:hyperlink r:id="rId14">
              <w:r>
                <w:rPr>
                  <w:rFonts w:ascii="Calibri" w:hAnsi="Calibri" w:cs="Calibri"/>
                  <w:sz w:val="18"/>
                  <w:color w:val="1155CC"/>
                  <w:u w:val="single"/>
                </w:rPr>
                <w:t xml:space="preserve">https://www.medicalnewstoday.com/articles/smoking-and-graves-disease</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Within national safe limits (or none)</w:t>
            </w:r>
          </w:p>
        </w:tc>
        <w:tc>
          <w:tcPr>
            <w:tcW w:type="dxa" w:w="1512"/>
            <w:vAlign w:val="top"/>
          </w:tcPr>
          <w:p>
            <w:pPr>
              <w:spacing w:after="40" w:before="0" w:line="259" w:lineRule="auto"/>
            </w:pPr>
            <w:r>
              <w:rPr>
                <w:rFonts w:ascii="Calibri" w:hAnsi="Calibri"/>
                <w:b w:val="0"/>
                <w:i w:val="0"/>
                <w:color w:val="212121"/>
                <w:sz w:val="19"/>
              </w:rPr>
              <w:t>Heavy/harmful drinking</w:t>
            </w:r>
          </w:p>
        </w:tc>
        <w:tc>
          <w:tcPr>
            <w:tcW w:type="dxa" w:w="1468"/>
            <w:vAlign w:val="top"/>
          </w:tcPr>
          <w:p>
            <w:pPr>
              <w:spacing w:after="60" w:line="259" w:lineRule="auto"/>
            </w:pPr>
            <w:r>
              <w:rPr>
                <w:rFonts w:ascii="Calibri" w:hAnsi="Calibri"/>
                <w:b w:val="0"/>
                <w:i w:val="0"/>
                <w:color w:val="212121"/>
                <w:sz w:val="19"/>
              </w:rPr>
              <w:t>Moderate intake is inversely associated with Graves' but is not recommended as prevention; heavy use harms bone and liver</w:t>
            </w:r>
          </w:p>
          <w:p>
            <w:pPr>
              <w:spacing w:after="40" w:line="252" w:lineRule="auto"/>
            </w:pPr>
            <w:hyperlink r:id="rId15">
              <w:r>
                <w:rPr>
                  <w:rFonts w:ascii="Calibri" w:hAnsi="Calibri" w:cs="Calibri"/>
                  <w:sz w:val="18"/>
                  <w:color w:val="1155CC"/>
                  <w:u w:val="single"/>
                </w:rPr>
                <w:t xml:space="preserve">https://www.thyroid.org/wp-content/uploads/publications/clinthy/volume25/issue8/clinthy_v258_174_175.pdf</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Major stressful life events (recent)</w:t>
            </w:r>
          </w:p>
        </w:tc>
        <w:tc>
          <w:tcPr>
            <w:tcW w:type="dxa" w:w="1655"/>
            <w:vAlign w:val="top"/>
          </w:tcPr>
          <w:p>
            <w:pPr>
              <w:spacing w:after="40" w:before="0" w:line="259" w:lineRule="auto"/>
            </w:pPr>
            <w:r>
              <w:rPr>
                <w:rFonts w:ascii="Calibri" w:hAnsi="Calibri"/>
                <w:b w:val="0"/>
                <w:i w:val="0"/>
                <w:color w:val="212121"/>
                <w:sz w:val="19"/>
              </w:rPr>
              <w:t>Genetically predisposed adults, women</w:t>
            </w:r>
          </w:p>
        </w:tc>
        <w:tc>
          <w:tcPr>
            <w:tcW w:type="dxa" w:w="1512"/>
            <w:vAlign w:val="top"/>
          </w:tcPr>
          <w:p>
            <w:pPr>
              <w:spacing w:after="40" w:before="0" w:line="259" w:lineRule="auto"/>
            </w:pPr>
            <w:r>
              <w:rPr>
                <w:rFonts w:ascii="Calibri" w:hAnsi="Calibri"/>
                <w:b w:val="0"/>
                <w:i w:val="0"/>
                <w:color w:val="212121"/>
                <w:sz w:val="19"/>
              </w:rPr>
              <w:t>None / well-managed stress</w:t>
            </w:r>
          </w:p>
        </w:tc>
        <w:tc>
          <w:tcPr>
            <w:tcW w:type="dxa" w:w="1512"/>
            <w:vAlign w:val="top"/>
          </w:tcPr>
          <w:p>
            <w:pPr>
              <w:spacing w:after="40" w:before="0" w:line="259" w:lineRule="auto"/>
            </w:pPr>
            <w:r>
              <w:rPr>
                <w:rFonts w:ascii="Calibri" w:hAnsi="Calibri"/>
                <w:b w:val="0"/>
                <w:i w:val="0"/>
                <w:color w:val="212121"/>
                <w:sz w:val="19"/>
              </w:rPr>
              <w:t>Recent major life stressor</w:t>
            </w:r>
          </w:p>
        </w:tc>
        <w:tc>
          <w:tcPr>
            <w:tcW w:type="dxa" w:w="1468"/>
            <w:vAlign w:val="top"/>
          </w:tcPr>
          <w:p>
            <w:pPr>
              <w:spacing w:after="60" w:line="259" w:lineRule="auto"/>
            </w:pPr>
            <w:r>
              <w:rPr>
                <w:rFonts w:ascii="Calibri" w:hAnsi="Calibri"/>
                <w:b w:val="0"/>
                <w:i w:val="0"/>
                <w:color w:val="212121"/>
                <w:sz w:val="19"/>
              </w:rPr>
              <w:t>Clustering of stressful life events can precede Graves' onset</w:t>
            </w:r>
          </w:p>
          <w:p>
            <w:pPr>
              <w:spacing w:after="40" w:line="252" w:lineRule="auto"/>
            </w:pPr>
            <w:hyperlink r:id="rId16">
              <w:r>
                <w:rPr>
                  <w:rFonts w:ascii="Calibri" w:hAnsi="Calibri" w:cs="Calibri"/>
                  <w:sz w:val="18"/>
                  <w:color w:val="1155CC"/>
                  <w:u w:val="single"/>
                </w:rPr>
                <w:t xml:space="preserve">https://pubmed.ncbi.nlm.nih.gov/11453947/</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Antithyroid drug adherence / iodine load</w:t>
            </w:r>
          </w:p>
        </w:tc>
        <w:tc>
          <w:tcPr>
            <w:tcW w:type="dxa" w:w="1655"/>
            <w:vAlign w:val="top"/>
          </w:tcPr>
          <w:p>
            <w:pPr>
              <w:spacing w:after="40" w:before="0" w:line="259" w:lineRule="auto"/>
            </w:pPr>
            <w:r>
              <w:rPr>
                <w:rFonts w:ascii="Calibri" w:hAnsi="Calibri"/>
                <w:b w:val="0"/>
                <w:i w:val="0"/>
                <w:color w:val="212121"/>
                <w:sz w:val="19"/>
              </w:rPr>
              <w:t>Known hyperthyroid patients</w:t>
            </w:r>
          </w:p>
        </w:tc>
        <w:tc>
          <w:tcPr>
            <w:tcW w:type="dxa" w:w="1512"/>
            <w:vAlign w:val="top"/>
          </w:tcPr>
          <w:p>
            <w:pPr>
              <w:spacing w:after="40" w:before="0" w:line="259" w:lineRule="auto"/>
            </w:pPr>
            <w:r>
              <w:rPr>
                <w:rFonts w:ascii="Calibri" w:hAnsi="Calibri"/>
                <w:b w:val="0"/>
                <w:i w:val="0"/>
                <w:color w:val="212121"/>
                <w:sz w:val="19"/>
              </w:rPr>
              <w:t>Continuous therapy, avoid iodine load</w:t>
            </w:r>
          </w:p>
        </w:tc>
        <w:tc>
          <w:tcPr>
            <w:tcW w:type="dxa" w:w="1512"/>
            <w:vAlign w:val="top"/>
          </w:tcPr>
          <w:p>
            <w:pPr>
              <w:spacing w:after="40" w:before="0" w:line="259" w:lineRule="auto"/>
            </w:pPr>
            <w:r>
              <w:rPr>
                <w:rFonts w:ascii="Calibri" w:hAnsi="Calibri"/>
                <w:b w:val="0"/>
                <w:i w:val="0"/>
                <w:color w:val="212121"/>
                <w:sz w:val="19"/>
              </w:rPr>
              <w:t>Abrupt ATD withdrawal, iodinated contrast, infection, surgery</w:t>
            </w:r>
          </w:p>
        </w:tc>
        <w:tc>
          <w:tcPr>
            <w:tcW w:type="dxa" w:w="1468"/>
            <w:vAlign w:val="top"/>
          </w:tcPr>
          <w:p>
            <w:pPr>
              <w:spacing w:after="60" w:line="259" w:lineRule="auto"/>
            </w:pPr>
            <w:r>
              <w:rPr>
                <w:rFonts w:ascii="Calibri" w:hAnsi="Calibri"/>
                <w:b w:val="0"/>
                <w:i w:val="0"/>
                <w:color w:val="212121"/>
                <w:sz w:val="19"/>
              </w:rPr>
              <w:t>These precipitate decompensation and thyroid storm (mortality 8–25%)</w:t>
            </w:r>
          </w:p>
          <w:p>
            <w:pPr>
              <w:spacing w:after="40" w:line="252" w:lineRule="auto"/>
            </w:pPr>
            <w:hyperlink r:id="rId22">
              <w:r>
                <w:rPr>
                  <w:rFonts w:ascii="Calibri" w:hAnsi="Calibri" w:cs="Calibri"/>
                  <w:sz w:val="18"/>
                  <w:color w:val="1155CC"/>
                  <w:u w:val="single"/>
                </w:rPr>
                <w:t xml:space="preserve">https://www.ncbi.nlm.nih.gov/books/NBK448095/</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TSH (third-generation)</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Low / suppressed (&lt; 0.1 mIU/L in overt)</w:t>
            </w:r>
          </w:p>
        </w:tc>
        <w:tc>
          <w:tcPr>
            <w:tcW w:type="dxa" w:w="1036"/>
            <w:vAlign w:val="top"/>
          </w:tcPr>
          <w:p>
            <w:pPr>
              <w:spacing w:after="40" w:before="0" w:line="259" w:lineRule="auto"/>
            </w:pPr>
            <w:r>
              <w:rPr>
                <w:rFonts w:ascii="Calibri" w:hAnsi="Calibri"/>
                <w:b w:val="0"/>
                <w:i w:val="0"/>
                <w:color w:val="212121"/>
                <w:sz w:val="16"/>
              </w:rPr>
              <w:t>Most sensitive first-line test; suppressed TSH indicates thyroid hormone excess</w:t>
            </w:r>
          </w:p>
        </w:tc>
        <w:tc>
          <w:tcPr>
            <w:tcW w:type="dxa" w:w="1036"/>
            <w:vAlign w:val="top"/>
          </w:tcPr>
          <w:p>
            <w:pPr>
              <w:spacing w:after="40" w:before="0" w:line="259" w:lineRule="auto"/>
            </w:pPr>
            <w:r>
              <w:rPr>
                <w:rFonts w:ascii="Calibri" w:hAnsi="Calibri"/>
                <w:b w:val="0"/>
                <w:i w:val="0"/>
                <w:color w:val="212121"/>
                <w:sz w:val="16"/>
              </w:rPr>
              <w:t>All suspected hyperthyroid, AF, weight loss, elderly</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Gold standard / screening</w:t>
            </w:r>
          </w:p>
        </w:tc>
        <w:tc>
          <w:tcPr>
            <w:tcW w:type="dxa" w:w="720"/>
            <w:vAlign w:val="top"/>
          </w:tcPr>
          <w:p>
            <w:pPr>
              <w:spacing w:after="40" w:before="0" w:line="259" w:lineRule="auto"/>
            </w:pPr>
            <w:r>
              <w:rPr>
                <w:rFonts w:ascii="Calibri" w:hAnsi="Calibri"/>
                <w:b w:val="0"/>
                <w:i w:val="0"/>
                <w:color w:val="212121"/>
                <w:sz w:val="16"/>
              </w:rPr>
              <w:t>A single normal TSH effectively excludes primary hyperthyroidism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Free T4 (free thyroxine)</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~0.8–1.8 ng/dL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Confirms and grades overt hyperthyroidism when TSH is low</w:t>
            </w:r>
          </w:p>
        </w:tc>
        <w:tc>
          <w:tcPr>
            <w:tcW w:type="dxa" w:w="1036"/>
            <w:vAlign w:val="top"/>
          </w:tcPr>
          <w:p>
            <w:pPr>
              <w:spacing w:after="40" w:before="0" w:line="259" w:lineRule="auto"/>
            </w:pPr>
            <w:r>
              <w:rPr>
                <w:rFonts w:ascii="Calibri" w:hAnsi="Calibri"/>
                <w:b w:val="0"/>
                <w:i w:val="0"/>
                <w:color w:val="212121"/>
                <w:sz w:val="16"/>
              </w:rPr>
              <w:t>Patients with suppressed TSH</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Assay-specific ranges; interpret with TSH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Free T3 / Total T3</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~2.3–4.2 pg/mL (free T3)</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Detects T3-predominant toxicosis (low TSH, high T3, normal T4)</w:t>
            </w:r>
          </w:p>
        </w:tc>
        <w:tc>
          <w:tcPr>
            <w:tcW w:type="dxa" w:w="1036"/>
            <w:vAlign w:val="top"/>
          </w:tcPr>
          <w:p>
            <w:pPr>
              <w:spacing w:after="40" w:before="0" w:line="259" w:lineRule="auto"/>
            </w:pPr>
            <w:r>
              <w:rPr>
                <w:rFonts w:ascii="Calibri" w:hAnsi="Calibri"/>
                <w:b w:val="0"/>
                <w:i w:val="0"/>
                <w:color w:val="212121"/>
                <w:sz w:val="16"/>
              </w:rPr>
              <w:t>Suppressed TSH with normal free T4</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Often disproportionately high in Graves' and toxic adenoma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TSH-receptor antibody (TRAb / TSI)</w:t>
            </w:r>
          </w:p>
        </w:tc>
        <w:tc>
          <w:tcPr>
            <w:tcW w:type="dxa" w:w="892"/>
            <w:vAlign w:val="top"/>
          </w:tcPr>
          <w:p>
            <w:pPr>
              <w:spacing w:after="40" w:before="0" w:line="259" w:lineRule="auto"/>
            </w:pPr>
            <w:r>
              <w:rPr>
                <w:rFonts w:ascii="Calibri" w:hAnsi="Calibri"/>
                <w:b w:val="0"/>
                <w:i w:val="0"/>
                <w:color w:val="212121"/>
                <w:sz w:val="16"/>
              </w:rPr>
              <w:t>Thyroid Autoantibody Test</w:t>
            </w:r>
          </w:p>
        </w:tc>
        <w:tc>
          <w:tcPr>
            <w:tcW w:type="dxa" w:w="950"/>
            <w:vAlign w:val="top"/>
          </w:tcPr>
          <w:p>
            <w:pPr>
              <w:spacing w:after="40" w:before="0" w:line="259" w:lineRule="auto"/>
            </w:pPr>
            <w:r>
              <w:rPr>
                <w:rFonts w:ascii="Calibri" w:hAnsi="Calibri"/>
                <w:b w:val="0"/>
                <w:i w:val="0"/>
                <w:color w:val="212121"/>
                <w:sz w:val="16"/>
              </w:rPr>
              <w:t>Negative (&lt; 1.75 IU/L)</w:t>
            </w:r>
          </w:p>
        </w:tc>
        <w:tc>
          <w:tcPr>
            <w:tcW w:type="dxa" w:w="950"/>
            <w:vAlign w:val="top"/>
          </w:tcPr>
          <w:p>
            <w:pPr>
              <w:spacing w:after="40" w:before="0" w:line="259" w:lineRule="auto"/>
            </w:pPr>
            <w:r>
              <w:rPr>
                <w:rFonts w:ascii="Calibri" w:hAnsi="Calibri"/>
                <w:b w:val="0"/>
                <w:i w:val="0"/>
                <w:color w:val="212121"/>
                <w:sz w:val="16"/>
              </w:rPr>
              <w:t>Positive / elevated</w:t>
            </w:r>
          </w:p>
        </w:tc>
        <w:tc>
          <w:tcPr>
            <w:tcW w:type="dxa" w:w="1036"/>
            <w:vAlign w:val="top"/>
          </w:tcPr>
          <w:p>
            <w:pPr>
              <w:spacing w:after="40" w:before="0" w:line="259" w:lineRule="auto"/>
            </w:pPr>
            <w:r>
              <w:rPr>
                <w:rFonts w:ascii="Calibri" w:hAnsi="Calibri"/>
                <w:b w:val="0"/>
                <w:i w:val="0"/>
                <w:color w:val="212121"/>
                <w:sz w:val="16"/>
              </w:rPr>
              <w:t>Diagnostic of Graves' disease; predicts fetal/neonatal risk in pregnancy</w:t>
            </w:r>
          </w:p>
        </w:tc>
        <w:tc>
          <w:tcPr>
            <w:tcW w:type="dxa" w:w="1036"/>
            <w:vAlign w:val="top"/>
          </w:tcPr>
          <w:p>
            <w:pPr>
              <w:spacing w:after="40" w:before="0" w:line="259" w:lineRule="auto"/>
            </w:pPr>
            <w:r>
              <w:rPr>
                <w:rFonts w:ascii="Calibri" w:hAnsi="Calibri"/>
                <w:b w:val="0"/>
                <w:i w:val="0"/>
                <w:color w:val="212121"/>
                <w:sz w:val="16"/>
              </w:rPr>
              <w:t>Graves' suspected, pregnant hyperthyroid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TBII assay ~96–97% sensitive, ~99% 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Anti-thyroid peroxidase (anti-TPO)</w:t>
            </w:r>
          </w:p>
        </w:tc>
        <w:tc>
          <w:tcPr>
            <w:tcW w:type="dxa" w:w="892"/>
            <w:vAlign w:val="top"/>
          </w:tcPr>
          <w:p>
            <w:pPr>
              <w:spacing w:after="40" w:before="0" w:line="259" w:lineRule="auto"/>
            </w:pPr>
            <w:r>
              <w:rPr>
                <w:rFonts w:ascii="Calibri" w:hAnsi="Calibri"/>
                <w:b w:val="0"/>
                <w:i w:val="0"/>
                <w:color w:val="212121"/>
                <w:sz w:val="16"/>
              </w:rPr>
              <w:t>Thyroid Autoantibody Test</w:t>
            </w:r>
          </w:p>
        </w:tc>
        <w:tc>
          <w:tcPr>
            <w:tcW w:type="dxa" w:w="950"/>
            <w:vAlign w:val="top"/>
          </w:tcPr>
          <w:p>
            <w:pPr>
              <w:spacing w:after="40" w:before="0" w:line="259" w:lineRule="auto"/>
            </w:pPr>
            <w:r>
              <w:rPr>
                <w:rFonts w:ascii="Calibri" w:hAnsi="Calibri"/>
                <w:b w:val="0"/>
                <w:i w:val="0"/>
                <w:color w:val="212121"/>
                <w:sz w:val="16"/>
              </w:rPr>
              <w:t>Negative (&lt; 35 IU/mL)</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autoimmune thyroid disease (Graves'/painless/postpartum thyroiditis)</w:t>
            </w:r>
          </w:p>
        </w:tc>
        <w:tc>
          <w:tcPr>
            <w:tcW w:type="dxa" w:w="1036"/>
            <w:vAlign w:val="top"/>
          </w:tcPr>
          <w:p>
            <w:pPr>
              <w:spacing w:after="40" w:before="0" w:line="259" w:lineRule="auto"/>
            </w:pPr>
            <w:r>
              <w:rPr>
                <w:rFonts w:ascii="Calibri" w:hAnsi="Calibri"/>
                <w:b w:val="0"/>
                <w:i w:val="0"/>
                <w:color w:val="212121"/>
                <w:sz w:val="16"/>
              </w:rPr>
              <w:t>Autoimmune or postpartum thyroiditis suspected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About a third of Indian community hyperthyroid cases were anti-TPO positive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nuclear</w:t>
            </w:r>
          </w:p>
        </w:tc>
        <w:tc>
          <w:tcPr>
            <w:tcW w:type="dxa" w:w="1036"/>
            <w:vAlign w:val="top"/>
          </w:tcPr>
          <w:p>
            <w:pPr>
              <w:spacing w:after="40" w:before="0" w:line="259" w:lineRule="auto"/>
            </w:pPr>
            <w:r>
              <w:rPr>
                <w:rFonts w:ascii="Calibri" w:hAnsi="Calibri"/>
                <w:b w:val="0"/>
                <w:i w:val="0"/>
                <w:color w:val="212121"/>
                <w:sz w:val="16"/>
              </w:rPr>
              <w:t>Radioactive iodine uptake &amp; scan (I-123)</w:t>
            </w:r>
          </w:p>
        </w:tc>
        <w:tc>
          <w:tcPr>
            <w:tcW w:type="dxa" w:w="892"/>
            <w:vAlign w:val="top"/>
          </w:tcPr>
          <w:p>
            <w:pPr>
              <w:spacing w:after="40" w:before="0" w:line="259" w:lineRule="auto"/>
            </w:pPr>
            <w:r>
              <w:rPr>
                <w:rFonts w:ascii="Calibri" w:hAnsi="Calibri"/>
                <w:b w:val="0"/>
                <w:i w:val="0"/>
                <w:color w:val="212121"/>
                <w:sz w:val="16"/>
              </w:rPr>
              <w:t>Thyroid Scintigraphy</w:t>
            </w:r>
          </w:p>
        </w:tc>
        <w:tc>
          <w:tcPr>
            <w:tcW w:type="dxa" w:w="950"/>
            <w:vAlign w:val="top"/>
          </w:tcPr>
          <w:p>
            <w:pPr>
              <w:spacing w:after="40" w:before="0" w:line="259" w:lineRule="auto"/>
            </w:pPr>
            <w:r>
              <w:rPr>
                <w:rFonts w:ascii="Calibri" w:hAnsi="Calibri"/>
                <w:b w:val="0"/>
                <w:i w:val="0"/>
                <w:color w:val="212121"/>
                <w:sz w:val="16"/>
              </w:rPr>
              <w:t>24-h uptake ~10–30%</w:t>
            </w:r>
          </w:p>
        </w:tc>
        <w:tc>
          <w:tcPr>
            <w:tcW w:type="dxa" w:w="950"/>
            <w:vAlign w:val="top"/>
          </w:tcPr>
          <w:p>
            <w:pPr>
              <w:spacing w:after="40" w:before="0" w:line="259" w:lineRule="auto"/>
            </w:pPr>
            <w:r>
              <w:rPr>
                <w:rFonts w:ascii="Calibri" w:hAnsi="Calibri"/>
                <w:b w:val="0"/>
                <w:i w:val="0"/>
                <w:color w:val="212121"/>
                <w:sz w:val="16"/>
              </w:rPr>
              <w:t>Diffuse high (Graves'), patchy (toxic MNG), focal hot nodule (adenoma), low/absent (thyroiditis, iodine-induced, exogenous)</w:t>
            </w:r>
          </w:p>
        </w:tc>
        <w:tc>
          <w:tcPr>
            <w:tcW w:type="dxa" w:w="1036"/>
            <w:vAlign w:val="top"/>
          </w:tcPr>
          <w:p>
            <w:pPr>
              <w:spacing w:after="40" w:before="0" w:line="259" w:lineRule="auto"/>
            </w:pPr>
            <w:r>
              <w:rPr>
                <w:rFonts w:ascii="Calibri" w:hAnsi="Calibri"/>
                <w:b w:val="0"/>
                <w:i w:val="0"/>
                <w:color w:val="212121"/>
                <w:sz w:val="16"/>
              </w:rPr>
              <w:t>Differentiates the cause of thyrotoxicosis</w:t>
            </w:r>
          </w:p>
        </w:tc>
        <w:tc>
          <w:tcPr>
            <w:tcW w:type="dxa" w:w="1036"/>
            <w:vAlign w:val="top"/>
          </w:tcPr>
          <w:p>
            <w:pPr>
              <w:spacing w:after="40" w:before="0" w:line="259" w:lineRule="auto"/>
            </w:pPr>
            <w:r>
              <w:rPr>
                <w:rFonts w:ascii="Calibri" w:hAnsi="Calibri"/>
                <w:b w:val="0"/>
                <w:i w:val="0"/>
                <w:color w:val="212121"/>
                <w:sz w:val="16"/>
              </w:rPr>
              <w:t>Cause unclear, low pre-test probability of Graves'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Cause-defining</w:t>
            </w:r>
          </w:p>
        </w:tc>
        <w:tc>
          <w:tcPr>
            <w:tcW w:type="dxa" w:w="720"/>
            <w:vAlign w:val="top"/>
          </w:tcPr>
          <w:p>
            <w:pPr>
              <w:spacing w:after="40" w:before="0" w:line="259" w:lineRule="auto"/>
            </w:pPr>
            <w:r>
              <w:rPr>
                <w:rFonts w:ascii="Calibri" w:hAnsi="Calibri"/>
                <w:b w:val="0"/>
                <w:i w:val="0"/>
                <w:color w:val="212121"/>
                <w:sz w:val="16"/>
              </w:rPr>
              <w:t>Contraindicated in pregnancy/lactation; avoid after recent iodine load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Thyroid ultrasound with colour Doppler</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Normal echotexture, normal vascularity</w:t>
            </w:r>
          </w:p>
        </w:tc>
        <w:tc>
          <w:tcPr>
            <w:tcW w:type="dxa" w:w="950"/>
            <w:vAlign w:val="top"/>
          </w:tcPr>
          <w:p>
            <w:pPr>
              <w:spacing w:after="40" w:before="0" w:line="259" w:lineRule="auto"/>
            </w:pPr>
            <w:r>
              <w:rPr>
                <w:rFonts w:ascii="Calibri" w:hAnsi="Calibri"/>
                <w:b w:val="0"/>
                <w:i w:val="0"/>
                <w:color w:val="212121"/>
                <w:sz w:val="16"/>
              </w:rPr>
              <w:t>Hypervascular gland (Graves'), autonomous nodules (toxic MNG/adenoma)</w:t>
            </w:r>
          </w:p>
        </w:tc>
        <w:tc>
          <w:tcPr>
            <w:tcW w:type="dxa" w:w="1036"/>
            <w:vAlign w:val="top"/>
          </w:tcPr>
          <w:p>
            <w:pPr>
              <w:spacing w:after="40" w:before="0" w:line="259" w:lineRule="auto"/>
            </w:pPr>
            <w:r>
              <w:rPr>
                <w:rFonts w:ascii="Calibri" w:hAnsi="Calibri"/>
                <w:b w:val="0"/>
                <w:i w:val="0"/>
                <w:color w:val="212121"/>
                <w:sz w:val="16"/>
              </w:rPr>
              <w:t>Assesses gland vascularity and nodules; alternative when scintigraphy is contraindicated</w:t>
            </w:r>
          </w:p>
        </w:tc>
        <w:tc>
          <w:tcPr>
            <w:tcW w:type="dxa" w:w="1036"/>
            <w:vAlign w:val="top"/>
          </w:tcPr>
          <w:p>
            <w:pPr>
              <w:spacing w:after="40" w:before="0" w:line="259" w:lineRule="auto"/>
            </w:pPr>
            <w:r>
              <w:rPr>
                <w:rFonts w:ascii="Calibri" w:hAnsi="Calibri"/>
                <w:b w:val="0"/>
                <w:i w:val="0"/>
                <w:color w:val="212121"/>
                <w:sz w:val="16"/>
              </w:rPr>
              <w:t>Pregnant/lactating, nodular goiter</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Useful to characterise nodules and guide FNAC if needed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Electrocardiogram (ECG)</w:t>
            </w:r>
          </w:p>
        </w:tc>
        <w:tc>
          <w:tcPr>
            <w:tcW w:type="dxa" w:w="892"/>
            <w:vAlign w:val="top"/>
          </w:tcPr>
          <w:p>
            <w:pPr>
              <w:spacing w:after="40" w:before="0" w:line="259" w:lineRule="auto"/>
            </w:pPr>
            <w:r>
              <w:rPr>
                <w:rFonts w:ascii="Calibri" w:hAnsi="Calibri"/>
                <w:b w:val="0"/>
                <w:i w:val="0"/>
                <w:color w:val="212121"/>
                <w:sz w:val="16"/>
              </w:rPr>
              <w:t>Electrocardiography</w:t>
            </w:r>
          </w:p>
        </w:tc>
        <w:tc>
          <w:tcPr>
            <w:tcW w:type="dxa" w:w="950"/>
            <w:vAlign w:val="top"/>
          </w:tcPr>
          <w:p>
            <w:pPr>
              <w:spacing w:after="40" w:before="0" w:line="259" w:lineRule="auto"/>
            </w:pPr>
            <w:r>
              <w:rPr>
                <w:rFonts w:ascii="Calibri" w:hAnsi="Calibri"/>
                <w:b w:val="0"/>
                <w:i w:val="0"/>
                <w:color w:val="212121"/>
                <w:sz w:val="16"/>
              </w:rPr>
              <w:t>Sinus rhythm, rate 60–100 bpm</w:t>
            </w:r>
          </w:p>
        </w:tc>
        <w:tc>
          <w:tcPr>
            <w:tcW w:type="dxa" w:w="950"/>
            <w:vAlign w:val="top"/>
          </w:tcPr>
          <w:p>
            <w:pPr>
              <w:spacing w:after="40" w:before="0" w:line="259" w:lineRule="auto"/>
            </w:pPr>
            <w:r>
              <w:rPr>
                <w:rFonts w:ascii="Calibri" w:hAnsi="Calibri"/>
                <w:b w:val="0"/>
                <w:i w:val="0"/>
                <w:color w:val="212121"/>
                <w:sz w:val="16"/>
              </w:rPr>
              <w:t>Sinus tachycardia, atrial fibrillation</w:t>
            </w:r>
          </w:p>
        </w:tc>
        <w:tc>
          <w:tcPr>
            <w:tcW w:type="dxa" w:w="1036"/>
            <w:vAlign w:val="top"/>
          </w:tcPr>
          <w:p>
            <w:pPr>
              <w:spacing w:after="40" w:before="0" w:line="259" w:lineRule="auto"/>
            </w:pPr>
            <w:r>
              <w:rPr>
                <w:rFonts w:ascii="Calibri" w:hAnsi="Calibri"/>
                <w:b w:val="0"/>
                <w:i w:val="0"/>
                <w:color w:val="212121"/>
                <w:sz w:val="16"/>
              </w:rPr>
              <w:t>Detects thyrotoxic arrhythmia, a major cause of morbidity</w:t>
            </w:r>
          </w:p>
        </w:tc>
        <w:tc>
          <w:tcPr>
            <w:tcW w:type="dxa" w:w="1036"/>
            <w:vAlign w:val="top"/>
          </w:tcPr>
          <w:p>
            <w:pPr>
              <w:spacing w:after="40" w:before="0" w:line="259" w:lineRule="auto"/>
            </w:pPr>
            <w:r>
              <w:rPr>
                <w:rFonts w:ascii="Calibri" w:hAnsi="Calibri"/>
                <w:b w:val="0"/>
                <w:i w:val="0"/>
                <w:color w:val="212121"/>
                <w:sz w:val="16"/>
              </w:rPr>
              <w:t>Elderly, palpitations, suspected AF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Complication screening</w:t>
            </w:r>
          </w:p>
        </w:tc>
        <w:tc>
          <w:tcPr>
            <w:tcW w:type="dxa" w:w="720"/>
            <w:vAlign w:val="top"/>
          </w:tcPr>
          <w:p>
            <w:pPr>
              <w:spacing w:after="40" w:before="0" w:line="259" w:lineRule="auto"/>
            </w:pPr>
            <w:r>
              <w:rPr>
                <w:rFonts w:ascii="Calibri" w:hAnsi="Calibri"/>
                <w:b w:val="0"/>
                <w:i w:val="0"/>
                <w:color w:val="212121"/>
                <w:sz w:val="16"/>
              </w:rPr>
              <w:t>AF found in ~12% of an Indian thyrotoxicosis cohort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Weight loss, palpitations, heat intolerance, tremor, anxiety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hypermetabolic symptoms of thyrotoxicosis</w:t>
            </w:r>
          </w:p>
        </w:tc>
        <w:tc>
          <w:tcPr>
            <w:tcW w:type="dxa" w:w="1036"/>
            <w:vAlign w:val="top"/>
          </w:tcPr>
          <w:p>
            <w:pPr>
              <w:spacing w:after="40" w:before="0" w:line="259" w:lineRule="auto"/>
            </w:pPr>
            <w:r>
              <w:rPr>
                <w:rFonts w:ascii="Calibri" w:hAnsi="Calibri"/>
                <w:b w:val="0"/>
                <w:i w:val="0"/>
                <w:color w:val="212121"/>
                <w:sz w:val="16"/>
              </w:rPr>
              <w:t>Adults with classic symptoms, weight loss</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be blunted (apathetic) in the elderly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autoimmune history</w:t>
            </w:r>
          </w:p>
        </w:tc>
        <w:tc>
          <w:tcPr>
            <w:tcW w:type="dxa" w:w="979"/>
            <w:vAlign w:val="top"/>
          </w:tcPr>
          <w:p>
            <w:pPr>
              <w:spacing w:after="40" w:before="0" w:line="259" w:lineRule="auto"/>
            </w:pPr>
            <w:r>
              <w:rPr>
                <w:rFonts w:ascii="Calibri" w:hAnsi="Calibri"/>
                <w:b w:val="0"/>
                <w:i w:val="0"/>
                <w:color w:val="212121"/>
                <w:sz w:val="16"/>
              </w:rPr>
              <w:t>Graves'/Hashimoto's or other autoimmune disease in relatives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relative / personal autoimmune disease</w:t>
            </w:r>
          </w:p>
        </w:tc>
        <w:tc>
          <w:tcPr>
            <w:tcW w:type="dxa" w:w="1036"/>
            <w:vAlign w:val="top"/>
          </w:tcPr>
          <w:p>
            <w:pPr>
              <w:spacing w:after="40" w:before="0" w:line="259" w:lineRule="auto"/>
            </w:pPr>
            <w:r>
              <w:rPr>
                <w:rFonts w:ascii="Calibri" w:hAnsi="Calibri"/>
                <w:b w:val="0"/>
                <w:i w:val="0"/>
                <w:color w:val="212121"/>
                <w:sz w:val="16"/>
              </w:rPr>
              <w:t>Genetic predisposition to autoimmune thyroid disease</w:t>
            </w:r>
          </w:p>
        </w:tc>
        <w:tc>
          <w:tcPr>
            <w:tcW w:type="dxa" w:w="1036"/>
            <w:vAlign w:val="top"/>
          </w:tcPr>
          <w:p>
            <w:pPr>
              <w:spacing w:after="40" w:before="0" w:line="259" w:lineRule="auto"/>
            </w:pPr>
            <w:r>
              <w:rPr>
                <w:rFonts w:ascii="Calibri" w:hAnsi="Calibri"/>
                <w:b w:val="0"/>
                <w:i w:val="0"/>
                <w:color w:val="212121"/>
                <w:sz w:val="16"/>
              </w:rPr>
              <w:t>First-degree relatives, T1DM/vitiligo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Heritability of Graves' is 60–80%</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iodine &amp; obstetric history</w:t>
            </w:r>
          </w:p>
        </w:tc>
        <w:tc>
          <w:tcPr>
            <w:tcW w:type="dxa" w:w="979"/>
            <w:vAlign w:val="top"/>
          </w:tcPr>
          <w:p>
            <w:pPr>
              <w:spacing w:after="40" w:before="0" w:line="259" w:lineRule="auto"/>
            </w:pPr>
            <w:r>
              <w:rPr>
                <w:rFonts w:ascii="Calibri" w:hAnsi="Calibri"/>
                <w:b w:val="0"/>
                <w:i w:val="0"/>
                <w:color w:val="212121"/>
                <w:sz w:val="16"/>
              </w:rPr>
              <w:t>Amiodarone, contrast, kelp/supplements, levothyroxine, recent delivery</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Recent iodine load, over-replacement, or postpartum state</w:t>
            </w:r>
          </w:p>
        </w:tc>
        <w:tc>
          <w:tcPr>
            <w:tcW w:type="dxa" w:w="1036"/>
            <w:vAlign w:val="top"/>
          </w:tcPr>
          <w:p>
            <w:pPr>
              <w:spacing w:after="40" w:before="0" w:line="259" w:lineRule="auto"/>
            </w:pPr>
            <w:r>
              <w:rPr>
                <w:rFonts w:ascii="Calibri" w:hAnsi="Calibri"/>
                <w:b w:val="0"/>
                <w:i w:val="0"/>
                <w:color w:val="212121"/>
                <w:sz w:val="16"/>
              </w:rPr>
              <w:t>Identifies iodine-induced, factitious or postpartum thyrotoxicosis</w:t>
            </w:r>
          </w:p>
        </w:tc>
        <w:tc>
          <w:tcPr>
            <w:tcW w:type="dxa" w:w="1036"/>
            <w:vAlign w:val="top"/>
          </w:tcPr>
          <w:p>
            <w:pPr>
              <w:spacing w:after="40" w:before="0" w:line="259" w:lineRule="auto"/>
            </w:pPr>
            <w:r>
              <w:rPr>
                <w:rFonts w:ascii="Calibri" w:hAnsi="Calibri"/>
                <w:b w:val="0"/>
                <w:i w:val="0"/>
                <w:color w:val="212121"/>
                <w:sz w:val="16"/>
              </w:rPr>
              <w:t>Cardiac patients on amiodarone, postpartum women</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Cause-defining</w:t>
            </w:r>
          </w:p>
        </w:tc>
        <w:tc>
          <w:tcPr>
            <w:tcW w:type="dxa" w:w="720"/>
            <w:vAlign w:val="top"/>
          </w:tcPr>
          <w:p>
            <w:pPr>
              <w:spacing w:after="40" w:before="0" w:line="259" w:lineRule="auto"/>
            </w:pPr>
            <w:r>
              <w:rPr>
                <w:rFonts w:ascii="Calibri" w:hAnsi="Calibri"/>
                <w:b w:val="0"/>
                <w:i w:val="0"/>
                <w:color w:val="212121"/>
                <w:sz w:val="16"/>
              </w:rPr>
              <w:t>Postpartum thyroiditis affects ~1.1–9% of women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Neck / thyroid palpation</w:t>
            </w:r>
          </w:p>
        </w:tc>
        <w:tc>
          <w:tcPr>
            <w:tcW w:type="dxa" w:w="979"/>
            <w:vAlign w:val="top"/>
          </w:tcPr>
          <w:p>
            <w:pPr>
              <w:spacing w:after="40" w:before="0" w:line="259" w:lineRule="auto"/>
            </w:pPr>
            <w:r>
              <w:rPr>
                <w:rFonts w:ascii="Calibri" w:hAnsi="Calibri"/>
                <w:b w:val="0"/>
                <w:i w:val="0"/>
                <w:color w:val="212121"/>
                <w:sz w:val="16"/>
              </w:rPr>
              <w:t>Goiter, nodularity, bruit, tenderness</w:t>
            </w:r>
          </w:p>
        </w:tc>
        <w:tc>
          <w:tcPr>
            <w:tcW w:type="dxa" w:w="950"/>
            <w:vAlign w:val="top"/>
          </w:tcPr>
          <w:p>
            <w:pPr>
              <w:spacing w:after="40" w:before="0" w:line="259" w:lineRule="auto"/>
            </w:pPr>
            <w:r>
              <w:rPr>
                <w:rFonts w:ascii="Calibri" w:hAnsi="Calibri"/>
                <w:b w:val="0"/>
                <w:i w:val="0"/>
                <w:color w:val="212121"/>
                <w:sz w:val="16"/>
              </w:rPr>
              <w:t>Normal-sized, non-tender gland</w:t>
            </w:r>
          </w:p>
        </w:tc>
        <w:tc>
          <w:tcPr>
            <w:tcW w:type="dxa" w:w="950"/>
            <w:vAlign w:val="top"/>
          </w:tcPr>
          <w:p>
            <w:pPr>
              <w:spacing w:after="40" w:before="0" w:line="259" w:lineRule="auto"/>
            </w:pPr>
            <w:r>
              <w:rPr>
                <w:rFonts w:ascii="Calibri" w:hAnsi="Calibri"/>
                <w:b w:val="0"/>
                <w:i w:val="0"/>
                <w:color w:val="212121"/>
                <w:sz w:val="16"/>
              </w:rPr>
              <w:t>Diffuse smooth goiter with bruit (Graves'), nodular (toxic MNG), tender (subacute thyroiditis)</w:t>
            </w:r>
          </w:p>
        </w:tc>
        <w:tc>
          <w:tcPr>
            <w:tcW w:type="dxa" w:w="1036"/>
            <w:vAlign w:val="top"/>
          </w:tcPr>
          <w:p>
            <w:pPr>
              <w:spacing w:after="40" w:before="0" w:line="259" w:lineRule="auto"/>
            </w:pPr>
            <w:r>
              <w:rPr>
                <w:rFonts w:ascii="Calibri" w:hAnsi="Calibri"/>
                <w:b w:val="0"/>
                <w:i w:val="0"/>
                <w:color w:val="212121"/>
                <w:sz w:val="16"/>
              </w:rPr>
              <w:t>Gland morphology points to the underlying cause</w:t>
            </w:r>
          </w:p>
        </w:tc>
        <w:tc>
          <w:tcPr>
            <w:tcW w:type="dxa" w:w="1036"/>
            <w:vAlign w:val="top"/>
          </w:tcPr>
          <w:p>
            <w:pPr>
              <w:spacing w:after="40" w:before="0" w:line="259" w:lineRule="auto"/>
            </w:pPr>
            <w:r>
              <w:rPr>
                <w:rFonts w:ascii="Calibri" w:hAnsi="Calibri"/>
                <w:b w:val="0"/>
                <w:i w:val="0"/>
                <w:color w:val="212121"/>
                <w:sz w:val="16"/>
              </w:rPr>
              <w:t>All suspected hyperthyroid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Cause-defining</w:t>
            </w:r>
          </w:p>
        </w:tc>
        <w:tc>
          <w:tcPr>
            <w:tcW w:type="dxa" w:w="720"/>
            <w:vAlign w:val="top"/>
          </w:tcPr>
          <w:p>
            <w:pPr>
              <w:spacing w:after="40" w:before="0" w:line="259" w:lineRule="auto"/>
            </w:pPr>
            <w:r>
              <w:rPr>
                <w:rFonts w:ascii="Calibri" w:hAnsi="Calibri"/>
                <w:b w:val="0"/>
                <w:i w:val="0"/>
                <w:color w:val="212121"/>
                <w:sz w:val="16"/>
              </w:rPr>
              <w:t>A thyroid bruit reflects the hypervascularity of Graves'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Eye examination</w:t>
            </w:r>
          </w:p>
        </w:tc>
        <w:tc>
          <w:tcPr>
            <w:tcW w:type="dxa" w:w="979"/>
            <w:vAlign w:val="top"/>
          </w:tcPr>
          <w:p>
            <w:pPr>
              <w:spacing w:after="40" w:before="0" w:line="259" w:lineRule="auto"/>
            </w:pPr>
            <w:r>
              <w:rPr>
                <w:rFonts w:ascii="Calibri" w:hAnsi="Calibri"/>
                <w:b w:val="0"/>
                <w:i w:val="0"/>
                <w:color w:val="212121"/>
                <w:sz w:val="16"/>
              </w:rPr>
              <w:t>Proptosis, lid lag, lid retraction, chemosis, diplopia</w:t>
            </w:r>
          </w:p>
        </w:tc>
        <w:tc>
          <w:tcPr>
            <w:tcW w:type="dxa" w:w="950"/>
            <w:vAlign w:val="top"/>
          </w:tcPr>
          <w:p>
            <w:pPr>
              <w:spacing w:after="40" w:before="0" w:line="259" w:lineRule="auto"/>
            </w:pPr>
            <w:r>
              <w:rPr>
                <w:rFonts w:ascii="Calibri" w:hAnsi="Calibri"/>
                <w:b w:val="0"/>
                <w:i w:val="0"/>
                <w:color w:val="212121"/>
                <w:sz w:val="16"/>
              </w:rPr>
              <w:t>No orbital signs</w:t>
            </w:r>
          </w:p>
        </w:tc>
        <w:tc>
          <w:tcPr>
            <w:tcW w:type="dxa" w:w="950"/>
            <w:vAlign w:val="top"/>
          </w:tcPr>
          <w:p>
            <w:pPr>
              <w:spacing w:after="40" w:before="0" w:line="259" w:lineRule="auto"/>
            </w:pPr>
            <w:r>
              <w:rPr>
                <w:rFonts w:ascii="Calibri" w:hAnsi="Calibri"/>
                <w:b w:val="0"/>
                <w:i w:val="0"/>
                <w:color w:val="212121"/>
                <w:sz w:val="16"/>
              </w:rPr>
              <w:t>Exophthalmos / orbitopathy present</w:t>
            </w:r>
          </w:p>
        </w:tc>
        <w:tc>
          <w:tcPr>
            <w:tcW w:type="dxa" w:w="1036"/>
            <w:vAlign w:val="top"/>
          </w:tcPr>
          <w:p>
            <w:pPr>
              <w:spacing w:after="40" w:before="0" w:line="259" w:lineRule="auto"/>
            </w:pPr>
            <w:r>
              <w:rPr>
                <w:rFonts w:ascii="Calibri" w:hAnsi="Calibri"/>
                <w:b w:val="0"/>
                <w:i w:val="0"/>
                <w:color w:val="212121"/>
                <w:sz w:val="16"/>
              </w:rPr>
              <w:t>True orbitopathy is essentially specific to Graves' disease</w:t>
            </w:r>
          </w:p>
        </w:tc>
        <w:tc>
          <w:tcPr>
            <w:tcW w:type="dxa" w:w="1036"/>
            <w:vAlign w:val="top"/>
          </w:tcPr>
          <w:p>
            <w:pPr>
              <w:spacing w:after="40" w:before="0" w:line="259" w:lineRule="auto"/>
            </w:pPr>
            <w:r>
              <w:rPr>
                <w:rFonts w:ascii="Calibri" w:hAnsi="Calibri"/>
                <w:b w:val="0"/>
                <w:i w:val="0"/>
                <w:color w:val="212121"/>
                <w:sz w:val="16"/>
              </w:rPr>
              <w:t>Graves' disease, smokers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Thyroid eye disease affects ~25–50% of Graves'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Cardiovascular examination</w:t>
            </w:r>
          </w:p>
        </w:tc>
        <w:tc>
          <w:tcPr>
            <w:tcW w:type="dxa" w:w="979"/>
            <w:vAlign w:val="top"/>
          </w:tcPr>
          <w:p>
            <w:pPr>
              <w:spacing w:after="40" w:before="0" w:line="259" w:lineRule="auto"/>
            </w:pPr>
            <w:r>
              <w:rPr>
                <w:rFonts w:ascii="Calibri" w:hAnsi="Calibri"/>
                <w:b w:val="0"/>
                <w:i w:val="0"/>
                <w:color w:val="212121"/>
                <w:sz w:val="16"/>
              </w:rPr>
              <w:t>Pulse rate &amp; rhythm, blood pressure</w:t>
            </w:r>
          </w:p>
        </w:tc>
        <w:tc>
          <w:tcPr>
            <w:tcW w:type="dxa" w:w="950"/>
            <w:vAlign w:val="top"/>
          </w:tcPr>
          <w:p>
            <w:pPr>
              <w:spacing w:after="40" w:before="0" w:line="259" w:lineRule="auto"/>
            </w:pPr>
            <w:r>
              <w:rPr>
                <w:rFonts w:ascii="Calibri" w:hAnsi="Calibri"/>
                <w:b w:val="0"/>
                <w:i w:val="0"/>
                <w:color w:val="212121"/>
                <w:sz w:val="16"/>
              </w:rPr>
              <w:t>Regular pulse 60–100 bpm</w:t>
            </w:r>
          </w:p>
        </w:tc>
        <w:tc>
          <w:tcPr>
            <w:tcW w:type="dxa" w:w="950"/>
            <w:vAlign w:val="top"/>
          </w:tcPr>
          <w:p>
            <w:pPr>
              <w:spacing w:after="40" w:before="0" w:line="259" w:lineRule="auto"/>
            </w:pPr>
            <w:r>
              <w:rPr>
                <w:rFonts w:ascii="Calibri" w:hAnsi="Calibri"/>
                <w:b w:val="0"/>
                <w:i w:val="0"/>
                <w:color w:val="212121"/>
                <w:sz w:val="16"/>
              </w:rPr>
              <w:t>Tachycardia, irregular pulse (AF), wide pulse pressure</w:t>
            </w:r>
          </w:p>
        </w:tc>
        <w:tc>
          <w:tcPr>
            <w:tcW w:type="dxa" w:w="1036"/>
            <w:vAlign w:val="top"/>
          </w:tcPr>
          <w:p>
            <w:pPr>
              <w:spacing w:after="40" w:before="0" w:line="259" w:lineRule="auto"/>
            </w:pPr>
            <w:r>
              <w:rPr>
                <w:rFonts w:ascii="Calibri" w:hAnsi="Calibri"/>
                <w:b w:val="0"/>
                <w:i w:val="0"/>
                <w:color w:val="212121"/>
                <w:sz w:val="16"/>
              </w:rPr>
              <w:t>Detects thyrotoxic cardiac involvement</w:t>
            </w:r>
          </w:p>
        </w:tc>
        <w:tc>
          <w:tcPr>
            <w:tcW w:type="dxa" w:w="1036"/>
            <w:vAlign w:val="top"/>
          </w:tcPr>
          <w:p>
            <w:pPr>
              <w:spacing w:after="40" w:before="0" w:line="259" w:lineRule="auto"/>
            </w:pPr>
            <w:r>
              <w:rPr>
                <w:rFonts w:ascii="Calibri" w:hAnsi="Calibri"/>
                <w:b w:val="0"/>
                <w:i w:val="0"/>
                <w:color w:val="212121"/>
                <w:sz w:val="16"/>
              </w:rPr>
              <w:t>Elderly, 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Complication screening</w:t>
            </w:r>
          </w:p>
        </w:tc>
        <w:tc>
          <w:tcPr>
            <w:tcW w:type="dxa" w:w="720"/>
            <w:vAlign w:val="top"/>
          </w:tcPr>
          <w:p>
            <w:pPr>
              <w:spacing w:after="40" w:before="0" w:line="259" w:lineRule="auto"/>
            </w:pPr>
            <w:r>
              <w:rPr>
                <w:rFonts w:ascii="Calibri" w:hAnsi="Calibri"/>
                <w:b w:val="0"/>
                <w:i w:val="0"/>
                <w:color w:val="212121"/>
                <w:sz w:val="16"/>
              </w:rPr>
              <w:t>Hypertension present in ~52% of an Indian thyrotoxicosis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Neuromuscular examination</w:t>
            </w:r>
          </w:p>
        </w:tc>
        <w:tc>
          <w:tcPr>
            <w:tcW w:type="dxa" w:w="979"/>
            <w:vAlign w:val="top"/>
          </w:tcPr>
          <w:p>
            <w:pPr>
              <w:spacing w:after="40" w:before="0" w:line="259" w:lineRule="auto"/>
            </w:pPr>
            <w:r>
              <w:rPr>
                <w:rFonts w:ascii="Calibri" w:hAnsi="Calibri"/>
                <w:b w:val="0"/>
                <w:i w:val="0"/>
                <w:color w:val="212121"/>
                <w:sz w:val="16"/>
              </w:rPr>
              <w:t>Fine tremor, hyperreflexia, proximal muscle weakness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Reflects adrenergic overactivity and thyrotoxic myopathy</w:t>
            </w:r>
          </w:p>
        </w:tc>
        <w:tc>
          <w:tcPr>
            <w:tcW w:type="dxa" w:w="1036"/>
            <w:vAlign w:val="top"/>
          </w:tcPr>
          <w:p>
            <w:pPr>
              <w:spacing w:after="40" w:before="0" w:line="259" w:lineRule="auto"/>
            </w:pPr>
            <w:r>
              <w:rPr>
                <w:rFonts w:ascii="Calibri" w:hAnsi="Calibri"/>
                <w:b w:val="0"/>
                <w:i w:val="0"/>
                <w:color w:val="212121"/>
                <w:sz w:val="16"/>
              </w:rPr>
              <w:t>Symptomatic adults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Proximal myopathy causes difficulty rising from a chair/squat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&amp; extremities</w:t>
            </w:r>
          </w:p>
        </w:tc>
        <w:tc>
          <w:tcPr>
            <w:tcW w:type="dxa" w:w="979"/>
            <w:vAlign w:val="top"/>
          </w:tcPr>
          <w:p>
            <w:pPr>
              <w:spacing w:after="40" w:before="0" w:line="259" w:lineRule="auto"/>
            </w:pPr>
            <w:r>
              <w:rPr>
                <w:rFonts w:ascii="Calibri" w:hAnsi="Calibri"/>
                <w:b w:val="0"/>
                <w:i w:val="0"/>
                <w:color w:val="212121"/>
                <w:sz w:val="16"/>
              </w:rPr>
              <w:t>Warm moist skin, pretibial myxedema, thyroid acropachy, onycholysis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Warm sweaty skin; pretibial myxedema/acropachy (Graves'-specific)</w:t>
            </w:r>
          </w:p>
        </w:tc>
        <w:tc>
          <w:tcPr>
            <w:tcW w:type="dxa" w:w="1036"/>
            <w:vAlign w:val="top"/>
          </w:tcPr>
          <w:p>
            <w:pPr>
              <w:spacing w:after="40" w:before="0" w:line="259" w:lineRule="auto"/>
            </w:pPr>
            <w:r>
              <w:rPr>
                <w:rFonts w:ascii="Calibri" w:hAnsi="Calibri"/>
                <w:b w:val="0"/>
                <w:i w:val="0"/>
                <w:color w:val="212121"/>
                <w:sz w:val="16"/>
              </w:rPr>
              <w:t>Dermatological markers of thyrotoxicosis and Graves'</w:t>
            </w:r>
          </w:p>
        </w:tc>
        <w:tc>
          <w:tcPr>
            <w:tcW w:type="dxa" w:w="1036"/>
            <w:vAlign w:val="top"/>
          </w:tcPr>
          <w:p>
            <w:pPr>
              <w:spacing w:after="40" w:before="0" w:line="259" w:lineRule="auto"/>
            </w:pPr>
            <w:r>
              <w:rPr>
                <w:rFonts w:ascii="Calibri" w:hAnsi="Calibri"/>
                <w:b w:val="0"/>
                <w:i w:val="0"/>
                <w:color w:val="212121"/>
                <w:sz w:val="16"/>
              </w:rPr>
              <w:t>Graves'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Pretibial myxedema and acropachy are uncommon but highly specific for Graves'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Weight falls despite a normal or increased appetite because of accelerated metabolism.</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Awareness of a fast or forceful heartbeat from thyroid-hormone-driven tachycardia.</w:t>
            </w:r>
          </w:p>
        </w:tc>
      </w:tr>
      <w:tr>
        <w:trPr>
          <w:cantSplit/>
        </w:trPr>
        <w:tc>
          <w:tcPr>
            <w:tcW w:type="dxa" w:w="2304"/>
            <w:vAlign w:val="top"/>
          </w:tcPr>
          <w:p>
            <w:pPr>
              <w:spacing w:after="40" w:before="0" w:line="259" w:lineRule="auto"/>
            </w:pPr>
            <w:r>
              <w:rPr>
                <w:rFonts w:ascii="Calibri" w:hAnsi="Calibri"/>
                <w:b/>
                <w:i w:val="0"/>
                <w:color w:val="212121"/>
                <w:sz w:val="19"/>
              </w:rPr>
              <w:t>Heat intolerance &amp; excessive sweating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heat production makes patients feel hot and sweat easily.</w:t>
            </w:r>
          </w:p>
        </w:tc>
      </w:tr>
      <w:tr>
        <w:trPr>
          <w:cantSplit/>
        </w:trPr>
        <w:tc>
          <w:tcPr>
            <w:tcW w:type="dxa" w:w="2304"/>
            <w:vAlign w:val="top"/>
          </w:tcPr>
          <w:p>
            <w:pPr>
              <w:spacing w:after="40" w:before="0" w:line="259" w:lineRule="auto"/>
            </w:pPr>
            <w:r>
              <w:rPr>
                <w:rFonts w:ascii="Calibri" w:hAnsi="Calibri"/>
                <w:b/>
                <w:i w:val="0"/>
                <w:color w:val="212121"/>
                <w:sz w:val="19"/>
              </w:rPr>
              <w:t>Fine tremor of the hands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Enhanced sympathetic (adrenergic) tone produces a fine resting tremor.</w:t>
            </w:r>
          </w:p>
        </w:tc>
      </w:tr>
      <w:tr>
        <w:trPr>
          <w:cantSplit/>
        </w:trPr>
        <w:tc>
          <w:tcPr>
            <w:tcW w:type="dxa" w:w="2304"/>
            <w:vAlign w:val="top"/>
          </w:tcPr>
          <w:p>
            <w:pPr>
              <w:spacing w:after="40" w:before="0" w:line="259" w:lineRule="auto"/>
            </w:pPr>
            <w:r>
              <w:rPr>
                <w:rFonts w:ascii="Calibri" w:hAnsi="Calibri"/>
                <w:b/>
                <w:i w:val="0"/>
                <w:color w:val="212121"/>
                <w:sz w:val="19"/>
              </w:rPr>
              <w:t>Nervousness, anxiety &amp; 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Central nervous system stimulation causes restlessness and emotional lability.</w:t>
            </w:r>
          </w:p>
        </w:tc>
      </w:tr>
      <w:tr>
        <w:trPr>
          <w:cantSplit/>
        </w:trPr>
        <w:tc>
          <w:tcPr>
            <w:tcW w:type="dxa" w:w="2304"/>
            <w:vAlign w:val="top"/>
          </w:tcPr>
          <w:p>
            <w:pPr>
              <w:spacing w:after="40" w:before="0" w:line="259" w:lineRule="auto"/>
            </w:pPr>
            <w:r>
              <w:rPr>
                <w:rFonts w:ascii="Calibri" w:hAnsi="Calibri"/>
                <w:b/>
                <w:i w:val="0"/>
                <w:color w:val="212121"/>
                <w:sz w:val="19"/>
              </w:rPr>
              <w:t>Fatigue &amp; muscle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Thyrotoxic myopathy affects proximal muscles despite the hyperactive state.</w:t>
            </w:r>
          </w:p>
        </w:tc>
      </w:tr>
      <w:tr>
        <w:trPr>
          <w:cantSplit/>
        </w:trPr>
        <w:tc>
          <w:tcPr>
            <w:tcW w:type="dxa" w:w="2304"/>
            <w:vAlign w:val="top"/>
          </w:tcPr>
          <w:p>
            <w:pPr>
              <w:spacing w:after="40" w:before="0" w:line="259" w:lineRule="auto"/>
            </w:pPr>
            <w:r>
              <w:rPr>
                <w:rFonts w:ascii="Calibri" w:hAnsi="Calibri"/>
                <w:b/>
                <w:i w:val="0"/>
                <w:color w:val="212121"/>
                <w:sz w:val="19"/>
              </w:rPr>
              <w:t>Increased bowel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Accelerated gut transit causes frequent or loose stools.</w:t>
            </w:r>
          </w:p>
        </w:tc>
      </w:tr>
      <w:tr>
        <w:trPr>
          <w:cantSplit/>
        </w:trPr>
        <w:tc>
          <w:tcPr>
            <w:tcW w:type="dxa" w:w="2304"/>
            <w:vAlign w:val="top"/>
          </w:tcPr>
          <w:p>
            <w:pPr>
              <w:spacing w:after="40" w:before="0" w:line="259" w:lineRule="auto"/>
            </w:pPr>
            <w:r>
              <w:rPr>
                <w:rFonts w:ascii="Calibri" w:hAnsi="Calibri"/>
                <w:b/>
                <w:i w:val="0"/>
                <w:color w:val="212121"/>
                <w:sz w:val="19"/>
              </w:rPr>
              <w:t>Insomnia / difficulty sleeping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Hypermetabolic arousal disturbs sleep onset and quality.</w:t>
            </w:r>
          </w:p>
        </w:tc>
      </w:tr>
      <w:tr>
        <w:trPr>
          <w:cantSplit/>
        </w:trPr>
        <w:tc>
          <w:tcPr>
            <w:tcW w:type="dxa" w:w="2304"/>
            <w:vAlign w:val="top"/>
          </w:tcPr>
          <w:p>
            <w:pPr>
              <w:spacing w:after="40" w:before="0" w:line="259" w:lineRule="auto"/>
            </w:pPr>
            <w:r>
              <w:rPr>
                <w:rFonts w:ascii="Calibri" w:hAnsi="Calibri"/>
                <w:b/>
                <w:i w:val="0"/>
                <w:color w:val="212121"/>
                <w:sz w:val="19"/>
              </w:rPr>
              <w:t>Menstrual irregularity (oligomenorrhea)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Thyroid hormone excess disrupts the menstrual cycle and can reduce fertility.</w:t>
            </w:r>
          </w:p>
        </w:tc>
      </w:tr>
      <w:tr>
        <w:trPr>
          <w:cantSplit/>
        </w:trPr>
        <w:tc>
          <w:tcPr>
            <w:tcW w:type="dxa" w:w="2304"/>
            <w:vAlign w:val="top"/>
          </w:tcPr>
          <w:p>
            <w:pPr>
              <w:spacing w:after="40" w:before="0" w:line="259" w:lineRule="auto"/>
            </w:pPr>
            <w:r>
              <w:rPr>
                <w:rFonts w:ascii="Calibri" w:hAnsi="Calibri"/>
                <w:b/>
                <w:i w:val="0"/>
                <w:color w:val="212121"/>
                <w:sz w:val="19"/>
              </w:rPr>
              <w:t>Dyspnea on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high cardiac output, respiratory muscle weakness, or heart failure.</w:t>
            </w:r>
          </w:p>
        </w:tc>
      </w:tr>
      <w:tr>
        <w:trPr>
          <w:cantSplit/>
        </w:trPr>
        <w:tc>
          <w:tcPr>
            <w:tcW w:type="dxa" w:w="2304"/>
            <w:vAlign w:val="top"/>
          </w:tcPr>
          <w:p>
            <w:pPr>
              <w:spacing w:after="40" w:before="0" w:line="259" w:lineRule="auto"/>
            </w:pPr>
            <w:r>
              <w:rPr>
                <w:rFonts w:ascii="Calibri" w:hAnsi="Calibri"/>
                <w:b/>
                <w:i w:val="0"/>
                <w:color w:val="212121"/>
                <w:sz w:val="19"/>
              </w:rPr>
              <w:t>Hair thinning &amp; increased hair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Accelerated hair-follicle turnover causes diffuse thinning.</w:t>
            </w:r>
          </w:p>
        </w:tc>
      </w:tr>
      <w:tr>
        <w:trPr>
          <w:cantSplit/>
        </w:trPr>
        <w:tc>
          <w:tcPr>
            <w:tcW w:type="dxa" w:w="2304"/>
            <w:vAlign w:val="top"/>
          </w:tcPr>
          <w:p>
            <w:pPr>
              <w:spacing w:after="40" w:before="0" w:line="259" w:lineRule="auto"/>
            </w:pPr>
            <w:r>
              <w:rPr>
                <w:rFonts w:ascii="Calibri" w:hAnsi="Calibri"/>
                <w:b/>
                <w:i w:val="0"/>
                <w:color w:val="212121"/>
                <w:sz w:val="19"/>
              </w:rPr>
              <w:t>Apathy, depression &amp; lethargy (apathetic thyrotoxicosis)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 the elderly, classic adrenergic features are replaced by withdrawal, low mood and weight loss.</w:t>
            </w:r>
          </w:p>
        </w:tc>
      </w:tr>
      <w:tr>
        <w:trPr>
          <w:cantSplit/>
        </w:trPr>
        <w:tc>
          <w:tcPr>
            <w:tcW w:type="dxa" w:w="2304"/>
            <w:vAlign w:val="top"/>
          </w:tcPr>
          <w:p>
            <w:pPr>
              <w:spacing w:after="40" w:before="0" w:line="259" w:lineRule="auto"/>
            </w:pPr>
            <w:r>
              <w:rPr>
                <w:rFonts w:ascii="Calibri" w:hAnsi="Calibri"/>
                <w:b/>
                <w:i w:val="0"/>
                <w:color w:val="212121"/>
                <w:sz w:val="19"/>
              </w:rPr>
              <w:t>Sudden proximal muscle paralysis (thyrotoxic periodic paralysis)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Acute hypokalaemic paralysis, most often in young Asian men with hyperthyroidism.</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Tachycardia / atrial fibrillation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Resting tachycardia, and in older patients atrial fibrillation, from thyroid effects on the heart.</w:t>
            </w:r>
          </w:p>
        </w:tc>
      </w:tr>
      <w:tr>
        <w:trPr>
          <w:cantSplit/>
        </w:trPr>
        <w:tc>
          <w:tcPr>
            <w:tcW w:type="dxa" w:w="3456"/>
            <w:vAlign w:val="top"/>
          </w:tcPr>
          <w:p>
            <w:pPr>
              <w:spacing w:after="40" w:before="0" w:line="259" w:lineRule="auto"/>
            </w:pPr>
            <w:r>
              <w:rPr>
                <w:rFonts w:ascii="Calibri" w:hAnsi="Calibri"/>
                <w:b/>
                <w:i w:val="0"/>
                <w:color w:val="212121"/>
                <w:sz w:val="19"/>
              </w:rPr>
              <w:t>Warm, moist (sweaty)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Peripheral vasodilation and sweating reflect increased heat production.</w:t>
            </w:r>
          </w:p>
        </w:tc>
      </w:tr>
      <w:tr>
        <w:trPr>
          <w:cantSplit/>
        </w:trPr>
        <w:tc>
          <w:tcPr>
            <w:tcW w:type="dxa" w:w="3456"/>
            <w:vAlign w:val="top"/>
          </w:tcPr>
          <w:p>
            <w:pPr>
              <w:spacing w:after="40" w:before="0" w:line="259" w:lineRule="auto"/>
            </w:pPr>
            <w:r>
              <w:rPr>
                <w:rFonts w:ascii="Calibri" w:hAnsi="Calibri"/>
                <w:b/>
                <w:i w:val="0"/>
                <w:color w:val="212121"/>
                <w:sz w:val="19"/>
              </w:rPr>
              <w:t>Fine tremor of outstretched hands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Demonstrable when a sheet of paper is placed on the extended fingers.</w:t>
            </w:r>
          </w:p>
        </w:tc>
      </w:tr>
      <w:tr>
        <w:trPr>
          <w:cantSplit/>
        </w:trPr>
        <w:tc>
          <w:tcPr>
            <w:tcW w:type="dxa" w:w="3456"/>
            <w:vAlign w:val="top"/>
          </w:tcPr>
          <w:p>
            <w:pPr>
              <w:spacing w:after="40" w:before="0" w:line="259" w:lineRule="auto"/>
            </w:pPr>
            <w:r>
              <w:rPr>
                <w:rFonts w:ascii="Calibri" w:hAnsi="Calibri"/>
                <w:b/>
                <w:i w:val="0"/>
                <w:color w:val="212121"/>
                <w:sz w:val="19"/>
              </w:rPr>
              <w:t>Goiter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smooth enlargement in Graves' (often with a bruit); nodular in toxic multinodular goiter.</w:t>
            </w:r>
          </w:p>
        </w:tc>
      </w:tr>
      <w:tr>
        <w:trPr>
          <w:cantSplit/>
        </w:trPr>
        <w:tc>
          <w:tcPr>
            <w:tcW w:type="dxa" w:w="3456"/>
            <w:vAlign w:val="top"/>
          </w:tcPr>
          <w:p>
            <w:pPr>
              <w:spacing w:after="40" w:before="0" w:line="259" w:lineRule="auto"/>
            </w:pPr>
            <w:r>
              <w:rPr>
                <w:rFonts w:ascii="Calibri" w:hAnsi="Calibri"/>
                <w:b/>
                <w:i w:val="0"/>
                <w:color w:val="212121"/>
                <w:sz w:val="19"/>
              </w:rPr>
              <w:t>Hyperreflexia / brisk tendon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Quick relaxation phase reflecting adrenergic overactivity.</w:t>
            </w:r>
          </w:p>
        </w:tc>
      </w:tr>
      <w:tr>
        <w:trPr>
          <w:cantSplit/>
        </w:trPr>
        <w:tc>
          <w:tcPr>
            <w:tcW w:type="dxa" w:w="3456"/>
            <w:vAlign w:val="top"/>
          </w:tcPr>
          <w:p>
            <w:pPr>
              <w:spacing w:after="40" w:before="0" w:line="259" w:lineRule="auto"/>
            </w:pPr>
            <w:r>
              <w:rPr>
                <w:rFonts w:ascii="Calibri" w:hAnsi="Calibri"/>
                <w:b/>
                <w:i w:val="0"/>
                <w:color w:val="212121"/>
                <w:sz w:val="19"/>
              </w:rPr>
              <w:t>Lid lag &amp; lid retraction (stare)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Sympathetic over-stimulation of the eyelids (von Graefe's / Dalrymple's signs); occurs in any thyrotoxicosis.</w:t>
            </w:r>
          </w:p>
        </w:tc>
      </w:tr>
      <w:tr>
        <w:trPr>
          <w:cantSplit/>
        </w:trPr>
        <w:tc>
          <w:tcPr>
            <w:tcW w:type="dxa" w:w="3456"/>
            <w:vAlign w:val="top"/>
          </w:tcPr>
          <w:p>
            <w:pPr>
              <w:spacing w:after="40" w:before="0" w:line="259" w:lineRule="auto"/>
            </w:pPr>
            <w:r>
              <w:rPr>
                <w:rFonts w:ascii="Calibri" w:hAnsi="Calibri"/>
                <w:b/>
                <w:i w:val="0"/>
                <w:color w:val="212121"/>
                <w:sz w:val="19"/>
              </w:rPr>
              <w:t>Exophthalmos / proptosis (Graves' orbitopathy)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Forward eye protrusion with periorbital swelling — essentially specific to Graves' disease.</w:t>
            </w:r>
          </w:p>
        </w:tc>
      </w:tr>
      <w:tr>
        <w:trPr>
          <w:cantSplit/>
        </w:trPr>
        <w:tc>
          <w:tcPr>
            <w:tcW w:type="dxa" w:w="3456"/>
            <w:vAlign w:val="top"/>
          </w:tcPr>
          <w:p>
            <w:pPr>
              <w:spacing w:after="40" w:before="0" w:line="259" w:lineRule="auto"/>
            </w:pPr>
            <w:r>
              <w:rPr>
                <w:rFonts w:ascii="Calibri" w:hAnsi="Calibri"/>
                <w:b/>
                <w:i w:val="0"/>
                <w:color w:val="212121"/>
                <w:sz w:val="19"/>
              </w:rPr>
              <w:t>Proximal muscle wasting / weakness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Difficulty rising from a squat or chair from thyrotoxic myopathy.</w:t>
            </w:r>
          </w:p>
        </w:tc>
      </w:tr>
      <w:tr>
        <w:trPr>
          <w:cantSplit/>
        </w:trPr>
        <w:tc>
          <w:tcPr>
            <w:tcW w:type="dxa" w:w="3456"/>
            <w:vAlign w:val="top"/>
          </w:tcPr>
          <w:p>
            <w:pPr>
              <w:spacing w:after="40" w:before="0" w:line="259" w:lineRule="auto"/>
            </w:pPr>
            <w:r>
              <w:rPr>
                <w:rFonts w:ascii="Calibri" w:hAnsi="Calibri"/>
                <w:b/>
                <w:i w:val="0"/>
                <w:color w:val="212121"/>
                <w:sz w:val="19"/>
              </w:rPr>
              <w:t>Onycholysis (Plummer's nails)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Separation of the nail from its bed, a sign of thyrotoxicosis.</w:t>
            </w:r>
          </w:p>
        </w:tc>
      </w:tr>
      <w:tr>
        <w:trPr>
          <w:cantSplit/>
        </w:trPr>
        <w:tc>
          <w:tcPr>
            <w:tcW w:type="dxa" w:w="3456"/>
            <w:vAlign w:val="top"/>
          </w:tcPr>
          <w:p>
            <w:pPr>
              <w:spacing w:after="40" w:before="0" w:line="259" w:lineRule="auto"/>
            </w:pPr>
            <w:r>
              <w:rPr>
                <w:rFonts w:ascii="Calibri" w:hAnsi="Calibri"/>
                <w:b/>
                <w:i w:val="0"/>
                <w:color w:val="212121"/>
                <w:sz w:val="19"/>
              </w:rPr>
              <w:t>Pretibial myxedema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Raised, waxy, non-pitting plaques over the shins — specific to Graves' disease.</w:t>
            </w:r>
          </w:p>
        </w:tc>
      </w:tr>
      <w:tr>
        <w:trPr>
          <w:cantSplit/>
        </w:trPr>
        <w:tc>
          <w:tcPr>
            <w:tcW w:type="dxa" w:w="3456"/>
            <w:vAlign w:val="top"/>
          </w:tcPr>
          <w:p>
            <w:pPr>
              <w:spacing w:after="40" w:before="0" w:line="259" w:lineRule="auto"/>
            </w:pPr>
            <w:r>
              <w:rPr>
                <w:rFonts w:ascii="Calibri" w:hAnsi="Calibri"/>
                <w:b/>
                <w:i w:val="0"/>
                <w:color w:val="212121"/>
                <w:sz w:val="19"/>
              </w:rPr>
              <w:t>Thyroid acropachy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Clubbing-like soft-tissue swelling of digits, a rare highly specific Graves' sign.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Thyroid storm (thyrotoxic crisis) — fever, delirium, tachyarrhythmia, mortality 8–25%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Atrial fibrillation and other tachyarrhythmias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High-output / thyrotoxic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Thyrotoxic periodic paralysis (acute hypokalaemic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weight loss and muscle wasting</w:t>
            </w:r>
          </w:p>
        </w:tc>
        <w:tc>
          <w:tcPr>
            <w:tcW w:type="dxa" w:w="2980"/>
            <w:vAlign w:val="top"/>
          </w:tcPr>
          <w:p>
            <w:pPr>
              <w:spacing w:after="40" w:before="0" w:line="259" w:lineRule="auto"/>
            </w:pPr>
            <w:r>
              <w:rPr>
                <w:rFonts w:ascii="Calibri" w:hAnsi="Calibri"/>
                <w:b w:val="0"/>
                <w:i w:val="0"/>
                <w:color w:val="212121"/>
                <w:sz w:val="19"/>
              </w:rPr>
              <w:t>Direct consequences of acute thyroid-hormone excess on the heart, muscle and metabolism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Osteoporosis and increased fracture risk from accelerated bone turnover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Thromboembolic stroke secondary to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Graves' orbitopathy with corneal exposure and, rarely, dysthyroid optic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Dilated cardiomyopathy from sustained tachycardia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Pregnancy complications: miscarriage, pre-eclampsia, preterm birth, fetal/neonatal thyrotoxicosis</w:t>
            </w:r>
          </w:p>
        </w:tc>
        <w:tc>
          <w:tcPr>
            <w:tcW w:type="dxa" w:w="2980"/>
            <w:vAlign w:val="top"/>
          </w:tcPr>
          <w:p>
            <w:pPr>
              <w:spacing w:after="40" w:before="0" w:line="259" w:lineRule="auto"/>
            </w:pPr>
            <w:r>
              <w:rPr>
                <w:rFonts w:ascii="Calibri" w:hAnsi="Calibri"/>
                <w:b w:val="0"/>
                <w:i w:val="0"/>
                <w:color w:val="212121"/>
                <w:sz w:val="19"/>
              </w:rPr>
              <w:t>Result from sustained thyrotoxicosis and its cardiovascular, skeletal and orbital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atrial fibrillation with stroke-related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Vision loss from untreated optic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Osteoporotic fragility fractures with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hypothyroidism after definitive treatment (radioiodine/surgery) requiring lifelong replacement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 failure with reduced functional capacity</w:t>
            </w:r>
          </w:p>
        </w:tc>
        <w:tc>
          <w:tcPr>
            <w:tcW w:type="dxa" w:w="2980"/>
            <w:vAlign w:val="top"/>
          </w:tcPr>
          <w:p>
            <w:pPr>
              <w:spacing w:after="40" w:before="0" w:line="259" w:lineRule="auto"/>
            </w:pPr>
            <w:r>
              <w:rPr>
                <w:rFonts w:ascii="Calibri" w:hAnsi="Calibri"/>
                <w:b w:val="0"/>
                <w:i w:val="0"/>
                <w:color w:val="212121"/>
                <w:sz w:val="19"/>
              </w:rPr>
              <w:t>Irreversible, disabling outcomes of longstanding or complicated hyperthyroidism and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Graves' orbitopathy (thyroid eye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Autoimmune orbital inflammation causing proptosis and diplopia; strongly worsened by smoking.</w:t>
            </w:r>
          </w:p>
          <w:p>
            <w:pPr>
              <w:spacing w:after="40" w:before="0" w:line="259" w:lineRule="auto"/>
            </w:pPr>
            <w:r>
              <w:rPr>
                <w:rFonts w:ascii="Calibri" w:hAnsi="Calibri"/>
                <w:b/>
                <w:i w:val="0"/>
                <w:color w:val="212121"/>
                <w:sz w:val="19"/>
              </w:rPr>
              <w:t>25–50% of Graves'</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Increased cardiac output and vascular tone raise blood pressure (often systolic/wide pulse pressure).</w:t>
            </w:r>
          </w:p>
          <w:p>
            <w:pPr>
              <w:spacing w:after="40" w:before="0" w:line="259" w:lineRule="auto"/>
            </w:pPr>
            <w:r>
              <w:rPr>
                <w:rFonts w:ascii="Calibri" w:hAnsi="Calibri"/>
                <w:b/>
                <w:i w:val="0"/>
                <w:color w:val="212121"/>
                <w:sz w:val="19"/>
              </w:rPr>
              <w:t>~52%</w:t>
            </w:r>
          </w:p>
        </w:tc>
      </w:tr>
      <w:tr>
        <w:trPr>
          <w:cantSplit/>
        </w:trPr>
        <w:tc>
          <w:tcPr>
            <w:tcW w:type="dxa" w:w="2232"/>
            <w:vAlign w:val="top"/>
          </w:tcPr>
          <w:p>
            <w:pPr>
              <w:spacing w:after="40" w:before="0" w:line="259" w:lineRule="auto"/>
            </w:pPr>
            <w:r>
              <w:rPr>
                <w:rFonts w:ascii="Calibri" w:hAnsi="Calibri"/>
                <w:b/>
                <w:i w:val="0"/>
                <w:color w:val="212121"/>
                <w:sz w:val="19"/>
              </w:rPr>
              <w:t>Sinus tachycardia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Resting tachycardia is one of the most consistent cardiovascular findings in thyrotoxicosis.</w:t>
            </w:r>
          </w:p>
          <w:p>
            <w:pPr>
              <w:spacing w:after="40" w:before="0" w:line="259" w:lineRule="auto"/>
            </w:pPr>
            <w:r>
              <w:rPr>
                <w:rFonts w:ascii="Calibri" w:hAnsi="Calibri"/>
                <w:b/>
                <w:i w:val="0"/>
                <w:color w:val="212121"/>
                <w:sz w:val="19"/>
              </w:rPr>
              <w:t>~35%</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Thyrotoxicosis shortens atrial refractoriness; a reversible cause of AF, commoner in the elderly.</w:t>
            </w:r>
          </w:p>
          <w:p>
            <w:pPr>
              <w:spacing w:after="40" w:before="0" w:line="259" w:lineRule="auto"/>
            </w:pPr>
            <w:r>
              <w:rPr>
                <w:rFonts w:ascii="Calibri" w:hAnsi="Calibri"/>
                <w:b/>
                <w:i w:val="0"/>
                <w:color w:val="212121"/>
                <w:sz w:val="19"/>
              </w:rPr>
              <w:t>~12% (up to ~15% in elderly)</w:t>
            </w:r>
          </w:p>
        </w:tc>
      </w:tr>
      <w:tr>
        <w:trPr>
          <w:cantSplit/>
        </w:trPr>
        <w:tc>
          <w:tcPr>
            <w:tcW w:type="dxa" w:w="2232"/>
            <w:vAlign w:val="top"/>
          </w:tcPr>
          <w:p>
            <w:pPr>
              <w:spacing w:after="40" w:before="0" w:line="259" w:lineRule="auto"/>
            </w:pPr>
            <w:r>
              <w:rPr>
                <w:rFonts w:ascii="Calibri" w:hAnsi="Calibri"/>
                <w:b/>
                <w:i w:val="0"/>
                <w:color w:val="212121"/>
                <w:sz w:val="19"/>
              </w:rPr>
              <w:t>Osteoporosis / low bone mineral density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Accelerated bone turnover reduces BMD, especially in postmenopausal women.</w:t>
            </w:r>
          </w:p>
          <w:p>
            <w:pPr>
              <w:spacing w:after="40" w:before="0" w:line="259" w:lineRule="auto"/>
            </w:pPr>
            <w:r>
              <w:rPr>
                <w:rFonts w:ascii="Calibri" w:hAnsi="Calibri"/>
                <w:b/>
                <w:i w:val="0"/>
                <w:color w:val="212121"/>
                <w:sz w:val="19"/>
              </w:rPr>
              <w:t>Increased risk</w:t>
            </w:r>
          </w:p>
        </w:tc>
      </w:tr>
      <w:tr>
        <w:trPr>
          <w:cantSplit/>
        </w:trPr>
        <w:tc>
          <w:tcPr>
            <w:tcW w:type="dxa" w:w="2232"/>
            <w:vAlign w:val="top"/>
          </w:tcPr>
          <w:p>
            <w:pPr>
              <w:spacing w:after="40" w:before="0" w:line="259" w:lineRule="auto"/>
            </w:pPr>
            <w:r>
              <w:rPr>
                <w:rFonts w:ascii="Calibri" w:hAnsi="Calibri"/>
                <w:b/>
                <w:i w:val="0"/>
                <w:color w:val="212121"/>
                <w:sz w:val="19"/>
              </w:rPr>
              <w:t>Other autoimmune disorders (T1DM, vitiligo, pernicious anemia, celiac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Graves' clusters with other organ-specific autoimmune diseases through shared susceptibility genes.</w:t>
            </w:r>
          </w:p>
        </w:tc>
      </w:tr>
      <w:tr>
        <w:trPr>
          <w:cantSplit/>
        </w:trPr>
        <w:tc>
          <w:tcPr>
            <w:tcW w:type="dxa" w:w="2232"/>
            <w:vAlign w:val="top"/>
          </w:tcPr>
          <w:p>
            <w:pPr>
              <w:spacing w:after="40" w:before="0" w:line="259" w:lineRule="auto"/>
            </w:pPr>
            <w:r>
              <w:rPr>
                <w:rFonts w:ascii="Calibri" w:hAnsi="Calibri"/>
                <w:b/>
                <w:i w:val="0"/>
                <w:color w:val="212121"/>
                <w:sz w:val="19"/>
              </w:rPr>
              <w:t>Anxiety and mood disorders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Thyrotoxicosis commonly provokes anxiety and irritability, and depression in apathetic presentations.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unexplained weight loss, palpitations, heat intolerance, tremor, anxiety, neck swelling — and seek a simple TSH blood test.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unsupervised high-iodine exposure (kelp/seaweed tablets, iodine-rich supplements, unnecessary contrast) especially if you have a nodular goiter.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a family history of thyroid or autoimmune disease, get periodic thyroid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stop antithyroid medication abruptly and attend follow-up for thyroid function and blood counts.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 or recently delivered should have thyroid function checked, as hyperthyroidism affects fertility and pregnancy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nodular goiter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 of thyroid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new AF</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smoking raises the risk of Graves' disease and greatly worsens thyroid eye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particularly if you have Graves' disease or active orbitopathy.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radioiodine treatment is planned, cessation is especially important as smoking increases post-treatment eye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to improve success and reduce relapse after antithyroid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Graves'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thyroid eye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planning radioiodine therapy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Consume iodine at recommended (not excessive) levels; avoid high-dose iodine/kelp supplements unless prescribed.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intake to protect bone during and after thyrotoxicosis.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sufficient calorie and protein intake to offset the weight and muscle loss of the hypermetabolic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and other stimulants that aggravate palpitations, tremor and insomnia while thyrotoxic.</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hyperthyroidism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nodular goiter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thyrotoxic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or competitive exercise until heart rate and thyroid levels are controlled, to reduce arrhythmia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stabilised, do regular weight-bearing and resistance exercise to rebuild muscle and protect bone density.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heart rate during activity and stop if palpitations, chest pain or breathlessness occur.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Reintroduce activity gradually as thyroid function normalises on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treated hyperthyroidism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Post-thyrotoxic patients with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cardiac involvement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(breathing, yoga, mindfulness) as major stress can trigger and worsen Graves'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anxiety, irritability and mood change may be symptoms of thyrotoxicosis that improve with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depression, which can dominate the picture in elderly (apathetic) hyperthyroidism.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sleep and reduce stimulants to ease the nervousness and insomnia of the hyperthyroid state.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Graves'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apathetic thyrotoxicosis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national safe limits; do not start or increase drinking as a means of preventing thyroid disease despite the observed inverse association with Graves'.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which harms bone and liver — organs already stressed by thyrotoxicosis.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alcohol use with your clinician if you are on antithyroid drugs, which require liver monitoring.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antithyroid medication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schedule and a cool, calm sleep environment to counter heat intolerance and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caffeine and heavy meals late in the day while thyrotoxic.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sleep to improve as thyroid levels normalise with treatment; report persistent insomnia to your clinician.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hyperthyroidism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prominent insomnia/anxiety</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7053/" TargetMode="External"/><Relationship Id="rId10" Type="http://schemas.openxmlformats.org/officeDocument/2006/relationships/hyperlink" Target="https://www.ncbi.nlm.nih.gov/books/NBK278986/" TargetMode="External"/><Relationship Id="rId11" Type="http://schemas.openxmlformats.org/officeDocument/2006/relationships/hyperlink" Target="https://www.aafp.org/pubs/afp/issues/2014/0915/p389.html" TargetMode="External"/><Relationship Id="rId12" Type="http://schemas.openxmlformats.org/officeDocument/2006/relationships/hyperlink" Target="https://pubmed.ncbi.nlm.nih.gov/21966658/" TargetMode="External"/><Relationship Id="rId13" Type="http://schemas.openxmlformats.org/officeDocument/2006/relationships/hyperlink" Target="https://www.ncbi.nlm.nih.gov/books/NBK544277/" TargetMode="External"/><Relationship Id="rId14" Type="http://schemas.openxmlformats.org/officeDocument/2006/relationships/hyperlink" Target="https://www.medicalnewstoday.com/articles/smoking-and-graves-disease" TargetMode="External"/><Relationship Id="rId15" Type="http://schemas.openxmlformats.org/officeDocument/2006/relationships/hyperlink" Target="https://www.thyroid.org/wp-content/uploads/publications/clinthy/volume25/issue8/clinthy_v258_174_175.pdf" TargetMode="External"/><Relationship Id="rId16" Type="http://schemas.openxmlformats.org/officeDocument/2006/relationships/hyperlink" Target="https://pubmed.ncbi.nlm.nih.gov/11453947/" TargetMode="External"/><Relationship Id="rId17" Type="http://schemas.openxmlformats.org/officeDocument/2006/relationships/hyperlink" Target="https://link.springer.com/article/10.1007/s11154-023-09848-8" TargetMode="External"/><Relationship Id="rId18" Type="http://schemas.openxmlformats.org/officeDocument/2006/relationships/hyperlink" Target="https://www.msjonline.org/index.php/ijrms/article/download/7072/5090/0" TargetMode="External"/><Relationship Id="rId19" Type="http://schemas.openxmlformats.org/officeDocument/2006/relationships/hyperlink" Target="https://www.frontiersin.org/journals/endocrinology/articles/10.3389/fendo.2021.795492/full" TargetMode="External"/><Relationship Id="rId20" Type="http://schemas.openxmlformats.org/officeDocument/2006/relationships/hyperlink" Target="https://www.mdpi.com/2075-4418/10/3/149" TargetMode="External"/><Relationship Id="rId21" Type="http://schemas.openxmlformats.org/officeDocument/2006/relationships/hyperlink" Target="https://www.who.int/publications-detail-redirect/WHO-NUT-96.13" TargetMode="External"/><Relationship Id="rId22" Type="http://schemas.openxmlformats.org/officeDocument/2006/relationships/hyperlink" Target="https://www.ncbi.nlm.nih.gov/books/NBK448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