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Polycystic Ovarian Syndrome</w:t>
      </w:r>
    </w:p>
    <w:p>
      <w:pPr>
        <w:spacing w:before="0" w:after="160"/>
      </w:pPr>
      <w:r>
        <w:rPr>
          <w:rFonts w:ascii="Calibri" w:hAnsi="Calibri"/>
          <w:b/>
          <w:i w:val="0"/>
          <w:color w:val="212121"/>
          <w:sz w:val="22"/>
        </w:rPr>
        <w:t xml:space="preserve">AKA </w:t>
      </w:r>
      <w:r>
        <w:rPr>
          <w:rFonts w:ascii="Calibri" w:hAnsi="Calibri"/>
          <w:b w:val="0"/>
          <w:i w:val="0"/>
          <w:color w:val="212121"/>
          <w:sz w:val="22"/>
        </w:rPr>
        <w:t>i.e., Polycystic ovary syndrome (PCOS); polycystic ovarian disease (PCOD); Stein–Leventhal syndrome; hyperandrogenic anovulation; “cyst in ovary” (lay + clinical)</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Polycystic ovarian syndrome (PCOS) is a common, chronic endocrine–metabolic disorder of women of reproductive age, defined by a combination of ovulatory dysfunction (irregular or absent periods), clinical and/or biochemical hyperandrogenism (excess male-type hormones causing unwanted hair, acne and scalp hair loss) and polycystic ovarian morphology on ultrasound. At its core it is a disorder of insulin resistance and disturbed hypothalamic–pituitary–ovarian signalling, which is why it is at once the commonest cause of anovulatory infertility and a major driver of long-term metabolic disease — type 2 diabetes, dyslipidaemia and fatty liver — and of psychological distress. It is not a single “cyst” disease but a spectrum with several phenotypes, and is diagnosed by applying standard criteria after excluding other causes of the same features.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PCOS affects roughly 10–13% of reproductive-aged women worldwide, and up to 70% of affected women remain undiagnosed. In India estimates vary widely with the criteria used: a large nationwide multicentric survey found a prevalence of about 7.2% by the strict NIH definition, 13.6% by AE-PCOS and 19.6% by the broad Rotterdam criteria, and the condition is commonly summarised as affecting roughly 1 in 5 young Indian women. Pooled Indian data give an overall prevalence of about 11%, with individual studies ranging from around 3.7% up to 22.5% in adolescent and young-women cohorts, and strikingly high rates in the Kashmir valley (about 30–35%). Awareness is poor — most Indian patients consult several doctors before a diagnosis is made — yet PCOS is highly responsive to early lifestyle change and treatment.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PCOS is a clinical diagnosis of exclusion made using standardised criteria after ruling out disorders that mimic it; the internationally endorsed Rotterdam framework is the most widely used. A complete assessment includes: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Rotterdam 2003 criteria (currently recommended) — any two of three features: (i) oligo- or anovulation (irregular or absent periods), (ii) clinical and/or biochemical hyperandrogenism, and (iii) polycystic ovarian morphology on ultrasound;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NIH 1990 criteria (stricter) — both hyperandrogenism AND ovulatory dysfunction are required, identifying the “classic” phenotype;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AE-PCOS Society (2006/2009) criteria — hyperandrogenism (clinical or biochemical) plus either ovulatory dysfunction or polycystic ovaries;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clinical hyperandrogenism by a modified Ferriman–Gallwey score for hirsutism, together with acne and androgenic (male-pattern) scalp hair loss; biochemical hyperandrogenism by raised total/free testosterone and a raised free androgen index (with low SHBG);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menstrual history to define oligomenorrhoea (cycles longer than 35 days or fewer than about 8–9 cycles per year) or amenorrhoea;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Transvaginal (or transabdominal) ultrasound showing a high antral follicle count (≥ 20 follicles of 2–9 mm per ovary) and/or ovarian volume ≥ 10 mL — not used to diagnose PCOS within about 8 years of menarche;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adolescents, both hyperandrogenism and ovulatory dysfunction are required and ultrasound is avoided, to prevent over-diagnosis of a normal maturing ovary;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mimics — pregnancy, thyroid dysfunction, hyperprolactinaemia, non-classical congenital adrenal hyperplasia (17-hydroxyprogesterone), Cushing’s syndrome, acromegaly and androgen-secreting tumours (suspected with rapid onset or virilisation);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Metabolic and psychological screening at diagnosis — a 75 g oral glucose tolerance test (repeated every 1–3 years), fasting lipids, blood pressure and BMI/waist, plus screening for depression, anxiety and obstructive sleep apnoea.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PCOS is not a single entity but a spectrum, best described by the four Rotterdam phenotypes (A–D), which differ in the severity of hyperandrogenism, metabolic risk and impact on fertility:</w:t>
      </w:r>
    </w:p>
    <w:p>
      <w:pPr>
        <w:spacing w:before="0" w:after="80"/>
      </w:pPr>
      <w:r>
        <w:rPr>
          <w:rFonts w:ascii="Calibri" w:hAnsi="Calibri"/>
          <w:b w:val="0"/>
          <w:i w:val="0"/>
          <w:color w:val="212121"/>
          <w:sz w:val="21"/>
        </w:rPr>
        <w:t>(1) Phenotype A — the “classic”/complete form: hyperandrogenism + ovulatory dysfunction + polycystic ovaries (all three present); the most hyperandrogenic and insulin-resistant group, with the highest metabolic and cardiovascular risk;</w:t>
      </w:r>
    </w:p>
    <w:p>
      <w:pPr>
        <w:spacing w:before="0" w:after="80"/>
      </w:pPr>
      <w:r>
        <w:rPr>
          <w:rFonts w:ascii="Calibri" w:hAnsi="Calibri"/>
          <w:b w:val="0"/>
          <w:i w:val="0"/>
          <w:color w:val="212121"/>
          <w:sz w:val="21"/>
        </w:rPr>
        <w:t>(2) Phenotype B — “classic” non-polycystic form: hyperandrogenism + ovulatory dysfunction without polycystic ovaries; an NIH-defined, metabolically severe phenotype;</w:t>
      </w:r>
    </w:p>
    <w:p>
      <w:pPr>
        <w:spacing w:before="0" w:after="80"/>
      </w:pPr>
      <w:r>
        <w:rPr>
          <w:rFonts w:ascii="Calibri" w:hAnsi="Calibri"/>
          <w:b w:val="0"/>
          <w:i w:val="0"/>
          <w:color w:val="212121"/>
          <w:sz w:val="21"/>
        </w:rPr>
        <w:t>(3) Phenotype C — “ovulatory PCOS”: hyperandrogenism + polycystic ovaries with preserved ovulation; intermediate metabolic risk;</w:t>
      </w:r>
    </w:p>
    <w:p>
      <w:pPr>
        <w:spacing w:before="0" w:after="80"/>
      </w:pPr>
      <w:r>
        <w:rPr>
          <w:rFonts w:ascii="Calibri" w:hAnsi="Calibri"/>
          <w:b w:val="0"/>
          <w:i w:val="0"/>
          <w:color w:val="212121"/>
          <w:sz w:val="21"/>
        </w:rPr>
        <w:t>(4) Phenotype D — “non-hyperandrogenic PCOS”: ovulatory dysfunction + polycystic ovaries without hyperandrogenism; the mildest metabolic phenotype. In Indian cohorts phenotypes A and D predominate, and about a third of Indian women with PCOS are lean (BMI &lt; 23 kg/m²) yet may still be insulin-resistant with excess visceral fat — the characteristic “thin/lean PCOS” (“thin-fat”) pattern of South Asians.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Insulin resistance &amp; hyperinsulinaemia: The central driver — high circulating insulin stimulates ovarian theca-cell androgen production and lowers sex hormone-binding globulin (SHBG), raising free testosterone; present in a large majority of women with PCOS, both lean and obese.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Neuroendocrine dysfunction (LH excess): Increased GnRH pulse frequency raises luteinising hormone relative to FSH, driving ovarian androgen excess, follicular arrest and anovulation.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predisposition: Strong familial clustering — first-degree relatives are frequently affected, and multiple susceptibility genes (steroidogenesis, gonadotrophin action and insulin signalling) are implicated.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Obesity &amp; central adiposity: Excess, especially visceral, fat amplifies insulin resistance and low-grade inflammation; Asian-Indian women accumulate visceral fat at a lower BMI (the “thin-fat” phenotype), so metabolic risk appears even in slim women.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Lifestyle factors: Physical inactivity, energy-dense and high-glycaemic diets and weight gain unmask or worsen PCOS in genetically susceptible women and are the main modifiable levers.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Developmental (intra-uterine) programming: Prenatal androgen exposure and abnormal birth weight are linked to later development of PCOS.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Anti-Müllerian hormone excess &amp; chronic inflammation: A large arrested small-follicle pool produces high AMH that contributes to anovulation, alongside low-grade systemic inflammation.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reproductive-age women</w:t>
            </w:r>
          </w:p>
        </w:tc>
        <w:tc>
          <w:tcPr>
            <w:tcW w:type="dxa" w:w="4276"/>
            <w:vAlign w:val="top"/>
          </w:tcPr>
          <w:p>
            <w:pPr>
              <w:spacing w:after="60" w:line="259" w:lineRule="auto"/>
            </w:pPr>
            <w:r>
              <w:rPr>
                <w:rFonts w:ascii="Calibri" w:hAnsi="Calibri"/>
                <w:b w:val="0"/>
                <w:i w:val="0"/>
                <w:color w:val="212121"/>
                <w:sz w:val="19"/>
              </w:rPr>
              <w:t>PCOS typically emerges around menarche and through the reproductive years, when insulin resistance and androgen excess disrupt ovulation. It is the leading endocrine cause of menstrual irregularity and anovulatory infertility in young women.</w:t>
            </w:r>
          </w:p>
          <w:p>
            <w:pPr>
              <w:spacing w:after="40" w:before="60" w:line="259" w:lineRule="auto"/>
            </w:pPr>
            <w:r>
              <w:rPr>
                <w:rFonts w:ascii="Calibri" w:hAnsi="Calibri"/>
                <w:b w:val="0"/>
                <w:i w:val="0"/>
                <w:color w:val="212121"/>
                <w:sz w:val="19"/>
              </w:rPr>
              <w:t>About 1 in 5 young Indian women are affected, and adolescent-cohort prevalence in India ranges from roughly 3.7% to 22.5% depending on criteria.</w:t>
            </w:r>
          </w:p>
          <w:p>
            <w:pPr>
              <w:spacing w:after="40" w:line="252" w:lineRule="auto"/>
            </w:pPr>
            <w:hyperlink r:id="rId9">
              <w:r>
                <w:rPr>
                  <w:rFonts w:ascii="Calibri" w:hAnsi="Calibri" w:cs="Calibri"/>
                  <w:sz w:val="18"/>
                  <w:color w:val="1155CC"/>
                  <w:u w:val="single"/>
                </w:rPr>
                <w:t xml:space="preserve">thinkglobalhealth.org — India unprepared for a PCOS crisis</w:t>
              </w:r>
            </w:hyperlink>
          </w:p>
          <w:p>
            <w:pPr>
              <w:spacing w:before="60" w:after="40"/>
            </w:pPr>
            <w:r>
              <w:rPr>
                <w:rFonts w:ascii="Calibri" w:hAnsi="Calibri"/>
                <w:b w:val="0"/>
                <w:i w:val="0"/>
                <w:color w:val="5A5A5A"/>
                <w:sz w:val="18"/>
              </w:rPr>
              <w:t>#PCOS  #adolescents  #youngwomen  #anovulation  #India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Peri- and post-menopausal women (Elderly)</w:t>
            </w:r>
          </w:p>
        </w:tc>
        <w:tc>
          <w:tcPr>
            <w:tcW w:type="dxa" w:w="4276"/>
            <w:vAlign w:val="top"/>
          </w:tcPr>
          <w:p>
            <w:pPr>
              <w:spacing w:after="60" w:line="259" w:lineRule="auto"/>
            </w:pPr>
            <w:r>
              <w:rPr>
                <w:rFonts w:ascii="Calibri" w:hAnsi="Calibri"/>
                <w:b w:val="0"/>
                <w:i w:val="0"/>
                <w:color w:val="212121"/>
                <w:sz w:val="19"/>
              </w:rPr>
              <w:t>Although PCOS is defined in the reproductive years, its metabolic legacy — insulin resistance, dyslipidaemia and unopposed oestrogen exposure — persists after menopause, raising the burden of type 2 diabetes, cardiovascular disease and endometrial cancer in older women.</w:t>
            </w:r>
          </w:p>
          <w:p>
            <w:pPr>
              <w:spacing w:after="40" w:before="60" w:line="259" w:lineRule="auto"/>
            </w:pPr>
            <w:r>
              <w:rPr>
                <w:rFonts w:ascii="Calibri" w:hAnsi="Calibri"/>
                <w:b w:val="0"/>
                <w:i w:val="0"/>
                <w:color w:val="212121"/>
                <w:sz w:val="19"/>
              </w:rPr>
              <w:t>Women with PCOS carry an increased long-term risk of endometrial cancer, with registry studies reporting an odds ratio of about 3.9.</w:t>
            </w:r>
          </w:p>
          <w:p>
            <w:pPr>
              <w:spacing w:after="40" w:line="252" w:lineRule="auto"/>
            </w:pPr>
            <w:hyperlink r:id="rId10">
              <w:r>
                <w:rPr>
                  <w:rFonts w:ascii="Calibri" w:hAnsi="Calibri" w:cs="Calibri"/>
                  <w:sz w:val="18"/>
                  <w:color w:val="1155CC"/>
                  <w:u w:val="single"/>
                </w:rPr>
                <w:t xml:space="preserve">link.springer.com — PCOS &amp; cancer risk systematic review</w:t>
              </w:r>
            </w:hyperlink>
          </w:p>
          <w:p>
            <w:pPr>
              <w:spacing w:before="60" w:after="40"/>
            </w:pPr>
            <w:r>
              <w:rPr>
                <w:rFonts w:ascii="Calibri" w:hAnsi="Calibri"/>
                <w:b w:val="0"/>
                <w:i w:val="0"/>
                <w:color w:val="5A5A5A"/>
                <w:sz w:val="18"/>
              </w:rPr>
              <w:t>#menopause  #endometrialcancer  #legacyrisk  #cardiometabolic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(women &amp; people with ovaries)</w:t>
            </w:r>
          </w:p>
        </w:tc>
        <w:tc>
          <w:tcPr>
            <w:tcW w:type="dxa" w:w="4276"/>
            <w:vAlign w:val="top"/>
          </w:tcPr>
          <w:p>
            <w:pPr>
              <w:spacing w:after="60" w:line="259" w:lineRule="auto"/>
            </w:pPr>
            <w:r>
              <w:rPr>
                <w:rFonts w:ascii="Calibri" w:hAnsi="Calibri"/>
                <w:b w:val="0"/>
                <w:i w:val="0"/>
                <w:color w:val="212121"/>
                <w:sz w:val="19"/>
              </w:rPr>
              <w:t>PCOS is a disorder of ovarian steroidogenesis and the female hypothalamic–pituitary–ovarian axis, so it occurs exclusively in women and people with ovaries, usually presenting between adolescence and the late reproductive years.</w:t>
            </w:r>
          </w:p>
          <w:p>
            <w:pPr>
              <w:spacing w:after="40" w:before="60" w:line="259" w:lineRule="auto"/>
            </w:pPr>
            <w:r>
              <w:rPr>
                <w:rFonts w:ascii="Calibri" w:hAnsi="Calibri"/>
                <w:b w:val="0"/>
                <w:i w:val="0"/>
                <w:color w:val="212121"/>
                <w:sz w:val="19"/>
              </w:rPr>
              <w:t>PCOS affects an estimated 10–13% of reproductive-aged women worldwide and is the commonest cause of anovulatory infertility.</w:t>
            </w:r>
          </w:p>
          <w:p>
            <w:pPr>
              <w:spacing w:after="40" w:line="252" w:lineRule="auto"/>
            </w:pPr>
            <w:hyperlink r:id="rId11">
              <w:r>
                <w:rPr>
                  <w:rFonts w:ascii="Calibri" w:hAnsi="Calibri" w:cs="Calibri"/>
                  <w:sz w:val="18"/>
                  <w:color w:val="1155CC"/>
                  <w:u w:val="single"/>
                </w:rPr>
                <w:t xml:space="preserve">who.int — Polycystic ovary syndrome (WHO fact sheet)</w:t>
              </w:r>
            </w:hyperlink>
          </w:p>
          <w:p>
            <w:pPr>
              <w:spacing w:before="60" w:after="40"/>
            </w:pPr>
            <w:r>
              <w:rPr>
                <w:rFonts w:ascii="Calibri" w:hAnsi="Calibri"/>
                <w:b w:val="0"/>
                <w:i w:val="0"/>
                <w:color w:val="5A5A5A"/>
                <w:sz w:val="18"/>
              </w:rPr>
              <w:t>#women  #reproductivehealth  #infertility  #hyperandrogenism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sedentary, higher-income lifestyles</w:t>
            </w:r>
          </w:p>
        </w:tc>
        <w:tc>
          <w:tcPr>
            <w:tcW w:type="dxa" w:w="4276"/>
            <w:vAlign w:val="top"/>
          </w:tcPr>
          <w:p>
            <w:pPr>
              <w:spacing w:after="60" w:line="259" w:lineRule="auto"/>
            </w:pPr>
            <w:r>
              <w:rPr>
                <w:rFonts w:ascii="Calibri" w:hAnsi="Calibri"/>
                <w:b w:val="0"/>
                <w:i w:val="0"/>
                <w:color w:val="212121"/>
                <w:sz w:val="19"/>
              </w:rPr>
              <w:t>Urbanisation, calorie-dense diets, low physical activity and rising obesity have increased PCOS in Indian cities, while low awareness delays diagnosis across income groups.</w:t>
            </w:r>
          </w:p>
          <w:p>
            <w:pPr>
              <w:spacing w:after="40" w:before="60" w:line="259" w:lineRule="auto"/>
            </w:pPr>
            <w:r>
              <w:rPr>
                <w:rFonts w:ascii="Calibri" w:hAnsi="Calibri"/>
                <w:b w:val="0"/>
                <w:i w:val="0"/>
                <w:color w:val="212121"/>
                <w:sz w:val="19"/>
              </w:rPr>
              <w:t>In a Northeast India cohort, 61.4% of urban women with PCOS reported poor dietary habits and only 20.8% exercised regularly.</w:t>
            </w:r>
          </w:p>
          <w:p>
            <w:pPr>
              <w:spacing w:after="40" w:line="252" w:lineRule="auto"/>
            </w:pPr>
            <w:hyperlink r:id="rId12">
              <w:r>
                <w:rPr>
                  <w:rFonts w:ascii="Calibri" w:hAnsi="Calibri" w:cs="Calibri"/>
                  <w:sz w:val="18"/>
                  <w:color w:val="1155CC"/>
                  <w:u w:val="single"/>
                </w:rPr>
                <w:t xml:space="preserve">pmc.ncbi.nlm.nih.gov/PMC12592665 — PCOS in Northeast India</w:t>
              </w:r>
            </w:hyperlink>
          </w:p>
          <w:p>
            <w:pPr>
              <w:spacing w:before="60" w:after="40"/>
            </w:pPr>
            <w:r>
              <w:rPr>
                <w:rFonts w:ascii="Calibri" w:hAnsi="Calibri"/>
                <w:b w:val="0"/>
                <w:i w:val="0"/>
                <w:color w:val="5A5A5A"/>
                <w:sz w:val="18"/>
              </w:rPr>
              <w:t>#urbanisation  #sedentary  #awareness  #lifestyle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 / Asian-Indian women</w:t>
            </w:r>
          </w:p>
        </w:tc>
        <w:tc>
          <w:tcPr>
            <w:tcW w:type="dxa" w:w="4276"/>
            <w:vAlign w:val="top"/>
          </w:tcPr>
          <w:p>
            <w:pPr>
              <w:spacing w:after="60" w:line="259" w:lineRule="auto"/>
            </w:pPr>
            <w:r>
              <w:rPr>
                <w:rFonts w:ascii="Calibri" w:hAnsi="Calibri"/>
                <w:b w:val="0"/>
                <w:i w:val="0"/>
                <w:color w:val="212121"/>
                <w:sz w:val="19"/>
              </w:rPr>
              <w:t>South Asian women are more insulin-resistant at any given BMI and accumulate visceral fat readily (the “thin-fat” phenotype), so PCOS and its metabolic complications appear earlier and even in lean women.</w:t>
            </w:r>
          </w:p>
          <w:p>
            <w:pPr>
              <w:spacing w:after="40" w:before="60" w:line="259" w:lineRule="auto"/>
            </w:pPr>
            <w:r>
              <w:rPr>
                <w:rFonts w:ascii="Calibri" w:hAnsi="Calibri"/>
                <w:b w:val="0"/>
                <w:i w:val="0"/>
                <w:color w:val="212121"/>
                <w:sz w:val="19"/>
              </w:rPr>
              <w:t>In a Western-Indian cohort about 32.7% of PCOS women were lean (BMI &lt; 23) yet insulin-resistant, and metabolic syndrome affected 17.8% versus 3.3% of controls.</w:t>
            </w:r>
          </w:p>
          <w:p>
            <w:pPr>
              <w:spacing w:after="40" w:line="252" w:lineRule="auto"/>
            </w:pPr>
            <w:hyperlink r:id="rId13">
              <w:r>
                <w:rPr>
                  <w:rFonts w:ascii="Calibri" w:hAnsi="Calibri" w:cs="Calibri"/>
                  <w:sz w:val="18"/>
                  <w:color w:val="1155CC"/>
                  <w:u w:val="single"/>
                </w:rPr>
                <w:t xml:space="preserve">journals.plos.org — obesity &amp; PCOS phenotypes in Indian women</w:t>
              </w:r>
            </w:hyperlink>
          </w:p>
          <w:p>
            <w:pPr>
              <w:spacing w:before="60" w:after="40"/>
            </w:pPr>
            <w:r>
              <w:rPr>
                <w:rFonts w:ascii="Calibri" w:hAnsi="Calibri"/>
                <w:b w:val="0"/>
                <w:i w:val="0"/>
                <w:color w:val="5A5A5A"/>
                <w:sz w:val="18"/>
              </w:rPr>
              <w:t>#SouthAsian  #thinfat  #visceralfat  #insulinresistance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Kashmir valley / North India</w:t>
            </w:r>
          </w:p>
        </w:tc>
        <w:tc>
          <w:tcPr>
            <w:tcW w:type="dxa" w:w="4276"/>
            <w:vAlign w:val="top"/>
          </w:tcPr>
          <w:p>
            <w:pPr>
              <w:spacing w:after="60" w:line="259" w:lineRule="auto"/>
            </w:pPr>
            <w:r>
              <w:rPr>
                <w:rFonts w:ascii="Calibri" w:hAnsi="Calibri"/>
                <w:b w:val="0"/>
                <w:i w:val="0"/>
                <w:color w:val="212121"/>
                <w:sz w:val="19"/>
              </w:rPr>
              <w:t>Some northern Indian regions, notably the Kashmir valley, report markedly higher PCOS prevalence, contributing to a heavy local burden of menstrual disorders and infertility.</w:t>
            </w:r>
          </w:p>
          <w:p>
            <w:pPr>
              <w:spacing w:after="40" w:before="60" w:line="259" w:lineRule="auto"/>
            </w:pPr>
            <w:r>
              <w:rPr>
                <w:rFonts w:ascii="Calibri" w:hAnsi="Calibri"/>
                <w:b w:val="0"/>
                <w:i w:val="0"/>
                <w:color w:val="212121"/>
                <w:sz w:val="19"/>
              </w:rPr>
              <w:t>Kashmir-valley studies report prevalence of about 35.3% by Rotterdam and 28.9% by NIH criteria — far above the national average.</w:t>
            </w:r>
          </w:p>
          <w:p>
            <w:pPr>
              <w:spacing w:after="40" w:line="252" w:lineRule="auto"/>
            </w:pPr>
            <w:hyperlink r:id="rId14">
              <w:r>
                <w:rPr>
                  <w:rFonts w:ascii="Calibri" w:hAnsi="Calibri" w:cs="Calibri"/>
                  <w:sz w:val="18"/>
                  <w:color w:val="1155CC"/>
                  <w:u w:val="single"/>
                </w:rPr>
                <w:t xml:space="preserve">ijmpr.in — PCOS prevalence systematic review (India)</w:t>
              </w:r>
            </w:hyperlink>
          </w:p>
          <w:p>
            <w:pPr>
              <w:spacing w:before="60" w:after="40"/>
            </w:pPr>
            <w:r>
              <w:rPr>
                <w:rFonts w:ascii="Calibri" w:hAnsi="Calibri"/>
                <w:b w:val="0"/>
                <w:i w:val="0"/>
                <w:color w:val="5A5A5A"/>
                <w:sz w:val="18"/>
              </w:rPr>
              <w:t>#Kashmir  #NorthIndia  #regionalburden  #prevalence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women, students, office workers</w:t>
            </w:r>
          </w:p>
        </w:tc>
        <w:tc>
          <w:tcPr>
            <w:tcW w:type="dxa" w:w="4276"/>
            <w:vAlign w:val="top"/>
          </w:tcPr>
          <w:p>
            <w:pPr>
              <w:spacing w:after="60" w:line="259" w:lineRule="auto"/>
            </w:pPr>
            <w:r>
              <w:rPr>
                <w:rFonts w:ascii="Calibri" w:hAnsi="Calibri"/>
                <w:b w:val="0"/>
                <w:i w:val="0"/>
                <w:color w:val="212121"/>
                <w:sz w:val="19"/>
              </w:rPr>
              <w:t>Physical inactivity worsens insulin resistance and weight gain, the core mechanisms of PCOS, and reduces ovulation; regular activity improves both independent of weight loss.</w:t>
            </w:r>
          </w:p>
          <w:p>
            <w:pPr>
              <w:spacing w:after="40" w:before="60" w:line="259" w:lineRule="auto"/>
            </w:pPr>
            <w:r>
              <w:rPr>
                <w:rFonts w:ascii="Calibri" w:hAnsi="Calibri"/>
                <w:b w:val="0"/>
                <w:i w:val="0"/>
                <w:color w:val="212121"/>
                <w:sz w:val="19"/>
              </w:rPr>
              <w:t>Only about 20.8% of women with PCOS in a Northeast India cohort exercised regularly.</w:t>
            </w:r>
          </w:p>
          <w:p>
            <w:pPr>
              <w:spacing w:after="40" w:line="252" w:lineRule="auto"/>
            </w:pPr>
            <w:hyperlink r:id="rId12">
              <w:r>
                <w:rPr>
                  <w:rFonts w:ascii="Calibri" w:hAnsi="Calibri" w:cs="Calibri"/>
                  <w:sz w:val="18"/>
                  <w:color w:val="1155CC"/>
                  <w:u w:val="single"/>
                </w:rPr>
                <w:t xml:space="preserve">pmc.ncbi.nlm.nih.gov/PMC12592665 — PCOS in Northeast India</w:t>
              </w:r>
            </w:hyperlink>
          </w:p>
          <w:p>
            <w:pPr>
              <w:spacing w:before="60" w:after="40"/>
            </w:pPr>
            <w:r>
              <w:rPr>
                <w:rFonts w:ascii="Calibri" w:hAnsi="Calibri"/>
                <w:b w:val="0"/>
                <w:i w:val="0"/>
                <w:color w:val="5A5A5A"/>
                <w:sz w:val="18"/>
              </w:rPr>
              <w:t>#sedentary  #inactivity  #insulinresistance  #exercise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women (Asian-Indian BMI ≥ 23)</w:t>
            </w:r>
          </w:p>
        </w:tc>
        <w:tc>
          <w:tcPr>
            <w:tcW w:type="dxa" w:w="4276"/>
            <w:vAlign w:val="top"/>
          </w:tcPr>
          <w:p>
            <w:pPr>
              <w:spacing w:after="60" w:line="259" w:lineRule="auto"/>
            </w:pPr>
            <w:r>
              <w:rPr>
                <w:rFonts w:ascii="Calibri" w:hAnsi="Calibri"/>
                <w:b w:val="0"/>
                <w:i w:val="0"/>
                <w:color w:val="212121"/>
                <w:sz w:val="19"/>
              </w:rPr>
              <w:t>Even modest excess weight amplifies insulin resistance and ovarian androgen output, worsening menstrual irregularity, hirsutism and metabolic risk; Asian-Indian cut-offs flag risk at a lower BMI.</w:t>
            </w:r>
          </w:p>
          <w:p>
            <w:pPr>
              <w:spacing w:after="40" w:before="60" w:line="259" w:lineRule="auto"/>
            </w:pPr>
            <w:r>
              <w:rPr>
                <w:rFonts w:ascii="Calibri" w:hAnsi="Calibri"/>
                <w:b w:val="0"/>
                <w:i w:val="0"/>
                <w:color w:val="212121"/>
                <w:sz w:val="19"/>
              </w:rPr>
              <w:t>Between 38% and 88% of women with PCOS are overweight or obese, and central fat is raised even at normal BMI.</w:t>
            </w:r>
          </w:p>
          <w:p>
            <w:pPr>
              <w:spacing w:after="40" w:line="252" w:lineRule="auto"/>
            </w:pPr>
            <w:hyperlink r:id="rId15">
              <w:r>
                <w:rPr>
                  <w:rFonts w:ascii="Calibri" w:hAnsi="Calibri" w:cs="Calibri"/>
                  <w:sz w:val="18"/>
                  <w:color w:val="1155CC"/>
                  <w:u w:val="single"/>
                </w:rPr>
                <w:t xml:space="preserve">ncbi.nlm.nih.gov/books/NBK459251 — PCOS, StatPearls</w:t>
              </w:r>
            </w:hyperlink>
          </w:p>
          <w:p>
            <w:pPr>
              <w:spacing w:before="60" w:after="40"/>
            </w:pPr>
            <w:r>
              <w:rPr>
                <w:rFonts w:ascii="Calibri" w:hAnsi="Calibri"/>
                <w:b w:val="0"/>
                <w:i w:val="0"/>
                <w:color w:val="5A5A5A"/>
                <w:sz w:val="18"/>
              </w:rPr>
              <w:t>#overweight  #BMI  #centralobesity  #Asianindian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Women with obesity / central obesity</w:t>
            </w:r>
          </w:p>
        </w:tc>
        <w:tc>
          <w:tcPr>
            <w:tcW w:type="dxa" w:w="4276"/>
            <w:vAlign w:val="top"/>
          </w:tcPr>
          <w:p>
            <w:pPr>
              <w:spacing w:after="60" w:line="259" w:lineRule="auto"/>
            </w:pPr>
            <w:r>
              <w:rPr>
                <w:rFonts w:ascii="Calibri" w:hAnsi="Calibri"/>
                <w:b w:val="0"/>
                <w:i w:val="0"/>
                <w:color w:val="212121"/>
                <w:sz w:val="19"/>
              </w:rPr>
              <w:t>Obesity, especially abdominal, is the strongest modifiable amplifier of PCOS — it raises insulin, lowers SHBG and drives metabolic syndrome, type 2 diabetes and fatty liver.</w:t>
            </w:r>
          </w:p>
          <w:p>
            <w:pPr>
              <w:spacing w:after="40" w:before="60" w:line="259" w:lineRule="auto"/>
            </w:pPr>
            <w:r>
              <w:rPr>
                <w:rFonts w:ascii="Calibri" w:hAnsi="Calibri"/>
                <w:b w:val="0"/>
                <w:i w:val="0"/>
                <w:color w:val="212121"/>
                <w:sz w:val="19"/>
              </w:rPr>
              <w:t>Metabolic syndrome affected 17.8% of Indian PCOS women overall and was highest in the more hyperandrogenic, obese phenotypes.</w:t>
            </w:r>
          </w:p>
          <w:p>
            <w:pPr>
              <w:spacing w:after="40" w:line="252" w:lineRule="auto"/>
            </w:pPr>
            <w:hyperlink r:id="rId13">
              <w:r>
                <w:rPr>
                  <w:rFonts w:ascii="Calibri" w:hAnsi="Calibri" w:cs="Calibri"/>
                  <w:sz w:val="18"/>
                  <w:color w:val="1155CC"/>
                  <w:u w:val="single"/>
                </w:rPr>
                <w:t xml:space="preserve">journals.plos.org — obesity &amp; PCOS phenotypes in Indian women</w:t>
              </w:r>
            </w:hyperlink>
          </w:p>
          <w:p>
            <w:pPr>
              <w:spacing w:before="60" w:after="40"/>
            </w:pPr>
            <w:r>
              <w:rPr>
                <w:rFonts w:ascii="Calibri" w:hAnsi="Calibri"/>
                <w:b w:val="0"/>
                <w:i w:val="0"/>
                <w:color w:val="5A5A5A"/>
                <w:sz w:val="18"/>
              </w:rPr>
              <w:t>#obesity  #metabolicsyndrome  #abdominalfat  #SHBG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Women who smoke or use tobacco</w:t>
            </w:r>
          </w:p>
        </w:tc>
        <w:tc>
          <w:tcPr>
            <w:tcW w:type="dxa" w:w="4276"/>
            <w:vAlign w:val="top"/>
          </w:tcPr>
          <w:p>
            <w:pPr>
              <w:spacing w:after="60" w:line="259" w:lineRule="auto"/>
            </w:pPr>
            <w:r>
              <w:rPr>
                <w:rFonts w:ascii="Calibri" w:hAnsi="Calibri"/>
                <w:b w:val="0"/>
                <w:i w:val="0"/>
                <w:color w:val="212121"/>
                <w:sz w:val="19"/>
              </w:rPr>
              <w:t>Smoking worsens insulin resistance, adverse lipids and endothelial and cardiovascular risk, compounding the metabolic burden of PCOS and harming fertility.</w:t>
            </w:r>
          </w:p>
          <w:p>
            <w:pPr>
              <w:spacing w:after="40" w:before="60" w:line="259" w:lineRule="auto"/>
            </w:pPr>
            <w:r>
              <w:rPr>
                <w:rFonts w:ascii="Calibri" w:hAnsi="Calibri"/>
                <w:b w:val="0"/>
                <w:i w:val="0"/>
                <w:color w:val="212121"/>
                <w:sz w:val="19"/>
              </w:rPr>
              <w:t>Smoking is an established, avoidable cardiometabolic risk multiplier in women with PCOS.</w:t>
            </w:r>
          </w:p>
          <w:p>
            <w:pPr>
              <w:spacing w:before="60" w:after="40"/>
            </w:pPr>
            <w:r>
              <w:rPr>
                <w:rFonts w:ascii="Calibri" w:hAnsi="Calibri"/>
                <w:b w:val="0"/>
                <w:i w:val="0"/>
                <w:color w:val="5A5A5A"/>
                <w:sz w:val="18"/>
              </w:rPr>
              <w:t>#smoking  #tobacco  #cardiometabolic  #fertility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alcohol consumers</w:t>
            </w:r>
          </w:p>
        </w:tc>
        <w:tc>
          <w:tcPr>
            <w:tcW w:type="dxa" w:w="4276"/>
            <w:vAlign w:val="top"/>
          </w:tcPr>
          <w:p>
            <w:pPr>
              <w:spacing w:after="60" w:line="259" w:lineRule="auto"/>
            </w:pPr>
            <w:r>
              <w:rPr>
                <w:rFonts w:ascii="Calibri" w:hAnsi="Calibri"/>
                <w:b w:val="0"/>
                <w:i w:val="0"/>
                <w:color w:val="212121"/>
                <w:sz w:val="19"/>
              </w:rPr>
              <w:t>Excess alcohol adds calories, promotes weight gain and worsens fatty liver and triglycerides, aggravating the metabolic complications already common in PCOS.</w:t>
            </w:r>
          </w:p>
          <w:p>
            <w:pPr>
              <w:spacing w:after="40" w:before="60" w:line="259" w:lineRule="auto"/>
            </w:pPr>
            <w:r>
              <w:rPr>
                <w:rFonts w:ascii="Calibri" w:hAnsi="Calibri"/>
                <w:b w:val="0"/>
                <w:i w:val="0"/>
                <w:color w:val="212121"/>
                <w:sz w:val="19"/>
              </w:rPr>
              <w:t>Alcohol excess compounds obesity, dyslipidaemia and non-alcoholic fatty liver risk in PCOS.</w:t>
            </w:r>
          </w:p>
          <w:p>
            <w:pPr>
              <w:spacing w:before="60" w:after="40"/>
            </w:pPr>
            <w:r>
              <w:rPr>
                <w:rFonts w:ascii="Calibri" w:hAnsi="Calibri"/>
                <w:b w:val="0"/>
                <w:i w:val="0"/>
                <w:color w:val="5A5A5A"/>
                <w:sz w:val="18"/>
              </w:rPr>
              <w:t>#alcohol  #NAFLD  #triglycerides  #weightgain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High-glycaemic, refined-carbohydrate &amp; ultra-processed diets</w:t>
            </w:r>
          </w:p>
        </w:tc>
        <w:tc>
          <w:tcPr>
            <w:tcW w:type="dxa" w:w="4276"/>
            <w:vAlign w:val="top"/>
          </w:tcPr>
          <w:p>
            <w:pPr>
              <w:spacing w:after="60" w:line="259" w:lineRule="auto"/>
            </w:pPr>
            <w:r>
              <w:rPr>
                <w:rFonts w:ascii="Calibri" w:hAnsi="Calibri"/>
                <w:b w:val="0"/>
                <w:i w:val="0"/>
                <w:color w:val="212121"/>
                <w:sz w:val="19"/>
              </w:rPr>
              <w:t>Refined grains (white rice, maida), sugary drinks and ultra-processed foods cause sharp insulin spikes that drive ovarian androgen production and weight gain — particularly relevant to Indian carbohydrate-heavy diets.</w:t>
            </w:r>
          </w:p>
          <w:p>
            <w:pPr>
              <w:spacing w:after="40" w:before="60" w:line="259" w:lineRule="auto"/>
            </w:pPr>
            <w:r>
              <w:rPr>
                <w:rFonts w:ascii="Calibri" w:hAnsi="Calibri"/>
                <w:b w:val="0"/>
                <w:i w:val="0"/>
                <w:color w:val="212121"/>
                <w:sz w:val="19"/>
              </w:rPr>
              <w:t>Poor dietary habits were reported by 61.4% of urban women with PCOS in a Northeast India cohort.</w:t>
            </w:r>
          </w:p>
          <w:p>
            <w:pPr>
              <w:spacing w:after="40" w:line="252" w:lineRule="auto"/>
            </w:pPr>
            <w:hyperlink r:id="rId12">
              <w:r>
                <w:rPr>
                  <w:rFonts w:ascii="Calibri" w:hAnsi="Calibri" w:cs="Calibri"/>
                  <w:sz w:val="18"/>
                  <w:color w:val="1155CC"/>
                  <w:u w:val="single"/>
                </w:rPr>
                <w:t xml:space="preserve">pmc.ncbi.nlm.nih.gov/PMC12592665 — PCOS in Northeast India</w:t>
              </w:r>
            </w:hyperlink>
          </w:p>
          <w:p>
            <w:pPr>
              <w:spacing w:before="60" w:after="40"/>
            </w:pPr>
            <w:r>
              <w:rPr>
                <w:rFonts w:ascii="Calibri" w:hAnsi="Calibri"/>
                <w:b w:val="0"/>
                <w:i w:val="0"/>
                <w:color w:val="5A5A5A"/>
                <w:sz w:val="18"/>
              </w:rPr>
              <w:t>#glycaemicload  #refinedcarbs  #sugarydrinks  #ultraprocessed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quality</w:t>
            </w:r>
          </w:p>
        </w:tc>
        <w:tc>
          <w:tcPr>
            <w:tcW w:type="dxa" w:w="2160"/>
            <w:vAlign w:val="top"/>
          </w:tcPr>
          <w:p>
            <w:pPr>
              <w:spacing w:after="40" w:before="0" w:line="259" w:lineRule="auto"/>
            </w:pPr>
            <w:r>
              <w:rPr>
                <w:rFonts w:ascii="Calibri" w:hAnsi="Calibri"/>
                <w:b w:val="0"/>
                <w:i w:val="0"/>
                <w:color w:val="212121"/>
                <w:sz w:val="19"/>
              </w:rPr>
              <w:t>Low-fibre, high-saturated-fat, low-micronutrient diets</w:t>
            </w:r>
          </w:p>
        </w:tc>
        <w:tc>
          <w:tcPr>
            <w:tcW w:type="dxa" w:w="4276"/>
            <w:vAlign w:val="top"/>
          </w:tcPr>
          <w:p>
            <w:pPr>
              <w:spacing w:after="60" w:line="259" w:lineRule="auto"/>
            </w:pPr>
            <w:r>
              <w:rPr>
                <w:rFonts w:ascii="Calibri" w:hAnsi="Calibri"/>
                <w:b w:val="0"/>
                <w:i w:val="0"/>
                <w:color w:val="212121"/>
                <w:sz w:val="19"/>
              </w:rPr>
              <w:t>Diets low in fibre and high in saturated fat worsen insulin resistance and dyslipidaemia, while low intake of key micronutrients (vitamin D, inositol-rich foods) may aggravate metabolic and ovulatory dysfunction.</w:t>
            </w:r>
          </w:p>
          <w:p>
            <w:pPr>
              <w:spacing w:after="40" w:before="60" w:line="259" w:lineRule="auto"/>
            </w:pPr>
            <w:r>
              <w:rPr>
                <w:rFonts w:ascii="Calibri" w:hAnsi="Calibri"/>
                <w:b w:val="0"/>
                <w:i w:val="0"/>
                <w:color w:val="212121"/>
                <w:sz w:val="19"/>
              </w:rPr>
              <w:t>Balanced, fibre-rich, lower-glycaemic eating is a first-line lever for improving PCOS metabolic and reproductive outcomes.</w:t>
            </w:r>
          </w:p>
          <w:p>
            <w:pPr>
              <w:spacing w:before="60" w:after="40"/>
            </w:pPr>
            <w:r>
              <w:rPr>
                <w:rFonts w:ascii="Calibri" w:hAnsi="Calibri"/>
                <w:b w:val="0"/>
                <w:i w:val="0"/>
                <w:color w:val="5A5A5A"/>
                <w:sz w:val="18"/>
              </w:rPr>
              <w:t>#lowfibre  #saturatedfat  #dyslipidaemia  #micronutrients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PCOS or type 2 diabetes</w:t>
            </w:r>
          </w:p>
        </w:tc>
        <w:tc>
          <w:tcPr>
            <w:tcW w:type="dxa" w:w="4276"/>
            <w:vAlign w:val="top"/>
          </w:tcPr>
          <w:p>
            <w:pPr>
              <w:spacing w:after="60" w:line="259" w:lineRule="auto"/>
            </w:pPr>
            <w:r>
              <w:rPr>
                <w:rFonts w:ascii="Calibri" w:hAnsi="Calibri"/>
                <w:b w:val="0"/>
                <w:i w:val="0"/>
                <w:color w:val="212121"/>
                <w:sz w:val="19"/>
              </w:rPr>
              <w:t>PCOS clusters strongly in families; a mother or sister with PCOS, or a strong family history of type 2 diabetes, substantially increases risk through shared genes for insulin signalling and androgen metabolism.</w:t>
            </w:r>
          </w:p>
          <w:p>
            <w:pPr>
              <w:spacing w:after="40" w:before="60" w:line="259" w:lineRule="auto"/>
            </w:pPr>
            <w:r>
              <w:rPr>
                <w:rFonts w:ascii="Calibri" w:hAnsi="Calibri"/>
                <w:b w:val="0"/>
                <w:i w:val="0"/>
                <w:color w:val="212121"/>
                <w:sz w:val="19"/>
              </w:rPr>
              <w:t>A positive family history of PCOS was present in 56.6% of cases in a Northeast India cohort.</w:t>
            </w:r>
          </w:p>
          <w:p>
            <w:pPr>
              <w:spacing w:after="40" w:line="252" w:lineRule="auto"/>
            </w:pPr>
            <w:hyperlink r:id="rId12">
              <w:r>
                <w:rPr>
                  <w:rFonts w:ascii="Calibri" w:hAnsi="Calibri" w:cs="Calibri"/>
                  <w:sz w:val="18"/>
                  <w:color w:val="1155CC"/>
                  <w:u w:val="single"/>
                </w:rPr>
                <w:t xml:space="preserve">pmc.ncbi.nlm.nih.gov/PMC12592665 — PCOS in Northeast India</w:t>
              </w:r>
            </w:hyperlink>
          </w:p>
          <w:p>
            <w:pPr>
              <w:spacing w:before="60" w:after="40"/>
            </w:pPr>
            <w:r>
              <w:rPr>
                <w:rFonts w:ascii="Calibri" w:hAnsi="Calibri"/>
                <w:b w:val="0"/>
                <w:i w:val="0"/>
                <w:color w:val="5A5A5A"/>
                <w:sz w:val="18"/>
              </w:rPr>
              <w:t>#familyhistory  #heritability  #genetics  #T2DMrisk</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Insulin resistance / prediabetes</w:t>
            </w:r>
          </w:p>
        </w:tc>
        <w:tc>
          <w:tcPr>
            <w:tcW w:type="dxa" w:w="2160"/>
            <w:vAlign w:val="top"/>
          </w:tcPr>
          <w:p>
            <w:pPr>
              <w:spacing w:after="40" w:before="0" w:line="259" w:lineRule="auto"/>
            </w:pPr>
            <w:r>
              <w:rPr>
                <w:rFonts w:ascii="Calibri" w:hAnsi="Calibri"/>
                <w:b w:val="0"/>
                <w:i w:val="0"/>
                <w:color w:val="212121"/>
                <w:sz w:val="19"/>
              </w:rPr>
              <w:t>Women with insulin resistance or prediabetes</w:t>
            </w:r>
          </w:p>
        </w:tc>
        <w:tc>
          <w:tcPr>
            <w:tcW w:type="dxa" w:w="4276"/>
            <w:vAlign w:val="top"/>
          </w:tcPr>
          <w:p>
            <w:pPr>
              <w:spacing w:after="60" w:line="259" w:lineRule="auto"/>
            </w:pPr>
            <w:r>
              <w:rPr>
                <w:rFonts w:ascii="Calibri" w:hAnsi="Calibri"/>
                <w:b w:val="0"/>
                <w:i w:val="0"/>
                <w:color w:val="212121"/>
                <w:sz w:val="19"/>
              </w:rPr>
              <w:t>Insulin resistance is the pathophysiological hub of PCOS — hyperinsulinaemia directly raises ovarian androgens and lowers SHBG, so prediabetes both signals and worsens the syndrome.</w:t>
            </w:r>
          </w:p>
          <w:p>
            <w:pPr>
              <w:spacing w:after="40" w:before="60" w:line="259" w:lineRule="auto"/>
            </w:pPr>
            <w:r>
              <w:rPr>
                <w:rFonts w:ascii="Calibri" w:hAnsi="Calibri"/>
                <w:b w:val="0"/>
                <w:i w:val="0"/>
                <w:color w:val="212121"/>
                <w:sz w:val="19"/>
              </w:rPr>
              <w:t>Insulin resistance is present in around 70% of women with PCOS (roughly a third to two-thirds show a frankly abnormal degree).</w:t>
            </w:r>
          </w:p>
          <w:p>
            <w:pPr>
              <w:spacing w:after="40" w:line="252" w:lineRule="auto"/>
            </w:pPr>
            <w:hyperlink r:id="rId15">
              <w:r>
                <w:rPr>
                  <w:rFonts w:ascii="Calibri" w:hAnsi="Calibri" w:cs="Calibri"/>
                  <w:sz w:val="18"/>
                  <w:color w:val="1155CC"/>
                  <w:u w:val="single"/>
                </w:rPr>
                <w:t xml:space="preserve">ncbi.nlm.nih.gov/books/NBK459251 — PCOS, StatPearls</w:t>
              </w:r>
            </w:hyperlink>
          </w:p>
          <w:p>
            <w:pPr>
              <w:spacing w:before="60" w:after="40"/>
            </w:pPr>
            <w:r>
              <w:rPr>
                <w:rFonts w:ascii="Calibri" w:hAnsi="Calibri"/>
                <w:b w:val="0"/>
                <w:i w:val="0"/>
                <w:color w:val="5A5A5A"/>
                <w:sz w:val="18"/>
              </w:rPr>
              <w:t>#insulinresistance  #prediabetes  #hyperinsulinaemia  #SHBG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 / IGT</w:t>
            </w:r>
          </w:p>
        </w:tc>
        <w:tc>
          <w:tcPr>
            <w:tcW w:type="dxa" w:w="2160"/>
            <w:vAlign w:val="top"/>
          </w:tcPr>
          <w:p>
            <w:pPr>
              <w:spacing w:after="40" w:before="0" w:line="259" w:lineRule="auto"/>
            </w:pPr>
            <w:r>
              <w:rPr>
                <w:rFonts w:ascii="Calibri" w:hAnsi="Calibri"/>
                <w:b w:val="0"/>
                <w:i w:val="0"/>
                <w:color w:val="212121"/>
                <w:sz w:val="19"/>
              </w:rPr>
              <w:t>Women with impaired glucose tolerance or type 2 diabetes</w:t>
            </w:r>
          </w:p>
        </w:tc>
        <w:tc>
          <w:tcPr>
            <w:tcW w:type="dxa" w:w="4276"/>
            <w:vAlign w:val="top"/>
          </w:tcPr>
          <w:p>
            <w:pPr>
              <w:spacing w:after="60" w:line="259" w:lineRule="auto"/>
            </w:pPr>
            <w:r>
              <w:rPr>
                <w:rFonts w:ascii="Calibri" w:hAnsi="Calibri"/>
                <w:b w:val="0"/>
                <w:i w:val="0"/>
                <w:color w:val="212121"/>
                <w:sz w:val="19"/>
              </w:rPr>
              <w:t>PCOS substantially raises the risk of impaired glucose tolerance and type 2 diabetes, often at a younger age; annual–triennial glucose testing is advised.</w:t>
            </w:r>
          </w:p>
          <w:p>
            <w:pPr>
              <w:spacing w:after="40" w:before="60" w:line="259" w:lineRule="auto"/>
            </w:pPr>
            <w:r>
              <w:rPr>
                <w:rFonts w:ascii="Calibri" w:hAnsi="Calibri"/>
                <w:b w:val="0"/>
                <w:i w:val="0"/>
                <w:color w:val="212121"/>
                <w:sz w:val="19"/>
              </w:rPr>
              <w:t>Meta-analysis: type 2 diabetes odds ratio 4.43 and impaired glucose tolerance odds ratio 2.48 in PCOS versus controls (T2DM OR still ~4.0 in BMI-matched studies).</w:t>
            </w:r>
          </w:p>
          <w:p>
            <w:pPr>
              <w:spacing w:after="40" w:line="252" w:lineRule="auto"/>
            </w:pPr>
            <w:hyperlink r:id="rId16">
              <w:r>
                <w:rPr>
                  <w:rFonts w:ascii="Calibri" w:hAnsi="Calibri" w:cs="Calibri"/>
                  <w:sz w:val="18"/>
                  <w:color w:val="1155CC"/>
                  <w:u w:val="single"/>
                </w:rPr>
                <w:t xml:space="preserve">academic.oup.com/humupd — IGT, T2DM &amp; MetS in PCOS meta-analysis</w:t>
              </w:r>
            </w:hyperlink>
          </w:p>
          <w:p>
            <w:pPr>
              <w:spacing w:before="60" w:after="40"/>
            </w:pPr>
            <w:r>
              <w:rPr>
                <w:rFonts w:ascii="Calibri" w:hAnsi="Calibri"/>
                <w:b w:val="0"/>
                <w:i w:val="0"/>
                <w:color w:val="5A5A5A"/>
                <w:sz w:val="18"/>
              </w:rPr>
              <w:t>#type2diabetes  #IGT  #OGTT  #glycaemia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 / dyslipidaemia</w:t>
            </w:r>
          </w:p>
        </w:tc>
        <w:tc>
          <w:tcPr>
            <w:tcW w:type="dxa" w:w="2160"/>
            <w:vAlign w:val="top"/>
          </w:tcPr>
          <w:p>
            <w:pPr>
              <w:spacing w:after="40" w:before="0" w:line="259" w:lineRule="auto"/>
            </w:pPr>
            <w:r>
              <w:rPr>
                <w:rFonts w:ascii="Calibri" w:hAnsi="Calibri"/>
                <w:b w:val="0"/>
                <w:i w:val="0"/>
                <w:color w:val="212121"/>
                <w:sz w:val="19"/>
              </w:rPr>
              <w:t>Women with metabolic syndrome</w:t>
            </w:r>
          </w:p>
        </w:tc>
        <w:tc>
          <w:tcPr>
            <w:tcW w:type="dxa" w:w="4276"/>
            <w:vAlign w:val="top"/>
          </w:tcPr>
          <w:p>
            <w:pPr>
              <w:spacing w:after="60" w:line="259" w:lineRule="auto"/>
            </w:pPr>
            <w:r>
              <w:rPr>
                <w:rFonts w:ascii="Calibri" w:hAnsi="Calibri"/>
                <w:b w:val="0"/>
                <w:i w:val="0"/>
                <w:color w:val="212121"/>
                <w:sz w:val="19"/>
              </w:rPr>
              <w:t>Clustering of central obesity, high triglycerides, low HDL, hypertension and dysglycaemia is common in PCOS and multiplies cardiovascular risk.</w:t>
            </w:r>
          </w:p>
          <w:p>
            <w:pPr>
              <w:spacing w:after="40" w:before="60" w:line="259" w:lineRule="auto"/>
            </w:pPr>
            <w:r>
              <w:rPr>
                <w:rFonts w:ascii="Calibri" w:hAnsi="Calibri"/>
                <w:b w:val="0"/>
                <w:i w:val="0"/>
                <w:color w:val="212121"/>
                <w:sz w:val="19"/>
              </w:rPr>
              <w:t>Metabolic syndrome odds ratio 2.88 in PCOS; in Indian women prevalence was 17.8% versus 3.3% of controls.</w:t>
            </w:r>
          </w:p>
          <w:p>
            <w:pPr>
              <w:spacing w:after="40" w:line="252" w:lineRule="auto"/>
            </w:pPr>
            <w:hyperlink r:id="rId16">
              <w:r>
                <w:rPr>
                  <w:rFonts w:ascii="Calibri" w:hAnsi="Calibri" w:cs="Calibri"/>
                  <w:sz w:val="18"/>
                  <w:color w:val="1155CC"/>
                  <w:u w:val="single"/>
                </w:rPr>
                <w:t xml:space="preserve">academic.oup.com/humupd — IGT, T2DM &amp; MetS in PCOS meta-analysis</w:t>
              </w:r>
            </w:hyperlink>
          </w:p>
          <w:p>
            <w:pPr>
              <w:spacing w:before="60" w:after="40"/>
            </w:pPr>
            <w:r>
              <w:rPr>
                <w:rFonts w:ascii="Calibri" w:hAnsi="Calibri"/>
                <w:b w:val="0"/>
                <w:i w:val="0"/>
                <w:color w:val="5A5A5A"/>
                <w:sz w:val="18"/>
              </w:rPr>
              <w:t>#metabolicsyndrome  #dyslipidaemia  #hypertension  #cardiovascular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&amp; anxiety</w:t>
            </w:r>
          </w:p>
        </w:tc>
        <w:tc>
          <w:tcPr>
            <w:tcW w:type="dxa" w:w="2160"/>
            <w:vAlign w:val="top"/>
          </w:tcPr>
          <w:p>
            <w:pPr>
              <w:spacing w:after="40" w:before="0" w:line="259" w:lineRule="auto"/>
            </w:pPr>
            <w:r>
              <w:rPr>
                <w:rFonts w:ascii="Calibri" w:hAnsi="Calibri"/>
                <w:b w:val="0"/>
                <w:i w:val="0"/>
                <w:color w:val="212121"/>
                <w:sz w:val="19"/>
              </w:rPr>
              <w:t>Women with mood or anxiety disorders</w:t>
            </w:r>
          </w:p>
        </w:tc>
        <w:tc>
          <w:tcPr>
            <w:tcW w:type="dxa" w:w="4276"/>
            <w:vAlign w:val="top"/>
          </w:tcPr>
          <w:p>
            <w:pPr>
              <w:spacing w:after="60" w:line="259" w:lineRule="auto"/>
            </w:pPr>
            <w:r>
              <w:rPr>
                <w:rFonts w:ascii="Calibri" w:hAnsi="Calibri"/>
                <w:b w:val="0"/>
                <w:i w:val="0"/>
                <w:color w:val="212121"/>
                <w:sz w:val="19"/>
              </w:rPr>
              <w:t>PCOS is strongly and bidirectionally linked to depression, anxiety, eating disorders and negative body image, driven by hyperandrogenic features, subfertility and metabolic distress — independent of weight.</w:t>
            </w:r>
          </w:p>
          <w:p>
            <w:pPr>
              <w:spacing w:after="40" w:before="60" w:line="259" w:lineRule="auto"/>
            </w:pPr>
            <w:r>
              <w:rPr>
                <w:rFonts w:ascii="Calibri" w:hAnsi="Calibri"/>
                <w:b w:val="0"/>
                <w:i w:val="0"/>
                <w:color w:val="212121"/>
                <w:sz w:val="19"/>
              </w:rPr>
              <w:t>Meta-analysis: odds of depressive symptoms 3.78 and of anxiety symptoms 5.62 in PCOS, persisting after matching for BMI.</w:t>
            </w:r>
          </w:p>
          <w:p>
            <w:pPr>
              <w:spacing w:after="40" w:line="252" w:lineRule="auto"/>
            </w:pPr>
            <w:hyperlink r:id="rId17">
              <w:r>
                <w:rPr>
                  <w:rFonts w:ascii="Calibri" w:hAnsi="Calibri" w:cs="Calibri"/>
                  <w:sz w:val="18"/>
                  <w:color w:val="1155CC"/>
                  <w:u w:val="single"/>
                </w:rPr>
                <w:t xml:space="preserve">academic.oup.com/humrep — depression &amp; anxiety in PCOS meta-analysis</w:t>
              </w:r>
            </w:hyperlink>
          </w:p>
          <w:p>
            <w:pPr>
              <w:spacing w:before="60" w:after="40"/>
            </w:pPr>
            <w:r>
              <w:rPr>
                <w:rFonts w:ascii="Calibri" w:hAnsi="Calibri"/>
                <w:b w:val="0"/>
                <w:i w:val="0"/>
                <w:color w:val="5A5A5A"/>
                <w:sz w:val="18"/>
              </w:rPr>
              <w:t>#depression  #anxiety  #bodyimage  #mentalhealth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OSA &amp; fatty liver</w:t>
            </w:r>
          </w:p>
        </w:tc>
        <w:tc>
          <w:tcPr>
            <w:tcW w:type="dxa" w:w="2160"/>
            <w:vAlign w:val="top"/>
          </w:tcPr>
          <w:p>
            <w:pPr>
              <w:spacing w:after="40" w:before="0" w:line="259" w:lineRule="auto"/>
            </w:pPr>
            <w:r>
              <w:rPr>
                <w:rFonts w:ascii="Calibri" w:hAnsi="Calibri"/>
                <w:b w:val="0"/>
                <w:i w:val="0"/>
                <w:color w:val="212121"/>
                <w:sz w:val="19"/>
              </w:rPr>
              <w:t>Women with obstructive sleep apnoea or NAFLD</w:t>
            </w:r>
          </w:p>
        </w:tc>
        <w:tc>
          <w:tcPr>
            <w:tcW w:type="dxa" w:w="4276"/>
            <w:vAlign w:val="top"/>
          </w:tcPr>
          <w:p>
            <w:pPr>
              <w:spacing w:after="60" w:line="259" w:lineRule="auto"/>
            </w:pPr>
            <w:r>
              <w:rPr>
                <w:rFonts w:ascii="Calibri" w:hAnsi="Calibri"/>
                <w:b w:val="0"/>
                <w:i w:val="0"/>
                <w:color w:val="212121"/>
                <w:sz w:val="19"/>
              </w:rPr>
              <w:t>Insulin resistance and central obesity predispose to obstructive sleep apnoea and non-alcoholic fatty liver disease, which in turn further worsen insulin resistance in a vicious cycle.</w:t>
            </w:r>
          </w:p>
          <w:p>
            <w:pPr>
              <w:spacing w:after="40" w:before="60" w:line="259" w:lineRule="auto"/>
            </w:pPr>
            <w:r>
              <w:rPr>
                <w:rFonts w:ascii="Calibri" w:hAnsi="Calibri"/>
                <w:b w:val="0"/>
                <w:i w:val="0"/>
                <w:color w:val="212121"/>
                <w:sz w:val="19"/>
              </w:rPr>
              <w:t>Obstructive sleep apnoea was reported in about 37.7% of women in a Northeast India PCOS cohort.</w:t>
            </w:r>
          </w:p>
          <w:p>
            <w:pPr>
              <w:spacing w:after="40" w:line="252" w:lineRule="auto"/>
            </w:pPr>
            <w:hyperlink r:id="rId12">
              <w:r>
                <w:rPr>
                  <w:rFonts w:ascii="Calibri" w:hAnsi="Calibri" w:cs="Calibri"/>
                  <w:sz w:val="18"/>
                  <w:color w:val="1155CC"/>
                  <w:u w:val="single"/>
                </w:rPr>
                <w:t xml:space="preserve">pmc.ncbi.nlm.nih.gov/PMC12592665 — PCOS in Northeast India</w:t>
              </w:r>
            </w:hyperlink>
          </w:p>
          <w:p>
            <w:pPr>
              <w:spacing w:before="60" w:after="40"/>
            </w:pPr>
            <w:r>
              <w:rPr>
                <w:rFonts w:ascii="Calibri" w:hAnsi="Calibri"/>
                <w:b w:val="0"/>
                <w:i w:val="0"/>
                <w:color w:val="5A5A5A"/>
                <w:sz w:val="18"/>
              </w:rPr>
              <w:t>#OSA  #NAFLD  #sleepapnoea  #insulinresistance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worsens insulin resistance, weight gain and anovulation, while regular aerobic and resistance exercise improves insulin sensitivity, ovulation and androgen profile — partly independent of weight loss. It is a first-line intervention for all women with PCOS.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High-glycaemic, energy-dense and ultra-processed diets drive hyperinsulinaemia and weight gain, worsening hyperandrogenism; a balanced, fibre-rich, lower-glycaemic diet with modest calorie reduction is a cornerstone of management.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Obstructive sleep apnoea and poor-quality or short sleep are common in PCOS and aggravate insulin resistance and weight gain; treating OSA improves metabolic control.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compounds insulin resistance, dyslipidaemia and cardiovascular risk in an already high-risk group and impairs fertility; cessation is strongly advised.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Excess alcohol adds calories and worsens fatty liver, triglycerides and weight, aggravating the metabolic complications of PCOS.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and anxiety are markedly more common in PCOS (odds roughly 3.8 and 5.6 fold), independent of obesity, and worsen adherence and quality of life; routine screening and support are recommended.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metabolic health but has no established direct role in PCOS prevention or control.</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limited and inconsistent; moderate coffee intake has no clear harmful or protective effect on PCOS and is not a management target.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and skin hygiene help manage acne and hirsutism-related skin problems but do not influence the underlying endocrine disorder.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Weight gain, high-glycaemic diet, physical inactivity, chronic stress and certain drugs (e.g. sodium valproate) can unmask or worsen PCOS features in susceptible women.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 cut-offs)</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(obesity)</w:t>
            </w:r>
          </w:p>
        </w:tc>
        <w:tc>
          <w:tcPr>
            <w:tcW w:type="dxa" w:w="1468"/>
            <w:vAlign w:val="top"/>
          </w:tcPr>
          <w:p>
            <w:pPr>
              <w:spacing w:after="60" w:line="259" w:lineRule="auto"/>
            </w:pPr>
            <w:r>
              <w:rPr>
                <w:rFonts w:ascii="Calibri" w:hAnsi="Calibri"/>
                <w:b w:val="0"/>
                <w:i w:val="0"/>
                <w:color w:val="212121"/>
                <w:sz w:val="19"/>
              </w:rPr>
              <w:t>Even modest weight reduction (5–10%) improves ovulation and insulin sensitivity.</w:t>
            </w:r>
          </w:p>
          <w:p>
            <w:pPr>
              <w:spacing w:after="40" w:line="252" w:lineRule="auto"/>
            </w:pPr>
            <w:hyperlink r:id="rId15">
              <w:r>
                <w:rPr>
                  <w:rFonts w:ascii="Calibri" w:hAnsi="Calibri" w:cs="Calibri"/>
                  <w:sz w:val="18"/>
                  <w:color w:val="1155CC"/>
                  <w:u w:val="single"/>
                </w:rPr>
                <w:t xml:space="preserve">https://www.ncbi.nlm.nih.gov/books/NBK459251/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(abdominal obesity)</w:t>
            </w:r>
          </w:p>
        </w:tc>
        <w:tc>
          <w:tcPr>
            <w:tcW w:type="dxa" w:w="1655"/>
            <w:vAlign w:val="top"/>
          </w:tcPr>
          <w:p>
            <w:pPr>
              <w:spacing w:after="40" w:before="0" w:line="259" w:lineRule="auto"/>
            </w:pPr>
            <w:r>
              <w:rPr>
                <w:rFonts w:ascii="Calibri" w:hAnsi="Calibri"/>
                <w:b w:val="0"/>
                <w:i w:val="0"/>
                <w:color w:val="212121"/>
                <w:sz w:val="19"/>
              </w:rPr>
              <w:t>Women with PCOS</w:t>
            </w:r>
          </w:p>
        </w:tc>
        <w:tc>
          <w:tcPr>
            <w:tcW w:type="dxa" w:w="1512"/>
            <w:vAlign w:val="top"/>
          </w:tcPr>
          <w:p>
            <w:pPr>
              <w:spacing w:after="40" w:before="0" w:line="259" w:lineRule="auto"/>
            </w:pPr>
            <w:r>
              <w:rPr>
                <w:rFonts w:ascii="Calibri" w:hAnsi="Calibri"/>
                <w:b w:val="0"/>
                <w:i w:val="0"/>
                <w:color w:val="212121"/>
                <w:sz w:val="19"/>
              </w:rPr>
              <w:t>&lt; 80 cm</w:t>
            </w:r>
          </w:p>
        </w:tc>
        <w:tc>
          <w:tcPr>
            <w:tcW w:type="dxa" w:w="1512"/>
            <w:vAlign w:val="top"/>
          </w:tcPr>
          <w:p>
            <w:pPr>
              <w:spacing w:after="40" w:before="0" w:line="259" w:lineRule="auto"/>
            </w:pPr>
            <w:r>
              <w:rPr>
                <w:rFonts w:ascii="Calibri" w:hAnsi="Calibri"/>
                <w:b w:val="0"/>
                <w:i w:val="0"/>
                <w:color w:val="212121"/>
                <w:sz w:val="19"/>
              </w:rPr>
              <w:t>≥ 80 cm (South Asian women)</w:t>
            </w:r>
          </w:p>
        </w:tc>
        <w:tc>
          <w:tcPr>
            <w:tcW w:type="dxa" w:w="1468"/>
            <w:vAlign w:val="top"/>
          </w:tcPr>
          <w:p>
            <w:pPr>
              <w:spacing w:after="60" w:line="259" w:lineRule="auto"/>
            </w:pPr>
            <w:r>
              <w:rPr>
                <w:rFonts w:ascii="Calibri" w:hAnsi="Calibri"/>
                <w:b w:val="0"/>
                <w:i w:val="0"/>
                <w:color w:val="212121"/>
                <w:sz w:val="19"/>
              </w:rPr>
              <w:t>Central fat drives insulin resistance even at normal BMI in South Asians.</w:t>
            </w:r>
          </w:p>
          <w:p>
            <w:pPr>
              <w:spacing w:after="40" w:line="252" w:lineRule="auto"/>
            </w:pPr>
            <w:hyperlink r:id="rId13">
              <w:r>
                <w:rPr>
                  <w:rFonts w:ascii="Calibri" w:hAnsi="Calibri" w:cs="Calibri"/>
                  <w:sz w:val="18"/>
                  <w:color w:val="1155CC"/>
                  <w:u w:val="single"/>
                </w:rPr>
                <w:t xml:space="preserve">https://journals.plos.org/plosone/article?id=10.1371%2Fjournal.pone.0246862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(minutes/week)</w:t>
            </w:r>
          </w:p>
        </w:tc>
        <w:tc>
          <w:tcPr>
            <w:tcW w:type="dxa" w:w="1655"/>
            <w:vAlign w:val="top"/>
          </w:tcPr>
          <w:p>
            <w:pPr>
              <w:spacing w:after="40" w:before="0" w:line="259" w:lineRule="auto"/>
            </w:pPr>
            <w:r>
              <w:rPr>
                <w:rFonts w:ascii="Calibri" w:hAnsi="Calibri"/>
                <w:b w:val="0"/>
                <w:i w:val="0"/>
                <w:color w:val="212121"/>
                <w:sz w:val="19"/>
              </w:rPr>
              <w:t>All with PCOS</w:t>
            </w:r>
          </w:p>
        </w:tc>
        <w:tc>
          <w:tcPr>
            <w:tcW w:type="dxa" w:w="1512"/>
            <w:vAlign w:val="top"/>
          </w:tcPr>
          <w:p>
            <w:pPr>
              <w:spacing w:after="40" w:before="0" w:line="259" w:lineRule="auto"/>
            </w:pPr>
            <w:r>
              <w:rPr>
                <w:rFonts w:ascii="Calibri" w:hAnsi="Calibri"/>
                <w:b w:val="0"/>
                <w:i w:val="0"/>
                <w:color w:val="212121"/>
                <w:sz w:val="19"/>
              </w:rPr>
              <w:t>≥ 150 min/week + resistance training</w:t>
            </w:r>
          </w:p>
        </w:tc>
        <w:tc>
          <w:tcPr>
            <w:tcW w:type="dxa" w:w="1512"/>
            <w:vAlign w:val="top"/>
          </w:tcPr>
          <w:p>
            <w:pPr>
              <w:spacing w:after="40" w:before="0" w:line="259" w:lineRule="auto"/>
            </w:pPr>
            <w:r>
              <w:rPr>
                <w:rFonts w:ascii="Calibri" w:hAnsi="Calibri"/>
                <w:b w:val="0"/>
                <w:i w:val="0"/>
                <w:color w:val="212121"/>
                <w:sz w:val="19"/>
              </w:rPr>
              <w:t>&lt; 150 min/week / mostly sedentary</w:t>
            </w:r>
          </w:p>
        </w:tc>
        <w:tc>
          <w:tcPr>
            <w:tcW w:type="dxa" w:w="1468"/>
            <w:vAlign w:val="top"/>
          </w:tcPr>
          <w:p>
            <w:pPr>
              <w:spacing w:after="60" w:line="259" w:lineRule="auto"/>
            </w:pPr>
            <w:r>
              <w:rPr>
                <w:rFonts w:ascii="Calibri" w:hAnsi="Calibri"/>
                <w:b w:val="0"/>
                <w:i w:val="0"/>
                <w:color w:val="212121"/>
                <w:sz w:val="19"/>
              </w:rPr>
              <w:t>Activity improves ovulation and insulin sensitivity independent of weight loss.</w:t>
            </w:r>
          </w:p>
          <w:p>
            <w:pPr>
              <w:spacing w:after="40" w:line="252" w:lineRule="auto"/>
            </w:pPr>
            <w:hyperlink r:id="rId18">
              <w:r>
                <w:rPr>
                  <w:rFonts w:ascii="Calibri" w:hAnsi="Calibri" w:cs="Calibri"/>
                  <w:sz w:val="18"/>
                  <w:color w:val="1155CC"/>
                  <w:u w:val="single"/>
                </w:rPr>
                <w:t xml:space="preserve">https://www.cochrane.org/evidence/CD007506_effect-healthy-lifestyle-women-polycystic-ovary-syndrome</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glycaemic load / added sugar</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Low-GI, fibre-rich; added sugar &lt; 10% energy</w:t>
            </w:r>
          </w:p>
        </w:tc>
        <w:tc>
          <w:tcPr>
            <w:tcW w:type="dxa" w:w="1512"/>
            <w:vAlign w:val="top"/>
          </w:tcPr>
          <w:p>
            <w:pPr>
              <w:spacing w:after="40" w:before="0" w:line="259" w:lineRule="auto"/>
            </w:pPr>
            <w:r>
              <w:rPr>
                <w:rFonts w:ascii="Calibri" w:hAnsi="Calibri"/>
                <w:b w:val="0"/>
                <w:i w:val="0"/>
                <w:color w:val="212121"/>
                <w:sz w:val="19"/>
              </w:rPr>
              <w:t>High-GI, sugary drinks, refined carbs</w:t>
            </w:r>
          </w:p>
        </w:tc>
        <w:tc>
          <w:tcPr>
            <w:tcW w:type="dxa" w:w="1468"/>
            <w:vAlign w:val="top"/>
          </w:tcPr>
          <w:p>
            <w:pPr>
              <w:spacing w:after="40" w:before="0" w:line="259" w:lineRule="auto"/>
            </w:pPr>
            <w:r>
              <w:rPr>
                <w:rFonts w:ascii="Calibri" w:hAnsi="Calibri"/>
                <w:b w:val="0"/>
                <w:i w:val="0"/>
                <w:color w:val="212121"/>
                <w:sz w:val="19"/>
              </w:rPr>
              <w:t>Lower-glycaemic eating reduces hyperinsulinaemia and androgen excess.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OSA screen</w:t>
            </w:r>
          </w:p>
        </w:tc>
        <w:tc>
          <w:tcPr>
            <w:tcW w:type="dxa" w:w="1655"/>
            <w:vAlign w:val="top"/>
          </w:tcPr>
          <w:p>
            <w:pPr>
              <w:spacing w:after="40" w:before="0" w:line="259" w:lineRule="auto"/>
            </w:pPr>
            <w:r>
              <w:rPr>
                <w:rFonts w:ascii="Calibri" w:hAnsi="Calibri"/>
                <w:b w:val="0"/>
                <w:i w:val="0"/>
                <w:color w:val="212121"/>
                <w:sz w:val="19"/>
              </w:rPr>
              <w:t>Overweight/obese with PCOS</w:t>
            </w:r>
          </w:p>
        </w:tc>
        <w:tc>
          <w:tcPr>
            <w:tcW w:type="dxa" w:w="1512"/>
            <w:vAlign w:val="top"/>
          </w:tcPr>
          <w:p>
            <w:pPr>
              <w:spacing w:after="40" w:before="0" w:line="259" w:lineRule="auto"/>
            </w:pPr>
            <w:r>
              <w:rPr>
                <w:rFonts w:ascii="Calibri" w:hAnsi="Calibri"/>
                <w:b w:val="0"/>
                <w:i w:val="0"/>
                <w:color w:val="212121"/>
                <w:sz w:val="19"/>
              </w:rPr>
              <w:t>7–9 h/night; no OSA symptoms</w:t>
            </w:r>
          </w:p>
        </w:tc>
        <w:tc>
          <w:tcPr>
            <w:tcW w:type="dxa" w:w="1512"/>
            <w:vAlign w:val="top"/>
          </w:tcPr>
          <w:p>
            <w:pPr>
              <w:spacing w:after="40" w:before="0" w:line="259" w:lineRule="auto"/>
            </w:pPr>
            <w:r>
              <w:rPr>
                <w:rFonts w:ascii="Calibri" w:hAnsi="Calibri"/>
                <w:b w:val="0"/>
                <w:i w:val="0"/>
                <w:color w:val="212121"/>
                <w:sz w:val="19"/>
              </w:rPr>
              <w:t>&lt; 6 h, snoring/apnoea, daytime sleepiness</w:t>
            </w:r>
          </w:p>
        </w:tc>
        <w:tc>
          <w:tcPr>
            <w:tcW w:type="dxa" w:w="1468"/>
            <w:vAlign w:val="top"/>
          </w:tcPr>
          <w:p>
            <w:pPr>
              <w:spacing w:after="60" w:line="259" w:lineRule="auto"/>
            </w:pPr>
            <w:r>
              <w:rPr>
                <w:rFonts w:ascii="Calibri" w:hAnsi="Calibri"/>
                <w:b w:val="0"/>
                <w:i w:val="0"/>
                <w:color w:val="212121"/>
                <w:sz w:val="19"/>
              </w:rPr>
              <w:t>Screen for and treat obstructive sleep apnoea in symptomatic or obese women.</w:t>
            </w:r>
          </w:p>
          <w:p>
            <w:pPr>
              <w:spacing w:after="40" w:line="252" w:lineRule="auto"/>
            </w:pPr>
            <w:hyperlink r:id="rId19">
              <w:r>
                <w:rPr>
                  <w:rFonts w:ascii="Calibri" w:hAnsi="Calibri" w:cs="Calibri"/>
                  <w:sz w:val="18"/>
                  <w:color w:val="1155CC"/>
                  <w:u w:val="single"/>
                </w:rPr>
                <w:t xml:space="preserve">https://www.aafp.org/pubs/afp/issues/2016/0715/p106.html</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per day</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0 (non-smoker)</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40" w:before="0" w:line="259" w:lineRule="auto"/>
            </w:pPr>
            <w:r>
              <w:rPr>
                <w:rFonts w:ascii="Calibri" w:hAnsi="Calibri"/>
                <w:b w:val="0"/>
                <w:i w:val="0"/>
                <w:color w:val="212121"/>
                <w:sz w:val="19"/>
              </w:rPr>
              <w:t>Any tobacco raises cardiometabolic risk and harms fertility.</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 to low</w:t>
            </w:r>
          </w:p>
        </w:tc>
        <w:tc>
          <w:tcPr>
            <w:tcW w:type="dxa" w:w="1512"/>
            <w:vAlign w:val="top"/>
          </w:tcPr>
          <w:p>
            <w:pPr>
              <w:spacing w:after="40" w:before="0" w:line="259" w:lineRule="auto"/>
            </w:pPr>
            <w:r>
              <w:rPr>
                <w:rFonts w:ascii="Calibri" w:hAnsi="Calibri"/>
                <w:b w:val="0"/>
                <w:i w:val="0"/>
                <w:color w:val="212121"/>
                <w:sz w:val="19"/>
              </w:rPr>
              <w:t>Regular or heavy intake</w:t>
            </w:r>
          </w:p>
        </w:tc>
        <w:tc>
          <w:tcPr>
            <w:tcW w:type="dxa" w:w="1468"/>
            <w:vAlign w:val="top"/>
          </w:tcPr>
          <w:p>
            <w:pPr>
              <w:spacing w:after="40" w:before="0" w:line="259" w:lineRule="auto"/>
            </w:pPr>
            <w:r>
              <w:rPr>
                <w:rFonts w:ascii="Calibri" w:hAnsi="Calibri"/>
                <w:b w:val="0"/>
                <w:i w:val="0"/>
                <w:color w:val="212121"/>
                <w:sz w:val="19"/>
              </w:rPr>
              <w:t>Excess worsens fatty liver, triglycerides and weight.</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 anxiety screen (e.g. PHQ-9, GAD-7)</w:t>
            </w:r>
          </w:p>
        </w:tc>
        <w:tc>
          <w:tcPr>
            <w:tcW w:type="dxa" w:w="1655"/>
            <w:vAlign w:val="top"/>
          </w:tcPr>
          <w:p>
            <w:pPr>
              <w:spacing w:after="40" w:before="0" w:line="259" w:lineRule="auto"/>
            </w:pPr>
            <w:r>
              <w:rPr>
                <w:rFonts w:ascii="Calibri" w:hAnsi="Calibri"/>
                <w:b w:val="0"/>
                <w:i w:val="0"/>
                <w:color w:val="212121"/>
                <w:sz w:val="19"/>
              </w:rPr>
              <w:t>All with PCOS</w:t>
            </w:r>
          </w:p>
        </w:tc>
        <w:tc>
          <w:tcPr>
            <w:tcW w:type="dxa" w:w="1512"/>
            <w:vAlign w:val="top"/>
          </w:tcPr>
          <w:p>
            <w:pPr>
              <w:spacing w:after="40" w:before="0" w:line="259" w:lineRule="auto"/>
            </w:pPr>
            <w:r>
              <w:rPr>
                <w:rFonts w:ascii="Calibri" w:hAnsi="Calibri"/>
                <w:b w:val="0"/>
                <w:i w:val="0"/>
                <w:color w:val="212121"/>
                <w:sz w:val="19"/>
              </w:rPr>
              <w:t>Negative screen</w:t>
            </w:r>
          </w:p>
        </w:tc>
        <w:tc>
          <w:tcPr>
            <w:tcW w:type="dxa" w:w="1512"/>
            <w:vAlign w:val="top"/>
          </w:tcPr>
          <w:p>
            <w:pPr>
              <w:spacing w:after="40" w:before="0" w:line="259" w:lineRule="auto"/>
            </w:pPr>
            <w:r>
              <w:rPr>
                <w:rFonts w:ascii="Calibri" w:hAnsi="Calibri"/>
                <w:b w:val="0"/>
                <w:i w:val="0"/>
                <w:color w:val="212121"/>
                <w:sz w:val="19"/>
              </w:rPr>
              <w:t>Positive screen for depression or anxiety</w:t>
            </w:r>
          </w:p>
        </w:tc>
        <w:tc>
          <w:tcPr>
            <w:tcW w:type="dxa" w:w="1468"/>
            <w:vAlign w:val="top"/>
          </w:tcPr>
          <w:p>
            <w:pPr>
              <w:spacing w:after="60" w:line="259" w:lineRule="auto"/>
            </w:pPr>
            <w:r>
              <w:rPr>
                <w:rFonts w:ascii="Calibri" w:hAnsi="Calibri"/>
                <w:b w:val="0"/>
                <w:i w:val="0"/>
                <w:color w:val="212121"/>
                <w:sz w:val="19"/>
              </w:rPr>
              <w:t>Routine screening advised; risk is raised independent of weight.</w:t>
            </w:r>
          </w:p>
          <w:p>
            <w:pPr>
              <w:spacing w:after="40" w:line="252" w:lineRule="auto"/>
            </w:pPr>
            <w:hyperlink r:id="rId17">
              <w:r>
                <w:rPr>
                  <w:rFonts w:ascii="Calibri" w:hAnsi="Calibri" w:cs="Calibri"/>
                  <w:sz w:val="18"/>
                  <w:color w:val="1155CC"/>
                  <w:u w:val="single"/>
                </w:rPr>
                <w:t xml:space="preserve">https://academic.oup.com/humrep/article/32/5/1075/3064352</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glucose / HbA1c (glycaemia)</w:t>
            </w:r>
          </w:p>
        </w:tc>
        <w:tc>
          <w:tcPr>
            <w:tcW w:type="dxa" w:w="1655"/>
            <w:vAlign w:val="top"/>
          </w:tcPr>
          <w:p>
            <w:pPr>
              <w:spacing w:after="40" w:before="0" w:line="259" w:lineRule="auto"/>
            </w:pPr>
            <w:r>
              <w:rPr>
                <w:rFonts w:ascii="Calibri" w:hAnsi="Calibri"/>
                <w:b w:val="0"/>
                <w:i w:val="0"/>
                <w:color w:val="212121"/>
                <w:sz w:val="19"/>
              </w:rPr>
              <w:t>Women with PCOS</w:t>
            </w:r>
          </w:p>
        </w:tc>
        <w:tc>
          <w:tcPr>
            <w:tcW w:type="dxa" w:w="1512"/>
            <w:vAlign w:val="top"/>
          </w:tcPr>
          <w:p>
            <w:pPr>
              <w:spacing w:after="40" w:before="0" w:line="259" w:lineRule="auto"/>
            </w:pPr>
            <w:r>
              <w:rPr>
                <w:rFonts w:ascii="Calibri" w:hAnsi="Calibri"/>
                <w:b w:val="0"/>
                <w:i w:val="0"/>
                <w:color w:val="212121"/>
                <w:sz w:val="19"/>
              </w:rPr>
              <w:t>FPG &lt; 100 mg/dL; HbA1c &lt; 5.7%</w:t>
            </w:r>
          </w:p>
        </w:tc>
        <w:tc>
          <w:tcPr>
            <w:tcW w:type="dxa" w:w="1512"/>
            <w:vAlign w:val="top"/>
          </w:tcPr>
          <w:p>
            <w:pPr>
              <w:spacing w:after="40" w:before="0" w:line="259" w:lineRule="auto"/>
            </w:pPr>
            <w:r>
              <w:rPr>
                <w:rFonts w:ascii="Calibri" w:hAnsi="Calibri"/>
                <w:b w:val="0"/>
                <w:i w:val="0"/>
                <w:color w:val="212121"/>
                <w:sz w:val="19"/>
              </w:rPr>
              <w:t>FPG ≥ 100–125; HbA1c 5.7–6.4% (prediabetes)</w:t>
            </w:r>
          </w:p>
        </w:tc>
        <w:tc>
          <w:tcPr>
            <w:tcW w:type="dxa" w:w="1468"/>
            <w:vAlign w:val="top"/>
          </w:tcPr>
          <w:p>
            <w:pPr>
              <w:spacing w:after="60" w:line="259" w:lineRule="auto"/>
            </w:pPr>
            <w:r>
              <w:rPr>
                <w:rFonts w:ascii="Calibri" w:hAnsi="Calibri"/>
                <w:b w:val="0"/>
                <w:i w:val="0"/>
                <w:color w:val="212121"/>
                <w:sz w:val="19"/>
              </w:rPr>
              <w:t>Use a 75 g OGTT for definitive screening; repeat every 1–3 years.</w:t>
            </w:r>
          </w:p>
          <w:p>
            <w:pPr>
              <w:spacing w:after="40" w:line="252" w:lineRule="auto"/>
            </w:pPr>
            <w:hyperlink r:id="rId16">
              <w:r>
                <w:rPr>
                  <w:rFonts w:ascii="Calibri" w:hAnsi="Calibri" w:cs="Calibri"/>
                  <w:sz w:val="18"/>
                  <w:color w:val="1155CC"/>
                  <w:u w:val="single"/>
                </w:rPr>
                <w:t xml:space="preserve">https://academic.oup.com/humupd/article/16/4/347/802669</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HOMA-IR (insulin resistance index)</w:t>
            </w:r>
          </w:p>
        </w:tc>
        <w:tc>
          <w:tcPr>
            <w:tcW w:type="dxa" w:w="1655"/>
            <w:vAlign w:val="top"/>
          </w:tcPr>
          <w:p>
            <w:pPr>
              <w:spacing w:after="40" w:before="0" w:line="259" w:lineRule="auto"/>
            </w:pPr>
            <w:r>
              <w:rPr>
                <w:rFonts w:ascii="Calibri" w:hAnsi="Calibri"/>
                <w:b w:val="0"/>
                <w:i w:val="0"/>
                <w:color w:val="212121"/>
                <w:sz w:val="19"/>
              </w:rPr>
              <w:t>Women with PCOS</w:t>
            </w:r>
          </w:p>
        </w:tc>
        <w:tc>
          <w:tcPr>
            <w:tcW w:type="dxa" w:w="1512"/>
            <w:vAlign w:val="top"/>
          </w:tcPr>
          <w:p>
            <w:pPr>
              <w:spacing w:after="40" w:before="0" w:line="259" w:lineRule="auto"/>
            </w:pPr>
            <w:r>
              <w:rPr>
                <w:rFonts w:ascii="Calibri" w:hAnsi="Calibri"/>
                <w:b w:val="0"/>
                <w:i w:val="0"/>
                <w:color w:val="212121"/>
                <w:sz w:val="19"/>
              </w:rPr>
              <w:t>&lt; 2.5 (population-dependent)</w:t>
            </w:r>
          </w:p>
        </w:tc>
        <w:tc>
          <w:tcPr>
            <w:tcW w:type="dxa" w:w="1512"/>
            <w:vAlign w:val="top"/>
          </w:tcPr>
          <w:p>
            <w:pPr>
              <w:spacing w:after="40" w:before="0" w:line="259" w:lineRule="auto"/>
            </w:pPr>
            <w:r>
              <w:rPr>
                <w:rFonts w:ascii="Calibri" w:hAnsi="Calibri"/>
                <w:b w:val="0"/>
                <w:i w:val="0"/>
                <w:color w:val="212121"/>
                <w:sz w:val="19"/>
              </w:rPr>
              <w:t>≥ 2.5 (insulin resistance)</w:t>
            </w:r>
          </w:p>
        </w:tc>
        <w:tc>
          <w:tcPr>
            <w:tcW w:type="dxa" w:w="1468"/>
            <w:vAlign w:val="top"/>
          </w:tcPr>
          <w:p>
            <w:pPr>
              <w:spacing w:after="60" w:line="259" w:lineRule="auto"/>
            </w:pPr>
            <w:r>
              <w:rPr>
                <w:rFonts w:ascii="Calibri" w:hAnsi="Calibri"/>
                <w:b w:val="0"/>
                <w:i w:val="0"/>
                <w:color w:val="212121"/>
                <w:sz w:val="19"/>
              </w:rPr>
              <w:t>Surrogate for insulin resistance, the core defect in PCOS.</w:t>
            </w:r>
          </w:p>
          <w:p>
            <w:pPr>
              <w:spacing w:after="40" w:line="252" w:lineRule="auto"/>
            </w:pPr>
            <w:hyperlink r:id="rId15">
              <w:r>
                <w:rPr>
                  <w:rFonts w:ascii="Calibri" w:hAnsi="Calibri" w:cs="Calibri"/>
                  <w:sz w:val="18"/>
                  <w:color w:val="1155CC"/>
                  <w:u w:val="single"/>
                </w:rPr>
                <w:t xml:space="preserve">https://www.ncbi.nlm.nih.gov/books/NBK459251/</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Free androgen index / testosterone</w:t>
            </w:r>
          </w:p>
        </w:tc>
        <w:tc>
          <w:tcPr>
            <w:tcW w:type="dxa" w:w="1655"/>
            <w:vAlign w:val="top"/>
          </w:tcPr>
          <w:p>
            <w:pPr>
              <w:spacing w:after="40" w:before="0" w:line="259" w:lineRule="auto"/>
            </w:pPr>
            <w:r>
              <w:rPr>
                <w:rFonts w:ascii="Calibri" w:hAnsi="Calibri"/>
                <w:b w:val="0"/>
                <w:i w:val="0"/>
                <w:color w:val="212121"/>
                <w:sz w:val="19"/>
              </w:rPr>
              <w:t>Women with PCOS</w:t>
            </w:r>
          </w:p>
        </w:tc>
        <w:tc>
          <w:tcPr>
            <w:tcW w:type="dxa" w:w="1512"/>
            <w:vAlign w:val="top"/>
          </w:tcPr>
          <w:p>
            <w:pPr>
              <w:spacing w:after="40" w:before="0" w:line="259" w:lineRule="auto"/>
            </w:pPr>
            <w:r>
              <w:rPr>
                <w:rFonts w:ascii="Calibri" w:hAnsi="Calibri"/>
                <w:b w:val="0"/>
                <w:i w:val="0"/>
                <w:color w:val="212121"/>
                <w:sz w:val="19"/>
              </w:rPr>
              <w:t>Normal free/total testosterone; SHBG normal</w:t>
            </w:r>
          </w:p>
        </w:tc>
        <w:tc>
          <w:tcPr>
            <w:tcW w:type="dxa" w:w="1512"/>
            <w:vAlign w:val="top"/>
          </w:tcPr>
          <w:p>
            <w:pPr>
              <w:spacing w:after="40" w:before="0" w:line="259" w:lineRule="auto"/>
            </w:pPr>
            <w:r>
              <w:rPr>
                <w:rFonts w:ascii="Calibri" w:hAnsi="Calibri"/>
                <w:b w:val="0"/>
                <w:i w:val="0"/>
                <w:color w:val="212121"/>
                <w:sz w:val="19"/>
              </w:rPr>
              <w:t>Raised free testosterone / FAI; low SHBG</w:t>
            </w:r>
          </w:p>
        </w:tc>
        <w:tc>
          <w:tcPr>
            <w:tcW w:type="dxa" w:w="1468"/>
            <w:vAlign w:val="top"/>
          </w:tcPr>
          <w:p>
            <w:pPr>
              <w:spacing w:after="60" w:line="259" w:lineRule="auto"/>
            </w:pPr>
            <w:r>
              <w:rPr>
                <w:rFonts w:ascii="Calibri" w:hAnsi="Calibri"/>
                <w:b w:val="0"/>
                <w:i w:val="0"/>
                <w:color w:val="212121"/>
                <w:sz w:val="19"/>
              </w:rPr>
              <w:t>Biochemical marker of hyperandrogenism; hyperinsulinaemia lowers SHBG.</w:t>
            </w:r>
          </w:p>
          <w:p>
            <w:pPr>
              <w:spacing w:after="40" w:line="252" w:lineRule="auto"/>
            </w:pPr>
            <w:hyperlink r:id="rId19">
              <w:r>
                <w:rPr>
                  <w:rFonts w:ascii="Calibri" w:hAnsi="Calibri" w:cs="Calibri"/>
                  <w:sz w:val="18"/>
                  <w:color w:val="1155CC"/>
                  <w:u w:val="single"/>
                </w:rPr>
                <w:t xml:space="preserve">https://www.aafp.org/pubs/afp/issues/2016/0715/p106.html</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75 g oral glucose tolerance test (± HbA1c)</w:t>
            </w:r>
          </w:p>
        </w:tc>
        <w:tc>
          <w:tcPr>
            <w:tcW w:type="dxa" w:w="892"/>
            <w:vAlign w:val="top"/>
          </w:tcPr>
          <w:p>
            <w:pPr>
              <w:spacing w:after="40" w:before="0" w:line="259" w:lineRule="auto"/>
            </w:pPr>
            <w:r>
              <w:rPr>
                <w:rFonts w:ascii="Calibri" w:hAnsi="Calibri"/>
                <w:b w:val="0"/>
                <w:i w:val="0"/>
                <w:color w:val="212121"/>
                <w:sz w:val="16"/>
              </w:rPr>
              <w:t>Glucose tolerance test</w:t>
            </w:r>
          </w:p>
        </w:tc>
        <w:tc>
          <w:tcPr>
            <w:tcW w:type="dxa" w:w="950"/>
            <w:vAlign w:val="top"/>
          </w:tcPr>
          <w:p>
            <w:pPr>
              <w:spacing w:after="40" w:before="0" w:line="259" w:lineRule="auto"/>
            </w:pPr>
            <w:r>
              <w:rPr>
                <w:rFonts w:ascii="Calibri" w:hAnsi="Calibri"/>
                <w:b w:val="0"/>
                <w:i w:val="0"/>
                <w:color w:val="212121"/>
                <w:sz w:val="16"/>
              </w:rPr>
              <w:t>2-h glucose &lt; 140 mg/dL; HbA1c &lt; 5.7%</w:t>
            </w:r>
          </w:p>
        </w:tc>
        <w:tc>
          <w:tcPr>
            <w:tcW w:type="dxa" w:w="950"/>
            <w:vAlign w:val="top"/>
          </w:tcPr>
          <w:p>
            <w:pPr>
              <w:spacing w:after="40" w:before="0" w:line="259" w:lineRule="auto"/>
            </w:pPr>
            <w:r>
              <w:rPr>
                <w:rFonts w:ascii="Calibri" w:hAnsi="Calibri"/>
                <w:b w:val="0"/>
                <w:i w:val="0"/>
                <w:color w:val="212121"/>
                <w:sz w:val="16"/>
              </w:rPr>
              <w:t>2-h 140–199 (IGT) or ≥ 200 (DM); HbA1c ≥ 5.7%</w:t>
            </w:r>
          </w:p>
        </w:tc>
        <w:tc>
          <w:tcPr>
            <w:tcW w:type="dxa" w:w="1036"/>
            <w:vAlign w:val="top"/>
          </w:tcPr>
          <w:p>
            <w:pPr>
              <w:spacing w:after="40" w:before="0" w:line="259" w:lineRule="auto"/>
            </w:pPr>
            <w:r>
              <w:rPr>
                <w:rFonts w:ascii="Calibri" w:hAnsi="Calibri"/>
                <w:b w:val="0"/>
                <w:i w:val="0"/>
                <w:color w:val="212121"/>
                <w:sz w:val="16"/>
              </w:rPr>
              <w:t>Detects impaired glucose tolerance and type 2 diabetes, markedly raised in PCOS</w:t>
            </w:r>
          </w:p>
        </w:tc>
        <w:tc>
          <w:tcPr>
            <w:tcW w:type="dxa" w:w="1036"/>
            <w:vAlign w:val="top"/>
          </w:tcPr>
          <w:p>
            <w:pPr>
              <w:spacing w:after="40" w:before="0" w:line="259" w:lineRule="auto"/>
            </w:pPr>
            <w:r>
              <w:rPr>
                <w:rFonts w:ascii="Calibri" w:hAnsi="Calibri"/>
                <w:b w:val="0"/>
                <w:i w:val="0"/>
                <w:color w:val="212121"/>
                <w:sz w:val="16"/>
              </w:rPr>
              <w:t>All women with PCOS, obese, family history of diabetes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Recommended at diagnosis</w:t>
            </w:r>
          </w:p>
        </w:tc>
        <w:tc>
          <w:tcPr>
            <w:tcW w:type="dxa" w:w="720"/>
            <w:vAlign w:val="top"/>
          </w:tcPr>
          <w:p>
            <w:pPr>
              <w:spacing w:after="40" w:before="0" w:line="259" w:lineRule="auto"/>
            </w:pPr>
            <w:r>
              <w:rPr>
                <w:rFonts w:ascii="Calibri" w:hAnsi="Calibri"/>
                <w:b w:val="0"/>
                <w:i w:val="0"/>
                <w:color w:val="212121"/>
                <w:sz w:val="16"/>
              </w:rPr>
              <w:t>OGTT preferred over fasting glucose; repeat every 1–3 years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insulin &amp; HOMA-IR</w:t>
            </w:r>
          </w:p>
        </w:tc>
        <w:tc>
          <w:tcPr>
            <w:tcW w:type="dxa" w:w="892"/>
            <w:vAlign w:val="top"/>
          </w:tcPr>
          <w:p>
            <w:pPr>
              <w:spacing w:after="40" w:before="0" w:line="259" w:lineRule="auto"/>
            </w:pPr>
            <w:r>
              <w:rPr>
                <w:rFonts w:ascii="Calibri" w:hAnsi="Calibri"/>
                <w:b w:val="0"/>
                <w:i w:val="0"/>
                <w:color w:val="212121"/>
                <w:sz w:val="16"/>
              </w:rPr>
              <w:t>Insulin resistance assessment</w:t>
            </w:r>
          </w:p>
        </w:tc>
        <w:tc>
          <w:tcPr>
            <w:tcW w:type="dxa" w:w="950"/>
            <w:vAlign w:val="top"/>
          </w:tcPr>
          <w:p>
            <w:pPr>
              <w:spacing w:after="40" w:before="0" w:line="259" w:lineRule="auto"/>
            </w:pPr>
            <w:r>
              <w:rPr>
                <w:rFonts w:ascii="Calibri" w:hAnsi="Calibri"/>
                <w:b w:val="0"/>
                <w:i w:val="0"/>
                <w:color w:val="212121"/>
                <w:sz w:val="16"/>
              </w:rPr>
              <w:t>HOMA-IR &lt; 2.5 (population-dependent)</w:t>
            </w:r>
          </w:p>
        </w:tc>
        <w:tc>
          <w:tcPr>
            <w:tcW w:type="dxa" w:w="950"/>
            <w:vAlign w:val="top"/>
          </w:tcPr>
          <w:p>
            <w:pPr>
              <w:spacing w:after="40" w:before="0" w:line="259" w:lineRule="auto"/>
            </w:pPr>
            <w:r>
              <w:rPr>
                <w:rFonts w:ascii="Calibri" w:hAnsi="Calibri"/>
                <w:b w:val="0"/>
                <w:i w:val="0"/>
                <w:color w:val="212121"/>
                <w:sz w:val="16"/>
              </w:rPr>
              <w:t>HOMA-IR ≥ 2.5; high fasting insulin</w:t>
            </w:r>
          </w:p>
        </w:tc>
        <w:tc>
          <w:tcPr>
            <w:tcW w:type="dxa" w:w="1036"/>
            <w:vAlign w:val="top"/>
          </w:tcPr>
          <w:p>
            <w:pPr>
              <w:spacing w:after="40" w:before="0" w:line="259" w:lineRule="auto"/>
            </w:pPr>
            <w:r>
              <w:rPr>
                <w:rFonts w:ascii="Calibri" w:hAnsi="Calibri"/>
                <w:b w:val="0"/>
                <w:i w:val="0"/>
                <w:color w:val="212121"/>
                <w:sz w:val="16"/>
              </w:rPr>
              <w:t>Surrogate for the insulin resistance that underlies PCOS</w:t>
            </w:r>
          </w:p>
        </w:tc>
        <w:tc>
          <w:tcPr>
            <w:tcW w:type="dxa" w:w="1036"/>
            <w:vAlign w:val="top"/>
          </w:tcPr>
          <w:p>
            <w:pPr>
              <w:spacing w:after="40" w:before="0" w:line="259" w:lineRule="auto"/>
            </w:pPr>
            <w:r>
              <w:rPr>
                <w:rFonts w:ascii="Calibri" w:hAnsi="Calibri"/>
                <w:b w:val="0"/>
                <w:i w:val="0"/>
                <w:color w:val="212121"/>
                <w:sz w:val="16"/>
              </w:rPr>
              <w:t>Lean and obese PCOS, acanthosis nigricans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Not required for diagnosis but guides metabolic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Total &amp; free testosterone, free androgen index, SHBG</w:t>
            </w:r>
          </w:p>
        </w:tc>
        <w:tc>
          <w:tcPr>
            <w:tcW w:type="dxa" w:w="892"/>
            <w:vAlign w:val="top"/>
          </w:tcPr>
          <w:p>
            <w:pPr>
              <w:spacing w:after="40" w:before="0" w:line="259" w:lineRule="auto"/>
            </w:pPr>
            <w:r>
              <w:rPr>
                <w:rFonts w:ascii="Calibri" w:hAnsi="Calibri"/>
                <w:b w:val="0"/>
                <w:i w:val="0"/>
                <w:color w:val="212121"/>
                <w:sz w:val="16"/>
              </w:rPr>
              <w:t>Androgen profile</w:t>
            </w:r>
          </w:p>
        </w:tc>
        <w:tc>
          <w:tcPr>
            <w:tcW w:type="dxa" w:w="950"/>
            <w:vAlign w:val="top"/>
          </w:tcPr>
          <w:p>
            <w:pPr>
              <w:spacing w:after="40" w:before="0" w:line="259" w:lineRule="auto"/>
            </w:pPr>
            <w:r>
              <w:rPr>
                <w:rFonts w:ascii="Calibri" w:hAnsi="Calibri"/>
                <w:b w:val="0"/>
                <w:i w:val="0"/>
                <w:color w:val="212121"/>
                <w:sz w:val="16"/>
              </w:rPr>
              <w:t>Testosterone within female range; SHBG normal</w:t>
            </w:r>
          </w:p>
        </w:tc>
        <w:tc>
          <w:tcPr>
            <w:tcW w:type="dxa" w:w="950"/>
            <w:vAlign w:val="top"/>
          </w:tcPr>
          <w:p>
            <w:pPr>
              <w:spacing w:after="40" w:before="0" w:line="259" w:lineRule="auto"/>
            </w:pPr>
            <w:r>
              <w:rPr>
                <w:rFonts w:ascii="Calibri" w:hAnsi="Calibri"/>
                <w:b w:val="0"/>
                <w:i w:val="0"/>
                <w:color w:val="212121"/>
                <w:sz w:val="16"/>
              </w:rPr>
              <w:t>Raised free testosterone / FAI; low SHBG</w:t>
            </w:r>
          </w:p>
        </w:tc>
        <w:tc>
          <w:tcPr>
            <w:tcW w:type="dxa" w:w="1036"/>
            <w:vAlign w:val="top"/>
          </w:tcPr>
          <w:p>
            <w:pPr>
              <w:spacing w:after="40" w:before="0" w:line="259" w:lineRule="auto"/>
            </w:pPr>
            <w:r>
              <w:rPr>
                <w:rFonts w:ascii="Calibri" w:hAnsi="Calibri"/>
                <w:b w:val="0"/>
                <w:i w:val="0"/>
                <w:color w:val="212121"/>
                <w:sz w:val="16"/>
              </w:rPr>
              <w:t>Confirms biochemical hyperandrogenism; very high levels prompt tumour work-up</w:t>
            </w:r>
          </w:p>
        </w:tc>
        <w:tc>
          <w:tcPr>
            <w:tcW w:type="dxa" w:w="1036"/>
            <w:vAlign w:val="top"/>
          </w:tcPr>
          <w:p>
            <w:pPr>
              <w:spacing w:after="40" w:before="0" w:line="259" w:lineRule="auto"/>
            </w:pPr>
            <w:r>
              <w:rPr>
                <w:rFonts w:ascii="Calibri" w:hAnsi="Calibri"/>
                <w:b w:val="0"/>
                <w:i w:val="0"/>
                <w:color w:val="212121"/>
                <w:sz w:val="16"/>
              </w:rPr>
              <w:t>Hirsutism, acne, alopecia, irregular cycles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Free testosterone/FAI more sensitive than total testosterone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LH, FSH &amp; LH:FSH ratio</w:t>
            </w:r>
          </w:p>
        </w:tc>
        <w:tc>
          <w:tcPr>
            <w:tcW w:type="dxa" w:w="892"/>
            <w:vAlign w:val="top"/>
          </w:tcPr>
          <w:p>
            <w:pPr>
              <w:spacing w:after="40" w:before="0" w:line="259" w:lineRule="auto"/>
            </w:pPr>
            <w:r>
              <w:rPr>
                <w:rFonts w:ascii="Calibri" w:hAnsi="Calibri"/>
                <w:b w:val="0"/>
                <w:i w:val="0"/>
                <w:color w:val="212121"/>
                <w:sz w:val="16"/>
              </w:rPr>
              <w:t>Gonadotrophins</w:t>
            </w:r>
          </w:p>
        </w:tc>
        <w:tc>
          <w:tcPr>
            <w:tcW w:type="dxa" w:w="950"/>
            <w:vAlign w:val="top"/>
          </w:tcPr>
          <w:p>
            <w:pPr>
              <w:spacing w:after="40" w:before="0" w:line="259" w:lineRule="auto"/>
            </w:pPr>
            <w:r>
              <w:rPr>
                <w:rFonts w:ascii="Calibri" w:hAnsi="Calibri"/>
                <w:b w:val="0"/>
                <w:i w:val="0"/>
                <w:color w:val="212121"/>
                <w:sz w:val="16"/>
              </w:rPr>
              <w:t>LH:FSH ≈ 1:1</w:t>
            </w:r>
          </w:p>
        </w:tc>
        <w:tc>
          <w:tcPr>
            <w:tcW w:type="dxa" w:w="950"/>
            <w:vAlign w:val="top"/>
          </w:tcPr>
          <w:p>
            <w:pPr>
              <w:spacing w:after="40" w:before="0" w:line="259" w:lineRule="auto"/>
            </w:pPr>
            <w:r>
              <w:rPr>
                <w:rFonts w:ascii="Calibri" w:hAnsi="Calibri"/>
                <w:b w:val="0"/>
                <w:i w:val="0"/>
                <w:color w:val="212121"/>
                <w:sz w:val="16"/>
              </w:rPr>
              <w:t>LH:FSH often ≥ 2:1</w:t>
            </w:r>
          </w:p>
        </w:tc>
        <w:tc>
          <w:tcPr>
            <w:tcW w:type="dxa" w:w="1036"/>
            <w:vAlign w:val="top"/>
          </w:tcPr>
          <w:p>
            <w:pPr>
              <w:spacing w:after="40" w:before="0" w:line="259" w:lineRule="auto"/>
            </w:pPr>
            <w:r>
              <w:rPr>
                <w:rFonts w:ascii="Calibri" w:hAnsi="Calibri"/>
                <w:b w:val="0"/>
                <w:i w:val="0"/>
                <w:color w:val="212121"/>
                <w:sz w:val="16"/>
              </w:rPr>
              <w:t>Supports the neuroendocrine pattern of PCOS</w:t>
            </w:r>
          </w:p>
        </w:tc>
        <w:tc>
          <w:tcPr>
            <w:tcW w:type="dxa" w:w="1036"/>
            <w:vAlign w:val="top"/>
          </w:tcPr>
          <w:p>
            <w:pPr>
              <w:spacing w:after="40" w:before="0" w:line="259" w:lineRule="auto"/>
            </w:pPr>
            <w:r>
              <w:rPr>
                <w:rFonts w:ascii="Calibri" w:hAnsi="Calibri"/>
                <w:b w:val="0"/>
                <w:i w:val="0"/>
                <w:color w:val="212121"/>
                <w:sz w:val="16"/>
              </w:rPr>
              <w:t>Oligo/amenorrhoea, anovulatory infertility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Not part of formal criteria; interpret with cycle phase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DHEAS &amp; 17-hydroxyprogesterone</w:t>
            </w:r>
          </w:p>
        </w:tc>
        <w:tc>
          <w:tcPr>
            <w:tcW w:type="dxa" w:w="892"/>
            <w:vAlign w:val="top"/>
          </w:tcPr>
          <w:p>
            <w:pPr>
              <w:spacing w:after="40" w:before="0" w:line="259" w:lineRule="auto"/>
            </w:pPr>
            <w:r>
              <w:rPr>
                <w:rFonts w:ascii="Calibri" w:hAnsi="Calibri"/>
                <w:b w:val="0"/>
                <w:i w:val="0"/>
                <w:color w:val="212121"/>
                <w:sz w:val="16"/>
              </w:rPr>
              <w:t>Adrenal androgen / CAH screen</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Very high DHEAS (adrenal tumour); raised 17-OHP (NCCAH)</w:t>
            </w:r>
          </w:p>
        </w:tc>
        <w:tc>
          <w:tcPr>
            <w:tcW w:type="dxa" w:w="1036"/>
            <w:vAlign w:val="top"/>
          </w:tcPr>
          <w:p>
            <w:pPr>
              <w:spacing w:after="40" w:before="0" w:line="259" w:lineRule="auto"/>
            </w:pPr>
            <w:r>
              <w:rPr>
                <w:rFonts w:ascii="Calibri" w:hAnsi="Calibri"/>
                <w:b w:val="0"/>
                <w:i w:val="0"/>
                <w:color w:val="212121"/>
                <w:sz w:val="16"/>
              </w:rPr>
              <w:t>Excludes adrenal androgen excess and non-classical congenital adrenal hyperplasia</w:t>
            </w:r>
          </w:p>
        </w:tc>
        <w:tc>
          <w:tcPr>
            <w:tcW w:type="dxa" w:w="1036"/>
            <w:vAlign w:val="top"/>
          </w:tcPr>
          <w:p>
            <w:pPr>
              <w:spacing w:after="40" w:before="0" w:line="259" w:lineRule="auto"/>
            </w:pPr>
            <w:r>
              <w:rPr>
                <w:rFonts w:ascii="Calibri" w:hAnsi="Calibri"/>
                <w:b w:val="0"/>
                <w:i w:val="0"/>
                <w:color w:val="212121"/>
                <w:sz w:val="16"/>
              </w:rPr>
              <w:t>Rapid virilisation, strong hyperandrogenism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Measure 17-OHP in early-morning follicular phase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TSH &amp; prolactin</w:t>
            </w:r>
          </w:p>
        </w:tc>
        <w:tc>
          <w:tcPr>
            <w:tcW w:type="dxa" w:w="892"/>
            <w:vAlign w:val="top"/>
          </w:tcPr>
          <w:p>
            <w:pPr>
              <w:spacing w:after="40" w:before="0" w:line="259" w:lineRule="auto"/>
            </w:pPr>
            <w:r>
              <w:rPr>
                <w:rFonts w:ascii="Calibri" w:hAnsi="Calibri"/>
                <w:b w:val="0"/>
                <w:i w:val="0"/>
                <w:color w:val="212121"/>
                <w:sz w:val="16"/>
              </w:rPr>
              <w:t>Thyroid / prolactin screen</w:t>
            </w:r>
          </w:p>
        </w:tc>
        <w:tc>
          <w:tcPr>
            <w:tcW w:type="dxa" w:w="950"/>
            <w:vAlign w:val="top"/>
          </w:tcPr>
          <w:p>
            <w:pPr>
              <w:spacing w:after="40" w:before="0" w:line="259" w:lineRule="auto"/>
            </w:pPr>
            <w:r>
              <w:rPr>
                <w:rFonts w:ascii="Calibri" w:hAnsi="Calibri"/>
                <w:b w:val="0"/>
                <w:i w:val="0"/>
                <w:color w:val="212121"/>
                <w:sz w:val="16"/>
              </w:rPr>
              <w:t>Normal TSH and prolactin</w:t>
            </w:r>
          </w:p>
        </w:tc>
        <w:tc>
          <w:tcPr>
            <w:tcW w:type="dxa" w:w="950"/>
            <w:vAlign w:val="top"/>
          </w:tcPr>
          <w:p>
            <w:pPr>
              <w:spacing w:after="40" w:before="0" w:line="259" w:lineRule="auto"/>
            </w:pPr>
            <w:r>
              <w:rPr>
                <w:rFonts w:ascii="Calibri" w:hAnsi="Calibri"/>
                <w:b w:val="0"/>
                <w:i w:val="0"/>
                <w:color w:val="212121"/>
                <w:sz w:val="16"/>
              </w:rPr>
              <w:t>Abnormal TSH; raised prolactin</w:t>
            </w:r>
          </w:p>
        </w:tc>
        <w:tc>
          <w:tcPr>
            <w:tcW w:type="dxa" w:w="1036"/>
            <w:vAlign w:val="top"/>
          </w:tcPr>
          <w:p>
            <w:pPr>
              <w:spacing w:after="40" w:before="0" w:line="259" w:lineRule="auto"/>
            </w:pPr>
            <w:r>
              <w:rPr>
                <w:rFonts w:ascii="Calibri" w:hAnsi="Calibri"/>
                <w:b w:val="0"/>
                <w:i w:val="0"/>
                <w:color w:val="212121"/>
                <w:sz w:val="16"/>
              </w:rPr>
              <w:t>Excludes thyroid dysfunction and hyperprolactinaemia as causes of menstrual disturbance</w:t>
            </w:r>
          </w:p>
        </w:tc>
        <w:tc>
          <w:tcPr>
            <w:tcW w:type="dxa" w:w="1036"/>
            <w:vAlign w:val="top"/>
          </w:tcPr>
          <w:p>
            <w:pPr>
              <w:spacing w:after="40" w:before="0" w:line="259" w:lineRule="auto"/>
            </w:pPr>
            <w:r>
              <w:rPr>
                <w:rFonts w:ascii="Calibri" w:hAnsi="Calibri"/>
                <w:b w:val="0"/>
                <w:i w:val="0"/>
                <w:color w:val="212121"/>
                <w:sz w:val="16"/>
              </w:rPr>
              <w:t>Oligo/amenorrhoea, galactorrhoea</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Part of the standard exclusion panel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LDL/TG within target; HDL adequate</w:t>
            </w:r>
          </w:p>
        </w:tc>
        <w:tc>
          <w:tcPr>
            <w:tcW w:type="dxa" w:w="950"/>
            <w:vAlign w:val="top"/>
          </w:tcPr>
          <w:p>
            <w:pPr>
              <w:spacing w:after="40" w:before="0" w:line="259" w:lineRule="auto"/>
            </w:pPr>
            <w:r>
              <w:rPr>
                <w:rFonts w:ascii="Calibri" w:hAnsi="Calibri"/>
                <w:b w:val="0"/>
                <w:i w:val="0"/>
                <w:color w:val="212121"/>
                <w:sz w:val="16"/>
              </w:rPr>
              <w:t>High triglycerides, low HDL, high LDL</w:t>
            </w:r>
          </w:p>
        </w:tc>
        <w:tc>
          <w:tcPr>
            <w:tcW w:type="dxa" w:w="1036"/>
            <w:vAlign w:val="top"/>
          </w:tcPr>
          <w:p>
            <w:pPr>
              <w:spacing w:after="40" w:before="0" w:line="259" w:lineRule="auto"/>
            </w:pPr>
            <w:r>
              <w:rPr>
                <w:rFonts w:ascii="Calibri" w:hAnsi="Calibri"/>
                <w:b w:val="0"/>
                <w:i w:val="0"/>
                <w:color w:val="212121"/>
                <w:sz w:val="16"/>
              </w:rPr>
              <w:t>Detects the atherogenic dyslipidaemia common in PCOS</w:t>
            </w:r>
          </w:p>
        </w:tc>
        <w:tc>
          <w:tcPr>
            <w:tcW w:type="dxa" w:w="1036"/>
            <w:vAlign w:val="top"/>
          </w:tcPr>
          <w:p>
            <w:pPr>
              <w:spacing w:after="40" w:before="0" w:line="259" w:lineRule="auto"/>
            </w:pPr>
            <w:r>
              <w:rPr>
                <w:rFonts w:ascii="Calibri" w:hAnsi="Calibri"/>
                <w:b w:val="0"/>
                <w:i w:val="0"/>
                <w:color w:val="212121"/>
                <w:sz w:val="16"/>
              </w:rPr>
              <w:t>Obese PCOS, metabolic syndrome, family history CVD</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Recommended</w:t>
            </w:r>
          </w:p>
        </w:tc>
        <w:tc>
          <w:tcPr>
            <w:tcW w:type="dxa" w:w="720"/>
            <w:vAlign w:val="top"/>
          </w:tcPr>
          <w:p>
            <w:pPr>
              <w:spacing w:after="40" w:before="0" w:line="259" w:lineRule="auto"/>
            </w:pPr>
            <w:r>
              <w:rPr>
                <w:rFonts w:ascii="Calibri" w:hAnsi="Calibri"/>
                <w:b w:val="0"/>
                <w:i w:val="0"/>
                <w:color w:val="212121"/>
                <w:sz w:val="16"/>
              </w:rPr>
              <w:t>Assess cardiovascular risk at diagnosis and periodically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Pelvic ultrasound (antral follicle count, ovarian volume)</w:t>
            </w:r>
          </w:p>
        </w:tc>
        <w:tc>
          <w:tcPr>
            <w:tcW w:type="dxa" w:w="892"/>
            <w:vAlign w:val="top"/>
          </w:tcPr>
          <w:p>
            <w:pPr>
              <w:spacing w:after="40" w:before="0" w:line="259" w:lineRule="auto"/>
            </w:pPr>
            <w:r>
              <w:rPr>
                <w:rFonts w:ascii="Calibri" w:hAnsi="Calibri"/>
                <w:b w:val="0"/>
                <w:i w:val="0"/>
                <w:color w:val="212121"/>
                <w:sz w:val="16"/>
              </w:rPr>
              <w:t>Transvaginal / transabdominal USG</w:t>
            </w:r>
          </w:p>
        </w:tc>
        <w:tc>
          <w:tcPr>
            <w:tcW w:type="dxa" w:w="950"/>
            <w:vAlign w:val="top"/>
          </w:tcPr>
          <w:p>
            <w:pPr>
              <w:spacing w:after="40" w:before="0" w:line="259" w:lineRule="auto"/>
            </w:pPr>
            <w:r>
              <w:rPr>
                <w:rFonts w:ascii="Calibri" w:hAnsi="Calibri"/>
                <w:b w:val="0"/>
                <w:i w:val="0"/>
                <w:color w:val="212121"/>
                <w:sz w:val="16"/>
              </w:rPr>
              <w:t>&lt; 20 follicles/ovary; volume &lt; 10 mL</w:t>
            </w:r>
          </w:p>
        </w:tc>
        <w:tc>
          <w:tcPr>
            <w:tcW w:type="dxa" w:w="950"/>
            <w:vAlign w:val="top"/>
          </w:tcPr>
          <w:p>
            <w:pPr>
              <w:spacing w:after="40" w:before="0" w:line="259" w:lineRule="auto"/>
            </w:pPr>
            <w:r>
              <w:rPr>
                <w:rFonts w:ascii="Calibri" w:hAnsi="Calibri"/>
                <w:b w:val="0"/>
                <w:i w:val="0"/>
                <w:color w:val="212121"/>
                <w:sz w:val="16"/>
              </w:rPr>
              <w:t>≥ 20 follicles (2–9 mm)/ovary and/or volume ≥ 10 mL</w:t>
            </w:r>
          </w:p>
        </w:tc>
        <w:tc>
          <w:tcPr>
            <w:tcW w:type="dxa" w:w="1036"/>
            <w:vAlign w:val="top"/>
          </w:tcPr>
          <w:p>
            <w:pPr>
              <w:spacing w:after="40" w:before="0" w:line="259" w:lineRule="auto"/>
            </w:pPr>
            <w:r>
              <w:rPr>
                <w:rFonts w:ascii="Calibri" w:hAnsi="Calibri"/>
                <w:b w:val="0"/>
                <w:i w:val="0"/>
                <w:color w:val="212121"/>
                <w:sz w:val="16"/>
              </w:rPr>
              <w:t>Documents polycystic ovarian morphology (one Rotterdam criterion)</w:t>
            </w:r>
          </w:p>
        </w:tc>
        <w:tc>
          <w:tcPr>
            <w:tcW w:type="dxa" w:w="1036"/>
            <w:vAlign w:val="top"/>
          </w:tcPr>
          <w:p>
            <w:pPr>
              <w:spacing w:after="40" w:before="0" w:line="259" w:lineRule="auto"/>
            </w:pPr>
            <w:r>
              <w:rPr>
                <w:rFonts w:ascii="Calibri" w:hAnsi="Calibri"/>
                <w:b w:val="0"/>
                <w:i w:val="0"/>
                <w:color w:val="212121"/>
                <w:sz w:val="16"/>
              </w:rPr>
              <w:t>Adult women (not within ~8 y of menarche)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Avoid in adolescents to prevent over-diagnosis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Anti-Müllerian hormone (AMH)</w:t>
            </w:r>
          </w:p>
        </w:tc>
        <w:tc>
          <w:tcPr>
            <w:tcW w:type="dxa" w:w="892"/>
            <w:vAlign w:val="top"/>
          </w:tcPr>
          <w:p>
            <w:pPr>
              <w:spacing w:after="40" w:before="0" w:line="259" w:lineRule="auto"/>
            </w:pPr>
            <w:r>
              <w:rPr>
                <w:rFonts w:ascii="Calibri" w:hAnsi="Calibri"/>
                <w:b w:val="0"/>
                <w:i w:val="0"/>
                <w:color w:val="212121"/>
                <w:sz w:val="16"/>
              </w:rPr>
              <w:t>Ovarian reserve marker</w:t>
            </w:r>
          </w:p>
        </w:tc>
        <w:tc>
          <w:tcPr>
            <w:tcW w:type="dxa" w:w="950"/>
            <w:vAlign w:val="top"/>
          </w:tcPr>
          <w:p>
            <w:pPr>
              <w:spacing w:after="40" w:before="0" w:line="259" w:lineRule="auto"/>
            </w:pPr>
            <w:r>
              <w:rPr>
                <w:rFonts w:ascii="Calibri" w:hAnsi="Calibri"/>
                <w:b w:val="0"/>
                <w:i w:val="0"/>
                <w:color w:val="212121"/>
                <w:sz w:val="16"/>
              </w:rPr>
              <w:t>Age-appropriate range</w:t>
            </w:r>
          </w:p>
        </w:tc>
        <w:tc>
          <w:tcPr>
            <w:tcW w:type="dxa" w:w="950"/>
            <w:vAlign w:val="top"/>
          </w:tcPr>
          <w:p>
            <w:pPr>
              <w:spacing w:after="40" w:before="0" w:line="259" w:lineRule="auto"/>
            </w:pPr>
            <w:r>
              <w:rPr>
                <w:rFonts w:ascii="Calibri" w:hAnsi="Calibri"/>
                <w:b w:val="0"/>
                <w:i w:val="0"/>
                <w:color w:val="212121"/>
                <w:sz w:val="16"/>
              </w:rPr>
              <w:t>Markedly elevated for age</w:t>
            </w:r>
          </w:p>
        </w:tc>
        <w:tc>
          <w:tcPr>
            <w:tcW w:type="dxa" w:w="1036"/>
            <w:vAlign w:val="top"/>
          </w:tcPr>
          <w:p>
            <w:pPr>
              <w:spacing w:after="40" w:before="0" w:line="259" w:lineRule="auto"/>
            </w:pPr>
            <w:r>
              <w:rPr>
                <w:rFonts w:ascii="Calibri" w:hAnsi="Calibri"/>
                <w:b w:val="0"/>
                <w:i w:val="0"/>
                <w:color w:val="212121"/>
                <w:sz w:val="16"/>
              </w:rPr>
              <w:t>Reflects the enlarged small-follicle pool; an emerging supportive marker</w:t>
            </w:r>
          </w:p>
        </w:tc>
        <w:tc>
          <w:tcPr>
            <w:tcW w:type="dxa" w:w="1036"/>
            <w:vAlign w:val="top"/>
          </w:tcPr>
          <w:p>
            <w:pPr>
              <w:spacing w:after="40" w:before="0" w:line="259" w:lineRule="auto"/>
            </w:pPr>
            <w:r>
              <w:rPr>
                <w:rFonts w:ascii="Calibri" w:hAnsi="Calibri"/>
                <w:b w:val="0"/>
                <w:i w:val="0"/>
                <w:color w:val="212121"/>
                <w:sz w:val="16"/>
              </w:rPr>
              <w:t>PCOS with equivocal ultrasound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Emerging/adjunctive</w:t>
            </w:r>
          </w:p>
        </w:tc>
        <w:tc>
          <w:tcPr>
            <w:tcW w:type="dxa" w:w="720"/>
            <w:vAlign w:val="top"/>
          </w:tcPr>
          <w:p>
            <w:pPr>
              <w:spacing w:after="40" w:before="0" w:line="259" w:lineRule="auto"/>
            </w:pPr>
            <w:r>
              <w:rPr>
                <w:rFonts w:ascii="Calibri" w:hAnsi="Calibri"/>
                <w:b w:val="0"/>
                <w:i w:val="0"/>
                <w:color w:val="212121"/>
                <w:sz w:val="16"/>
              </w:rPr>
              <w:t>Not yet a formal diagnostic criterion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&amp; ovulatory history</w:t>
            </w:r>
          </w:p>
        </w:tc>
        <w:tc>
          <w:tcPr>
            <w:tcW w:type="dxa" w:w="979"/>
            <w:vAlign w:val="top"/>
          </w:tcPr>
          <w:p>
            <w:pPr>
              <w:spacing w:after="40" w:before="0" w:line="259" w:lineRule="auto"/>
            </w:pPr>
            <w:r>
              <w:rPr>
                <w:rFonts w:ascii="Calibri" w:hAnsi="Calibri"/>
                <w:b w:val="0"/>
                <w:i w:val="0"/>
                <w:color w:val="212121"/>
                <w:sz w:val="16"/>
              </w:rPr>
              <w:t>Cycle length, regularity, anovulation</w:t>
            </w:r>
          </w:p>
        </w:tc>
        <w:tc>
          <w:tcPr>
            <w:tcW w:type="dxa" w:w="950"/>
            <w:vAlign w:val="top"/>
          </w:tcPr>
          <w:p>
            <w:pPr>
              <w:spacing w:after="40" w:before="0" w:line="259" w:lineRule="auto"/>
            </w:pPr>
            <w:r>
              <w:rPr>
                <w:rFonts w:ascii="Calibri" w:hAnsi="Calibri"/>
                <w:b w:val="0"/>
                <w:i w:val="0"/>
                <w:color w:val="212121"/>
                <w:sz w:val="16"/>
              </w:rPr>
              <w:t>Regular 21–35 day cycles</w:t>
            </w:r>
          </w:p>
        </w:tc>
        <w:tc>
          <w:tcPr>
            <w:tcW w:type="dxa" w:w="950"/>
            <w:vAlign w:val="top"/>
          </w:tcPr>
          <w:p>
            <w:pPr>
              <w:spacing w:after="40" w:before="0" w:line="259" w:lineRule="auto"/>
            </w:pPr>
            <w:r>
              <w:rPr>
                <w:rFonts w:ascii="Calibri" w:hAnsi="Calibri"/>
                <w:b w:val="0"/>
                <w:i w:val="0"/>
                <w:color w:val="212121"/>
                <w:sz w:val="16"/>
              </w:rPr>
              <w:t>Cycles &gt; 35 days, &lt; 8–9/year, or amenorrhoea</w:t>
            </w:r>
          </w:p>
        </w:tc>
        <w:tc>
          <w:tcPr>
            <w:tcW w:type="dxa" w:w="1036"/>
            <w:vAlign w:val="top"/>
          </w:tcPr>
          <w:p>
            <w:pPr>
              <w:spacing w:after="40" w:before="0" w:line="259" w:lineRule="auto"/>
            </w:pPr>
            <w:r>
              <w:rPr>
                <w:rFonts w:ascii="Calibri" w:hAnsi="Calibri"/>
                <w:b w:val="0"/>
                <w:i w:val="0"/>
                <w:color w:val="212121"/>
                <w:sz w:val="16"/>
              </w:rPr>
              <w:t>Defines ovulatory dysfunction, a core Rotterdam criterion</w:t>
            </w:r>
          </w:p>
        </w:tc>
        <w:tc>
          <w:tcPr>
            <w:tcW w:type="dxa" w:w="1036"/>
            <w:vAlign w:val="top"/>
          </w:tcPr>
          <w:p>
            <w:pPr>
              <w:spacing w:after="40" w:before="0" w:line="259" w:lineRule="auto"/>
            </w:pPr>
            <w:r>
              <w:rPr>
                <w:rFonts w:ascii="Calibri" w:hAnsi="Calibri"/>
                <w:b w:val="0"/>
                <w:i w:val="0"/>
                <w:color w:val="212121"/>
                <w:sz w:val="16"/>
              </w:rPr>
              <w:t>Adolescents, women with subfertility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Track menstrual diary; anovulation may occur with apparently regular cycles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 &amp; exam</w:t>
            </w:r>
          </w:p>
        </w:tc>
        <w:tc>
          <w:tcPr>
            <w:tcW w:type="dxa" w:w="950"/>
            <w:vAlign w:val="top"/>
          </w:tcPr>
          <w:p>
            <w:pPr>
              <w:spacing w:after="40" w:before="0" w:line="259" w:lineRule="auto"/>
            </w:pPr>
            <w:r>
              <w:rPr>
                <w:rFonts w:ascii="Calibri" w:hAnsi="Calibri"/>
                <w:b w:val="0"/>
                <w:i w:val="0"/>
                <w:color w:val="212121"/>
                <w:sz w:val="16"/>
              </w:rPr>
              <w:t>Hyperandrogenism assessment</w:t>
            </w:r>
          </w:p>
        </w:tc>
        <w:tc>
          <w:tcPr>
            <w:tcW w:type="dxa" w:w="979"/>
            <w:vAlign w:val="top"/>
          </w:tcPr>
          <w:p>
            <w:pPr>
              <w:spacing w:after="40" w:before="0" w:line="259" w:lineRule="auto"/>
            </w:pPr>
            <w:r>
              <w:rPr>
                <w:rFonts w:ascii="Calibri" w:hAnsi="Calibri"/>
                <w:b w:val="0"/>
                <w:i w:val="0"/>
                <w:color w:val="212121"/>
                <w:sz w:val="16"/>
              </w:rPr>
              <w:t>Hirsutism (modified Ferriman–Gallwey), acne, scalp hair loss</w:t>
            </w:r>
          </w:p>
        </w:tc>
        <w:tc>
          <w:tcPr>
            <w:tcW w:type="dxa" w:w="950"/>
            <w:vAlign w:val="top"/>
          </w:tcPr>
          <w:p>
            <w:pPr>
              <w:spacing w:after="40" w:before="0" w:line="259" w:lineRule="auto"/>
            </w:pPr>
            <w:r>
              <w:rPr>
                <w:rFonts w:ascii="Calibri" w:hAnsi="Calibri"/>
                <w:b w:val="0"/>
                <w:i w:val="0"/>
                <w:color w:val="212121"/>
                <w:sz w:val="16"/>
              </w:rPr>
              <w:t>mFG below cut-off; no significant acne/alopecia</w:t>
            </w:r>
          </w:p>
        </w:tc>
        <w:tc>
          <w:tcPr>
            <w:tcW w:type="dxa" w:w="950"/>
            <w:vAlign w:val="top"/>
          </w:tcPr>
          <w:p>
            <w:pPr>
              <w:spacing w:after="40" w:before="0" w:line="259" w:lineRule="auto"/>
            </w:pPr>
            <w:r>
              <w:rPr>
                <w:rFonts w:ascii="Calibri" w:hAnsi="Calibri"/>
                <w:b w:val="0"/>
                <w:i w:val="0"/>
                <w:color w:val="212121"/>
                <w:sz w:val="16"/>
              </w:rPr>
              <w:t>mFG ≥ cut-off (lower in South Asians), persistent acne, male-pattern loss</w:t>
            </w:r>
          </w:p>
        </w:tc>
        <w:tc>
          <w:tcPr>
            <w:tcW w:type="dxa" w:w="1036"/>
            <w:vAlign w:val="top"/>
          </w:tcPr>
          <w:p>
            <w:pPr>
              <w:spacing w:after="40" w:before="0" w:line="259" w:lineRule="auto"/>
            </w:pPr>
            <w:r>
              <w:rPr>
                <w:rFonts w:ascii="Calibri" w:hAnsi="Calibri"/>
                <w:b w:val="0"/>
                <w:i w:val="0"/>
                <w:color w:val="212121"/>
                <w:sz w:val="16"/>
              </w:rPr>
              <w:t>Documents clinical hyperandrogenism</w:t>
            </w:r>
          </w:p>
        </w:tc>
        <w:tc>
          <w:tcPr>
            <w:tcW w:type="dxa" w:w="1036"/>
            <w:vAlign w:val="top"/>
          </w:tcPr>
          <w:p>
            <w:pPr>
              <w:spacing w:after="40" w:before="0" w:line="259" w:lineRule="auto"/>
            </w:pPr>
            <w:r>
              <w:rPr>
                <w:rFonts w:ascii="Calibri" w:hAnsi="Calibri"/>
                <w:b w:val="0"/>
                <w:i w:val="0"/>
                <w:color w:val="212121"/>
                <w:sz w:val="16"/>
              </w:rPr>
              <w:t>Women with hirsutism/acne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 standardised scoring; assess before cosmetic hair removal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Anthropometry</w:t>
            </w:r>
          </w:p>
        </w:tc>
        <w:tc>
          <w:tcPr>
            <w:tcW w:type="dxa" w:w="950"/>
            <w:vAlign w:val="top"/>
          </w:tcPr>
          <w:p>
            <w:pPr>
              <w:spacing w:after="40" w:before="0" w:line="259" w:lineRule="auto"/>
            </w:pPr>
            <w:r>
              <w:rPr>
                <w:rFonts w:ascii="Calibri" w:hAnsi="Calibri"/>
                <w:b w:val="0"/>
                <w:i w:val="0"/>
                <w:color w:val="212121"/>
                <w:sz w:val="16"/>
              </w:rPr>
              <w:t>Weight, BMI &amp; waist circumference</w:t>
            </w:r>
          </w:p>
        </w:tc>
        <w:tc>
          <w:tcPr>
            <w:tcW w:type="dxa" w:w="979"/>
            <w:vAlign w:val="top"/>
          </w:tcPr>
          <w:p>
            <w:pPr>
              <w:spacing w:after="40" w:before="0" w:line="259" w:lineRule="auto"/>
            </w:pPr>
            <w:r>
              <w:rPr>
                <w:rFonts w:ascii="Calibri" w:hAnsi="Calibri"/>
                <w:b w:val="0"/>
                <w:i w:val="0"/>
                <w:color w:val="212121"/>
                <w:sz w:val="16"/>
              </w:rPr>
              <w:t>BMI (Asian cut-offs), waist circumference</w:t>
            </w:r>
          </w:p>
        </w:tc>
        <w:tc>
          <w:tcPr>
            <w:tcW w:type="dxa" w:w="950"/>
            <w:vAlign w:val="top"/>
          </w:tcPr>
          <w:p>
            <w:pPr>
              <w:spacing w:after="40" w:before="0" w:line="259" w:lineRule="auto"/>
            </w:pPr>
            <w:r>
              <w:rPr>
                <w:rFonts w:ascii="Calibri" w:hAnsi="Calibri"/>
                <w:b w:val="0"/>
                <w:i w:val="0"/>
                <w:color w:val="212121"/>
                <w:sz w:val="16"/>
              </w:rPr>
              <w:t>BMI 18.5–22.9; waist &lt; 80 cm</w:t>
            </w:r>
          </w:p>
        </w:tc>
        <w:tc>
          <w:tcPr>
            <w:tcW w:type="dxa" w:w="950"/>
            <w:vAlign w:val="top"/>
          </w:tcPr>
          <w:p>
            <w:pPr>
              <w:spacing w:after="40" w:before="0" w:line="259" w:lineRule="auto"/>
            </w:pPr>
            <w:r>
              <w:rPr>
                <w:rFonts w:ascii="Calibri" w:hAnsi="Calibri"/>
                <w:b w:val="0"/>
                <w:i w:val="0"/>
                <w:color w:val="212121"/>
                <w:sz w:val="16"/>
              </w:rPr>
              <w:t>BMI ≥ 23; waist ≥ 80 cm</w:t>
            </w:r>
          </w:p>
        </w:tc>
        <w:tc>
          <w:tcPr>
            <w:tcW w:type="dxa" w:w="1036"/>
            <w:vAlign w:val="top"/>
          </w:tcPr>
          <w:p>
            <w:pPr>
              <w:spacing w:after="40" w:before="0" w:line="259" w:lineRule="auto"/>
            </w:pPr>
            <w:r>
              <w:rPr>
                <w:rFonts w:ascii="Calibri" w:hAnsi="Calibri"/>
                <w:b w:val="0"/>
                <w:i w:val="0"/>
                <w:color w:val="212121"/>
                <w:sz w:val="16"/>
              </w:rPr>
              <w:t>Quantifies overweight and central obesity that amplify PCOS</w:t>
            </w:r>
          </w:p>
        </w:tc>
        <w:tc>
          <w:tcPr>
            <w:tcW w:type="dxa" w:w="1036"/>
            <w:vAlign w:val="top"/>
          </w:tcPr>
          <w:p>
            <w:pPr>
              <w:spacing w:after="40" w:before="0" w:line="259" w:lineRule="auto"/>
            </w:pPr>
            <w:r>
              <w:rPr>
                <w:rFonts w:ascii="Calibri" w:hAnsi="Calibri"/>
                <w:b w:val="0"/>
                <w:i w:val="0"/>
                <w:color w:val="212121"/>
                <w:sz w:val="16"/>
              </w:rPr>
              <w:t>All women with PCOS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Asian-Indian thresholds; central fat matters even at normal BMI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Skin examination</w:t>
            </w:r>
          </w:p>
        </w:tc>
        <w:tc>
          <w:tcPr>
            <w:tcW w:type="dxa" w:w="979"/>
            <w:vAlign w:val="top"/>
          </w:tcPr>
          <w:p>
            <w:pPr>
              <w:spacing w:after="40" w:before="0" w:line="259" w:lineRule="auto"/>
            </w:pPr>
            <w:r>
              <w:rPr>
                <w:rFonts w:ascii="Calibri" w:hAnsi="Calibri"/>
                <w:b w:val="0"/>
                <w:i w:val="0"/>
                <w:color w:val="212121"/>
                <w:sz w:val="16"/>
              </w:rPr>
              <w:t>Acanthosis nigricans, skin tags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Velvety neck/axillary pigmentation; acrochordons</w:t>
            </w:r>
          </w:p>
        </w:tc>
        <w:tc>
          <w:tcPr>
            <w:tcW w:type="dxa" w:w="1036"/>
            <w:vAlign w:val="top"/>
          </w:tcPr>
          <w:p>
            <w:pPr>
              <w:spacing w:after="40" w:before="0" w:line="259" w:lineRule="auto"/>
            </w:pPr>
            <w:r>
              <w:rPr>
                <w:rFonts w:ascii="Calibri" w:hAnsi="Calibri"/>
                <w:b w:val="0"/>
                <w:i w:val="0"/>
                <w:color w:val="212121"/>
                <w:sz w:val="16"/>
              </w:rPr>
              <w:t>Clinical markers of insulin resistance</w:t>
            </w:r>
          </w:p>
        </w:tc>
        <w:tc>
          <w:tcPr>
            <w:tcW w:type="dxa" w:w="1036"/>
            <w:vAlign w:val="top"/>
          </w:tcPr>
          <w:p>
            <w:pPr>
              <w:spacing w:after="40" w:before="0" w:line="259" w:lineRule="auto"/>
            </w:pPr>
            <w:r>
              <w:rPr>
                <w:rFonts w:ascii="Calibri" w:hAnsi="Calibri"/>
                <w:b w:val="0"/>
                <w:i w:val="0"/>
                <w:color w:val="212121"/>
                <w:sz w:val="16"/>
              </w:rPr>
              <w:t>Obese PCOS, insulin-resistant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Prompts glucose and insulin-resistance evaluation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obstetric history</w:t>
            </w:r>
          </w:p>
        </w:tc>
        <w:tc>
          <w:tcPr>
            <w:tcW w:type="dxa" w:w="979"/>
            <w:vAlign w:val="top"/>
          </w:tcPr>
          <w:p>
            <w:pPr>
              <w:spacing w:after="40" w:before="0" w:line="259" w:lineRule="auto"/>
            </w:pPr>
            <w:r>
              <w:rPr>
                <w:rFonts w:ascii="Calibri" w:hAnsi="Calibri"/>
                <w:b w:val="0"/>
                <w:i w:val="0"/>
                <w:color w:val="212121"/>
                <w:sz w:val="16"/>
              </w:rPr>
              <w:t>Family PCOS/T2DM; subfertility, GDM, miscarriage</w:t>
            </w:r>
          </w:p>
        </w:tc>
        <w:tc>
          <w:tcPr>
            <w:tcW w:type="dxa" w:w="950"/>
            <w:vAlign w:val="top"/>
          </w:tcPr>
          <w:p>
            <w:pPr>
              <w:spacing w:after="40" w:before="0" w:line="259" w:lineRule="auto"/>
            </w:pPr>
            <w:r>
              <w:rPr>
                <w:rFonts w:ascii="Calibri" w:hAnsi="Calibri"/>
                <w:b w:val="0"/>
                <w:i w:val="0"/>
                <w:color w:val="212121"/>
                <w:sz w:val="16"/>
              </w:rPr>
              <w:t>No relevant family/obstetric history</w:t>
            </w:r>
          </w:p>
        </w:tc>
        <w:tc>
          <w:tcPr>
            <w:tcW w:type="dxa" w:w="950"/>
            <w:vAlign w:val="top"/>
          </w:tcPr>
          <w:p>
            <w:pPr>
              <w:spacing w:after="40" w:before="0" w:line="259" w:lineRule="auto"/>
            </w:pPr>
            <w:r>
              <w:rPr>
                <w:rFonts w:ascii="Calibri" w:hAnsi="Calibri"/>
                <w:b w:val="0"/>
                <w:i w:val="0"/>
                <w:color w:val="212121"/>
                <w:sz w:val="16"/>
              </w:rPr>
              <w:t>First-degree PCOS/T2DM; subfertility or GDM</w:t>
            </w:r>
          </w:p>
        </w:tc>
        <w:tc>
          <w:tcPr>
            <w:tcW w:type="dxa" w:w="1036"/>
            <w:vAlign w:val="top"/>
          </w:tcPr>
          <w:p>
            <w:pPr>
              <w:spacing w:after="40" w:before="0" w:line="259" w:lineRule="auto"/>
            </w:pPr>
            <w:r>
              <w:rPr>
                <w:rFonts w:ascii="Calibri" w:hAnsi="Calibri"/>
                <w:b w:val="0"/>
                <w:i w:val="0"/>
                <w:color w:val="212121"/>
                <w:sz w:val="16"/>
              </w:rPr>
              <w:t>Establishes genetic predisposition and reproductive risk</w:t>
            </w:r>
          </w:p>
        </w:tc>
        <w:tc>
          <w:tcPr>
            <w:tcW w:type="dxa" w:w="1036"/>
            <w:vAlign w:val="top"/>
          </w:tcPr>
          <w:p>
            <w:pPr>
              <w:spacing w:after="40" w:before="0" w:line="259" w:lineRule="auto"/>
            </w:pPr>
            <w:r>
              <w:rPr>
                <w:rFonts w:ascii="Calibri" w:hAnsi="Calibri"/>
                <w:b w:val="0"/>
                <w:i w:val="0"/>
                <w:color w:val="212121"/>
                <w:sz w:val="16"/>
              </w:rPr>
              <w:t>Women planning pregnancy, family history of diabetes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Family history present in a majority of Indian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Blood pressure</w:t>
            </w:r>
          </w:p>
        </w:tc>
        <w:tc>
          <w:tcPr>
            <w:tcW w:type="dxa" w:w="979"/>
            <w:vAlign w:val="top"/>
          </w:tcPr>
          <w:p>
            <w:pPr>
              <w:spacing w:after="40" w:before="0" w:line="259" w:lineRule="auto"/>
            </w:pPr>
            <w:r>
              <w:rPr>
                <w:rFonts w:ascii="Calibri" w:hAnsi="Calibri"/>
                <w:b w:val="0"/>
                <w:i w:val="0"/>
                <w:color w:val="212121"/>
                <w:sz w:val="16"/>
              </w:rPr>
              <w:t>Resting blood pressure</w:t>
            </w:r>
          </w:p>
        </w:tc>
        <w:tc>
          <w:tcPr>
            <w:tcW w:type="dxa" w:w="950"/>
            <w:vAlign w:val="top"/>
          </w:tcPr>
          <w:p>
            <w:pPr>
              <w:spacing w:after="40" w:before="0" w:line="259" w:lineRule="auto"/>
            </w:pPr>
            <w:r>
              <w:rPr>
                <w:rFonts w:ascii="Calibri" w:hAnsi="Calibri"/>
                <w:b w:val="0"/>
                <w:i w:val="0"/>
                <w:color w:val="212121"/>
                <w:sz w:val="16"/>
              </w:rPr>
              <w:t>&lt; 120/80 mmHg</w:t>
            </w:r>
          </w:p>
        </w:tc>
        <w:tc>
          <w:tcPr>
            <w:tcW w:type="dxa" w:w="950"/>
            <w:vAlign w:val="top"/>
          </w:tcPr>
          <w:p>
            <w:pPr>
              <w:spacing w:after="40" w:before="0" w:line="259" w:lineRule="auto"/>
            </w:pPr>
            <w:r>
              <w:rPr>
                <w:rFonts w:ascii="Calibri" w:hAnsi="Calibri"/>
                <w:b w:val="0"/>
                <w:i w:val="0"/>
                <w:color w:val="212121"/>
                <w:sz w:val="16"/>
              </w:rPr>
              <w:t>≥ 130/85 mmHg</w:t>
            </w:r>
          </w:p>
        </w:tc>
        <w:tc>
          <w:tcPr>
            <w:tcW w:type="dxa" w:w="1036"/>
            <w:vAlign w:val="top"/>
          </w:tcPr>
          <w:p>
            <w:pPr>
              <w:spacing w:after="40" w:before="0" w:line="259" w:lineRule="auto"/>
            </w:pPr>
            <w:r>
              <w:rPr>
                <w:rFonts w:ascii="Calibri" w:hAnsi="Calibri"/>
                <w:b w:val="0"/>
                <w:i w:val="0"/>
                <w:color w:val="212121"/>
                <w:sz w:val="16"/>
              </w:rPr>
              <w:t>Screens for the hypertension of metabolic syndrome</w:t>
            </w:r>
          </w:p>
        </w:tc>
        <w:tc>
          <w:tcPr>
            <w:tcW w:type="dxa" w:w="1036"/>
            <w:vAlign w:val="top"/>
          </w:tcPr>
          <w:p>
            <w:pPr>
              <w:spacing w:after="40" w:before="0" w:line="259" w:lineRule="auto"/>
            </w:pPr>
            <w:r>
              <w:rPr>
                <w:rFonts w:ascii="Calibri" w:hAnsi="Calibri"/>
                <w:b w:val="0"/>
                <w:i w:val="0"/>
                <w:color w:val="212121"/>
                <w:sz w:val="16"/>
              </w:rPr>
              <w:t>Obese PCOS, metabolic syndrome</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Component of metabolic-syndrome assessment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Mood, sleep &amp; quality-of-life screen</w:t>
            </w:r>
          </w:p>
        </w:tc>
        <w:tc>
          <w:tcPr>
            <w:tcW w:type="dxa" w:w="979"/>
            <w:vAlign w:val="top"/>
          </w:tcPr>
          <w:p>
            <w:pPr>
              <w:spacing w:after="40" w:before="0" w:line="259" w:lineRule="auto"/>
            </w:pPr>
            <w:r>
              <w:rPr>
                <w:rFonts w:ascii="Calibri" w:hAnsi="Calibri"/>
                <w:b w:val="0"/>
                <w:i w:val="0"/>
                <w:color w:val="212121"/>
                <w:sz w:val="16"/>
              </w:rPr>
              <w:t>Depression/anxiety, OSA symptoms, body image</w:t>
            </w:r>
          </w:p>
        </w:tc>
        <w:tc>
          <w:tcPr>
            <w:tcW w:type="dxa" w:w="950"/>
            <w:vAlign w:val="top"/>
          </w:tcPr>
          <w:p>
            <w:pPr>
              <w:spacing w:after="40" w:before="0" w:line="259" w:lineRule="auto"/>
            </w:pPr>
            <w:r>
              <w:rPr>
                <w:rFonts w:ascii="Calibri" w:hAnsi="Calibri"/>
                <w:b w:val="0"/>
                <w:i w:val="0"/>
                <w:color w:val="212121"/>
                <w:sz w:val="16"/>
              </w:rPr>
              <w:t>Negative screen</w:t>
            </w:r>
          </w:p>
        </w:tc>
        <w:tc>
          <w:tcPr>
            <w:tcW w:type="dxa" w:w="950"/>
            <w:vAlign w:val="top"/>
          </w:tcPr>
          <w:p>
            <w:pPr>
              <w:spacing w:after="40" w:before="0" w:line="259" w:lineRule="auto"/>
            </w:pPr>
            <w:r>
              <w:rPr>
                <w:rFonts w:ascii="Calibri" w:hAnsi="Calibri"/>
                <w:b w:val="0"/>
                <w:i w:val="0"/>
                <w:color w:val="212121"/>
                <w:sz w:val="16"/>
              </w:rPr>
              <w:t>Positive depression/anxiety screen; snoring/daytime sleepiness</w:t>
            </w:r>
          </w:p>
        </w:tc>
        <w:tc>
          <w:tcPr>
            <w:tcW w:type="dxa" w:w="1036"/>
            <w:vAlign w:val="top"/>
          </w:tcPr>
          <w:p>
            <w:pPr>
              <w:spacing w:after="40" w:before="0" w:line="259" w:lineRule="auto"/>
            </w:pPr>
            <w:r>
              <w:rPr>
                <w:rFonts w:ascii="Calibri" w:hAnsi="Calibri"/>
                <w:b w:val="0"/>
                <w:i w:val="0"/>
                <w:color w:val="212121"/>
                <w:sz w:val="16"/>
              </w:rPr>
              <w:t>Detects the psychological comorbidity and sleep apnoea common in PCOS</w:t>
            </w:r>
          </w:p>
        </w:tc>
        <w:tc>
          <w:tcPr>
            <w:tcW w:type="dxa" w:w="1036"/>
            <w:vAlign w:val="top"/>
          </w:tcPr>
          <w:p>
            <w:pPr>
              <w:spacing w:after="40" w:before="0" w:line="259" w:lineRule="auto"/>
            </w:pPr>
            <w:r>
              <w:rPr>
                <w:rFonts w:ascii="Calibri" w:hAnsi="Calibri"/>
                <w:b w:val="0"/>
                <w:i w:val="0"/>
                <w:color w:val="212121"/>
                <w:sz w:val="16"/>
              </w:rPr>
              <w:t>All women with PCOS, especially distressed or obese</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Recommended</w:t>
            </w:r>
          </w:p>
        </w:tc>
        <w:tc>
          <w:tcPr>
            <w:tcW w:type="dxa" w:w="720"/>
            <w:vAlign w:val="top"/>
          </w:tcPr>
          <w:p>
            <w:pPr>
              <w:spacing w:after="40" w:before="0" w:line="259" w:lineRule="auto"/>
            </w:pPr>
            <w:r>
              <w:rPr>
                <w:rFonts w:ascii="Calibri" w:hAnsi="Calibri"/>
                <w:b w:val="0"/>
                <w:i w:val="0"/>
                <w:color w:val="212121"/>
                <w:sz w:val="16"/>
              </w:rPr>
              <w:t>Screen routinely; refer for support where positive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w:t>
            </w:r>
          </w:p>
        </w:tc>
        <w:tc>
          <w:tcPr>
            <w:tcW w:type="dxa" w:w="950"/>
            <w:vAlign w:val="top"/>
          </w:tcPr>
          <w:p>
            <w:pPr>
              <w:spacing w:after="40" w:before="0" w:line="259" w:lineRule="auto"/>
            </w:pPr>
            <w:r>
              <w:rPr>
                <w:rFonts w:ascii="Calibri" w:hAnsi="Calibri"/>
                <w:b w:val="0"/>
                <w:i w:val="0"/>
                <w:color w:val="212121"/>
                <w:sz w:val="16"/>
              </w:rPr>
              <w:t>Virilisation / red-flag assessment</w:t>
            </w:r>
          </w:p>
        </w:tc>
        <w:tc>
          <w:tcPr>
            <w:tcW w:type="dxa" w:w="979"/>
            <w:vAlign w:val="top"/>
          </w:tcPr>
          <w:p>
            <w:pPr>
              <w:spacing w:after="40" w:before="0" w:line="259" w:lineRule="auto"/>
            </w:pPr>
            <w:r>
              <w:rPr>
                <w:rFonts w:ascii="Calibri" w:hAnsi="Calibri"/>
                <w:b w:val="0"/>
                <w:i w:val="0"/>
                <w:color w:val="212121"/>
                <w:sz w:val="16"/>
              </w:rPr>
              <w:t>Clitoromegaly, rapid symptom onset, deep voice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Rapid virilisation or frank masculinisation</w:t>
            </w:r>
          </w:p>
        </w:tc>
        <w:tc>
          <w:tcPr>
            <w:tcW w:type="dxa" w:w="1036"/>
            <w:vAlign w:val="top"/>
          </w:tcPr>
          <w:p>
            <w:pPr>
              <w:spacing w:after="40" w:before="0" w:line="259" w:lineRule="auto"/>
            </w:pPr>
            <w:r>
              <w:rPr>
                <w:rFonts w:ascii="Calibri" w:hAnsi="Calibri"/>
                <w:b w:val="0"/>
                <w:i w:val="0"/>
                <w:color w:val="212121"/>
                <w:sz w:val="16"/>
              </w:rPr>
              <w:t>Flags a possible androgen-secreting tumour rather than simple PCOS</w:t>
            </w:r>
          </w:p>
        </w:tc>
        <w:tc>
          <w:tcPr>
            <w:tcW w:type="dxa" w:w="1036"/>
            <w:vAlign w:val="top"/>
          </w:tcPr>
          <w:p>
            <w:pPr>
              <w:spacing w:after="40" w:before="0" w:line="259" w:lineRule="auto"/>
            </w:pPr>
            <w:r>
              <w:rPr>
                <w:rFonts w:ascii="Calibri" w:hAnsi="Calibri"/>
                <w:b w:val="0"/>
                <w:i w:val="0"/>
                <w:color w:val="212121"/>
                <w:sz w:val="16"/>
              </w:rPr>
              <w:t>Rapid-onset hyperandrogenism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Red-flag exclusion</w:t>
            </w:r>
          </w:p>
        </w:tc>
        <w:tc>
          <w:tcPr>
            <w:tcW w:type="dxa" w:w="720"/>
            <w:vAlign w:val="top"/>
          </w:tcPr>
          <w:p>
            <w:pPr>
              <w:spacing w:after="40" w:before="0" w:line="259" w:lineRule="auto"/>
            </w:pPr>
            <w:r>
              <w:rPr>
                <w:rFonts w:ascii="Calibri" w:hAnsi="Calibri"/>
                <w:b w:val="0"/>
                <w:i w:val="0"/>
                <w:color w:val="212121"/>
                <w:sz w:val="16"/>
              </w:rPr>
              <w:t>Prompts urgent imaging and endocrine referral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Irregular, infrequent or absent periods (oligo/amenorrhoea)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of ovulatory dysfunction — cycles longer than 35 days or fewer than about 8–9 per year.</w:t>
            </w:r>
          </w:p>
        </w:tc>
      </w:tr>
      <w:tr>
        <w:trPr>
          <w:cantSplit/>
        </w:trPr>
        <w:tc>
          <w:tcPr>
            <w:tcW w:type="dxa" w:w="2304"/>
            <w:vAlign w:val="top"/>
          </w:tcPr>
          <w:p>
            <w:pPr>
              <w:spacing w:after="40" w:before="0" w:line="259" w:lineRule="auto"/>
            </w:pPr>
            <w:r>
              <w:rPr>
                <w:rFonts w:ascii="Calibri" w:hAnsi="Calibri"/>
                <w:b/>
                <w:i w:val="0"/>
                <w:color w:val="212121"/>
                <w:sz w:val="19"/>
              </w:rPr>
              <w:t>Difficulty conceiving / subfertility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Anovulation makes PCOS the commonest cause of anovulatory infertility.</w:t>
            </w:r>
          </w:p>
        </w:tc>
      </w:tr>
      <w:tr>
        <w:trPr>
          <w:cantSplit/>
        </w:trPr>
        <w:tc>
          <w:tcPr>
            <w:tcW w:type="dxa" w:w="2304"/>
            <w:vAlign w:val="top"/>
          </w:tcPr>
          <w:p>
            <w:pPr>
              <w:spacing w:after="40" w:before="0" w:line="259" w:lineRule="auto"/>
            </w:pPr>
            <w:r>
              <w:rPr>
                <w:rFonts w:ascii="Calibri" w:hAnsi="Calibri"/>
                <w:b/>
                <w:i w:val="0"/>
                <w:color w:val="212121"/>
                <w:sz w:val="19"/>
              </w:rPr>
              <w:t>Excess facial and body hair (hirsutism)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Male-pattern terminal hair on the face, chest and abdomen from androgen excess.</w:t>
            </w:r>
          </w:p>
        </w:tc>
      </w:tr>
      <w:tr>
        <w:trPr>
          <w:cantSplit/>
        </w:trPr>
        <w:tc>
          <w:tcPr>
            <w:tcW w:type="dxa" w:w="2304"/>
            <w:vAlign w:val="top"/>
          </w:tcPr>
          <w:p>
            <w:pPr>
              <w:spacing w:after="40" w:before="0" w:line="259" w:lineRule="auto"/>
            </w:pPr>
            <w:r>
              <w:rPr>
                <w:rFonts w:ascii="Calibri" w:hAnsi="Calibri"/>
                <w:b/>
                <w:i w:val="0"/>
                <w:color w:val="212121"/>
                <w:sz w:val="19"/>
              </w:rPr>
              <w:t>Acne and oily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Androgen-driven sebaceous activity, often persisting well beyond adolescence.</w:t>
            </w:r>
          </w:p>
        </w:tc>
      </w:tr>
      <w:tr>
        <w:trPr>
          <w:cantSplit/>
        </w:trPr>
        <w:tc>
          <w:tcPr>
            <w:tcW w:type="dxa" w:w="2304"/>
            <w:vAlign w:val="top"/>
          </w:tcPr>
          <w:p>
            <w:pPr>
              <w:spacing w:after="40" w:before="0" w:line="259" w:lineRule="auto"/>
            </w:pPr>
            <w:r>
              <w:rPr>
                <w:rFonts w:ascii="Calibri" w:hAnsi="Calibri"/>
                <w:b/>
                <w:i w:val="0"/>
                <w:color w:val="212121"/>
                <w:sz w:val="19"/>
              </w:rPr>
              <w:t>Scalp hair thinning / male-pattern hair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Androgenic alopecia over the crown and temples.</w:t>
            </w:r>
          </w:p>
        </w:tc>
      </w:tr>
      <w:tr>
        <w:trPr>
          <w:cantSplit/>
        </w:trPr>
        <w:tc>
          <w:tcPr>
            <w:tcW w:type="dxa" w:w="2304"/>
            <w:vAlign w:val="top"/>
          </w:tcPr>
          <w:p>
            <w:pPr>
              <w:spacing w:after="40" w:before="0" w:line="259" w:lineRule="auto"/>
            </w:pPr>
            <w:r>
              <w:rPr>
                <w:rFonts w:ascii="Calibri" w:hAnsi="Calibri"/>
                <w:b/>
                <w:i w:val="0"/>
                <w:color w:val="212121"/>
                <w:sz w:val="19"/>
              </w:rPr>
              <w:t>Weight gain / difficulty losing weight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Central adiposity linked to insulin resistance; may occur even in lean women as 'thin-fat'.</w:t>
            </w:r>
          </w:p>
        </w:tc>
      </w:tr>
      <w:tr>
        <w:trPr>
          <w:cantSplit/>
        </w:trPr>
        <w:tc>
          <w:tcPr>
            <w:tcW w:type="dxa" w:w="2304"/>
            <w:vAlign w:val="top"/>
          </w:tcPr>
          <w:p>
            <w:pPr>
              <w:spacing w:after="40" w:before="0" w:line="259" w:lineRule="auto"/>
            </w:pPr>
            <w:r>
              <w:rPr>
                <w:rFonts w:ascii="Calibri" w:hAnsi="Calibri"/>
                <w:b/>
                <w:i w:val="0"/>
                <w:color w:val="212121"/>
                <w:sz w:val="19"/>
              </w:rPr>
              <w:t>Darkening of skin folds (neck, axillae, groin)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Acanthosis nigricans — a visible sign of insulin resistance.</w:t>
            </w:r>
          </w:p>
        </w:tc>
      </w:tr>
      <w:tr>
        <w:trPr>
          <w:cantSplit/>
        </w:trPr>
        <w:tc>
          <w:tcPr>
            <w:tcW w:type="dxa" w:w="2304"/>
            <w:vAlign w:val="top"/>
          </w:tcPr>
          <w:p>
            <w:pPr>
              <w:spacing w:after="40" w:before="0" w:line="259" w:lineRule="auto"/>
            </w:pPr>
            <w:r>
              <w:rPr>
                <w:rFonts w:ascii="Calibri" w:hAnsi="Calibri"/>
                <w:b/>
                <w:i w:val="0"/>
                <w:color w:val="212121"/>
                <w:sz w:val="19"/>
              </w:rPr>
              <w:t>Low mood, anxiety and poor body image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Depression and anxiety are markedly more frequent, independent of weight.</w:t>
            </w:r>
          </w:p>
        </w:tc>
      </w:tr>
      <w:tr>
        <w:trPr>
          <w:cantSplit/>
        </w:trPr>
        <w:tc>
          <w:tcPr>
            <w:tcW w:type="dxa" w:w="2304"/>
            <w:vAlign w:val="top"/>
          </w:tcPr>
          <w:p>
            <w:pPr>
              <w:spacing w:after="40" w:before="0" w:line="259" w:lineRule="auto"/>
            </w:pPr>
            <w:r>
              <w:rPr>
                <w:rFonts w:ascii="Calibri" w:hAnsi="Calibri"/>
                <w:b/>
                <w:i w:val="0"/>
                <w:color w:val="212121"/>
                <w:sz w:val="19"/>
              </w:rPr>
              <w:t>Fatigue and low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Related to insulin resistance, disturbed sleep and low mood.</w:t>
            </w:r>
          </w:p>
        </w:tc>
      </w:tr>
      <w:tr>
        <w:trPr>
          <w:cantSplit/>
        </w:trPr>
        <w:tc>
          <w:tcPr>
            <w:tcW w:type="dxa" w:w="2304"/>
            <w:vAlign w:val="top"/>
          </w:tcPr>
          <w:p>
            <w:pPr>
              <w:spacing w:after="40" w:before="0" w:line="259" w:lineRule="auto"/>
            </w:pPr>
            <w:r>
              <w:rPr>
                <w:rFonts w:ascii="Calibri" w:hAnsi="Calibri"/>
                <w:b/>
                <w:i w:val="0"/>
                <w:color w:val="212121"/>
                <w:sz w:val="19"/>
              </w:rPr>
              <w:t>Heavy or prolonged bleeding when periods occur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Unopposed oestrogen thickens the endometrium, causing heavy or erratic bleeding.</w:t>
            </w:r>
          </w:p>
        </w:tc>
      </w:tr>
      <w:tr>
        <w:trPr>
          <w:cantSplit/>
        </w:trPr>
        <w:tc>
          <w:tcPr>
            <w:tcW w:type="dxa" w:w="2304"/>
            <w:vAlign w:val="top"/>
          </w:tcPr>
          <w:p>
            <w:pPr>
              <w:spacing w:after="40" w:before="0" w:line="259" w:lineRule="auto"/>
            </w:pPr>
            <w:r>
              <w:rPr>
                <w:rFonts w:ascii="Calibri" w:hAnsi="Calibri"/>
                <w:b/>
                <w:i w:val="0"/>
                <w:color w:val="212121"/>
                <w:sz w:val="19"/>
              </w:rPr>
              <w:t>Skin tags (acrochordons)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Small skin outgrowths in flexures, associated with insulin resistance.</w:t>
            </w:r>
          </w:p>
        </w:tc>
      </w:tr>
      <w:tr>
        <w:trPr>
          <w:cantSplit/>
        </w:trPr>
        <w:tc>
          <w:tcPr>
            <w:tcW w:type="dxa" w:w="2304"/>
            <w:vAlign w:val="top"/>
          </w:tcPr>
          <w:p>
            <w:pPr>
              <w:spacing w:after="40" w:before="0" w:line="259" w:lineRule="auto"/>
            </w:pPr>
            <w:r>
              <w:rPr>
                <w:rFonts w:ascii="Calibri" w:hAnsi="Calibri"/>
                <w:b/>
                <w:i w:val="0"/>
                <w:color w:val="212121"/>
                <w:sz w:val="19"/>
              </w:rPr>
              <w:t>Snoring and daytime sleepiness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obstructive sleep apnoea, common in obese PCOS.</w:t>
            </w:r>
          </w:p>
        </w:tc>
      </w:tr>
      <w:tr>
        <w:trPr>
          <w:cantSplit/>
        </w:trPr>
        <w:tc>
          <w:tcPr>
            <w:tcW w:type="dxa" w:w="2304"/>
            <w:vAlign w:val="top"/>
          </w:tcPr>
          <w:p>
            <w:pPr>
              <w:spacing w:after="40" w:before="0" w:line="259" w:lineRule="auto"/>
            </w:pPr>
            <w:r>
              <w:rPr>
                <w:rFonts w:ascii="Calibri" w:hAnsi="Calibri"/>
                <w:b/>
                <w:i w:val="0"/>
                <w:color w:val="212121"/>
                <w:sz w:val="19"/>
              </w:rPr>
              <w:t>Rapid virilisation (deep voice, clitoromegaly)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red flag for an androgen-secreting tumour rather than simple PCOS.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Hirsutism (raised modified Ferriman–Gallwey score)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Male-pattern terminal hair; the commonest clinical sign of hyperandrogenism.</w:t>
            </w:r>
          </w:p>
        </w:tc>
      </w:tr>
      <w:tr>
        <w:trPr>
          <w:cantSplit/>
        </w:trPr>
        <w:tc>
          <w:tcPr>
            <w:tcW w:type="dxa" w:w="3456"/>
            <w:vAlign w:val="top"/>
          </w:tcPr>
          <w:p>
            <w:pPr>
              <w:spacing w:after="40" w:before="0" w:line="259" w:lineRule="auto"/>
            </w:pPr>
            <w:r>
              <w:rPr>
                <w:rFonts w:ascii="Calibri" w:hAnsi="Calibri"/>
                <w:b/>
                <w:i w:val="0"/>
                <w:color w:val="212121"/>
                <w:sz w:val="19"/>
              </w:rPr>
              <w:t>Acne on face, chest and back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Persistent inflammatory acne from androgen-driven sebum.</w:t>
            </w:r>
          </w:p>
        </w:tc>
      </w:tr>
      <w:tr>
        <w:trPr>
          <w:cantSplit/>
        </w:trPr>
        <w:tc>
          <w:tcPr>
            <w:tcW w:type="dxa" w:w="3456"/>
            <w:vAlign w:val="top"/>
          </w:tcPr>
          <w:p>
            <w:pPr>
              <w:spacing w:after="40" w:before="0" w:line="259" w:lineRule="auto"/>
            </w:pPr>
            <w:r>
              <w:rPr>
                <w:rFonts w:ascii="Calibri" w:hAnsi="Calibri"/>
                <w:b/>
                <w:i w:val="0"/>
                <w:color w:val="212121"/>
                <w:sz w:val="19"/>
              </w:rPr>
              <w:t>Acanthosis nigricans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Velvety hyperpigmented plaques on neck and axillae — marker of insulin resistance.</w:t>
            </w:r>
          </w:p>
        </w:tc>
      </w:tr>
      <w:tr>
        <w:trPr>
          <w:cantSplit/>
        </w:trPr>
        <w:tc>
          <w:tcPr>
            <w:tcW w:type="dxa" w:w="3456"/>
            <w:vAlign w:val="top"/>
          </w:tcPr>
          <w:p>
            <w:pPr>
              <w:spacing w:after="40" w:before="0" w:line="259" w:lineRule="auto"/>
            </w:pPr>
            <w:r>
              <w:rPr>
                <w:rFonts w:ascii="Calibri" w:hAnsi="Calibri"/>
                <w:b/>
                <w:i w:val="0"/>
                <w:color w:val="212121"/>
                <w:sz w:val="19"/>
              </w:rPr>
              <w:t>Central / abdominal obesity (raised waist circumference)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Waist ≥ 80 cm in South Asian women indicates abdominal obesity.</w:t>
            </w:r>
          </w:p>
        </w:tc>
      </w:tr>
      <w:tr>
        <w:trPr>
          <w:cantSplit/>
        </w:trPr>
        <w:tc>
          <w:tcPr>
            <w:tcW w:type="dxa" w:w="3456"/>
            <w:vAlign w:val="top"/>
          </w:tcPr>
          <w:p>
            <w:pPr>
              <w:spacing w:after="40" w:before="0" w:line="259" w:lineRule="auto"/>
            </w:pPr>
            <w:r>
              <w:rPr>
                <w:rFonts w:ascii="Calibri" w:hAnsi="Calibri"/>
                <w:b/>
                <w:i w:val="0"/>
                <w:color w:val="212121"/>
                <w:sz w:val="19"/>
              </w:rPr>
              <w:t>Androgenic (male-pattern) scalp hair thinning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crown thinning with preserved frontal hairline.</w:t>
            </w:r>
          </w:p>
        </w:tc>
      </w:tr>
      <w:tr>
        <w:trPr>
          <w:cantSplit/>
        </w:trPr>
        <w:tc>
          <w:tcPr>
            <w:tcW w:type="dxa" w:w="3456"/>
            <w:vAlign w:val="top"/>
          </w:tcPr>
          <w:p>
            <w:pPr>
              <w:spacing w:after="40" w:before="0" w:line="259" w:lineRule="auto"/>
            </w:pPr>
            <w:r>
              <w:rPr>
                <w:rFonts w:ascii="Calibri" w:hAnsi="Calibri"/>
                <w:b/>
                <w:i w:val="0"/>
                <w:color w:val="212121"/>
                <w:sz w:val="19"/>
              </w:rPr>
              <w:t>Polycystic ovarian morphology on ultrasound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 20 follicles (2–9 mm) per ovary and/or ovarian volume ≥ 10 mL.</w:t>
            </w:r>
          </w:p>
        </w:tc>
      </w:tr>
      <w:tr>
        <w:trPr>
          <w:cantSplit/>
        </w:trPr>
        <w:tc>
          <w:tcPr>
            <w:tcW w:type="dxa" w:w="3456"/>
            <w:vAlign w:val="top"/>
          </w:tcPr>
          <w:p>
            <w:pPr>
              <w:spacing w:after="40" w:before="0" w:line="259" w:lineRule="auto"/>
            </w:pPr>
            <w:r>
              <w:rPr>
                <w:rFonts w:ascii="Calibri" w:hAnsi="Calibri"/>
                <w:b/>
                <w:i w:val="0"/>
                <w:color w:val="212121"/>
                <w:sz w:val="19"/>
              </w:rPr>
              <w:t>Raised BMI (Asian-Indian cut-offs)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BMI ≥ 23 (overweight) or ≥ 25 (obesity) amplifies metabolic risk.</w:t>
            </w:r>
          </w:p>
        </w:tc>
      </w:tr>
      <w:tr>
        <w:trPr>
          <w:cantSplit/>
        </w:trPr>
        <w:tc>
          <w:tcPr>
            <w:tcW w:type="dxa" w:w="3456"/>
            <w:vAlign w:val="top"/>
          </w:tcPr>
          <w:p>
            <w:pPr>
              <w:spacing w:after="40" w:before="0" w:line="259" w:lineRule="auto"/>
            </w:pPr>
            <w:r>
              <w:rPr>
                <w:rFonts w:ascii="Calibri" w:hAnsi="Calibri"/>
                <w:b/>
                <w:i w:val="0"/>
                <w:color w:val="212121"/>
                <w:sz w:val="19"/>
              </w:rPr>
              <w:t>Biochemical hyperandrogenism (raised free testosterone / FAI, low SHBG)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Laboratory confirmation of androgen excess.</w:t>
            </w:r>
          </w:p>
        </w:tc>
      </w:tr>
      <w:tr>
        <w:trPr>
          <w:cantSplit/>
        </w:trPr>
        <w:tc>
          <w:tcPr>
            <w:tcW w:type="dxa" w:w="3456"/>
            <w:vAlign w:val="top"/>
          </w:tcPr>
          <w:p>
            <w:pPr>
              <w:spacing w:after="40" w:before="0" w:line="259" w:lineRule="auto"/>
            </w:pPr>
            <w:r>
              <w:rPr>
                <w:rFonts w:ascii="Calibri" w:hAnsi="Calibri"/>
                <w:b/>
                <w:i w:val="0"/>
                <w:color w:val="212121"/>
                <w:sz w:val="19"/>
              </w:rPr>
              <w:t>Skin tags (acrochordons)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Flexural skin outgrowths associated with insulin resistance.</w:t>
            </w:r>
          </w:p>
        </w:tc>
      </w:tr>
      <w:tr>
        <w:trPr>
          <w:cantSplit/>
        </w:trPr>
        <w:tc>
          <w:tcPr>
            <w:tcW w:type="dxa" w:w="3456"/>
            <w:vAlign w:val="top"/>
          </w:tcPr>
          <w:p>
            <w:pPr>
              <w:spacing w:after="40" w:before="0" w:line="259" w:lineRule="auto"/>
            </w:pPr>
            <w:r>
              <w:rPr>
                <w:rFonts w:ascii="Calibri" w:hAnsi="Calibri"/>
                <w:b/>
                <w:i w:val="0"/>
                <w:color w:val="212121"/>
                <w:sz w:val="19"/>
              </w:rPr>
              <w:t>Elevated blood pressure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Part of the metabolic syndrome cluster in PCOS.</w:t>
            </w:r>
          </w:p>
        </w:tc>
      </w:tr>
      <w:tr>
        <w:trPr>
          <w:cantSplit/>
        </w:trPr>
        <w:tc>
          <w:tcPr>
            <w:tcW w:type="dxa" w:w="3456"/>
            <w:vAlign w:val="top"/>
          </w:tcPr>
          <w:p>
            <w:pPr>
              <w:spacing w:after="40" w:before="0" w:line="259" w:lineRule="auto"/>
            </w:pPr>
            <w:r>
              <w:rPr>
                <w:rFonts w:ascii="Calibri" w:hAnsi="Calibri"/>
                <w:b/>
                <w:i w:val="0"/>
                <w:color w:val="212121"/>
                <w:sz w:val="19"/>
              </w:rPr>
              <w:t>Clitoromegaly / frank virilisation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severe hyperandrogenism or an androgen-secreting tumour requiring urgent work-up.</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oligo/anovulation and menstrual irregularity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Clinical hyperandrogenism — hirsutism, acne, androgenic alopecia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Anovulatory infertility / subfertility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distress, low self-esteem and negative body image</w:t>
            </w:r>
          </w:p>
        </w:tc>
        <w:tc>
          <w:tcPr>
            <w:tcW w:type="dxa" w:w="2980"/>
            <w:vAlign w:val="top"/>
          </w:tcPr>
          <w:p>
            <w:pPr>
              <w:spacing w:after="40" w:before="0" w:line="259" w:lineRule="auto"/>
            </w:pPr>
            <w:r>
              <w:rPr>
                <w:rFonts w:ascii="Calibri" w:hAnsi="Calibri"/>
                <w:b w:val="0"/>
                <w:i w:val="0"/>
                <w:color w:val="212121"/>
                <w:sz w:val="19"/>
              </w:rPr>
              <w:t>Direct reproductive, dermatological and psychological consequences of androgen excess and anovulation.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 resistance progressing to impaired glucose tolerance and type 2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Atherogenic dyslipidaemia and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Non-alcoholic fatty liver disease (NAFLD/NASH)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Endometrial hyperplasia from unopposed oestrogen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Pregnancy complications — gestational diabetes, pre-eclampsia, miscarriage</w:t>
            </w:r>
          </w:p>
        </w:tc>
        <w:tc>
          <w:tcPr>
            <w:tcW w:type="dxa" w:w="2980"/>
            <w:vAlign w:val="top"/>
          </w:tcPr>
          <w:p>
            <w:pPr>
              <w:spacing w:after="40" w:before="0" w:line="259" w:lineRule="auto"/>
            </w:pPr>
            <w:r>
              <w:rPr>
                <w:rFonts w:ascii="Calibri" w:hAnsi="Calibri"/>
                <w:b w:val="0"/>
                <w:i w:val="0"/>
                <w:color w:val="212121"/>
                <w:sz w:val="19"/>
              </w:rPr>
              <w:t>Result from chronic insulin resistance, hyperandrogenism and unopposed oestrogen exposure.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type 2 diabetes with micro- and macrovascular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Endometrial 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 from progressive non-alcoholic steatohepatitis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Long-standing infertility and its psychosocial impact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depression, anxiety and eating disorders</w:t>
            </w:r>
          </w:p>
        </w:tc>
        <w:tc>
          <w:tcPr>
            <w:tcW w:type="dxa" w:w="2980"/>
            <w:vAlign w:val="top"/>
          </w:tcPr>
          <w:p>
            <w:pPr>
              <w:spacing w:after="40" w:before="0" w:line="259" w:lineRule="auto"/>
            </w:pPr>
            <w:r>
              <w:rPr>
                <w:rFonts w:ascii="Calibri" w:hAnsi="Calibri"/>
                <w:b w:val="0"/>
                <w:i w:val="0"/>
                <w:color w:val="212121"/>
                <w:sz w:val="19"/>
              </w:rPr>
              <w:t>Irreversible or disabling outcomes of longstanding, inadequately managed metabolic and reproductive derangement.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Insulin resistance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central metabolic defect; raises ovarian androgens and lowers SHBG.</w:t>
            </w:r>
          </w:p>
          <w:p>
            <w:pPr>
              <w:spacing w:after="40" w:before="0" w:line="259" w:lineRule="auto"/>
            </w:pPr>
            <w:r>
              <w:rPr>
                <w:rFonts w:ascii="Calibri" w:hAnsi="Calibri"/>
                <w:b/>
                <w:i w:val="0"/>
                <w:color w:val="212121"/>
                <w:sz w:val="19"/>
              </w:rPr>
              <w:t>~70%</w:t>
            </w:r>
          </w:p>
        </w:tc>
      </w:tr>
      <w:tr>
        <w:trPr>
          <w:cantSplit/>
        </w:trPr>
        <w:tc>
          <w:tcPr>
            <w:tcW w:type="dxa" w:w="2232"/>
            <w:vAlign w:val="top"/>
          </w:tcPr>
          <w:p>
            <w:pPr>
              <w:spacing w:after="40" w:before="0" w:line="259" w:lineRule="auto"/>
            </w:pPr>
            <w:r>
              <w:rPr>
                <w:rFonts w:ascii="Calibri" w:hAnsi="Calibri"/>
                <w:b/>
                <w:i w:val="0"/>
                <w:color w:val="212121"/>
                <w:sz w:val="19"/>
              </w:rPr>
              <w:t>Overweight / obesity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Amplifies insulin resistance and androgen excess; central fat raised even at normal BMI.</w:t>
            </w:r>
          </w:p>
          <w:p>
            <w:pPr>
              <w:spacing w:after="40" w:before="0" w:line="259" w:lineRule="auto"/>
            </w:pPr>
            <w:r>
              <w:rPr>
                <w:rFonts w:ascii="Calibri" w:hAnsi="Calibri"/>
                <w:b/>
                <w:i w:val="0"/>
                <w:color w:val="212121"/>
                <w:sz w:val="19"/>
              </w:rPr>
              <w:t>~38–88%</w:t>
            </w:r>
          </w:p>
        </w:tc>
      </w:tr>
      <w:tr>
        <w:trPr>
          <w:cantSplit/>
        </w:trPr>
        <w:tc>
          <w:tcPr>
            <w:tcW w:type="dxa" w:w="2232"/>
            <w:vAlign w:val="top"/>
          </w:tcPr>
          <w:p>
            <w:pPr>
              <w:spacing w:after="40" w:before="0" w:line="259" w:lineRule="auto"/>
            </w:pPr>
            <w:r>
              <w:rPr>
                <w:rFonts w:ascii="Calibri" w:hAnsi="Calibri"/>
                <w:b/>
                <w:i w:val="0"/>
                <w:color w:val="212121"/>
                <w:sz w:val="19"/>
              </w:rPr>
              <w:t>Hirsutism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Commonest clinical sign of hyperandrogenism.</w:t>
            </w:r>
          </w:p>
          <w:p>
            <w:pPr>
              <w:spacing w:after="40" w:before="0" w:line="259" w:lineRule="auto"/>
            </w:pPr>
            <w:r>
              <w:rPr>
                <w:rFonts w:ascii="Calibri" w:hAnsi="Calibri"/>
                <w:b/>
                <w:i w:val="0"/>
                <w:color w:val="212121"/>
                <w:sz w:val="19"/>
              </w:rPr>
              <w:t>~70%</w:t>
            </w:r>
          </w:p>
        </w:tc>
      </w:tr>
      <w:tr>
        <w:trPr>
          <w:cantSplit/>
        </w:trPr>
        <w:tc>
          <w:tcPr>
            <w:tcW w:type="dxa" w:w="2232"/>
            <w:vAlign w:val="top"/>
          </w:tcPr>
          <w:p>
            <w:pPr>
              <w:spacing w:after="40" w:before="0" w:line="259" w:lineRule="auto"/>
            </w:pPr>
            <w:r>
              <w:rPr>
                <w:rFonts w:ascii="Calibri" w:hAnsi="Calibri"/>
                <w:b/>
                <w:i w:val="0"/>
                <w:color w:val="212121"/>
                <w:sz w:val="19"/>
              </w:rPr>
              <w:t>Infertility / subfertility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From chronic anovulation; the leading cause of anovulatory infertility.</w:t>
            </w:r>
          </w:p>
          <w:p>
            <w:pPr>
              <w:spacing w:after="40" w:before="0" w:line="259" w:lineRule="auto"/>
            </w:pPr>
            <w:r>
              <w:rPr>
                <w:rFonts w:ascii="Calibri" w:hAnsi="Calibri"/>
                <w:b/>
                <w:i w:val="0"/>
                <w:color w:val="212121"/>
                <w:sz w:val="19"/>
              </w:rPr>
              <w:t>~70%</w:t>
            </w:r>
          </w:p>
        </w:tc>
      </w:tr>
      <w:tr>
        <w:trPr>
          <w:cantSplit/>
        </w:trPr>
        <w:tc>
          <w:tcPr>
            <w:tcW w:type="dxa" w:w="2232"/>
            <w:vAlign w:val="top"/>
          </w:tcPr>
          <w:p>
            <w:pPr>
              <w:spacing w:after="40" w:before="0" w:line="259" w:lineRule="auto"/>
            </w:pPr>
            <w:r>
              <w:rPr>
                <w:rFonts w:ascii="Calibri" w:hAnsi="Calibri"/>
                <w:b/>
                <w:i w:val="0"/>
                <w:color w:val="212121"/>
                <w:sz w:val="19"/>
              </w:rPr>
              <w:t>Type 2 diabetes &amp; impaired glucose tolerance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Markedly raised risk — T2DM odds ~4.4 and IGT odds ~2.5 versus controls.</w:t>
            </w:r>
          </w:p>
        </w:tc>
      </w:tr>
      <w:tr>
        <w:trPr>
          <w:cantSplit/>
        </w:trPr>
        <w:tc>
          <w:tcPr>
            <w:tcW w:type="dxa" w:w="2232"/>
            <w:vAlign w:val="top"/>
          </w:tcPr>
          <w:p>
            <w:pPr>
              <w:spacing w:after="40" w:before="0" w:line="259" w:lineRule="auto"/>
            </w:pPr>
            <w:r>
              <w:rPr>
                <w:rFonts w:ascii="Calibri" w:hAnsi="Calibri"/>
                <w:b/>
                <w:i w:val="0"/>
                <w:color w:val="212121"/>
                <w:sz w:val="19"/>
              </w:rPr>
              <w:t>Metabolic syndrome / dyslipidaemia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Clustered cardiometabolic risk; ~17.8% in Indian PCOS women (odds ~2.9 overall).</w:t>
            </w:r>
          </w:p>
          <w:p>
            <w:pPr>
              <w:spacing w:after="40" w:before="0" w:line="259" w:lineRule="auto"/>
            </w:pPr>
            <w:r>
              <w:rPr>
                <w:rFonts w:ascii="Calibri" w:hAnsi="Calibri"/>
                <w:b/>
                <w:i w:val="0"/>
                <w:color w:val="212121"/>
                <w:sz w:val="19"/>
              </w:rPr>
              <w:t>~18% (India)</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Strongly and bidirectionally linked; odds ~3.8 (depression) and ~5.6 (anxiety), independent of weight.</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Driven by insulin resistance and central obesity; ~37.7% in a Northeast India cohort.</w:t>
            </w:r>
          </w:p>
          <w:p>
            <w:pPr>
              <w:spacing w:after="40" w:before="0" w:line="259" w:lineRule="auto"/>
            </w:pPr>
            <w:r>
              <w:rPr>
                <w:rFonts w:ascii="Calibri" w:hAnsi="Calibri"/>
                <w:b/>
                <w:i w:val="0"/>
                <w:color w:val="212121"/>
                <w:sz w:val="19"/>
              </w:rPr>
              <w:t>~38% (Indian cohort)</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Hepatic steatosis linked to insulin resistance and dyslipidaemia; common in PCOS.</w:t>
            </w:r>
          </w:p>
        </w:tc>
      </w:tr>
      <w:tr>
        <w:trPr>
          <w:cantSplit/>
        </w:trPr>
        <w:tc>
          <w:tcPr>
            <w:tcW w:type="dxa" w:w="2232"/>
            <w:vAlign w:val="top"/>
          </w:tcPr>
          <w:p>
            <w:pPr>
              <w:spacing w:after="40" w:before="0" w:line="259" w:lineRule="auto"/>
            </w:pPr>
            <w:r>
              <w:rPr>
                <w:rFonts w:ascii="Calibri" w:hAnsi="Calibri"/>
                <w:b/>
                <w:i w:val="0"/>
                <w:color w:val="212121"/>
                <w:sz w:val="19"/>
              </w:rPr>
              <w:t>Endometrial hyperplasia / carcinoma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Unopposed oestrogen from anovulation raises endometrial cancer risk (registry odds ~3.9).</w:t>
            </w:r>
          </w:p>
        </w:tc>
      </w:tr>
      <w:tr>
        <w:trPr>
          <w:cantSplit/>
        </w:trPr>
        <w:tc>
          <w:tcPr>
            <w:tcW w:type="dxa" w:w="2232"/>
            <w:vAlign w:val="top"/>
          </w:tcPr>
          <w:p>
            <w:pPr>
              <w:spacing w:after="40" w:before="0" w:line="259" w:lineRule="auto"/>
            </w:pPr>
            <w:r>
              <w:rPr>
                <w:rFonts w:ascii="Calibri" w:hAnsi="Calibri"/>
                <w:b/>
                <w:i w:val="0"/>
                <w:color w:val="212121"/>
                <w:sz w:val="19"/>
              </w:rPr>
              <w:t>Thyroid dysfunction / autoimmune thyroiditis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Hypothyroidism and Hashimoto's thyroiditis coexist more often and must be excluded.</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Part of the metabolic syndrome cluster; reported in about half of one Northeast India PCOS cohort.</w:t>
            </w:r>
          </w:p>
          <w:p>
            <w:pPr>
              <w:spacing w:after="40" w:before="0" w:line="259" w:lineRule="auto"/>
            </w:pPr>
            <w:r>
              <w:rPr>
                <w:rFonts w:ascii="Calibri" w:hAnsi="Calibri"/>
                <w:b/>
                <w:i w:val="0"/>
                <w:color w:val="212121"/>
                <w:sz w:val="19"/>
              </w:rPr>
              <w:t>up to ~55% (Indian cohort)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PCOS is a common, manageable hormonal-metabolic condition — not just 'ovarian cysts' — and that early lifestyle change strongly improves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irregular or absent periods, unwanted facial/body hair, persistent acne, scalp hair thinning and unexplained weight gain, and seek timely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menstrual diary and attend for screening if cycles are irregular for more than a few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to prevent weight gain from adolescence, since even modest excess weight can unmask PCOS in susceptible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regular activity and balanced eating help even at a normal weight, given the South Asian 'thin-fat' tendency to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ignore mood changes, excessive daytime sleepiness or snoring — depression, anxiety and sleep apnoea are common and treatable.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girls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 family history of PCOS/diabetes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sedentary women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PCOS as a long-term condition with individualised goals — menstrual regularity, fertility, hyperandrogenism and 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for a metabolic work-up at diagnosis (oral glucose tolerance test, lipids, blood pressure, BMI/waist) and periodic re-screening every 1–3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endometrial protection (regular withdrawal bleeds or progestin/combined pill) when periods are very infrequent, to lower endometrial 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first-line lifestyle change with prescribed therapy (e.g. combined oral contraceptive for cycle/androgen control, metformin for metabolic features, or ovulation induction for fertility)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pregnancies with pre-conception optimisation, since PCOS raises gestational diabetes and pre-eclampsia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 a 5–10% weight loss can restore ovulation and markedly improve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newly diagnosed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seeking 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metabolic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very infrequent periods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building up gradually.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on 2–3 days/week to improve insulin sensitivity and body composition.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and include daily movement, since activity improves ovulation and androgen levels even without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 gradual, sustainable 5–10% reduction in body weight if overweight, focusing on central fat.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exercise with dietary change for the greatest improvement in menstrual regularity and metabolic markers.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Lean PCOS with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subfertility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fibre-rich, lower-glycaemic diet with whole grains and millets (ragi, jowar, bajra), pulses, vegetables and fruit in place of refined rice and maida.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sugar-sweetened beverages, sweets, fried and ultra-processed foods that cause sharp insulin spikes.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carbohydrates evenly across meals and prefer whole fruit over juices.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adequate protein and healthy fats; correct documented deficiencies such as vitamin 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 modest calorie reduction if overweight — there is no single 'best' PCOS diet, so choose a sustainable, culturally appropriate pattern.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high-glycaemic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insulin resistance/prediabetes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fast-food consumers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sleep and wake times and aim for 7–9 hours of good-quality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snoring, choking or excessive daytime sleepiness — be screened and treated for obstructive sleep apnoea, especially if overweight.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a dark, quiet room and no screens or stimulants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Treating sleep apnoea improves insulin resistance and daytime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snoring/daytime sleepiness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poor sleep and fatigue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smoking and tobacco use to reduce insulin resistance, cardiovascular risk and harm to 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 quitting is especially important given the raised cardiometabolic risk of PCOS.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low or avoid it, since excess adds calories and worsens fatty liver, triglycerides and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or binge drinking, which aggravates the metabolic complications of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alcohol should be avoided when trying to conceive or during pregnancy.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 and NAFLD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screened routinely for depression, anxiety and eating disorders, which are markedly more common in PCOS regardless of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psychological support and, where appropriate, cognitive behavioural therapy to address distress, body image and low self-esteem.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such as yoga, mindfulness and relaxation, which also support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peer support and reliable information to counter stigma around hirsutism, weight and 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anxiety or depression promptly, as good mental health improves adherence to lifestyle and medical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 and low mood/anxiety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distressed by hirsutism or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body-image concerns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inkglobalhealth.org/article/india-unprepared-pcos-crisis" TargetMode="External"/><Relationship Id="rId10" Type="http://schemas.openxmlformats.org/officeDocument/2006/relationships/hyperlink" Target="https://link.springer.com/article/10.1186/s40738-016-0029-2" TargetMode="External"/><Relationship Id="rId11" Type="http://schemas.openxmlformats.org/officeDocument/2006/relationships/hyperlink" Target="https://www.who.int/news-room/fact-sheets/detail/polycystic-ovary-syndrome" TargetMode="External"/><Relationship Id="rId12" Type="http://schemas.openxmlformats.org/officeDocument/2006/relationships/hyperlink" Target="https://pmc.ncbi.nlm.nih.gov/articles/PMC12592665/" TargetMode="External"/><Relationship Id="rId13" Type="http://schemas.openxmlformats.org/officeDocument/2006/relationships/hyperlink" Target="https://journals.plos.org/plosone/article?id=10.1371%2Fjournal.pone.0246862" TargetMode="External"/><Relationship Id="rId14" Type="http://schemas.openxmlformats.org/officeDocument/2006/relationships/hyperlink" Target="https://ijmpr.in/article/prevalence-of-polycystic-ovary-syndrome-in-reproductive-age-women-systematic-review-1289/" TargetMode="External"/><Relationship Id="rId15" Type="http://schemas.openxmlformats.org/officeDocument/2006/relationships/hyperlink" Target="https://www.ncbi.nlm.nih.gov/books/NBK459251/" TargetMode="External"/><Relationship Id="rId16" Type="http://schemas.openxmlformats.org/officeDocument/2006/relationships/hyperlink" Target="https://academic.oup.com/humupd/article/16/4/347/802669" TargetMode="External"/><Relationship Id="rId17" Type="http://schemas.openxmlformats.org/officeDocument/2006/relationships/hyperlink" Target="https://academic.oup.com/humrep/article/32/5/1075/3064352" TargetMode="External"/><Relationship Id="rId18" Type="http://schemas.openxmlformats.org/officeDocument/2006/relationships/hyperlink" Target="https://www.cochrane.org/evidence/CD007506_effect-healthy-lifestyle-women-polycystic-ovary-syndrome" TargetMode="External"/><Relationship Id="rId19" Type="http://schemas.openxmlformats.org/officeDocument/2006/relationships/hyperlink" Target="https://www.aafp.org/pubs/afp/issues/2016/0715/p1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