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Vitamin &amp; Mineral deficiencies</w:t>
      </w:r>
    </w:p>
    <w:p>
      <w:pPr>
        <w:spacing w:before="0" w:after="160"/>
      </w:pPr>
      <w:r>
        <w:rPr>
          <w:rFonts w:ascii="Calibri" w:hAnsi="Calibri"/>
          <w:b/>
          <w:i w:val="0"/>
          <w:color w:val="212121"/>
          <w:sz w:val="22"/>
        </w:rPr>
        <w:t xml:space="preserve">AKA </w:t>
      </w:r>
      <w:r>
        <w:rPr>
          <w:rFonts w:ascii="Calibri" w:hAnsi="Calibri"/>
          <w:b w:val="0"/>
          <w:i w:val="0"/>
          <w:color w:val="212121"/>
          <w:sz w:val="22"/>
        </w:rPr>
        <w:t>i.e., Micronutrient deficiencies, Micronutrient malnutrition, “Hidden hunger”; specific clinical deficiency states include nutritional anaemia (iron/folate/B12), rickets and osteomalacia (vitamin D/calcium), xerophthalmia (vitamin A), goitre and iodine-deficiency disorders (iodine), scurvy (vitamin C), beriberi and Wernicke–Korsakoff (thiamine), pellagra (niacin) and acrodermatitis enteropathica (zinc)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Vitamin and mineral (micronutrient) deficiencies are a group of nutritional disorders that arise when the body’s stores or intake of one or more essential vitamins (fat-soluble A, D, E, K and water-soluble B-complex and C) or minerals (iron, zinc, iodine, calcium, magnesium, selenium, copper and others) fall below the level needed for normal metabolism, growth, immune function and tissue maintenance. Because these nutrients are required only in very small amounts but underpin enzyme, hormone, blood, bone and nervous-system function, deficiency often develops silently long before overt disease — hence the term “hidden hunger.” Clinically the spectrum runs from asymptomatic biochemical depletion, through non-specific fatigue, poor immunity and impaired cognition, to classic deficiency diseases (nutritional anaemia, rickets/osteomalacia, xerophthalmia, goitre, scurvy, beriberi and pellagra). In India multiple deficiencies frequently coexist in the same individual, driven by a monotonous, cereal-dominated diet with low dietary diversity.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Micronutrient deficiencies are among India’s most widespread yet under-recognised health problems, with the country reported to carry close to half of the world’s micronutrient malnutrition burden. Estimates of the population “at risk” of inadequate intake are very high for several nutrients — about 94% for calcium, 89% for vitamin A, 89% for vitamin B12 and 81% for folate, with lower but significant figures for iron (~41%) and zinc (~25%); roughly 70% of Indians are estimated to consume micronutrients at less than half the recommended dietary allowance. The Comprehensive National Nutrition Survey (CNNS 2016–18) found that among children aged 1–4 years about 61% had at least one micronutrient deficiency, and reported deficiency of iron (~32%), zinc (19%), vitamin A (17.5%), folate (23.4%), vitamin B12 (13.8%) and vitamin D (13.7%); deficiencies of folate (36.7%), B12 (30.9%) and zinc (31.7%) were even commoner in adolescents. Anaemia — the visible tip of iron, folate and B12 deficiency — affects 67% of children 6–59 months, 57% of women 15–49 years and 52% of pregnant women (NFHS-5, 2019–21), while vitamin D deficiency reaches 70–90% in many adult and elderly Indian cohorts and iodine deficiency remains endemic in a majority of surveyed districts.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test for “micronutrient deficiency”; diagnosis combines dietary assessment and clinical features with targeted biochemical biomarkers for the specific nutrient(s) suspected, remembering that most deficiencies are subclinical and that several often coexist. Widely used interpretive thresholds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Anaemia (screening for iron, folate and B12 deficiency): haemoglobin &lt; 11 g/dL in children 6–59 months and in pregnancy, &lt; 12 g/dL in non-pregnant women and &lt; 13 g/dL in men (WHO cut-offs);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Iron: serum ferritin &lt; 15 µg/L in adults (&lt; 12 µg/L in children) with low transferrin saturation — interpret alongside CRP, as ferritin is an acute-phase reactant and rises with inflammation or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Vitamin D: serum 25-hydroxyvitamin D &lt; 20 ng/mL (&lt; 50 nmol/L) indicates deficiency and 20–30 ng/mL insufficiency; supporting features are low calcium/phosphate with raised alkaline phosphatase and parathyroid hormone;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Vitamin B12 &lt; 200 pg/mL and serum folate &lt; 3 ng/mL (or low red-cell folate) with macrocytosis (MCV &gt; 100 fL); raised methylmalonic acid and homocysteine confirm functional B12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Zinc: fasting morning serum/plasma zinc &lt; 70 µg/dL; vitamin A: serum retinol &lt; 20 µg/dL (0.70 µmol/L), with &lt; 10 µg/dL denoting severe deficiency and clinical xerophthalmia;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Iodine (population marker): median urinary iodine concentration &lt; 100 µg/L (&lt; 150 µg/L in pregnancy) indicates deficiency, supported by goitre on examination and, in severe cases, raised TSH;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Principle: biochemical (subclinical) deficiency precedes clinical deficiency disease, combined deficiencies are the rule rather than the exception in India, and a low biomarker with compatible features plus response to repletion confirms the diagnosis.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Vitamin and mineral deficiencies can be organised by the class of nutrient involved, by the underlying mechanism, and by clinical severity/stage:</w:t>
      </w:r>
    </w:p>
    <w:p>
      <w:pPr>
        <w:spacing w:before="0" w:after="80"/>
      </w:pPr>
      <w:r>
        <w:rPr>
          <w:rFonts w:ascii="Calibri" w:hAnsi="Calibri"/>
          <w:b w:val="0"/>
          <w:i w:val="0"/>
          <w:color w:val="212121"/>
          <w:sz w:val="21"/>
        </w:rPr>
        <w:t>(1) By nutrient class — fat-soluble vitamin deficiencies (A, D, E, K), which relate to fat intake/absorption and sunlight (vitamin D); water-soluble vitamin deficiencies (the B-complex — thiamine B1, riboflavin B2, niacin B3, pyridoxine B6, folate B9, cobalamin B12, biotin and pantothenate — and vitamin C), which are poorly stored and need regular intake; macromineral deficiencies (calcium, phosphorus, magnesium, potassium); and trace-element deficiencies (iron, zinc, iodine, selenium, copper), needed in milligram-to-microgram amounts.</w:t>
      </w:r>
    </w:p>
    <w:p>
      <w:pPr>
        <w:spacing w:before="0" w:after="80"/>
      </w:pPr>
      <w:r>
        <w:rPr>
          <w:rFonts w:ascii="Calibri" w:hAnsi="Calibri"/>
          <w:b w:val="0"/>
          <w:i w:val="0"/>
          <w:color w:val="212121"/>
          <w:sz w:val="21"/>
        </w:rPr>
        <w:t>(2) By mechanism — inadequate intake (monotonous cereal-based, low-diversity or vegetarian diets, poverty and food insecurity — the dominant cause in India); malabsorption (coeliac and inflammatory bowel disease, chronic pancreatitis, tropical sprue, Helicobacter pylori, gastrectomy and bariatric surgery); increased requirement (infancy, rapid childhood/adolescent growth, pregnancy and lactation); increased losses (chronic blood loss, hookworm, dialysis, diuretics); and drug-induced deficiency (metformin→B12; proton-pump inhibitors→B12/iron/calcium/magnesium; methotrexate→folate; isoniazid→B6; loop diuretics→magnesium/zinc).</w:t>
      </w:r>
    </w:p>
    <w:p>
      <w:pPr>
        <w:spacing w:before="0" w:after="80"/>
      </w:pPr>
      <w:r>
        <w:rPr>
          <w:rFonts w:ascii="Calibri" w:hAnsi="Calibri"/>
          <w:b w:val="0"/>
          <w:i w:val="0"/>
          <w:color w:val="212121"/>
          <w:sz w:val="21"/>
        </w:rPr>
        <w:t>(3) By severity/stage — depletion (falling body stores with normal function); subclinical / biochemical deficiency (abnormal biomarker but no symptoms, by far the commonest form in India); and clinical deficiency disease, in which the classic syndromes appear — nutritional anaemia (iron/folate/B12), rickets and osteomalacia (vitamin D/calcium), xerophthalmia and night blindness (vitamin A), goitre, hypothyroidism and cretinism (iodine), scurvy (vitamin C), beriberi and Wernicke–Korsakoff (thiamine) and pellagra (niacin).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Monotonous, cereal-dominated diet with low dietary diversity: Heavy reliance on polished rice and refined wheat with little fruit, vegetables, pulses, dairy or animal foods supplies insufficient vitamins and bioavailable minerals — the leading driver of micronutrient malnutrition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Predominantly vegetarian eating and low animal-source-food intake: Cobalamin (B12) occurs almost only in animal foods, and iron, zinc and calcium from plant foods are poorly absorbed, so vegetarian and low-income diets predispose to combined deficiencies.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Poverty and food insecurity: Limited purchasing power restricts access to diverse, nutrient-dense and animal-source foods, and few Indian staples are fortified.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Poor bioavailability and anti-nutrients: High dietary phytate, tannins (tea/coffee), oxalate and fibre in cereal-legume diets inhibit absorption of iron, zinc and calcium even when intake looks adequate.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Increased physiological requirement: Infancy, rapid childhood and adolescent growth, pregnancy and lactation raise demand and can exhaust limited stores.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Malabsorption, infection and blood loss: Coeliac and inflammatory bowel disease, chronic pancreatitis, Helicobacter pylori, hookworm and other intestinal parasites, and gastrointestinal or bariatric surgery impair absorption or increase losses.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Limited sun exposure and darker skin phototype: Indoor lifestyles, concealing dress, air pollution and higher skin melanin reduce cutaneous synthesis of vitamin D despite abundant Indian sunshine.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Indian adults commonly run low on multiple micronutrients because diets are cereal-heavy and low in diversity, awareness is poor and there is no routine screening, so subclinical deficiency (iron, B12, folate, vitamin D, calcium) accumulates silently.</w:t>
            </w:r>
          </w:p>
          <w:p>
            <w:pPr>
              <w:spacing w:after="40" w:before="60" w:line="259" w:lineRule="auto"/>
            </w:pPr>
            <w:r>
              <w:rPr>
                <w:rFonts w:ascii="Calibri" w:hAnsi="Calibri"/>
                <w:b w:val="0"/>
                <w:i w:val="0"/>
                <w:color w:val="212121"/>
                <w:sz w:val="19"/>
              </w:rPr>
              <w:t>About 70% of Indians consume micronutrients at less than half the RDA, and over 62% of urban/semi-urban adults show multiple micronutrient inadequacies.</w:t>
            </w:r>
          </w:p>
          <w:p>
            <w:pPr>
              <w:spacing w:after="40" w:line="252" w:lineRule="auto"/>
            </w:pPr>
            <w:hyperlink r:id="rId9">
              <w:r>
                <w:rPr>
                  <w:rFonts w:ascii="Calibri" w:hAnsi="Calibri" w:cs="Calibri"/>
                  <w:sz w:val="18"/>
                  <w:color w:val="1155CC"/>
                  <w:u w:val="single"/>
                </w:rPr>
                <w:t xml:space="preserve">jnmhs.com — micronutrient deficiency burden in India</w:t>
              </w:r>
            </w:hyperlink>
          </w:p>
          <w:p>
            <w:pPr>
              <w:spacing w:before="60" w:after="40"/>
            </w:pPr>
            <w:r>
              <w:rPr>
                <w:rFonts w:ascii="Calibri" w:hAnsi="Calibri"/>
                <w:b w:val="0"/>
                <w:i w:val="0"/>
                <w:color w:val="5A5A5A"/>
                <w:sz w:val="18"/>
              </w:rPr>
              <w:t>#hiddenhunger  #lowRDA  #subclinical  #dietdiversity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are at high risk from reduced intake, poor appetite, dentition and cooking constraints, age-related gastric atrophy and hypochlorhydria impairing B12/iron/calcium absorption, less sun exposure and polypharmacy; deficiency also mimics and worsens age-related fatigue, neuropathy, falls and cognitive decline.</w:t>
            </w:r>
          </w:p>
          <w:p>
            <w:pPr>
              <w:spacing w:after="40" w:before="60" w:line="259" w:lineRule="auto"/>
            </w:pPr>
            <w:r>
              <w:rPr>
                <w:rFonts w:ascii="Calibri" w:hAnsi="Calibri"/>
                <w:b w:val="0"/>
                <w:i w:val="0"/>
                <w:color w:val="212121"/>
                <w:sz w:val="19"/>
              </w:rPr>
              <w:t>Vitamin D deficiency reaches ~91% in Indian adults aged ≥ 50 years in some cohorts, on top of frequent B12, iron and calcium deficiency.</w:t>
            </w:r>
          </w:p>
          <w:p>
            <w:pPr>
              <w:spacing w:after="40" w:line="252" w:lineRule="auto"/>
            </w:pPr>
            <w:hyperlink r:id="rId10">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#ageing  #malabsorption  #vitaminD  #polypharmacy  #falls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Rapid growth, transition from breast milk to often cereal-based complementary foods low in iron, zinc and animal-source vitamins, and frequent infections make preschool children highly vulnerable, with deficiency threatening growth, immunity and neurodevelopment.</w:t>
            </w:r>
          </w:p>
          <w:p>
            <w:pPr>
              <w:spacing w:after="40" w:before="60" w:line="259" w:lineRule="auto"/>
            </w:pPr>
            <w:r>
              <w:rPr>
                <w:rFonts w:ascii="Calibri" w:hAnsi="Calibri"/>
                <w:b w:val="0"/>
                <w:i w:val="0"/>
                <w:color w:val="212121"/>
                <w:sz w:val="19"/>
              </w:rPr>
              <w:t>CNNS 2016–18: ~61% of children 1–4 years had at least one micronutrient deficiency — iron ~32%, zinc 19%, vitamin A 17.5%, folate 23.4%, B12 13.8%, vitamin D 13.7%; anaemia affected ~41%.</w:t>
            </w:r>
          </w:p>
          <w:p>
            <w:pPr>
              <w:spacing w:after="40" w:line="252" w:lineRule="auto"/>
            </w:pPr>
            <w:hyperlink r:id="rId11">
              <w:r>
                <w:rPr>
                  <w:rFonts w:ascii="Calibri" w:hAnsi="Calibri" w:cs="Calibri"/>
                  <w:sz w:val="18"/>
                  <w:color w:val="1155CC"/>
                  <w:u w:val="single"/>
                </w:rPr>
                <w:t xml:space="preserve">journals.plos.org — CNNS micronutrient deficiency &amp; anaemia in children</w:t>
              </w:r>
            </w:hyperlink>
          </w:p>
          <w:p>
            <w:pPr>
              <w:spacing w:before="60" w:after="40"/>
            </w:pPr>
            <w:r>
              <w:rPr>
                <w:rFonts w:ascii="Calibri" w:hAnsi="Calibri"/>
                <w:b w:val="0"/>
                <w:i w:val="0"/>
                <w:color w:val="5A5A5A"/>
                <w:sz w:val="18"/>
              </w:rPr>
              <w:t>#children  #complementaryfeeding  #stunting  #immunity  #CNNS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The adolescent growth spurt sharply raises demand for iron, folate, B12, zinc, calcium and vitamin D, while diets shift toward refined, energy-dense foods; girls also lose iron through menstruation, compounding risk during a critical developmental window.</w:t>
            </w:r>
          </w:p>
          <w:p>
            <w:pPr>
              <w:spacing w:after="40" w:before="60" w:line="259" w:lineRule="auto"/>
            </w:pPr>
            <w:r>
              <w:rPr>
                <w:rFonts w:ascii="Calibri" w:hAnsi="Calibri"/>
                <w:b w:val="0"/>
                <w:i w:val="0"/>
                <w:color w:val="212121"/>
                <w:sz w:val="19"/>
              </w:rPr>
              <w:t>CNNS 2016–18 (10–19 years): folate deficiency 36.7%, vitamin B12 30.9%, zinc 31.7%, vitamin D 23.9% and iron 21.5%.</w:t>
            </w:r>
          </w:p>
          <w:p>
            <w:pPr>
              <w:spacing w:after="40" w:line="252" w:lineRule="auto"/>
            </w:pPr>
            <w:hyperlink r:id="rId12">
              <w:r>
                <w:rPr>
                  <w:rFonts w:ascii="Calibri" w:hAnsi="Calibri" w:cs="Calibri"/>
                  <w:sz w:val="18"/>
                  <w:color w:val="1155CC"/>
                  <w:u w:val="single"/>
                </w:rPr>
                <w:t xml:space="preserve">healthnutritionindia.in — CNNS factsheet (adolescents)</w:t>
              </w:r>
            </w:hyperlink>
          </w:p>
          <w:p>
            <w:pPr>
              <w:spacing w:before="60" w:after="40"/>
            </w:pPr>
            <w:r>
              <w:rPr>
                <w:rFonts w:ascii="Calibri" w:hAnsi="Calibri"/>
                <w:b w:val="0"/>
                <w:i w:val="0"/>
                <w:color w:val="5A5A5A"/>
                <w:sz w:val="18"/>
              </w:rPr>
              <w:t>#adolescents  #growthspurt  #folate  #menstruation  #CNNS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 &amp; pregnancy</w:t>
            </w:r>
          </w:p>
        </w:tc>
        <w:tc>
          <w:tcPr>
            <w:tcW w:type="dxa" w:w="4276"/>
            <w:vAlign w:val="top"/>
          </w:tcPr>
          <w:p>
            <w:pPr>
              <w:spacing w:after="60" w:line="259" w:lineRule="auto"/>
            </w:pPr>
            <w:r>
              <w:rPr>
                <w:rFonts w:ascii="Calibri" w:hAnsi="Calibri"/>
                <w:b w:val="0"/>
                <w:i w:val="0"/>
                <w:color w:val="212121"/>
                <w:sz w:val="19"/>
              </w:rPr>
              <w:t>Menstrual iron loss, repeated pregnancies and lactation, combined with lower intake of animal foods and cultural food-sequencing that disadvantages women, make females of reproductive age the group most affected; maternal deficiency also harms the fetus and infant.</w:t>
            </w:r>
          </w:p>
          <w:p>
            <w:pPr>
              <w:spacing w:after="40" w:before="60" w:line="259" w:lineRule="auto"/>
            </w:pPr>
            <w:r>
              <w:rPr>
                <w:rFonts w:ascii="Calibri" w:hAnsi="Calibri"/>
                <w:b w:val="0"/>
                <w:i w:val="0"/>
                <w:color w:val="212121"/>
                <w:sz w:val="19"/>
              </w:rPr>
              <w:t>NFHS-5 (2019–21): 57% of women 15–49 years and 52% of pregnant women are anaemic; in one Indian series 96% of pregnant women had inadequate folate, 81% inadequate iron and 77% inadequate calcium intake.</w:t>
            </w:r>
          </w:p>
          <w:p>
            <w:pPr>
              <w:spacing w:after="40" w:line="252" w:lineRule="auto"/>
            </w:pPr>
            <w:hyperlink r:id="rId13">
              <w:r>
                <w:rPr>
                  <w:rFonts w:ascii="Calibri" w:hAnsi="Calibri" w:cs="Calibri"/>
                  <w:sz w:val="18"/>
                  <w:color w:val="1155CC"/>
                  <w:u w:val="single"/>
                </w:rPr>
                <w:t xml:space="preserve">pib.gov.in — NFHS-5 anaemia prevalence</w:t>
              </w:r>
            </w:hyperlink>
          </w:p>
          <w:p>
            <w:pPr>
              <w:spacing w:before="60" w:after="40"/>
            </w:pPr>
            <w:r>
              <w:rPr>
                <w:rFonts w:ascii="Calibri" w:hAnsi="Calibri"/>
                <w:b w:val="0"/>
                <w:i w:val="0"/>
                <w:color w:val="5A5A5A"/>
                <w:sz w:val="18"/>
              </w:rPr>
              <w:t>#women  #pregnancy  #anaemia  #maternalnutrition  #folate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food-insecure households</w:t>
            </w:r>
          </w:p>
        </w:tc>
        <w:tc>
          <w:tcPr>
            <w:tcW w:type="dxa" w:w="4276"/>
            <w:vAlign w:val="top"/>
          </w:tcPr>
          <w:p>
            <w:pPr>
              <w:spacing w:after="60" w:line="259" w:lineRule="auto"/>
            </w:pPr>
            <w:r>
              <w:rPr>
                <w:rFonts w:ascii="Calibri" w:hAnsi="Calibri"/>
                <w:b w:val="0"/>
                <w:i w:val="0"/>
                <w:color w:val="212121"/>
                <w:sz w:val="19"/>
              </w:rPr>
              <w:t>Poverty limits access to diverse, nutrient-dense and animal-source foods, so diets become monotonous and cereal-dominated; with little fortification of staples, multiple micronutrient deficiencies cluster in the poorest households and urban slums.</w:t>
            </w:r>
          </w:p>
          <w:p>
            <w:pPr>
              <w:spacing w:after="40" w:before="60" w:line="259" w:lineRule="auto"/>
            </w:pPr>
            <w:r>
              <w:rPr>
                <w:rFonts w:ascii="Calibri" w:hAnsi="Calibri"/>
                <w:b w:val="0"/>
                <w:i w:val="0"/>
                <w:color w:val="212121"/>
                <w:sz w:val="19"/>
              </w:rPr>
              <w:t>India is estimated to carry close to half of the world’s micronutrient malnutrition burden, driven largely by monotonous cereal-based diets lacking diversity.</w:t>
            </w:r>
          </w:p>
          <w:p>
            <w:pPr>
              <w:spacing w:after="40" w:line="252" w:lineRule="auto"/>
            </w:pPr>
            <w:hyperlink r:id="rId14">
              <w:r>
                <w:rPr>
                  <w:rFonts w:ascii="Calibri" w:hAnsi="Calibri" w:cs="Calibri"/>
                  <w:sz w:val="18"/>
                  <w:color w:val="1155CC"/>
                  <w:u w:val="single"/>
                </w:rPr>
                <w:t xml:space="preserve">frontiersin.org — India’s hidden hunger</w:t>
              </w:r>
            </w:hyperlink>
          </w:p>
          <w:p>
            <w:pPr>
              <w:spacing w:before="60" w:after="40"/>
            </w:pPr>
            <w:r>
              <w:rPr>
                <w:rFonts w:ascii="Calibri" w:hAnsi="Calibri"/>
                <w:b w:val="0"/>
                <w:i w:val="0"/>
                <w:color w:val="5A5A5A"/>
                <w:sz w:val="18"/>
              </w:rPr>
              <w:t>#poverty  #foodinsecurity  #nofortification  #slums  #cerealdiet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vegetarian-predominant population</w:t>
            </w:r>
          </w:p>
        </w:tc>
        <w:tc>
          <w:tcPr>
            <w:tcW w:type="dxa" w:w="4276"/>
            <w:vAlign w:val="top"/>
          </w:tcPr>
          <w:p>
            <w:pPr>
              <w:spacing w:after="60" w:line="259" w:lineRule="auto"/>
            </w:pPr>
            <w:r>
              <w:rPr>
                <w:rFonts w:ascii="Calibri" w:hAnsi="Calibri"/>
                <w:b w:val="0"/>
                <w:i w:val="0"/>
                <w:color w:val="212121"/>
                <w:sz w:val="19"/>
              </w:rPr>
              <w:t>A cultural, religious and economic predominance of vegetarian and low-dairy eating across India makes low intake of B12, bioavailable iron, zinc and calcium a population-level exposure, unlike in largely meat-eating populations.</w:t>
            </w:r>
          </w:p>
          <w:p>
            <w:pPr>
              <w:spacing w:after="40" w:before="60" w:line="259" w:lineRule="auto"/>
            </w:pPr>
            <w:r>
              <w:rPr>
                <w:rFonts w:ascii="Calibri" w:hAnsi="Calibri"/>
                <w:b w:val="0"/>
                <w:i w:val="0"/>
                <w:color w:val="212121"/>
                <w:sz w:val="19"/>
              </w:rPr>
              <w:t>Population “at-risk” estimates in India are ~94% for calcium, ~89% for vitamin A, ~89% for vitamin B12 and ~81% for folate.</w:t>
            </w:r>
          </w:p>
          <w:p>
            <w:pPr>
              <w:spacing w:after="40" w:line="252" w:lineRule="auto"/>
            </w:pPr>
            <w:hyperlink r:id="rId14">
              <w:r>
                <w:rPr>
                  <w:rFonts w:ascii="Calibri" w:hAnsi="Calibri" w:cs="Calibri"/>
                  <w:sz w:val="18"/>
                  <w:color w:val="1155CC"/>
                  <w:u w:val="single"/>
                </w:rPr>
                <w:t xml:space="preserve">frontiersin.org — India hidden hunger (at-risk estimates)</w:t>
              </w:r>
            </w:hyperlink>
          </w:p>
          <w:p>
            <w:pPr>
              <w:spacing w:before="60" w:after="40"/>
            </w:pPr>
            <w:r>
              <w:rPr>
                <w:rFonts w:ascii="Calibri" w:hAnsi="Calibri"/>
                <w:b w:val="0"/>
                <w:i w:val="0"/>
                <w:color w:val="5A5A5A"/>
                <w:sz w:val="18"/>
              </w:rPr>
              <w:t>#vegetarian  #SouthAsian  #B12  #calcium  #populationrisk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Iodine-endemic sub-Himalayan &amp; tribal belts, rural India</w:t>
            </w:r>
          </w:p>
        </w:tc>
        <w:tc>
          <w:tcPr>
            <w:tcW w:type="dxa" w:w="4276"/>
            <w:vAlign w:val="top"/>
          </w:tcPr>
          <w:p>
            <w:pPr>
              <w:spacing w:after="60" w:line="259" w:lineRule="auto"/>
            </w:pPr>
            <w:r>
              <w:rPr>
                <w:rFonts w:ascii="Calibri" w:hAnsi="Calibri"/>
                <w:b w:val="0"/>
                <w:i w:val="0"/>
                <w:color w:val="212121"/>
                <w:sz w:val="19"/>
              </w:rPr>
              <w:t>Iodine-poor soils in the sub-Himalayan and Gangetic belts, and remote hilly/tribal areas with monotonous local diets and limited access to iodised salt and diverse foods, sustain iodine and other micronutrient deficiencies despite national programmes.</w:t>
            </w:r>
          </w:p>
          <w:p>
            <w:pPr>
              <w:spacing w:after="40" w:before="60" w:line="259" w:lineRule="auto"/>
            </w:pPr>
            <w:r>
              <w:rPr>
                <w:rFonts w:ascii="Calibri" w:hAnsi="Calibri"/>
                <w:b w:val="0"/>
                <w:i w:val="0"/>
                <w:color w:val="212121"/>
                <w:sz w:val="19"/>
              </w:rPr>
              <w:t>Of 325 districts surveyed, 263 were iodine-deficiency-disorder endemic, with an estimated 350 million people consuming inadequately iodised salt; total goitre rates reached up to 17.5% in surveyed states.</w:t>
            </w:r>
          </w:p>
          <w:p>
            <w:pPr>
              <w:spacing w:after="40" w:line="252" w:lineRule="auto"/>
            </w:pPr>
            <w:hyperlink r:id="rId15">
              <w:r>
                <w:rPr>
                  <w:rFonts w:ascii="Calibri" w:hAnsi="Calibri" w:cs="Calibri"/>
                  <w:sz w:val="18"/>
                  <w:color w:val="1155CC"/>
                  <w:u w:val="single"/>
                </w:rPr>
                <w:t xml:space="preserve">ncbi.nlm.nih.gov — IDD control in India</w:t>
              </w:r>
            </w:hyperlink>
          </w:p>
          <w:p>
            <w:pPr>
              <w:spacing w:before="60" w:after="40"/>
            </w:pPr>
            <w:r>
              <w:rPr>
                <w:rFonts w:ascii="Calibri" w:hAnsi="Calibri"/>
                <w:b w:val="0"/>
                <w:i w:val="0"/>
                <w:color w:val="5A5A5A"/>
                <w:sz w:val="18"/>
              </w:rPr>
              <w:t>#iodine  #goitre  #tribal  #ruralIndia  #saltiodisation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residence</w:t>
            </w:r>
          </w:p>
        </w:tc>
        <w:tc>
          <w:tcPr>
            <w:tcW w:type="dxa" w:w="2160"/>
            <w:vAlign w:val="top"/>
          </w:tcPr>
          <w:p>
            <w:pPr>
              <w:spacing w:after="40" w:before="0" w:line="259" w:lineRule="auto"/>
            </w:pPr>
            <w:r>
              <w:rPr>
                <w:rFonts w:ascii="Calibri" w:hAnsi="Calibri"/>
                <w:b w:val="0"/>
                <w:i w:val="0"/>
                <w:color w:val="212121"/>
                <w:sz w:val="19"/>
              </w:rPr>
              <w:t>Urban school-going children &amp; slum populations</w:t>
            </w:r>
          </w:p>
        </w:tc>
        <w:tc>
          <w:tcPr>
            <w:tcW w:type="dxa" w:w="4276"/>
            <w:vAlign w:val="top"/>
          </w:tcPr>
          <w:p>
            <w:pPr>
              <w:spacing w:after="60" w:line="259" w:lineRule="auto"/>
            </w:pPr>
            <w:r>
              <w:rPr>
                <w:rFonts w:ascii="Calibri" w:hAnsi="Calibri"/>
                <w:b w:val="0"/>
                <w:i w:val="0"/>
                <w:color w:val="212121"/>
                <w:sz w:val="19"/>
              </w:rPr>
              <w:t>Urban diets rich in refined, energy-dense but micronutrient-poor foods, plus indoor lifestyles limiting sun exposure, produce paradoxically high deficiency even amid apparent food abundance; slum children face the added burden of infection and food insecurity.</w:t>
            </w:r>
          </w:p>
          <w:p>
            <w:pPr>
              <w:spacing w:after="40" w:before="60" w:line="259" w:lineRule="auto"/>
            </w:pPr>
            <w:r>
              <w:rPr>
                <w:rFonts w:ascii="Calibri" w:hAnsi="Calibri"/>
                <w:b w:val="0"/>
                <w:i w:val="0"/>
                <w:color w:val="212121"/>
                <w:sz w:val="19"/>
              </w:rPr>
              <w:t>A 10-city Indian study of urban schoolchildren found calcium deficiency 59.9%, iron 49.4%, vitamin D 39.7%, B12 33.4% and folate 22.2%, with almost half deficient in at least one micronutrient.</w:t>
            </w:r>
          </w:p>
          <w:p>
            <w:pPr>
              <w:spacing w:after="40" w:line="252" w:lineRule="auto"/>
            </w:pPr>
            <w:hyperlink r:id="rId16">
              <w:r>
                <w:rPr>
                  <w:rFonts w:ascii="Calibri" w:hAnsi="Calibri" w:cs="Calibri"/>
                  <w:sz w:val="18"/>
                  <w:color w:val="1155CC"/>
                  <w:u w:val="single"/>
                </w:rPr>
                <w:t xml:space="preserve">journals.plos.org — micronutrient deficiency in urban Indian children</w:t>
              </w:r>
            </w:hyperlink>
          </w:p>
          <w:p>
            <w:pPr>
              <w:spacing w:before="60" w:after="40"/>
            </w:pPr>
            <w:r>
              <w:rPr>
                <w:rFonts w:ascii="Calibri" w:hAnsi="Calibri"/>
                <w:b w:val="0"/>
                <w:i w:val="0"/>
                <w:color w:val="5A5A5A"/>
                <w:sz w:val="18"/>
              </w:rPr>
              <w:t>#urban  #schoolchildren  #junkfood  #vitaminD  #slums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limited sun exposure</w:t>
            </w:r>
          </w:p>
        </w:tc>
        <w:tc>
          <w:tcPr>
            <w:tcW w:type="dxa" w:w="2160"/>
            <w:vAlign w:val="top"/>
          </w:tcPr>
          <w:p>
            <w:pPr>
              <w:spacing w:after="40" w:before="0" w:line="259" w:lineRule="auto"/>
            </w:pPr>
            <w:r>
              <w:rPr>
                <w:rFonts w:ascii="Calibri" w:hAnsi="Calibri"/>
                <w:b w:val="0"/>
                <w:i w:val="0"/>
                <w:color w:val="212121"/>
                <w:sz w:val="19"/>
              </w:rPr>
              <w:t>Indoor urban workers, veiled or covered individuals</w:t>
            </w:r>
          </w:p>
        </w:tc>
        <w:tc>
          <w:tcPr>
            <w:tcW w:type="dxa" w:w="4276"/>
            <w:vAlign w:val="top"/>
          </w:tcPr>
          <w:p>
            <w:pPr>
              <w:spacing w:after="60" w:line="259" w:lineRule="auto"/>
            </w:pPr>
            <w:r>
              <w:rPr>
                <w:rFonts w:ascii="Calibri" w:hAnsi="Calibri"/>
                <w:b w:val="0"/>
                <w:i w:val="0"/>
                <w:color w:val="212121"/>
                <w:sz w:val="19"/>
              </w:rPr>
              <w:t>Predominantly indoor living and working, concealing clothing, sunscreen use and urban air pollution sharply reduce cutaneous vitamin D synthesis, so vitamin D deficiency is common in India despite year-round sunshine.</w:t>
            </w:r>
          </w:p>
          <w:p>
            <w:pPr>
              <w:spacing w:after="40" w:before="60" w:line="259" w:lineRule="auto"/>
            </w:pPr>
            <w:r>
              <w:rPr>
                <w:rFonts w:ascii="Calibri" w:hAnsi="Calibri"/>
                <w:b w:val="0"/>
                <w:i w:val="0"/>
                <w:color w:val="212121"/>
                <w:sz w:val="19"/>
              </w:rPr>
              <w:t>Indian adult cohorts report vitamin D deficiency across a wide 30–91% range, with young indoor workers (25–35 years) frequently above 70%.</w:t>
            </w:r>
          </w:p>
          <w:p>
            <w:pPr>
              <w:spacing w:after="40" w:line="252" w:lineRule="auto"/>
            </w:pPr>
            <w:hyperlink r:id="rId10">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#vitaminD  #indoorlife  #sunlight  #urban  #airpollution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&amp; smokeless-tobacco users</w:t>
            </w:r>
          </w:p>
        </w:tc>
        <w:tc>
          <w:tcPr>
            <w:tcW w:type="dxa" w:w="4276"/>
            <w:vAlign w:val="top"/>
          </w:tcPr>
          <w:p>
            <w:pPr>
              <w:spacing w:after="60" w:line="259" w:lineRule="auto"/>
            </w:pPr>
            <w:r>
              <w:rPr>
                <w:rFonts w:ascii="Calibri" w:hAnsi="Calibri"/>
                <w:b w:val="0"/>
                <w:i w:val="0"/>
                <w:color w:val="212121"/>
                <w:sz w:val="19"/>
              </w:rPr>
              <w:t>Tobacco use increases oxidative stress and requirements for, and lowers blood levels of, vitamin C, folate and other antioxidant micronutrients, and often accompanies a poorer overall diet, adding to deficiency risk.</w:t>
            </w:r>
          </w:p>
          <w:p>
            <w:pPr>
              <w:spacing w:after="40" w:before="60" w:line="259" w:lineRule="auto"/>
            </w:pPr>
            <w:r>
              <w:rPr>
                <w:rFonts w:ascii="Calibri" w:hAnsi="Calibri"/>
                <w:b w:val="0"/>
                <w:i w:val="0"/>
                <w:color w:val="212121"/>
                <w:sz w:val="19"/>
              </w:rPr>
              <w:t>Smokers characteristically have lower plasma vitamin C and folate and higher antioxidant micronutrient requirements than non-smokers.</w:t>
            </w:r>
          </w:p>
          <w:p>
            <w:pPr>
              <w:spacing w:before="60" w:after="40"/>
            </w:pPr>
            <w:r>
              <w:rPr>
                <w:rFonts w:ascii="Calibri" w:hAnsi="Calibri"/>
                <w:b w:val="0"/>
                <w:i w:val="0"/>
                <w:color w:val="5A5A5A"/>
                <w:sz w:val="18"/>
              </w:rPr>
              <w:t>#smoking  #tobacco  #vitaminC  #oxidativestress  #folate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drinkers</w:t>
            </w:r>
          </w:p>
        </w:tc>
        <w:tc>
          <w:tcPr>
            <w:tcW w:type="dxa" w:w="4276"/>
            <w:vAlign w:val="top"/>
          </w:tcPr>
          <w:p>
            <w:pPr>
              <w:spacing w:after="60" w:line="259" w:lineRule="auto"/>
            </w:pPr>
            <w:r>
              <w:rPr>
                <w:rFonts w:ascii="Calibri" w:hAnsi="Calibri"/>
                <w:b w:val="0"/>
                <w:i w:val="0"/>
                <w:color w:val="212121"/>
                <w:sz w:val="19"/>
              </w:rPr>
              <w:t>Chronic alcohol use lowers micronutrient status through poor dietary intake, gastritis and impaired absorption, increased urinary losses and reduced hepatic storage, classically causing thiamine, folate, B12, magnesium, zinc and pyridoxine deficiency.</w:t>
            </w:r>
          </w:p>
          <w:p>
            <w:pPr>
              <w:spacing w:after="40" w:before="60" w:line="259" w:lineRule="auto"/>
            </w:pPr>
            <w:r>
              <w:rPr>
                <w:rFonts w:ascii="Calibri" w:hAnsi="Calibri"/>
                <w:b w:val="0"/>
                <w:i w:val="0"/>
                <w:color w:val="212121"/>
                <w:sz w:val="19"/>
              </w:rPr>
              <w:t>Thiamine, folate and magnesium deficiencies are hallmark findings of chronic alcohol use and underlie Wernicke–Korsakoff syndrome and alcohol-related anaemia.</w:t>
            </w:r>
          </w:p>
          <w:p>
            <w:pPr>
              <w:spacing w:before="60" w:after="40"/>
            </w:pPr>
            <w:r>
              <w:rPr>
                <w:rFonts w:ascii="Calibri" w:hAnsi="Calibri"/>
                <w:b w:val="0"/>
                <w:i w:val="0"/>
                <w:color w:val="5A5A5A"/>
                <w:sz w:val="18"/>
              </w:rPr>
              <w:t>#alcohol  #thiamine  #magnesium  #folate  #malabsorption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Strict vegetarians &amp; vegans</w:t>
            </w:r>
          </w:p>
        </w:tc>
        <w:tc>
          <w:tcPr>
            <w:tcW w:type="dxa" w:w="4276"/>
            <w:vAlign w:val="top"/>
          </w:tcPr>
          <w:p>
            <w:pPr>
              <w:spacing w:after="60" w:line="259" w:lineRule="auto"/>
            </w:pPr>
            <w:r>
              <w:rPr>
                <w:rFonts w:ascii="Calibri" w:hAnsi="Calibri"/>
                <w:b w:val="0"/>
                <w:i w:val="0"/>
                <w:color w:val="212121"/>
                <w:sz w:val="19"/>
              </w:rPr>
              <w:t>Omitting meat, fish and eggs (and, for vegans, dairy) removes the main sources of B12 and highly bioavailable iron, zinc and calcium; without fortified foods or supplements, combined deficiencies become near-inevitable over years.</w:t>
            </w:r>
          </w:p>
          <w:p>
            <w:pPr>
              <w:spacing w:after="40" w:before="60" w:line="259" w:lineRule="auto"/>
            </w:pPr>
            <w:r>
              <w:rPr>
                <w:rFonts w:ascii="Calibri" w:hAnsi="Calibri"/>
                <w:b w:val="0"/>
                <w:i w:val="0"/>
                <w:color w:val="212121"/>
                <w:sz w:val="19"/>
              </w:rPr>
              <w:t>India’s largely vegetarian food environment underlies population at-risk estimates of ~89% for vitamin B12 and ~94% for calcium.</w:t>
            </w:r>
          </w:p>
          <w:p>
            <w:pPr>
              <w:spacing w:after="40" w:line="252" w:lineRule="auto"/>
            </w:pPr>
            <w:hyperlink r:id="rId14">
              <w:r>
                <w:rPr>
                  <w:rFonts w:ascii="Calibri" w:hAnsi="Calibri" w:cs="Calibri"/>
                  <w:sz w:val="18"/>
                  <w:color w:val="1155CC"/>
                  <w:u w:val="single"/>
                </w:rPr>
                <w:t xml:space="preserve">frontiersin.org — India hidden hunger (vegetarian diet)</w:t>
              </w:r>
            </w:hyperlink>
          </w:p>
          <w:p>
            <w:pPr>
              <w:spacing w:before="60" w:after="40"/>
            </w:pPr>
            <w:r>
              <w:rPr>
                <w:rFonts w:ascii="Calibri" w:hAnsi="Calibri"/>
                <w:b w:val="0"/>
                <w:i w:val="0"/>
                <w:color w:val="5A5A5A"/>
                <w:sz w:val="18"/>
              </w:rPr>
              <w:t>#vegan  #vegetarian  #B12  #zinc  #supplement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w:t>
            </w:r>
          </w:p>
        </w:tc>
        <w:tc>
          <w:tcPr>
            <w:tcW w:type="dxa" w:w="2160"/>
            <w:vAlign w:val="top"/>
          </w:tcPr>
          <w:p>
            <w:pPr>
              <w:spacing w:after="40" w:before="0" w:line="259" w:lineRule="auto"/>
            </w:pPr>
            <w:r>
              <w:rPr>
                <w:rFonts w:ascii="Calibri" w:hAnsi="Calibri"/>
                <w:b w:val="0"/>
                <w:i w:val="0"/>
                <w:color w:val="212121"/>
                <w:sz w:val="19"/>
              </w:rPr>
              <w:t>Cereal-dominated, low-diversity &amp; high-phytate diets</w:t>
            </w:r>
          </w:p>
        </w:tc>
        <w:tc>
          <w:tcPr>
            <w:tcW w:type="dxa" w:w="4276"/>
            <w:vAlign w:val="top"/>
          </w:tcPr>
          <w:p>
            <w:pPr>
              <w:spacing w:after="60" w:line="259" w:lineRule="auto"/>
            </w:pPr>
            <w:r>
              <w:rPr>
                <w:rFonts w:ascii="Calibri" w:hAnsi="Calibri"/>
                <w:b w:val="0"/>
                <w:i w:val="0"/>
                <w:color w:val="212121"/>
                <w:sz w:val="19"/>
              </w:rPr>
              <w:t>Diets built on polished rice or refined wheat with few pulses, vegetables, fruit or animal foods are low in vitamins and, through high phytate, tannin and oxalate content, block absorption of the iron, zinc and calcium that is present.</w:t>
            </w:r>
          </w:p>
          <w:p>
            <w:pPr>
              <w:spacing w:after="40" w:before="60" w:line="259" w:lineRule="auto"/>
            </w:pPr>
            <w:r>
              <w:rPr>
                <w:rFonts w:ascii="Calibri" w:hAnsi="Calibri"/>
                <w:b w:val="0"/>
                <w:i w:val="0"/>
                <w:color w:val="212121"/>
                <w:sz w:val="19"/>
              </w:rPr>
              <w:t>Roughly 70% of Indians consume micronutrients at under half the RDA, reflecting low dietary diversity as the core driver of hidden hunger.</w:t>
            </w:r>
          </w:p>
          <w:p>
            <w:pPr>
              <w:spacing w:after="40" w:line="252" w:lineRule="auto"/>
            </w:pPr>
            <w:hyperlink r:id="rId9">
              <w:r>
                <w:rPr>
                  <w:rFonts w:ascii="Calibri" w:hAnsi="Calibri" w:cs="Calibri"/>
                  <w:sz w:val="18"/>
                  <w:color w:val="1155CC"/>
                  <w:u w:val="single"/>
                </w:rPr>
                <w:t xml:space="preserve">jnmhs.com — micronutrient deficiency burden in India</w:t>
              </w:r>
            </w:hyperlink>
          </w:p>
          <w:p>
            <w:pPr>
              <w:spacing w:before="60" w:after="40"/>
            </w:pPr>
            <w:r>
              <w:rPr>
                <w:rFonts w:ascii="Calibri" w:hAnsi="Calibri"/>
                <w:b w:val="0"/>
                <w:i w:val="0"/>
                <w:color w:val="5A5A5A"/>
                <w:sz w:val="18"/>
              </w:rPr>
              <w:t>#cerealdiet  #phytate  #lowdiversity  #bioavailability  #RDA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Restrictive / ultra-processed eating</w:t>
            </w:r>
          </w:p>
        </w:tc>
        <w:tc>
          <w:tcPr>
            <w:tcW w:type="dxa" w:w="2160"/>
            <w:vAlign w:val="top"/>
          </w:tcPr>
          <w:p>
            <w:pPr>
              <w:spacing w:after="40" w:before="0" w:line="259" w:lineRule="auto"/>
            </w:pPr>
            <w:r>
              <w:rPr>
                <w:rFonts w:ascii="Calibri" w:hAnsi="Calibri"/>
                <w:b w:val="0"/>
                <w:i w:val="0"/>
                <w:color w:val="212121"/>
                <w:sz w:val="19"/>
              </w:rPr>
              <w:t>Fussy-eating children, fad-diet &amp; junk-food consumers</w:t>
            </w:r>
          </w:p>
        </w:tc>
        <w:tc>
          <w:tcPr>
            <w:tcW w:type="dxa" w:w="4276"/>
            <w:vAlign w:val="top"/>
          </w:tcPr>
          <w:p>
            <w:pPr>
              <w:spacing w:after="60" w:line="259" w:lineRule="auto"/>
            </w:pPr>
            <w:r>
              <w:rPr>
                <w:rFonts w:ascii="Calibri" w:hAnsi="Calibri"/>
                <w:b w:val="0"/>
                <w:i w:val="0"/>
                <w:color w:val="212121"/>
                <w:sz w:val="19"/>
              </w:rPr>
              <w:t>Picky eating in children and restrictive fad diets or heavy ultra-processed/junk-food intake in adolescents and adults narrow the range of nutrients supplied, producing deficiencies of iron, calcium, vitamin D, B-vitamins and zinc even where calories are ample.</w:t>
            </w:r>
          </w:p>
          <w:p>
            <w:pPr>
              <w:spacing w:after="40" w:before="60" w:line="259" w:lineRule="auto"/>
            </w:pPr>
            <w:r>
              <w:rPr>
                <w:rFonts w:ascii="Calibri" w:hAnsi="Calibri"/>
                <w:b w:val="0"/>
                <w:i w:val="0"/>
                <w:color w:val="212121"/>
                <w:sz w:val="19"/>
              </w:rPr>
              <w:t>Almost half of urban Indian schoolchildren in a 10-city study were deficient in at least one micronutrient despite living in food-secure cities.</w:t>
            </w:r>
          </w:p>
          <w:p>
            <w:pPr>
              <w:spacing w:after="40" w:line="252" w:lineRule="auto"/>
            </w:pPr>
            <w:hyperlink r:id="rId16">
              <w:r>
                <w:rPr>
                  <w:rFonts w:ascii="Calibri" w:hAnsi="Calibri" w:cs="Calibri"/>
                  <w:sz w:val="18"/>
                  <w:color w:val="1155CC"/>
                  <w:u w:val="single"/>
                </w:rPr>
                <w:t xml:space="preserve">journals.plos.org — urban Indian children micronutrient study</w:t>
              </w:r>
            </w:hyperlink>
          </w:p>
          <w:p>
            <w:pPr>
              <w:spacing w:before="60" w:after="40"/>
            </w:pPr>
            <w:r>
              <w:rPr>
                <w:rFonts w:ascii="Calibri" w:hAnsi="Calibri"/>
                <w:b w:val="0"/>
                <w:i w:val="0"/>
                <w:color w:val="5A5A5A"/>
                <w:sz w:val="18"/>
              </w:rPr>
              <w:t>#pickyeating  #junkfood  #faddiets  #ultraprocessed  #children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malabsorption / metabolic defects</w:t>
            </w:r>
          </w:p>
        </w:tc>
        <w:tc>
          <w:tcPr>
            <w:tcW w:type="dxa" w:w="2160"/>
            <w:vAlign w:val="top"/>
          </w:tcPr>
          <w:p>
            <w:pPr>
              <w:spacing w:after="40" w:before="0" w:line="259" w:lineRule="auto"/>
            </w:pPr>
            <w:r>
              <w:rPr>
                <w:rFonts w:ascii="Calibri" w:hAnsi="Calibri"/>
                <w:b w:val="0"/>
                <w:i w:val="0"/>
                <w:color w:val="212121"/>
                <w:sz w:val="19"/>
              </w:rPr>
              <w:t>Acrodermatitis enteropathica, pernicious anaemia, congenital B12/folate defects</w:t>
            </w:r>
          </w:p>
        </w:tc>
        <w:tc>
          <w:tcPr>
            <w:tcW w:type="dxa" w:w="4276"/>
            <w:vAlign w:val="top"/>
          </w:tcPr>
          <w:p>
            <w:pPr>
              <w:spacing w:after="60" w:line="259" w:lineRule="auto"/>
            </w:pPr>
            <w:r>
              <w:rPr>
                <w:rFonts w:ascii="Calibri" w:hAnsi="Calibri"/>
                <w:b w:val="0"/>
                <w:i w:val="0"/>
                <w:color w:val="212121"/>
                <w:sz w:val="19"/>
              </w:rPr>
              <w:t>Rare inherited disorders of nutrient transport or metabolism — acrodermatitis enteropathica (zinc), autoimmune pernicious anaemia (B12), congenital intrinsic-factor or folate-transport defects and vitamin D-dependent/resistant rickets — cause early, diet-resistant deficiency requiring lifelong targeted replacement.</w:t>
            </w:r>
          </w:p>
          <w:p>
            <w:pPr>
              <w:spacing w:after="40" w:before="60" w:line="259" w:lineRule="auto"/>
            </w:pPr>
            <w:r>
              <w:rPr>
                <w:rFonts w:ascii="Calibri" w:hAnsi="Calibri"/>
                <w:b w:val="0"/>
                <w:i w:val="0"/>
                <w:color w:val="212121"/>
                <w:sz w:val="19"/>
              </w:rPr>
              <w:t>These are uncommon but important causes of childhood or young-adult deficiency that do not respond to ordinary dietary change.</w:t>
            </w:r>
          </w:p>
          <w:p>
            <w:pPr>
              <w:spacing w:before="60" w:after="40"/>
            </w:pPr>
            <w:r>
              <w:rPr>
                <w:rFonts w:ascii="Calibri" w:hAnsi="Calibri"/>
                <w:b w:val="0"/>
                <w:i w:val="0"/>
                <w:color w:val="5A5A5A"/>
                <w:sz w:val="18"/>
              </w:rPr>
              <w:t>#acrodermatitis  #perniciousanaemia  #congenital  #hereditary  #malabsorption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Skin phototype</w:t>
            </w:r>
          </w:p>
        </w:tc>
        <w:tc>
          <w:tcPr>
            <w:tcW w:type="dxa" w:w="2160"/>
            <w:vAlign w:val="top"/>
          </w:tcPr>
          <w:p>
            <w:pPr>
              <w:spacing w:after="40" w:before="0" w:line="259" w:lineRule="auto"/>
            </w:pPr>
            <w:r>
              <w:rPr>
                <w:rFonts w:ascii="Calibri" w:hAnsi="Calibri"/>
                <w:b w:val="0"/>
                <w:i w:val="0"/>
                <w:color w:val="212121"/>
                <w:sz w:val="19"/>
              </w:rPr>
              <w:t>Darker (higher-melanin) skin phototypes</w:t>
            </w:r>
          </w:p>
        </w:tc>
        <w:tc>
          <w:tcPr>
            <w:tcW w:type="dxa" w:w="4276"/>
            <w:vAlign w:val="top"/>
          </w:tcPr>
          <w:p>
            <w:pPr>
              <w:spacing w:after="60" w:line="259" w:lineRule="auto"/>
            </w:pPr>
            <w:r>
              <w:rPr>
                <w:rFonts w:ascii="Calibri" w:hAnsi="Calibri"/>
                <w:b w:val="0"/>
                <w:i w:val="0"/>
                <w:color w:val="212121"/>
                <w:sz w:val="19"/>
              </w:rPr>
              <w:t>Higher skin melanin absorbs UV-B and reduces cutaneous vitamin D synthesis, so darker-skinned individuals need substantially more sun exposure to make the same vitamin D and are more prone to deficiency, especially with indoor living.</w:t>
            </w:r>
          </w:p>
          <w:p>
            <w:pPr>
              <w:spacing w:after="40" w:before="60" w:line="259" w:lineRule="auto"/>
            </w:pPr>
            <w:r>
              <w:rPr>
                <w:rFonts w:ascii="Calibri" w:hAnsi="Calibri"/>
                <w:b w:val="0"/>
                <w:i w:val="0"/>
                <w:color w:val="212121"/>
                <w:sz w:val="19"/>
              </w:rPr>
              <w:t>High vitamin D deficiency persists across Indian populations despite abundant sunshine, partly attributable to skin pigmentation and lifestyle.</w:t>
            </w:r>
          </w:p>
          <w:p>
            <w:pPr>
              <w:spacing w:after="40" w:line="252" w:lineRule="auto"/>
            </w:pPr>
            <w:hyperlink r:id="rId10">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#melanin  #vitaminD  #skinphototype  #sunlight  #synthesis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Malabsorption / GI disease</w:t>
            </w:r>
          </w:p>
        </w:tc>
        <w:tc>
          <w:tcPr>
            <w:tcW w:type="dxa" w:w="2160"/>
            <w:vAlign w:val="top"/>
          </w:tcPr>
          <w:p>
            <w:pPr>
              <w:spacing w:after="40" w:before="0" w:line="259" w:lineRule="auto"/>
            </w:pPr>
            <w:r>
              <w:rPr>
                <w:rFonts w:ascii="Calibri" w:hAnsi="Calibri"/>
                <w:b w:val="0"/>
                <w:i w:val="0"/>
                <w:color w:val="212121"/>
                <w:sz w:val="19"/>
              </w:rPr>
              <w:t>Coeliac &amp; inflammatory bowel disease, chronic pancreatitis, tropical sprue, H. pylori</w:t>
            </w:r>
          </w:p>
        </w:tc>
        <w:tc>
          <w:tcPr>
            <w:tcW w:type="dxa" w:w="4276"/>
            <w:vAlign w:val="top"/>
          </w:tcPr>
          <w:p>
            <w:pPr>
              <w:spacing w:after="60" w:line="259" w:lineRule="auto"/>
            </w:pPr>
            <w:r>
              <w:rPr>
                <w:rFonts w:ascii="Calibri" w:hAnsi="Calibri"/>
                <w:b w:val="0"/>
                <w:i w:val="0"/>
                <w:color w:val="212121"/>
                <w:sz w:val="19"/>
              </w:rPr>
              <w:t>Diseases that damage the small-bowel mucosa, reduce digestive enzymes or bile, or alter gastric acid impair absorption of fat-soluble vitamins (A, D, E, K), iron, calcium, magnesium, zinc, folate and B12, producing multiple simultaneous deficiencies despite adequate intake.</w:t>
            </w:r>
          </w:p>
          <w:p>
            <w:pPr>
              <w:spacing w:after="40" w:before="60" w:line="259" w:lineRule="auto"/>
            </w:pPr>
            <w:r>
              <w:rPr>
                <w:rFonts w:ascii="Calibri" w:hAnsi="Calibri"/>
                <w:b w:val="0"/>
                <w:i w:val="0"/>
                <w:color w:val="212121"/>
                <w:sz w:val="19"/>
              </w:rPr>
              <w:t>Malabsorptive gastrointestinal disorders are a well-recognised secondary cause of combined vitamin and mineral deficiency and often present with mixed anaemia.</w:t>
            </w:r>
          </w:p>
          <w:p>
            <w:pPr>
              <w:spacing w:before="60" w:after="40"/>
            </w:pPr>
            <w:r>
              <w:rPr>
                <w:rFonts w:ascii="Calibri" w:hAnsi="Calibri"/>
                <w:b w:val="0"/>
                <w:i w:val="0"/>
                <w:color w:val="5A5A5A"/>
                <w:sz w:val="18"/>
              </w:rPr>
              <w:t>#coeliac  #IBD  #malabsorption  #pancreatitis  #Hpylori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Bariatric / gastrointestinal surgery</w:t>
            </w:r>
          </w:p>
        </w:tc>
        <w:tc>
          <w:tcPr>
            <w:tcW w:type="dxa" w:w="2160"/>
            <w:vAlign w:val="top"/>
          </w:tcPr>
          <w:p>
            <w:pPr>
              <w:spacing w:after="40" w:before="0" w:line="259" w:lineRule="auto"/>
            </w:pPr>
            <w:r>
              <w:rPr>
                <w:rFonts w:ascii="Calibri" w:hAnsi="Calibri"/>
                <w:b w:val="0"/>
                <w:i w:val="0"/>
                <w:color w:val="212121"/>
                <w:sz w:val="19"/>
              </w:rPr>
              <w:t>Post-bariatric, gastrectomy &amp; bowel-resection patients</w:t>
            </w:r>
          </w:p>
        </w:tc>
        <w:tc>
          <w:tcPr>
            <w:tcW w:type="dxa" w:w="4276"/>
            <w:vAlign w:val="top"/>
          </w:tcPr>
          <w:p>
            <w:pPr>
              <w:spacing w:after="60" w:line="259" w:lineRule="auto"/>
            </w:pPr>
            <w:r>
              <w:rPr>
                <w:rFonts w:ascii="Calibri" w:hAnsi="Calibri"/>
                <w:b w:val="0"/>
                <w:i w:val="0"/>
                <w:color w:val="212121"/>
                <w:sz w:val="19"/>
              </w:rPr>
              <w:t>Restrictive and malabsorptive procedures reduce food intake, gastric acid, intrinsic factor and absorptive surface, so iron, B12, vitamin D, calcium, thiamine, folate, zinc and copper deficiencies are common and require lifelong supplementation and monitoring.</w:t>
            </w:r>
          </w:p>
          <w:p>
            <w:pPr>
              <w:spacing w:after="40" w:before="60" w:line="259" w:lineRule="auto"/>
            </w:pPr>
            <w:r>
              <w:rPr>
                <w:rFonts w:ascii="Calibri" w:hAnsi="Calibri"/>
                <w:b w:val="0"/>
                <w:i w:val="0"/>
                <w:color w:val="212121"/>
                <w:sz w:val="19"/>
              </w:rPr>
              <w:t>Multiple micronutrient deficiencies are frequent after bariatric and other gastrointestinal surgery and mandate routine lifelong supplementation and surveillance.</w:t>
            </w:r>
          </w:p>
          <w:p>
            <w:pPr>
              <w:spacing w:before="60" w:after="40"/>
            </w:pPr>
            <w:r>
              <w:rPr>
                <w:rFonts w:ascii="Calibri" w:hAnsi="Calibri"/>
                <w:b w:val="0"/>
                <w:i w:val="0"/>
                <w:color w:val="5A5A5A"/>
                <w:sz w:val="18"/>
              </w:rPr>
              <w:t>#bariatric  #gastrectomy  #B12  #iron  #supplementation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CKD &amp; dialysis patients</w:t>
            </w:r>
          </w:p>
        </w:tc>
        <w:tc>
          <w:tcPr>
            <w:tcW w:type="dxa" w:w="4276"/>
            <w:vAlign w:val="top"/>
          </w:tcPr>
          <w:p>
            <w:pPr>
              <w:spacing w:after="60" w:line="259" w:lineRule="auto"/>
            </w:pPr>
            <w:r>
              <w:rPr>
                <w:rFonts w:ascii="Calibri" w:hAnsi="Calibri"/>
                <w:b w:val="0"/>
                <w:i w:val="0"/>
                <w:color w:val="212121"/>
                <w:sz w:val="19"/>
              </w:rPr>
              <w:t>Chronic kidney disease impairs renal activation of vitamin D (1-α-hydroxylation), causes iron deficiency and erythropoietin-resistant anaemia, and dialysis removes water-soluble vitamins, so patients need active vitamin D, iron and B-vitamin replacement.</w:t>
            </w:r>
          </w:p>
          <w:p>
            <w:pPr>
              <w:spacing w:after="40" w:before="60" w:line="259" w:lineRule="auto"/>
            </w:pPr>
            <w:r>
              <w:rPr>
                <w:rFonts w:ascii="Calibri" w:hAnsi="Calibri"/>
                <w:b w:val="0"/>
                <w:i w:val="0"/>
                <w:color w:val="212121"/>
                <w:sz w:val="19"/>
              </w:rPr>
              <w:t>Impaired vitamin D activation, iron deficiency and dialysis-related losses make combined micronutrient deficiency and mineral-bone disorder characteristic of advanced CKD.</w:t>
            </w:r>
          </w:p>
          <w:p>
            <w:pPr>
              <w:spacing w:before="60" w:after="40"/>
            </w:pPr>
            <w:r>
              <w:rPr>
                <w:rFonts w:ascii="Calibri" w:hAnsi="Calibri"/>
                <w:b w:val="0"/>
                <w:i w:val="0"/>
                <w:color w:val="5A5A5A"/>
                <w:sz w:val="18"/>
              </w:rPr>
              <w:t>#CKD  #dialysis  #vitaminD  #iron  #mineralbone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itself is not a primary determinant, but outdoor activity is the main driver of cutaneous vitamin D synthesis and weight-bearing exercise protects bone alongside calcium/vitamin D; conversely very heavy endurance training can increase iron losses and requirements.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by far the strongest determinant of micronutrient status: monotonous, cereal-dominated, low-diversity and vegetarian diets low in animal foods, fruit and vegetables (and high in phytate/tannin) are the leading cause of India’s hidden hunger, with ~70% of Indians consuming &lt; 50% of the RDA.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but deficiencies of iron (restless-legs syndrome), magnesium, vitamin D and B12 are associated with disturbed, unrefreshing sleep and fatigue, so the relationship is indirect and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smokeless tobacco raise oxidative stress and micronutrient requirements and lower plasma vitamin C, folate and other antioxidants, while typically accompanying a poorer diet.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use impairs intake, absorption, storage and retention of thiamine, folate, B12, pyridoxine, magnesium and zinc, and is a classic cause of Wernicke–Korsakoff syndrome and nutritional anaemia.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Deficiencies of iron, B12, folate, vitamin D and iodine are linked with fatigue, low mood, impaired concentration and, in children, poorer cognitive development; the relationship is largely bidirectional with diet and appetite.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micronutrient status, although fluoride and mineral content of drinking water can affect specific elements; overall a minor, indirect influence.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Tannins and polyphenols in tea and coffee taken with meals markedly inhibit non-haem iron absorption (by up to ~50–60%) and heavy milky-tea intake often marks cereal-based, low-diversity diets, so caffeine-containing drinks are a modifiable contributor to iron deficiency.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water, sanitation and hygiene promote hookworm and other intestinal parasites and environmental enteric dysfunction, which cause chronic blood loss and malabsorption of iron, zinc, vitamin A and other nutrients — a significant driver in parts of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Iatrogenic and physiological triggers — long-term metformin (B12), proton-pump inhibitors (B12/iron/calcium/magnesium), methotrexate (folate), isoniazid (B6) and diuretics (magnesium/zinc), plus bariatric surgery, pregnancy, lactation and rapid growth — can precipitate or unmask specific deficiencies.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diversity (food groups/day)</w:t>
            </w:r>
          </w:p>
        </w:tc>
        <w:tc>
          <w:tcPr>
            <w:tcW w:type="dxa" w:w="1655"/>
            <w:vAlign w:val="top"/>
          </w:tcPr>
          <w:p>
            <w:pPr>
              <w:spacing w:after="40" w:before="0" w:line="259" w:lineRule="auto"/>
            </w:pPr>
            <w:r>
              <w:rPr>
                <w:rFonts w:ascii="Calibri" w:hAnsi="Calibri"/>
                <w:b w:val="0"/>
                <w:i w:val="0"/>
                <w:color w:val="212121"/>
                <w:sz w:val="19"/>
              </w:rPr>
              <w:t>All ages; low-income households</w:t>
            </w:r>
          </w:p>
        </w:tc>
        <w:tc>
          <w:tcPr>
            <w:tcW w:type="dxa" w:w="1512"/>
            <w:vAlign w:val="top"/>
          </w:tcPr>
          <w:p>
            <w:pPr>
              <w:spacing w:after="40" w:before="0" w:line="259" w:lineRule="auto"/>
            </w:pPr>
            <w:r>
              <w:rPr>
                <w:rFonts w:ascii="Calibri" w:hAnsi="Calibri"/>
                <w:b w:val="0"/>
                <w:i w:val="0"/>
                <w:color w:val="212121"/>
                <w:sz w:val="19"/>
              </w:rPr>
              <w:t>≥ 5 of 10 food groups/day (adequately diverse)</w:t>
            </w:r>
          </w:p>
        </w:tc>
        <w:tc>
          <w:tcPr>
            <w:tcW w:type="dxa" w:w="1512"/>
            <w:vAlign w:val="top"/>
          </w:tcPr>
          <w:p>
            <w:pPr>
              <w:spacing w:after="40" w:before="0" w:line="259" w:lineRule="auto"/>
            </w:pPr>
            <w:r>
              <w:rPr>
                <w:rFonts w:ascii="Calibri" w:hAnsi="Calibri"/>
                <w:b w:val="0"/>
                <w:i w:val="0"/>
                <w:color w:val="212121"/>
                <w:sz w:val="19"/>
              </w:rPr>
              <w:t>≤ 3 food groups/day (monotonous, cereal-based)</w:t>
            </w:r>
          </w:p>
        </w:tc>
        <w:tc>
          <w:tcPr>
            <w:tcW w:type="dxa" w:w="1468"/>
            <w:vAlign w:val="top"/>
          </w:tcPr>
          <w:p>
            <w:pPr>
              <w:spacing w:after="40" w:before="0" w:line="259" w:lineRule="auto"/>
            </w:pPr>
            <w:r>
              <w:rPr>
                <w:rFonts w:ascii="Calibri" w:hAnsi="Calibri"/>
                <w:b w:val="0"/>
                <w:i w:val="0"/>
                <w:color w:val="212121"/>
                <w:sz w:val="19"/>
              </w:rPr>
              <w:t>Low dietary diversity is the core driver of multiple micronutrient deficiency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Women, children, pregnancy</w:t>
            </w:r>
          </w:p>
        </w:tc>
        <w:tc>
          <w:tcPr>
            <w:tcW w:type="dxa" w:w="1512"/>
            <w:vAlign w:val="top"/>
          </w:tcPr>
          <w:p>
            <w:pPr>
              <w:spacing w:after="40" w:before="0" w:line="259" w:lineRule="auto"/>
            </w:pPr>
            <w:r>
              <w:rPr>
                <w:rFonts w:ascii="Calibri" w:hAnsi="Calibri"/>
                <w:b w:val="0"/>
                <w:i w:val="0"/>
                <w:color w:val="212121"/>
                <w:sz w:val="19"/>
              </w:rPr>
              <w:t>≥ 12 (women), ≥ 13 (men)</w:t>
            </w:r>
          </w:p>
        </w:tc>
        <w:tc>
          <w:tcPr>
            <w:tcW w:type="dxa" w:w="1512"/>
            <w:vAlign w:val="top"/>
          </w:tcPr>
          <w:p>
            <w:pPr>
              <w:spacing w:after="40" w:before="0" w:line="259" w:lineRule="auto"/>
            </w:pPr>
            <w:r>
              <w:rPr>
                <w:rFonts w:ascii="Calibri" w:hAnsi="Calibri"/>
                <w:b w:val="0"/>
                <w:i w:val="0"/>
                <w:color w:val="212121"/>
                <w:sz w:val="19"/>
              </w:rPr>
              <w:t>&lt; 12 women / &lt; 11 pregnancy &amp; young children / &lt; 13 men</w:t>
            </w:r>
          </w:p>
        </w:tc>
        <w:tc>
          <w:tcPr>
            <w:tcW w:type="dxa" w:w="1468"/>
            <w:vAlign w:val="top"/>
          </w:tcPr>
          <w:p>
            <w:pPr>
              <w:spacing w:after="60" w:line="259" w:lineRule="auto"/>
            </w:pPr>
            <w:r>
              <w:rPr>
                <w:rFonts w:ascii="Calibri" w:hAnsi="Calibri"/>
                <w:b w:val="0"/>
                <w:i w:val="0"/>
                <w:color w:val="212121"/>
                <w:sz w:val="19"/>
              </w:rPr>
              <w:t>Screens for iron, folate and B12 deficiency anaemia</w:t>
            </w:r>
          </w:p>
          <w:p>
            <w:pPr>
              <w:spacing w:after="40" w:line="252" w:lineRule="auto"/>
            </w:pPr>
            <w:hyperlink r:id="rId13">
              <w:r>
                <w:rPr>
                  <w:rFonts w:ascii="Calibri" w:hAnsi="Calibri" w:cs="Calibri"/>
                  <w:sz w:val="18"/>
                  <w:color w:val="1155CC"/>
                  <w:u w:val="single"/>
                </w:rPr>
                <w:t xml:space="preserve">https://www.pib.gov.in/PressReleasePage.aspx?PRID=1795421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(µg/L)</w:t>
            </w:r>
          </w:p>
        </w:tc>
        <w:tc>
          <w:tcPr>
            <w:tcW w:type="dxa" w:w="1655"/>
            <w:vAlign w:val="top"/>
          </w:tcPr>
          <w:p>
            <w:pPr>
              <w:spacing w:after="40" w:before="0" w:line="259" w:lineRule="auto"/>
            </w:pPr>
            <w:r>
              <w:rPr>
                <w:rFonts w:ascii="Calibri" w:hAnsi="Calibri"/>
                <w:b w:val="0"/>
                <w:i w:val="0"/>
                <w:color w:val="212121"/>
                <w:sz w:val="19"/>
              </w:rPr>
              <w:t>Menstruating women, children, blood loss</w:t>
            </w:r>
          </w:p>
        </w:tc>
        <w:tc>
          <w:tcPr>
            <w:tcW w:type="dxa" w:w="1512"/>
            <w:vAlign w:val="top"/>
          </w:tcPr>
          <w:p>
            <w:pPr>
              <w:spacing w:after="40" w:before="0" w:line="259" w:lineRule="auto"/>
            </w:pPr>
            <w:r>
              <w:rPr>
                <w:rFonts w:ascii="Calibri" w:hAnsi="Calibri"/>
                <w:b w:val="0"/>
                <w:i w:val="0"/>
                <w:color w:val="212121"/>
                <w:sz w:val="19"/>
              </w:rPr>
              <w:t>≥ 30 µg/L (repletion)</w:t>
            </w:r>
          </w:p>
        </w:tc>
        <w:tc>
          <w:tcPr>
            <w:tcW w:type="dxa" w:w="1512"/>
            <w:vAlign w:val="top"/>
          </w:tcPr>
          <w:p>
            <w:pPr>
              <w:spacing w:after="40" w:before="0" w:line="259" w:lineRule="auto"/>
            </w:pPr>
            <w:r>
              <w:rPr>
                <w:rFonts w:ascii="Calibri" w:hAnsi="Calibri"/>
                <w:b w:val="0"/>
                <w:i w:val="0"/>
                <w:color w:val="212121"/>
                <w:sz w:val="19"/>
              </w:rPr>
              <w:t>&lt; 15 µg/L (adults); &lt; 12 (children)</w:t>
            </w:r>
          </w:p>
        </w:tc>
        <w:tc>
          <w:tcPr>
            <w:tcW w:type="dxa" w:w="1468"/>
            <w:vAlign w:val="top"/>
          </w:tcPr>
          <w:p>
            <w:pPr>
              <w:spacing w:after="40" w:before="0" w:line="259" w:lineRule="auto"/>
            </w:pPr>
            <w:r>
              <w:rPr>
                <w:rFonts w:ascii="Calibri" w:hAnsi="Calibri"/>
                <w:b w:val="0"/>
                <w:i w:val="0"/>
                <w:color w:val="212121"/>
                <w:sz w:val="19"/>
              </w:rPr>
              <w:t>Best single marker of iron stores; rises with inflammation — pair with CRP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Indoor workers, elderly, veiled, dark skin</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 20–30 insufficient</w:t>
            </w:r>
          </w:p>
        </w:tc>
        <w:tc>
          <w:tcPr>
            <w:tcW w:type="dxa" w:w="1468"/>
            <w:vAlign w:val="top"/>
          </w:tcPr>
          <w:p>
            <w:pPr>
              <w:spacing w:after="60" w:line="259" w:lineRule="auto"/>
            </w:pPr>
            <w:r>
              <w:rPr>
                <w:rFonts w:ascii="Calibri" w:hAnsi="Calibri"/>
                <w:b w:val="0"/>
                <w:i w:val="0"/>
                <w:color w:val="212121"/>
                <w:sz w:val="19"/>
              </w:rPr>
              <w:t>Reflects vitamin D status; very high deficiency across Indian cohorts</w:t>
            </w:r>
          </w:p>
          <w:p>
            <w:pPr>
              <w:spacing w:after="40" w:line="252" w:lineRule="auto"/>
            </w:pPr>
            <w:hyperlink r:id="rId10">
              <w:r>
                <w:rPr>
                  <w:rFonts w:ascii="Calibri" w:hAnsi="Calibri" w:cs="Calibri"/>
                  <w:sz w:val="18"/>
                  <w:color w:val="1155CC"/>
                  <w:u w:val="single"/>
                </w:rPr>
                <w:t xml:space="preserve">https://ijmr.org.in/prevalence-of-hypovitaminosis-d-in-india-way-forward/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 (pg/mL)</w:t>
            </w:r>
          </w:p>
        </w:tc>
        <w:tc>
          <w:tcPr>
            <w:tcW w:type="dxa" w:w="1655"/>
            <w:vAlign w:val="top"/>
          </w:tcPr>
          <w:p>
            <w:pPr>
              <w:spacing w:after="40" w:before="0" w:line="259" w:lineRule="auto"/>
            </w:pPr>
            <w:r>
              <w:rPr>
                <w:rFonts w:ascii="Calibri" w:hAnsi="Calibri"/>
                <w:b w:val="0"/>
                <w:i w:val="0"/>
                <w:color w:val="212121"/>
                <w:sz w:val="19"/>
              </w:rPr>
              <w:t>Vegetarians, elderly, metformin users</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(confirm borderline with MMA/homocysteine)</w:t>
            </w:r>
          </w:p>
        </w:tc>
        <w:tc>
          <w:tcPr>
            <w:tcW w:type="dxa" w:w="1468"/>
            <w:vAlign w:val="top"/>
          </w:tcPr>
          <w:p>
            <w:pPr>
              <w:spacing w:after="40" w:before="0" w:line="259" w:lineRule="auto"/>
            </w:pPr>
            <w:r>
              <w:rPr>
                <w:rFonts w:ascii="Calibri" w:hAnsi="Calibri"/>
                <w:b w:val="0"/>
                <w:i w:val="0"/>
                <w:color w:val="212121"/>
                <w:sz w:val="19"/>
              </w:rPr>
              <w:t>Low intake near-universal on plant-only diets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 RBC folate</w:t>
            </w:r>
          </w:p>
        </w:tc>
        <w:tc>
          <w:tcPr>
            <w:tcW w:type="dxa" w:w="1655"/>
            <w:vAlign w:val="top"/>
          </w:tcPr>
          <w:p>
            <w:pPr>
              <w:spacing w:after="40" w:before="0" w:line="259" w:lineRule="auto"/>
            </w:pPr>
            <w:r>
              <w:rPr>
                <w:rFonts w:ascii="Calibri" w:hAnsi="Calibri"/>
                <w:b w:val="0"/>
                <w:i w:val="0"/>
                <w:color w:val="212121"/>
                <w:sz w:val="19"/>
              </w:rPr>
              <w:t>Adolescents, pregnancy, alcohol</w:t>
            </w:r>
          </w:p>
        </w:tc>
        <w:tc>
          <w:tcPr>
            <w:tcW w:type="dxa" w:w="1512"/>
            <w:vAlign w:val="top"/>
          </w:tcPr>
          <w:p>
            <w:pPr>
              <w:spacing w:after="40" w:before="0" w:line="259" w:lineRule="auto"/>
            </w:pPr>
            <w:r>
              <w:rPr>
                <w:rFonts w:ascii="Calibri" w:hAnsi="Calibri"/>
                <w:b w:val="0"/>
                <w:i w:val="0"/>
                <w:color w:val="212121"/>
                <w:sz w:val="19"/>
              </w:rPr>
              <w:t>Serum &gt; 4 ng/mL; RBC folate normal</w:t>
            </w:r>
          </w:p>
        </w:tc>
        <w:tc>
          <w:tcPr>
            <w:tcW w:type="dxa" w:w="1512"/>
            <w:vAlign w:val="top"/>
          </w:tcPr>
          <w:p>
            <w:pPr>
              <w:spacing w:after="40" w:before="0" w:line="259" w:lineRule="auto"/>
            </w:pPr>
            <w:r>
              <w:rPr>
                <w:rFonts w:ascii="Calibri" w:hAnsi="Calibri"/>
                <w:b w:val="0"/>
                <w:i w:val="0"/>
                <w:color w:val="212121"/>
                <w:sz w:val="19"/>
              </w:rPr>
              <w:t>Serum &lt; 3 ng/mL / low RBC folate</w:t>
            </w:r>
          </w:p>
        </w:tc>
        <w:tc>
          <w:tcPr>
            <w:tcW w:type="dxa" w:w="1468"/>
            <w:vAlign w:val="top"/>
          </w:tcPr>
          <w:p>
            <w:pPr>
              <w:spacing w:after="60" w:line="259" w:lineRule="auto"/>
            </w:pPr>
            <w:r>
              <w:rPr>
                <w:rFonts w:ascii="Calibri" w:hAnsi="Calibri"/>
                <w:b w:val="0"/>
                <w:i w:val="0"/>
                <w:color w:val="212121"/>
                <w:sz w:val="19"/>
              </w:rPr>
              <w:t>RBC folate reflects longer-term status; critical peri-conceptionally</w:t>
            </w:r>
          </w:p>
          <w:p>
            <w:pPr>
              <w:spacing w:after="40" w:line="252" w:lineRule="auto"/>
            </w:pPr>
            <w:hyperlink r:id="rId12">
              <w:r>
                <w:rPr>
                  <w:rFonts w:ascii="Calibri" w:hAnsi="Calibri" w:cs="Calibri"/>
                  <w:sz w:val="18"/>
                  <w:color w:val="1155CC"/>
                  <w:u w:val="single"/>
                </w:rPr>
                <w:t xml:space="preserve">https://healthnutritionindia.in/static_files/factsheets/CNNS-v6-factsheet-India.pdf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 plasma zinc (µg/dL)</w:t>
            </w:r>
          </w:p>
        </w:tc>
        <w:tc>
          <w:tcPr>
            <w:tcW w:type="dxa" w:w="1655"/>
            <w:vAlign w:val="top"/>
          </w:tcPr>
          <w:p>
            <w:pPr>
              <w:spacing w:after="40" w:before="0" w:line="259" w:lineRule="auto"/>
            </w:pPr>
            <w:r>
              <w:rPr>
                <w:rFonts w:ascii="Calibri" w:hAnsi="Calibri"/>
                <w:b w:val="0"/>
                <w:i w:val="0"/>
                <w:color w:val="212121"/>
                <w:sz w:val="19"/>
              </w:rPr>
              <w:t>Children, adolescents, malabsorption</w:t>
            </w:r>
          </w:p>
        </w:tc>
        <w:tc>
          <w:tcPr>
            <w:tcW w:type="dxa" w:w="1512"/>
            <w:vAlign w:val="top"/>
          </w:tcPr>
          <w:p>
            <w:pPr>
              <w:spacing w:after="40" w:before="0" w:line="259" w:lineRule="auto"/>
            </w:pPr>
            <w:r>
              <w:rPr>
                <w:rFonts w:ascii="Calibri" w:hAnsi="Calibri"/>
                <w:b w:val="0"/>
                <w:i w:val="0"/>
                <w:color w:val="212121"/>
                <w:sz w:val="19"/>
              </w:rPr>
              <w:t>≥ 70 µg/dL (fasting, morning)</w:t>
            </w:r>
          </w:p>
        </w:tc>
        <w:tc>
          <w:tcPr>
            <w:tcW w:type="dxa" w:w="1512"/>
            <w:vAlign w:val="top"/>
          </w:tcPr>
          <w:p>
            <w:pPr>
              <w:spacing w:after="40" w:before="0" w:line="259" w:lineRule="auto"/>
            </w:pPr>
            <w:r>
              <w:rPr>
                <w:rFonts w:ascii="Calibri" w:hAnsi="Calibri"/>
                <w:b w:val="0"/>
                <w:i w:val="0"/>
                <w:color w:val="212121"/>
                <w:sz w:val="19"/>
              </w:rPr>
              <w:t>&lt; 70 µg/dL</w:t>
            </w:r>
          </w:p>
        </w:tc>
        <w:tc>
          <w:tcPr>
            <w:tcW w:type="dxa" w:w="1468"/>
            <w:vAlign w:val="top"/>
          </w:tcPr>
          <w:p>
            <w:pPr>
              <w:spacing w:after="40" w:before="0" w:line="259" w:lineRule="auto"/>
            </w:pPr>
            <w:r>
              <w:rPr>
                <w:rFonts w:ascii="Calibri" w:hAnsi="Calibri"/>
                <w:b w:val="0"/>
                <w:i w:val="0"/>
                <w:color w:val="212121"/>
                <w:sz w:val="19"/>
              </w:rPr>
              <w:t>Collect fasting; affected by infection/albumin — interpret in context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retinol / vitamin A (µg/dL)</w:t>
            </w:r>
          </w:p>
        </w:tc>
        <w:tc>
          <w:tcPr>
            <w:tcW w:type="dxa" w:w="1655"/>
            <w:vAlign w:val="top"/>
          </w:tcPr>
          <w:p>
            <w:pPr>
              <w:spacing w:after="40" w:before="0" w:line="259" w:lineRule="auto"/>
            </w:pPr>
            <w:r>
              <w:rPr>
                <w:rFonts w:ascii="Calibri" w:hAnsi="Calibri"/>
                <w:b w:val="0"/>
                <w:i w:val="0"/>
                <w:color w:val="212121"/>
                <w:sz w:val="19"/>
              </w:rPr>
              <w:t>Preschool children, malabsorption</w:t>
            </w:r>
          </w:p>
        </w:tc>
        <w:tc>
          <w:tcPr>
            <w:tcW w:type="dxa" w:w="1512"/>
            <w:vAlign w:val="top"/>
          </w:tcPr>
          <w:p>
            <w:pPr>
              <w:spacing w:after="40" w:before="0" w:line="259" w:lineRule="auto"/>
            </w:pPr>
            <w:r>
              <w:rPr>
                <w:rFonts w:ascii="Calibri" w:hAnsi="Calibri"/>
                <w:b w:val="0"/>
                <w:i w:val="0"/>
                <w:color w:val="212121"/>
                <w:sz w:val="19"/>
              </w:rPr>
              <w:t>≥ 20 µg/dL (0.70 µmol/L)</w:t>
            </w:r>
          </w:p>
        </w:tc>
        <w:tc>
          <w:tcPr>
            <w:tcW w:type="dxa" w:w="1512"/>
            <w:vAlign w:val="top"/>
          </w:tcPr>
          <w:p>
            <w:pPr>
              <w:spacing w:after="40" w:before="0" w:line="259" w:lineRule="auto"/>
            </w:pPr>
            <w:r>
              <w:rPr>
                <w:rFonts w:ascii="Calibri" w:hAnsi="Calibri"/>
                <w:b w:val="0"/>
                <w:i w:val="0"/>
                <w:color w:val="212121"/>
                <w:sz w:val="19"/>
              </w:rPr>
              <w:t>&lt; 20 µg/dL; &lt; 10 severe (xerophthalmia)</w:t>
            </w:r>
          </w:p>
        </w:tc>
        <w:tc>
          <w:tcPr>
            <w:tcW w:type="dxa" w:w="1468"/>
            <w:vAlign w:val="top"/>
          </w:tcPr>
          <w:p>
            <w:pPr>
              <w:spacing w:after="40" w:before="0" w:line="259" w:lineRule="auto"/>
            </w:pPr>
            <w:r>
              <w:rPr>
                <w:rFonts w:ascii="Calibri" w:hAnsi="Calibri"/>
                <w:b w:val="0"/>
                <w:i w:val="0"/>
                <w:color w:val="212121"/>
                <w:sz w:val="19"/>
              </w:rPr>
              <w:t>Deficiency causes night blindness and impaired immunity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Median urinary iodine (µg/L)</w:t>
            </w:r>
          </w:p>
        </w:tc>
        <w:tc>
          <w:tcPr>
            <w:tcW w:type="dxa" w:w="1655"/>
            <w:vAlign w:val="top"/>
          </w:tcPr>
          <w:p>
            <w:pPr>
              <w:spacing w:after="40" w:before="0" w:line="259" w:lineRule="auto"/>
            </w:pPr>
            <w:r>
              <w:rPr>
                <w:rFonts w:ascii="Calibri" w:hAnsi="Calibri"/>
                <w:b w:val="0"/>
                <w:i w:val="0"/>
                <w:color w:val="212121"/>
                <w:sz w:val="19"/>
              </w:rPr>
              <w:t>Population / endemic belts, pregnancy</w:t>
            </w:r>
          </w:p>
        </w:tc>
        <w:tc>
          <w:tcPr>
            <w:tcW w:type="dxa" w:w="1512"/>
            <w:vAlign w:val="top"/>
          </w:tcPr>
          <w:p>
            <w:pPr>
              <w:spacing w:after="40" w:before="0" w:line="259" w:lineRule="auto"/>
            </w:pPr>
            <w:r>
              <w:rPr>
                <w:rFonts w:ascii="Calibri" w:hAnsi="Calibri"/>
                <w:b w:val="0"/>
                <w:i w:val="0"/>
                <w:color w:val="212121"/>
                <w:sz w:val="19"/>
              </w:rPr>
              <w:t>100–299 µg/L (≥ 150 in pregnancy)</w:t>
            </w:r>
          </w:p>
        </w:tc>
        <w:tc>
          <w:tcPr>
            <w:tcW w:type="dxa" w:w="1512"/>
            <w:vAlign w:val="top"/>
          </w:tcPr>
          <w:p>
            <w:pPr>
              <w:spacing w:after="40" w:before="0" w:line="259" w:lineRule="auto"/>
            </w:pPr>
            <w:r>
              <w:rPr>
                <w:rFonts w:ascii="Calibri" w:hAnsi="Calibri"/>
                <w:b w:val="0"/>
                <w:i w:val="0"/>
                <w:color w:val="212121"/>
                <w:sz w:val="19"/>
              </w:rPr>
              <w:t>&lt; 100 µg/L (&lt; 150 in pregnancy)</w:t>
            </w:r>
          </w:p>
        </w:tc>
        <w:tc>
          <w:tcPr>
            <w:tcW w:type="dxa" w:w="1468"/>
            <w:vAlign w:val="top"/>
          </w:tcPr>
          <w:p>
            <w:pPr>
              <w:spacing w:after="60" w:line="259" w:lineRule="auto"/>
            </w:pPr>
            <w:r>
              <w:rPr>
                <w:rFonts w:ascii="Calibri" w:hAnsi="Calibri"/>
                <w:b w:val="0"/>
                <w:i w:val="0"/>
                <w:color w:val="212121"/>
                <w:sz w:val="19"/>
              </w:rPr>
              <w:t>Population marker of iodine status; supported by goitre survey</w:t>
            </w:r>
          </w:p>
          <w:p>
            <w:pPr>
              <w:spacing w:after="40" w:line="252" w:lineRule="auto"/>
            </w:pPr>
            <w:hyperlink r:id="rId15">
              <w:r>
                <w:rPr>
                  <w:rFonts w:ascii="Calibri" w:hAnsi="Calibri" w:cs="Calibri"/>
                  <w:sz w:val="18"/>
                  <w:color w:val="1155CC"/>
                  <w:u w:val="single"/>
                </w:rPr>
                <w:t xml:space="preserve">https://pmc.ncbi.nlm.nih.gov/articles/PMC3818611/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intake (mg/day)</w:t>
            </w:r>
          </w:p>
        </w:tc>
        <w:tc>
          <w:tcPr>
            <w:tcW w:type="dxa" w:w="1655"/>
            <w:vAlign w:val="top"/>
          </w:tcPr>
          <w:p>
            <w:pPr>
              <w:spacing w:after="40" w:before="0" w:line="259" w:lineRule="auto"/>
            </w:pPr>
            <w:r>
              <w:rPr>
                <w:rFonts w:ascii="Calibri" w:hAnsi="Calibri"/>
                <w:b w:val="0"/>
                <w:i w:val="0"/>
                <w:color w:val="212121"/>
                <w:sz w:val="19"/>
              </w:rPr>
              <w:t>Women, elderly, vegetarians</w:t>
            </w:r>
          </w:p>
        </w:tc>
        <w:tc>
          <w:tcPr>
            <w:tcW w:type="dxa" w:w="1512"/>
            <w:vAlign w:val="top"/>
          </w:tcPr>
          <w:p>
            <w:pPr>
              <w:spacing w:after="40" w:before="0" w:line="259" w:lineRule="auto"/>
            </w:pPr>
            <w:r>
              <w:rPr>
                <w:rFonts w:ascii="Calibri" w:hAnsi="Calibri"/>
                <w:b w:val="0"/>
                <w:i w:val="0"/>
                <w:color w:val="212121"/>
                <w:sz w:val="19"/>
              </w:rPr>
              <w:t>~1000–1200 mg/day (adults)</w:t>
            </w:r>
          </w:p>
        </w:tc>
        <w:tc>
          <w:tcPr>
            <w:tcW w:type="dxa" w:w="1512"/>
            <w:vAlign w:val="top"/>
          </w:tcPr>
          <w:p>
            <w:pPr>
              <w:spacing w:after="40" w:before="0" w:line="259" w:lineRule="auto"/>
            </w:pPr>
            <w:r>
              <w:rPr>
                <w:rFonts w:ascii="Calibri" w:hAnsi="Calibri"/>
                <w:b w:val="0"/>
                <w:i w:val="0"/>
                <w:color w:val="212121"/>
                <w:sz w:val="19"/>
              </w:rPr>
              <w:t>Habitual intake well below RDA</w:t>
            </w:r>
          </w:p>
        </w:tc>
        <w:tc>
          <w:tcPr>
            <w:tcW w:type="dxa" w:w="1468"/>
            <w:vAlign w:val="top"/>
          </w:tcPr>
          <w:p>
            <w:pPr>
              <w:spacing w:after="40" w:before="0" w:line="259" w:lineRule="auto"/>
            </w:pPr>
            <w:r>
              <w:rPr>
                <w:rFonts w:ascii="Calibri" w:hAnsi="Calibri"/>
                <w:b w:val="0"/>
                <w:i w:val="0"/>
                <w:color w:val="212121"/>
                <w:sz w:val="19"/>
              </w:rPr>
              <w:t>Low dairy intake makes inadequate calcium near-universal in India</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Sensible sun exposure (min/week)</w:t>
            </w:r>
          </w:p>
        </w:tc>
        <w:tc>
          <w:tcPr>
            <w:tcW w:type="dxa" w:w="1655"/>
            <w:vAlign w:val="top"/>
          </w:tcPr>
          <w:p>
            <w:pPr>
              <w:spacing w:after="40" w:before="0" w:line="259" w:lineRule="auto"/>
            </w:pPr>
            <w:r>
              <w:rPr>
                <w:rFonts w:ascii="Calibri" w:hAnsi="Calibri"/>
                <w:b w:val="0"/>
                <w:i w:val="0"/>
                <w:color w:val="212121"/>
                <w:sz w:val="19"/>
              </w:rPr>
              <w:t>Indoor/veiled, dark skin, elderly</w:t>
            </w:r>
          </w:p>
        </w:tc>
        <w:tc>
          <w:tcPr>
            <w:tcW w:type="dxa" w:w="1512"/>
            <w:vAlign w:val="top"/>
          </w:tcPr>
          <w:p>
            <w:pPr>
              <w:spacing w:after="40" w:before="0" w:line="259" w:lineRule="auto"/>
            </w:pPr>
            <w:r>
              <w:rPr>
                <w:rFonts w:ascii="Calibri" w:hAnsi="Calibri"/>
                <w:b w:val="0"/>
                <w:i w:val="0"/>
                <w:color w:val="212121"/>
                <w:sz w:val="19"/>
              </w:rPr>
              <w:t>~15–30 min midday sun on face/arms, most days</w:t>
            </w:r>
          </w:p>
        </w:tc>
        <w:tc>
          <w:tcPr>
            <w:tcW w:type="dxa" w:w="1512"/>
            <w:vAlign w:val="top"/>
          </w:tcPr>
          <w:p>
            <w:pPr>
              <w:spacing w:after="40" w:before="0" w:line="259" w:lineRule="auto"/>
            </w:pPr>
            <w:r>
              <w:rPr>
                <w:rFonts w:ascii="Calibri" w:hAnsi="Calibri"/>
                <w:b w:val="0"/>
                <w:i w:val="0"/>
                <w:color w:val="212121"/>
                <w:sz w:val="19"/>
              </w:rPr>
              <w:t>Negligible outdoor exposure</w:t>
            </w:r>
          </w:p>
        </w:tc>
        <w:tc>
          <w:tcPr>
            <w:tcW w:type="dxa" w:w="1468"/>
            <w:vAlign w:val="top"/>
          </w:tcPr>
          <w:p>
            <w:pPr>
              <w:spacing w:after="40" w:before="0" w:line="259" w:lineRule="auto"/>
            </w:pPr>
            <w:r>
              <w:rPr>
                <w:rFonts w:ascii="Calibri" w:hAnsi="Calibri"/>
                <w:b w:val="0"/>
                <w:i w:val="0"/>
                <w:color w:val="212121"/>
                <w:sz w:val="19"/>
              </w:rPr>
              <w:t>Main non-dietary source of vitamin D; needs more time in darker skin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timing relative to meals</w:t>
            </w:r>
          </w:p>
        </w:tc>
        <w:tc>
          <w:tcPr>
            <w:tcW w:type="dxa" w:w="1655"/>
            <w:vAlign w:val="top"/>
          </w:tcPr>
          <w:p>
            <w:pPr>
              <w:spacing w:after="40" w:before="0" w:line="259" w:lineRule="auto"/>
            </w:pPr>
            <w:r>
              <w:rPr>
                <w:rFonts w:ascii="Calibri" w:hAnsi="Calibri"/>
                <w:b w:val="0"/>
                <w:i w:val="0"/>
                <w:color w:val="212121"/>
                <w:sz w:val="19"/>
              </w:rPr>
              <w:t>Iron-deficient, women, children</w:t>
            </w:r>
          </w:p>
        </w:tc>
        <w:tc>
          <w:tcPr>
            <w:tcW w:type="dxa" w:w="1512"/>
            <w:vAlign w:val="top"/>
          </w:tcPr>
          <w:p>
            <w:pPr>
              <w:spacing w:after="40" w:before="0" w:line="259" w:lineRule="auto"/>
            </w:pPr>
            <w:r>
              <w:rPr>
                <w:rFonts w:ascii="Calibri" w:hAnsi="Calibri"/>
                <w:b w:val="0"/>
                <w:i w:val="0"/>
                <w:color w:val="212121"/>
                <w:sz w:val="19"/>
              </w:rPr>
              <w:t>Avoid tea/coffee within ~1 h of iron-rich meals</w:t>
            </w:r>
          </w:p>
        </w:tc>
        <w:tc>
          <w:tcPr>
            <w:tcW w:type="dxa" w:w="1512"/>
            <w:vAlign w:val="top"/>
          </w:tcPr>
          <w:p>
            <w:pPr>
              <w:spacing w:after="40" w:before="0" w:line="259" w:lineRule="auto"/>
            </w:pPr>
            <w:r>
              <w:rPr>
                <w:rFonts w:ascii="Calibri" w:hAnsi="Calibri"/>
                <w:b w:val="0"/>
                <w:i w:val="0"/>
                <w:color w:val="212121"/>
                <w:sz w:val="19"/>
              </w:rPr>
              <w:t>Habitual tea/coffee with meals</w:t>
            </w:r>
          </w:p>
        </w:tc>
        <w:tc>
          <w:tcPr>
            <w:tcW w:type="dxa" w:w="1468"/>
            <w:vAlign w:val="top"/>
          </w:tcPr>
          <w:p>
            <w:pPr>
              <w:spacing w:after="40" w:before="0" w:line="259" w:lineRule="auto"/>
            </w:pPr>
            <w:r>
              <w:rPr>
                <w:rFonts w:ascii="Calibri" w:hAnsi="Calibri"/>
                <w:b w:val="0"/>
                <w:i w:val="0"/>
                <w:color w:val="212121"/>
                <w:sz w:val="19"/>
              </w:rPr>
              <w:t>Tannins can cut non-haem iron absorption by ~50–60%</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Heavy/chronic drinkers</w:t>
            </w:r>
          </w:p>
        </w:tc>
        <w:tc>
          <w:tcPr>
            <w:tcW w:type="dxa" w:w="1512"/>
            <w:vAlign w:val="top"/>
          </w:tcPr>
          <w:p>
            <w:pPr>
              <w:spacing w:after="40" w:before="0" w:line="259" w:lineRule="auto"/>
            </w:pPr>
            <w:r>
              <w:rPr>
                <w:rFonts w:ascii="Calibri" w:hAnsi="Calibri"/>
                <w:b w:val="0"/>
                <w:i w:val="0"/>
                <w:color w:val="212121"/>
                <w:sz w:val="19"/>
              </w:rPr>
              <w:t>≤ 14 units/week (less is better)</w:t>
            </w:r>
          </w:p>
        </w:tc>
        <w:tc>
          <w:tcPr>
            <w:tcW w:type="dxa" w:w="1512"/>
            <w:vAlign w:val="top"/>
          </w:tcPr>
          <w:p>
            <w:pPr>
              <w:spacing w:after="40" w:before="0" w:line="259" w:lineRule="auto"/>
            </w:pPr>
            <w:r>
              <w:rPr>
                <w:rFonts w:ascii="Calibri" w:hAnsi="Calibri"/>
                <w:b w:val="0"/>
                <w:i w:val="0"/>
                <w:color w:val="212121"/>
                <w:sz w:val="19"/>
              </w:rPr>
              <w:t>Heavy or chronic use</w:t>
            </w:r>
          </w:p>
        </w:tc>
        <w:tc>
          <w:tcPr>
            <w:tcW w:type="dxa" w:w="1468"/>
            <w:vAlign w:val="top"/>
          </w:tcPr>
          <w:p>
            <w:pPr>
              <w:spacing w:after="40" w:before="0" w:line="259" w:lineRule="auto"/>
            </w:pPr>
            <w:r>
              <w:rPr>
                <w:rFonts w:ascii="Calibri" w:hAnsi="Calibri"/>
                <w:b w:val="0"/>
                <w:i w:val="0"/>
                <w:color w:val="212121"/>
                <w:sz w:val="19"/>
              </w:rPr>
              <w:t>Depletes thiamine, folate, B12, magnesium and zinc</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with indices (Hb, MCV, RDW)</w:t>
            </w:r>
          </w:p>
        </w:tc>
        <w:tc>
          <w:tcPr>
            <w:tcW w:type="dxa" w:w="892"/>
            <w:vAlign w:val="top"/>
          </w:tcPr>
          <w:p>
            <w:pPr>
              <w:spacing w:after="40" w:before="0" w:line="259" w:lineRule="auto"/>
            </w:pPr>
            <w:r>
              <w:rPr>
                <w:rFonts w:ascii="Calibri" w:hAnsi="Calibri"/>
                <w:b w:val="0"/>
                <w:i w:val="0"/>
                <w:color w:val="212121"/>
                <w:sz w:val="16"/>
              </w:rPr>
              <w:t>CBC / red-cell indices</w:t>
            </w:r>
          </w:p>
        </w:tc>
        <w:tc>
          <w:tcPr>
            <w:tcW w:type="dxa" w:w="950"/>
            <w:vAlign w:val="top"/>
          </w:tcPr>
          <w:p>
            <w:pPr>
              <w:spacing w:after="40" w:before="0" w:line="259" w:lineRule="auto"/>
            </w:pPr>
            <w:r>
              <w:rPr>
                <w:rFonts w:ascii="Calibri" w:hAnsi="Calibri"/>
                <w:b w:val="0"/>
                <w:i w:val="0"/>
                <w:color w:val="212121"/>
                <w:sz w:val="16"/>
              </w:rPr>
              <w:t>Hb ≥ 12 (F)/≥ 13 (M) g/dL; MCV 80–100 fL</w:t>
            </w:r>
          </w:p>
        </w:tc>
        <w:tc>
          <w:tcPr>
            <w:tcW w:type="dxa" w:w="950"/>
            <w:vAlign w:val="top"/>
          </w:tcPr>
          <w:p>
            <w:pPr>
              <w:spacing w:after="40" w:before="0" w:line="259" w:lineRule="auto"/>
            </w:pPr>
            <w:r>
              <w:rPr>
                <w:rFonts w:ascii="Calibri" w:hAnsi="Calibri"/>
                <w:b w:val="0"/>
                <w:i w:val="0"/>
                <w:color w:val="212121"/>
                <w:sz w:val="16"/>
              </w:rPr>
              <w:t>Anaemia; microcytic (iron) or macrocytic (B12/folate) picture</w:t>
            </w:r>
          </w:p>
        </w:tc>
        <w:tc>
          <w:tcPr>
            <w:tcW w:type="dxa" w:w="1036"/>
            <w:vAlign w:val="top"/>
          </w:tcPr>
          <w:p>
            <w:pPr>
              <w:spacing w:after="40" w:before="0" w:line="259" w:lineRule="auto"/>
            </w:pPr>
            <w:r>
              <w:rPr>
                <w:rFonts w:ascii="Calibri" w:hAnsi="Calibri"/>
                <w:b w:val="0"/>
                <w:i w:val="0"/>
                <w:color w:val="212121"/>
                <w:sz w:val="16"/>
              </w:rPr>
              <w:t>First-line screen; MCV/RDW point to the deficient nutrient(s)</w:t>
            </w:r>
          </w:p>
        </w:tc>
        <w:tc>
          <w:tcPr>
            <w:tcW w:type="dxa" w:w="1036"/>
            <w:vAlign w:val="top"/>
          </w:tcPr>
          <w:p>
            <w:pPr>
              <w:spacing w:after="40" w:before="0" w:line="259" w:lineRule="auto"/>
            </w:pPr>
            <w:r>
              <w:rPr>
                <w:rFonts w:ascii="Calibri" w:hAnsi="Calibri"/>
                <w:b w:val="0"/>
                <w:i w:val="0"/>
                <w:color w:val="212121"/>
                <w:sz w:val="16"/>
              </w:rPr>
              <w:t>Women, children, pregnancy, elderly,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Dimorphic picture common when iron plus B12/folate deficiency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 + iron studies (TSAT)</w:t>
            </w:r>
          </w:p>
        </w:tc>
        <w:tc>
          <w:tcPr>
            <w:tcW w:type="dxa" w:w="892"/>
            <w:vAlign w:val="top"/>
          </w:tcPr>
          <w:p>
            <w:pPr>
              <w:spacing w:after="40" w:before="0" w:line="259" w:lineRule="auto"/>
            </w:pPr>
            <w:r>
              <w:rPr>
                <w:rFonts w:ascii="Calibri" w:hAnsi="Calibri"/>
                <w:b w:val="0"/>
                <w:i w:val="0"/>
                <w:color w:val="212121"/>
                <w:sz w:val="16"/>
              </w:rPr>
              <w:t>Iron status panel</w:t>
            </w:r>
          </w:p>
        </w:tc>
        <w:tc>
          <w:tcPr>
            <w:tcW w:type="dxa" w:w="950"/>
            <w:vAlign w:val="top"/>
          </w:tcPr>
          <w:p>
            <w:pPr>
              <w:spacing w:after="40" w:before="0" w:line="259" w:lineRule="auto"/>
            </w:pPr>
            <w:r>
              <w:rPr>
                <w:rFonts w:ascii="Calibri" w:hAnsi="Calibri"/>
                <w:b w:val="0"/>
                <w:i w:val="0"/>
                <w:color w:val="212121"/>
                <w:sz w:val="16"/>
              </w:rPr>
              <w:t>Ferritin ≥ 30 µg/L; TSAT 20–45%</w:t>
            </w:r>
          </w:p>
        </w:tc>
        <w:tc>
          <w:tcPr>
            <w:tcW w:type="dxa" w:w="950"/>
            <w:vAlign w:val="top"/>
          </w:tcPr>
          <w:p>
            <w:pPr>
              <w:spacing w:after="40" w:before="0" w:line="259" w:lineRule="auto"/>
            </w:pPr>
            <w:r>
              <w:rPr>
                <w:rFonts w:ascii="Calibri" w:hAnsi="Calibri"/>
                <w:b w:val="0"/>
                <w:i w:val="0"/>
                <w:color w:val="212121"/>
                <w:sz w:val="16"/>
              </w:rPr>
              <w:t>Ferritin &lt; 15 µg/L; low TSAT</w:t>
            </w:r>
          </w:p>
        </w:tc>
        <w:tc>
          <w:tcPr>
            <w:tcW w:type="dxa" w:w="1036"/>
            <w:vAlign w:val="top"/>
          </w:tcPr>
          <w:p>
            <w:pPr>
              <w:spacing w:after="40" w:before="0" w:line="259" w:lineRule="auto"/>
            </w:pPr>
            <w:r>
              <w:rPr>
                <w:rFonts w:ascii="Calibri" w:hAnsi="Calibri"/>
                <w:b w:val="0"/>
                <w:i w:val="0"/>
                <w:color w:val="212121"/>
                <w:sz w:val="16"/>
              </w:rPr>
              <w:t>Confirms iron deficiency and gauges stores</w:t>
            </w:r>
          </w:p>
        </w:tc>
        <w:tc>
          <w:tcPr>
            <w:tcW w:type="dxa" w:w="1036"/>
            <w:vAlign w:val="top"/>
          </w:tcPr>
          <w:p>
            <w:pPr>
              <w:spacing w:after="40" w:before="0" w:line="259" w:lineRule="auto"/>
            </w:pPr>
            <w:r>
              <w:rPr>
                <w:rFonts w:ascii="Calibri" w:hAnsi="Calibri"/>
                <w:b w:val="0"/>
                <w:i w:val="0"/>
                <w:color w:val="212121"/>
                <w:sz w:val="16"/>
              </w:rPr>
              <w:t>Menstruating women, children, blood loss, pregnancy</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Ferritin is an acute-phase reactant —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deficient; 20–30 insufficient</w:t>
            </w:r>
          </w:p>
        </w:tc>
        <w:tc>
          <w:tcPr>
            <w:tcW w:type="dxa" w:w="1036"/>
            <w:vAlign w:val="top"/>
          </w:tcPr>
          <w:p>
            <w:pPr>
              <w:spacing w:after="40" w:before="0" w:line="259" w:lineRule="auto"/>
            </w:pPr>
            <w:r>
              <w:rPr>
                <w:rFonts w:ascii="Calibri" w:hAnsi="Calibri"/>
                <w:b w:val="0"/>
                <w:i w:val="0"/>
                <w:color w:val="212121"/>
                <w:sz w:val="16"/>
              </w:rPr>
              <w:t>Best marker of vitamin D status</w:t>
            </w:r>
          </w:p>
        </w:tc>
        <w:tc>
          <w:tcPr>
            <w:tcW w:type="dxa" w:w="1036"/>
            <w:vAlign w:val="top"/>
          </w:tcPr>
          <w:p>
            <w:pPr>
              <w:spacing w:after="40" w:before="0" w:line="259" w:lineRule="auto"/>
            </w:pPr>
            <w:r>
              <w:rPr>
                <w:rFonts w:ascii="Calibri" w:hAnsi="Calibri"/>
                <w:b w:val="0"/>
                <w:i w:val="0"/>
                <w:color w:val="212121"/>
                <w:sz w:val="16"/>
              </w:rPr>
              <w:t>Indoor workers, elderly, veiled, dark skin, pregnancy</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Very high deficiency across Indian cohorts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 (± MMA / homocysteine)</w:t>
            </w:r>
          </w:p>
        </w:tc>
        <w:tc>
          <w:tcPr>
            <w:tcW w:type="dxa" w:w="892"/>
            <w:vAlign w:val="top"/>
          </w:tcPr>
          <w:p>
            <w:pPr>
              <w:spacing w:after="40" w:before="0" w:line="259" w:lineRule="auto"/>
            </w:pPr>
            <w:r>
              <w:rPr>
                <w:rFonts w:ascii="Calibri" w:hAnsi="Calibri"/>
                <w:b w:val="0"/>
                <w:i w:val="0"/>
                <w:color w:val="212121"/>
                <w:sz w:val="16"/>
              </w:rPr>
              <w:t>B12 assay</w:t>
            </w:r>
          </w:p>
        </w:tc>
        <w:tc>
          <w:tcPr>
            <w:tcW w:type="dxa" w:w="950"/>
            <w:vAlign w:val="top"/>
          </w:tcPr>
          <w:p>
            <w:pPr>
              <w:spacing w:after="40" w:before="0" w:line="259" w:lineRule="auto"/>
            </w:pPr>
            <w:r>
              <w:rPr>
                <w:rFonts w:ascii="Calibri" w:hAnsi="Calibri"/>
                <w:b w:val="0"/>
                <w:i w:val="0"/>
                <w:color w:val="212121"/>
                <w:sz w:val="16"/>
              </w:rPr>
              <w:t>&gt; 300 pg/mL</w:t>
            </w:r>
          </w:p>
        </w:tc>
        <w:tc>
          <w:tcPr>
            <w:tcW w:type="dxa" w:w="950"/>
            <w:vAlign w:val="top"/>
          </w:tcPr>
          <w:p>
            <w:pPr>
              <w:spacing w:after="40" w:before="0" w:line="259" w:lineRule="auto"/>
            </w:pPr>
            <w:r>
              <w:rPr>
                <w:rFonts w:ascii="Calibri" w:hAnsi="Calibri"/>
                <w:b w:val="0"/>
                <w:i w:val="0"/>
                <w:color w:val="212121"/>
                <w:sz w:val="16"/>
              </w:rPr>
              <w:t>&lt; 200 pg/mL; raised MMA/homocysteine</w:t>
            </w:r>
          </w:p>
        </w:tc>
        <w:tc>
          <w:tcPr>
            <w:tcW w:type="dxa" w:w="1036"/>
            <w:vAlign w:val="top"/>
          </w:tcPr>
          <w:p>
            <w:pPr>
              <w:spacing w:after="40" w:before="0" w:line="259" w:lineRule="auto"/>
            </w:pPr>
            <w:r>
              <w:rPr>
                <w:rFonts w:ascii="Calibri" w:hAnsi="Calibri"/>
                <w:b w:val="0"/>
                <w:i w:val="0"/>
                <w:color w:val="212121"/>
                <w:sz w:val="16"/>
              </w:rPr>
              <w:t>Detects B12 deficiency; functional markers confirm borderline cases</w:t>
            </w:r>
          </w:p>
        </w:tc>
        <w:tc>
          <w:tcPr>
            <w:tcW w:type="dxa" w:w="1036"/>
            <w:vAlign w:val="top"/>
          </w:tcPr>
          <w:p>
            <w:pPr>
              <w:spacing w:after="40" w:before="0" w:line="259" w:lineRule="auto"/>
            </w:pPr>
            <w:r>
              <w:rPr>
                <w:rFonts w:ascii="Calibri" w:hAnsi="Calibri"/>
                <w:b w:val="0"/>
                <w:i w:val="0"/>
                <w:color w:val="212121"/>
                <w:sz w:val="16"/>
              </w:rPr>
              <w:t>Vegetarians, elderly, metformin/PPI users, pregnancy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Neurological deficiency can occur at low-normal levels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 red-cell folate</w:t>
            </w:r>
          </w:p>
        </w:tc>
        <w:tc>
          <w:tcPr>
            <w:tcW w:type="dxa" w:w="892"/>
            <w:vAlign w:val="top"/>
          </w:tcPr>
          <w:p>
            <w:pPr>
              <w:spacing w:after="40" w:before="0" w:line="259" w:lineRule="auto"/>
            </w:pPr>
            <w:r>
              <w:rPr>
                <w:rFonts w:ascii="Calibri" w:hAnsi="Calibri"/>
                <w:b w:val="0"/>
                <w:i w:val="0"/>
                <w:color w:val="212121"/>
                <w:sz w:val="16"/>
              </w:rPr>
              <w:t>Folate assay</w:t>
            </w:r>
          </w:p>
        </w:tc>
        <w:tc>
          <w:tcPr>
            <w:tcW w:type="dxa" w:w="950"/>
            <w:vAlign w:val="top"/>
          </w:tcPr>
          <w:p>
            <w:pPr>
              <w:spacing w:after="40" w:before="0" w:line="259" w:lineRule="auto"/>
            </w:pPr>
            <w:r>
              <w:rPr>
                <w:rFonts w:ascii="Calibri" w:hAnsi="Calibri"/>
                <w:b w:val="0"/>
                <w:i w:val="0"/>
                <w:color w:val="212121"/>
                <w:sz w:val="16"/>
              </w:rPr>
              <w:t>Serum &gt; 4 ng/mL</w:t>
            </w:r>
          </w:p>
        </w:tc>
        <w:tc>
          <w:tcPr>
            <w:tcW w:type="dxa" w:w="950"/>
            <w:vAlign w:val="top"/>
          </w:tcPr>
          <w:p>
            <w:pPr>
              <w:spacing w:after="40" w:before="0" w:line="259" w:lineRule="auto"/>
            </w:pPr>
            <w:r>
              <w:rPr>
                <w:rFonts w:ascii="Calibri" w:hAnsi="Calibri"/>
                <w:b w:val="0"/>
                <w:i w:val="0"/>
                <w:color w:val="212121"/>
                <w:sz w:val="16"/>
              </w:rPr>
              <w:t>Serum &lt; 3 ng/mL / low RBC folate</w:t>
            </w:r>
          </w:p>
        </w:tc>
        <w:tc>
          <w:tcPr>
            <w:tcW w:type="dxa" w:w="1036"/>
            <w:vAlign w:val="top"/>
          </w:tcPr>
          <w:p>
            <w:pPr>
              <w:spacing w:after="40" w:before="0" w:line="259" w:lineRule="auto"/>
            </w:pPr>
            <w:r>
              <w:rPr>
                <w:rFonts w:ascii="Calibri" w:hAnsi="Calibri"/>
                <w:b w:val="0"/>
                <w:i w:val="0"/>
                <w:color w:val="212121"/>
                <w:sz w:val="16"/>
              </w:rPr>
              <w:t>Detects folate deficiency; RBC folate reflects longer-term status</w:t>
            </w:r>
          </w:p>
        </w:tc>
        <w:tc>
          <w:tcPr>
            <w:tcW w:type="dxa" w:w="1036"/>
            <w:vAlign w:val="top"/>
          </w:tcPr>
          <w:p>
            <w:pPr>
              <w:spacing w:after="40" w:before="0" w:line="259" w:lineRule="auto"/>
            </w:pPr>
            <w:r>
              <w:rPr>
                <w:rFonts w:ascii="Calibri" w:hAnsi="Calibri"/>
                <w:b w:val="0"/>
                <w:i w:val="0"/>
                <w:color w:val="212121"/>
                <w:sz w:val="16"/>
              </w:rPr>
              <w:t>Adolescents, pregnancy, alcohol, malabsorption</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Correct B12 before folate to avoid masking neurological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 &amp; serum retinol (vitamin A)</w:t>
            </w:r>
          </w:p>
        </w:tc>
        <w:tc>
          <w:tcPr>
            <w:tcW w:type="dxa" w:w="892"/>
            <w:vAlign w:val="top"/>
          </w:tcPr>
          <w:p>
            <w:pPr>
              <w:spacing w:after="40" w:before="0" w:line="259" w:lineRule="auto"/>
            </w:pPr>
            <w:r>
              <w:rPr>
                <w:rFonts w:ascii="Calibri" w:hAnsi="Calibri"/>
                <w:b w:val="0"/>
                <w:i w:val="0"/>
                <w:color w:val="212121"/>
                <w:sz w:val="16"/>
              </w:rPr>
              <w:t>Trace-element / vitamin A assay</w:t>
            </w:r>
          </w:p>
        </w:tc>
        <w:tc>
          <w:tcPr>
            <w:tcW w:type="dxa" w:w="950"/>
            <w:vAlign w:val="top"/>
          </w:tcPr>
          <w:p>
            <w:pPr>
              <w:spacing w:after="40" w:before="0" w:line="259" w:lineRule="auto"/>
            </w:pPr>
            <w:r>
              <w:rPr>
                <w:rFonts w:ascii="Calibri" w:hAnsi="Calibri"/>
                <w:b w:val="0"/>
                <w:i w:val="0"/>
                <w:color w:val="212121"/>
                <w:sz w:val="16"/>
              </w:rPr>
              <w:t>Zinc ≥ 70 µg/dL; retinol ≥ 20 µg/dL</w:t>
            </w:r>
          </w:p>
        </w:tc>
        <w:tc>
          <w:tcPr>
            <w:tcW w:type="dxa" w:w="950"/>
            <w:vAlign w:val="top"/>
          </w:tcPr>
          <w:p>
            <w:pPr>
              <w:spacing w:after="40" w:before="0" w:line="259" w:lineRule="auto"/>
            </w:pPr>
            <w:r>
              <w:rPr>
                <w:rFonts w:ascii="Calibri" w:hAnsi="Calibri"/>
                <w:b w:val="0"/>
                <w:i w:val="0"/>
                <w:color w:val="212121"/>
                <w:sz w:val="16"/>
              </w:rPr>
              <w:t>Zinc &lt; 70 µg/dL; retinol &lt; 20 µg/dL</w:t>
            </w:r>
          </w:p>
        </w:tc>
        <w:tc>
          <w:tcPr>
            <w:tcW w:type="dxa" w:w="1036"/>
            <w:vAlign w:val="top"/>
          </w:tcPr>
          <w:p>
            <w:pPr>
              <w:spacing w:after="40" w:before="0" w:line="259" w:lineRule="auto"/>
            </w:pPr>
            <w:r>
              <w:rPr>
                <w:rFonts w:ascii="Calibri" w:hAnsi="Calibri"/>
                <w:b w:val="0"/>
                <w:i w:val="0"/>
                <w:color w:val="212121"/>
                <w:sz w:val="16"/>
              </w:rPr>
              <w:t>Detects zinc and vitamin A deficiency</w:t>
            </w:r>
          </w:p>
        </w:tc>
        <w:tc>
          <w:tcPr>
            <w:tcW w:type="dxa" w:w="1036"/>
            <w:vAlign w:val="top"/>
          </w:tcPr>
          <w:p>
            <w:pPr>
              <w:spacing w:after="40" w:before="0" w:line="259" w:lineRule="auto"/>
            </w:pPr>
            <w:r>
              <w:rPr>
                <w:rFonts w:ascii="Calibri" w:hAnsi="Calibri"/>
                <w:b w:val="0"/>
                <w:i w:val="0"/>
                <w:color w:val="212121"/>
                <w:sz w:val="16"/>
              </w:rPr>
              <w:t>Preschool/adolescent children,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Both fall with infection/inflammation — interpret in clinical context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phosphate, ALP, PTH</w:t>
            </w:r>
          </w:p>
        </w:tc>
        <w:tc>
          <w:tcPr>
            <w:tcW w:type="dxa" w:w="892"/>
            <w:vAlign w:val="top"/>
          </w:tcPr>
          <w:p>
            <w:pPr>
              <w:spacing w:after="40" w:before="0" w:line="259" w:lineRule="auto"/>
            </w:pPr>
            <w:r>
              <w:rPr>
                <w:rFonts w:ascii="Calibri" w:hAnsi="Calibri"/>
                <w:b w:val="0"/>
                <w:i w:val="0"/>
                <w:color w:val="212121"/>
                <w:sz w:val="16"/>
              </w:rPr>
              <w:t>Bone / calcium panel</w:t>
            </w:r>
          </w:p>
        </w:tc>
        <w:tc>
          <w:tcPr>
            <w:tcW w:type="dxa" w:w="950"/>
            <w:vAlign w:val="top"/>
          </w:tcPr>
          <w:p>
            <w:pPr>
              <w:spacing w:after="40" w:before="0" w:line="259" w:lineRule="auto"/>
            </w:pPr>
            <w:r>
              <w:rPr>
                <w:rFonts w:ascii="Calibri" w:hAnsi="Calibri"/>
                <w:b w:val="0"/>
                <w:i w:val="0"/>
                <w:color w:val="212121"/>
                <w:sz w:val="16"/>
              </w:rPr>
              <w:t>Corrected Ca 8.5–10.5 mg/dL; normal ALP &amp; PTH</w:t>
            </w:r>
          </w:p>
        </w:tc>
        <w:tc>
          <w:tcPr>
            <w:tcW w:type="dxa" w:w="950"/>
            <w:vAlign w:val="top"/>
          </w:tcPr>
          <w:p>
            <w:pPr>
              <w:spacing w:after="40" w:before="0" w:line="259" w:lineRule="auto"/>
            </w:pPr>
            <w:r>
              <w:rPr>
                <w:rFonts w:ascii="Calibri" w:hAnsi="Calibri"/>
                <w:b w:val="0"/>
                <w:i w:val="0"/>
                <w:color w:val="212121"/>
                <w:sz w:val="16"/>
              </w:rPr>
              <w:t>Low/low-normal Ca &amp; PO4, raised ALP &amp; PTH</w:t>
            </w:r>
          </w:p>
        </w:tc>
        <w:tc>
          <w:tcPr>
            <w:tcW w:type="dxa" w:w="1036"/>
            <w:vAlign w:val="top"/>
          </w:tcPr>
          <w:p>
            <w:pPr>
              <w:spacing w:after="40" w:before="0" w:line="259" w:lineRule="auto"/>
            </w:pPr>
            <w:r>
              <w:rPr>
                <w:rFonts w:ascii="Calibri" w:hAnsi="Calibri"/>
                <w:b w:val="0"/>
                <w:i w:val="0"/>
                <w:color w:val="212121"/>
                <w:sz w:val="16"/>
              </w:rPr>
              <w:t>Detects calcium/vitamin D deficiency and osteomalacia</w:t>
            </w:r>
          </w:p>
        </w:tc>
        <w:tc>
          <w:tcPr>
            <w:tcW w:type="dxa" w:w="1036"/>
            <w:vAlign w:val="top"/>
          </w:tcPr>
          <w:p>
            <w:pPr>
              <w:spacing w:after="40" w:before="0" w:line="259" w:lineRule="auto"/>
            </w:pPr>
            <w:r>
              <w:rPr>
                <w:rFonts w:ascii="Calibri" w:hAnsi="Calibri"/>
                <w:b w:val="0"/>
                <w:i w:val="0"/>
                <w:color w:val="212121"/>
                <w:sz w:val="16"/>
              </w:rPr>
              <w:t>Women, elderly, vegetarians, limited sun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Secondary hyperparathyroidism is an early clue to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Urinary iodine concentration / TSH</w:t>
            </w:r>
          </w:p>
        </w:tc>
        <w:tc>
          <w:tcPr>
            <w:tcW w:type="dxa" w:w="892"/>
            <w:vAlign w:val="top"/>
          </w:tcPr>
          <w:p>
            <w:pPr>
              <w:spacing w:after="40" w:before="0" w:line="259" w:lineRule="auto"/>
            </w:pPr>
            <w:r>
              <w:rPr>
                <w:rFonts w:ascii="Calibri" w:hAnsi="Calibri"/>
                <w:b w:val="0"/>
                <w:i w:val="0"/>
                <w:color w:val="212121"/>
                <w:sz w:val="16"/>
              </w:rPr>
              <w:t>Iodine status</w:t>
            </w:r>
          </w:p>
        </w:tc>
        <w:tc>
          <w:tcPr>
            <w:tcW w:type="dxa" w:w="950"/>
            <w:vAlign w:val="top"/>
          </w:tcPr>
          <w:p>
            <w:pPr>
              <w:spacing w:after="40" w:before="0" w:line="259" w:lineRule="auto"/>
            </w:pPr>
            <w:r>
              <w:rPr>
                <w:rFonts w:ascii="Calibri" w:hAnsi="Calibri"/>
                <w:b w:val="0"/>
                <w:i w:val="0"/>
                <w:color w:val="212121"/>
                <w:sz w:val="16"/>
              </w:rPr>
              <w:t>Median UIC 100–299 µg/L; normal TSH</w:t>
            </w:r>
          </w:p>
        </w:tc>
        <w:tc>
          <w:tcPr>
            <w:tcW w:type="dxa" w:w="950"/>
            <w:vAlign w:val="top"/>
          </w:tcPr>
          <w:p>
            <w:pPr>
              <w:spacing w:after="40" w:before="0" w:line="259" w:lineRule="auto"/>
            </w:pPr>
            <w:r>
              <w:rPr>
                <w:rFonts w:ascii="Calibri" w:hAnsi="Calibri"/>
                <w:b w:val="0"/>
                <w:i w:val="0"/>
                <w:color w:val="212121"/>
                <w:sz w:val="16"/>
              </w:rPr>
              <w:t>UIC &lt; 100 µg/L (&lt; 150 pregnancy); raised TSH if severe</w:t>
            </w:r>
          </w:p>
        </w:tc>
        <w:tc>
          <w:tcPr>
            <w:tcW w:type="dxa" w:w="1036"/>
            <w:vAlign w:val="top"/>
          </w:tcPr>
          <w:p>
            <w:pPr>
              <w:spacing w:after="40" w:before="0" w:line="259" w:lineRule="auto"/>
            </w:pPr>
            <w:r>
              <w:rPr>
                <w:rFonts w:ascii="Calibri" w:hAnsi="Calibri"/>
                <w:b w:val="0"/>
                <w:i w:val="0"/>
                <w:color w:val="212121"/>
                <w:sz w:val="16"/>
              </w:rPr>
              <w:t>Population/individual iodine status</w:t>
            </w:r>
          </w:p>
        </w:tc>
        <w:tc>
          <w:tcPr>
            <w:tcW w:type="dxa" w:w="1036"/>
            <w:vAlign w:val="top"/>
          </w:tcPr>
          <w:p>
            <w:pPr>
              <w:spacing w:after="40" w:before="0" w:line="259" w:lineRule="auto"/>
            </w:pPr>
            <w:r>
              <w:rPr>
                <w:rFonts w:ascii="Calibri" w:hAnsi="Calibri"/>
                <w:b w:val="0"/>
                <w:i w:val="0"/>
                <w:color w:val="212121"/>
                <w:sz w:val="16"/>
              </w:rPr>
              <w:t>Endemic belts, pregnancy, goitre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UIC is a population marker; use with goitre survey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food-security history</w:t>
            </w:r>
          </w:p>
        </w:tc>
        <w:tc>
          <w:tcPr>
            <w:tcW w:type="dxa" w:w="979"/>
            <w:vAlign w:val="top"/>
          </w:tcPr>
          <w:p>
            <w:pPr>
              <w:spacing w:after="40" w:before="0" w:line="259" w:lineRule="auto"/>
            </w:pPr>
            <w:r>
              <w:rPr>
                <w:rFonts w:ascii="Calibri" w:hAnsi="Calibri"/>
                <w:b w:val="0"/>
                <w:i w:val="0"/>
                <w:color w:val="212121"/>
                <w:sz w:val="16"/>
              </w:rPr>
              <w:t>Dietary diversity, vegetarian pattern, dairy/animal-food intake, fortification/supplements</w:t>
            </w:r>
          </w:p>
        </w:tc>
        <w:tc>
          <w:tcPr>
            <w:tcW w:type="dxa" w:w="950"/>
            <w:vAlign w:val="top"/>
          </w:tcPr>
          <w:p>
            <w:pPr>
              <w:spacing w:after="40" w:before="0" w:line="259" w:lineRule="auto"/>
            </w:pPr>
            <w:r>
              <w:rPr>
                <w:rFonts w:ascii="Calibri" w:hAnsi="Calibri"/>
                <w:b w:val="0"/>
                <w:i w:val="0"/>
                <w:color w:val="212121"/>
                <w:sz w:val="16"/>
              </w:rPr>
              <w:t>Diverse, adequate, supplemented where needed</w:t>
            </w:r>
          </w:p>
        </w:tc>
        <w:tc>
          <w:tcPr>
            <w:tcW w:type="dxa" w:w="950"/>
            <w:vAlign w:val="top"/>
          </w:tcPr>
          <w:p>
            <w:pPr>
              <w:spacing w:after="40" w:before="0" w:line="259" w:lineRule="auto"/>
            </w:pPr>
            <w:r>
              <w:rPr>
                <w:rFonts w:ascii="Calibri" w:hAnsi="Calibri"/>
                <w:b w:val="0"/>
                <w:i w:val="0"/>
                <w:color w:val="212121"/>
                <w:sz w:val="16"/>
              </w:rPr>
              <w:t>Monotonous cereal-based/vegetarian diet, food insecurity</w:t>
            </w:r>
          </w:p>
        </w:tc>
        <w:tc>
          <w:tcPr>
            <w:tcW w:type="dxa" w:w="1036"/>
            <w:vAlign w:val="top"/>
          </w:tcPr>
          <w:p>
            <w:pPr>
              <w:spacing w:after="40" w:before="0" w:line="259" w:lineRule="auto"/>
            </w:pPr>
            <w:r>
              <w:rPr>
                <w:rFonts w:ascii="Calibri" w:hAnsi="Calibri"/>
                <w:b w:val="0"/>
                <w:i w:val="0"/>
                <w:color w:val="212121"/>
                <w:sz w:val="16"/>
              </w:rPr>
              <w:t>Identifies the dominant, modifiable cause of deficiency in India</w:t>
            </w:r>
          </w:p>
        </w:tc>
        <w:tc>
          <w:tcPr>
            <w:tcW w:type="dxa" w:w="1036"/>
            <w:vAlign w:val="top"/>
          </w:tcPr>
          <w:p>
            <w:pPr>
              <w:spacing w:after="40" w:before="0" w:line="259" w:lineRule="auto"/>
            </w:pPr>
            <w:r>
              <w:rPr>
                <w:rFonts w:ascii="Calibri" w:hAnsi="Calibri"/>
                <w:b w:val="0"/>
                <w:i w:val="0"/>
                <w:color w:val="212121"/>
                <w:sz w:val="16"/>
              </w:rPr>
              <w:t>Low-income households, vegetarians, pregnancy,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Key first-line assessment before and alongside biomarkers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surgical, GI &amp; sun-exposure history</w:t>
            </w:r>
          </w:p>
        </w:tc>
        <w:tc>
          <w:tcPr>
            <w:tcW w:type="dxa" w:w="979"/>
            <w:vAlign w:val="top"/>
          </w:tcPr>
          <w:p>
            <w:pPr>
              <w:spacing w:after="40" w:before="0" w:line="259" w:lineRule="auto"/>
            </w:pPr>
            <w:r>
              <w:rPr>
                <w:rFonts w:ascii="Calibri" w:hAnsi="Calibri"/>
                <w:b w:val="0"/>
                <w:i w:val="0"/>
                <w:color w:val="212121"/>
                <w:sz w:val="16"/>
              </w:rPr>
              <w:t>Metformin, PPI, methotrexate; bariatric/GI surgery; malabsorption; outdoor time</w:t>
            </w:r>
          </w:p>
        </w:tc>
        <w:tc>
          <w:tcPr>
            <w:tcW w:type="dxa" w:w="950"/>
            <w:vAlign w:val="top"/>
          </w:tcPr>
          <w:p>
            <w:pPr>
              <w:spacing w:after="40" w:before="0" w:line="259" w:lineRule="auto"/>
            </w:pPr>
            <w:r>
              <w:rPr>
                <w:rFonts w:ascii="Calibri" w:hAnsi="Calibri"/>
                <w:b w:val="0"/>
                <w:i w:val="0"/>
                <w:color w:val="212121"/>
                <w:sz w:val="16"/>
              </w:rPr>
              <w:t>No relevant drugs, surgery or malabsorption; adequate sun</w:t>
            </w:r>
          </w:p>
        </w:tc>
        <w:tc>
          <w:tcPr>
            <w:tcW w:type="dxa" w:w="950"/>
            <w:vAlign w:val="top"/>
          </w:tcPr>
          <w:p>
            <w:pPr>
              <w:spacing w:after="40" w:before="0" w:line="259" w:lineRule="auto"/>
            </w:pPr>
            <w:r>
              <w:rPr>
                <w:rFonts w:ascii="Calibri" w:hAnsi="Calibri"/>
                <w:b w:val="0"/>
                <w:i w:val="0"/>
                <w:color w:val="212121"/>
                <w:sz w:val="16"/>
              </w:rPr>
              <w:t>At-risk drugs/surgery, malabsorptive disease, indoor lifestyle</w:t>
            </w:r>
          </w:p>
        </w:tc>
        <w:tc>
          <w:tcPr>
            <w:tcW w:type="dxa" w:w="1036"/>
            <w:vAlign w:val="top"/>
          </w:tcPr>
          <w:p>
            <w:pPr>
              <w:spacing w:after="40" w:before="0" w:line="259" w:lineRule="auto"/>
            </w:pPr>
            <w:r>
              <w:rPr>
                <w:rFonts w:ascii="Calibri" w:hAnsi="Calibri"/>
                <w:b w:val="0"/>
                <w:i w:val="0"/>
                <w:color w:val="212121"/>
                <w:sz w:val="16"/>
              </w:rPr>
              <w:t>Flags drug-induced, malabsorptive and vitamin D risk factors</w:t>
            </w:r>
          </w:p>
        </w:tc>
        <w:tc>
          <w:tcPr>
            <w:tcW w:type="dxa" w:w="1036"/>
            <w:vAlign w:val="top"/>
          </w:tcPr>
          <w:p>
            <w:pPr>
              <w:spacing w:after="40" w:before="0" w:line="259" w:lineRule="auto"/>
            </w:pPr>
            <w:r>
              <w:rPr>
                <w:rFonts w:ascii="Calibri" w:hAnsi="Calibri"/>
                <w:b w:val="0"/>
                <w:i w:val="0"/>
                <w:color w:val="212121"/>
                <w:sz w:val="16"/>
              </w:rPr>
              <w:t>Diabetics, post-surgical, IBD/coeliac, indoor workers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which biomarkers to test and monitor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Fatigue, breathlessness, night blindness, paraesthesia, bone/muscle pain, poor appetite, hair loss</w:t>
            </w:r>
          </w:p>
        </w:tc>
        <w:tc>
          <w:tcPr>
            <w:tcW w:type="dxa" w:w="950"/>
            <w:vAlign w:val="top"/>
          </w:tcPr>
          <w:p>
            <w:pPr>
              <w:spacing w:after="40" w:before="0" w:line="259" w:lineRule="auto"/>
            </w:pPr>
            <w:r>
              <w:rPr>
                <w:rFonts w:ascii="Calibri" w:hAnsi="Calibri"/>
                <w:b w:val="0"/>
                <w:i w:val="0"/>
                <w:color w:val="212121"/>
                <w:sz w:val="16"/>
              </w:rPr>
              <w:t>No deficiency symptoms</w:t>
            </w:r>
          </w:p>
        </w:tc>
        <w:tc>
          <w:tcPr>
            <w:tcW w:type="dxa" w:w="950"/>
            <w:vAlign w:val="top"/>
          </w:tcPr>
          <w:p>
            <w:pPr>
              <w:spacing w:after="40" w:before="0" w:line="259" w:lineRule="auto"/>
            </w:pPr>
            <w:r>
              <w:rPr>
                <w:rFonts w:ascii="Calibri" w:hAnsi="Calibri"/>
                <w:b w:val="0"/>
                <w:i w:val="0"/>
                <w:color w:val="212121"/>
                <w:sz w:val="16"/>
              </w:rPr>
              <w:t>One or more nutrient-specific symptoms</w:t>
            </w:r>
          </w:p>
        </w:tc>
        <w:tc>
          <w:tcPr>
            <w:tcW w:type="dxa" w:w="1036"/>
            <w:vAlign w:val="top"/>
          </w:tcPr>
          <w:p>
            <w:pPr>
              <w:spacing w:after="40" w:before="0" w:line="259" w:lineRule="auto"/>
            </w:pPr>
            <w:r>
              <w:rPr>
                <w:rFonts w:ascii="Calibri" w:hAnsi="Calibri"/>
                <w:b w:val="0"/>
                <w:i w:val="0"/>
                <w:color w:val="212121"/>
                <w:sz w:val="16"/>
              </w:rPr>
              <w:t>Directs targeted testing for the suspected nutrient(s)</w:t>
            </w:r>
          </w:p>
        </w:tc>
        <w:tc>
          <w:tcPr>
            <w:tcW w:type="dxa" w:w="1036"/>
            <w:vAlign w:val="top"/>
          </w:tcPr>
          <w:p>
            <w:pPr>
              <w:spacing w:after="40" w:before="0" w:line="259" w:lineRule="auto"/>
            </w:pPr>
            <w:r>
              <w:rPr>
                <w:rFonts w:ascii="Calibri" w:hAnsi="Calibri"/>
                <w:b w:val="0"/>
                <w:i w:val="0"/>
                <w:color w:val="212121"/>
                <w:sz w:val="16"/>
              </w:rPr>
              <w:t>All at-risk groups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are often non-specific and overlap between deficiencies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&amp; anthropometric examination</w:t>
            </w:r>
          </w:p>
        </w:tc>
        <w:tc>
          <w:tcPr>
            <w:tcW w:type="dxa" w:w="979"/>
            <w:vAlign w:val="top"/>
          </w:tcPr>
          <w:p>
            <w:pPr>
              <w:spacing w:after="40" w:before="0" w:line="259" w:lineRule="auto"/>
            </w:pPr>
            <w:r>
              <w:rPr>
                <w:rFonts w:ascii="Calibri" w:hAnsi="Calibri"/>
                <w:b w:val="0"/>
                <w:i w:val="0"/>
                <w:color w:val="212121"/>
                <w:sz w:val="16"/>
              </w:rPr>
              <w:t>Pallor, BMI, growth/height-for-age in children, oedema</w:t>
            </w:r>
          </w:p>
        </w:tc>
        <w:tc>
          <w:tcPr>
            <w:tcW w:type="dxa" w:w="950"/>
            <w:vAlign w:val="top"/>
          </w:tcPr>
          <w:p>
            <w:pPr>
              <w:spacing w:after="40" w:before="0" w:line="259" w:lineRule="auto"/>
            </w:pPr>
            <w:r>
              <w:rPr>
                <w:rFonts w:ascii="Calibri" w:hAnsi="Calibri"/>
                <w:b w:val="0"/>
                <w:i w:val="0"/>
                <w:color w:val="212121"/>
                <w:sz w:val="16"/>
              </w:rPr>
              <w:t>Normal colour, growth and BMI</w:t>
            </w:r>
          </w:p>
        </w:tc>
        <w:tc>
          <w:tcPr>
            <w:tcW w:type="dxa" w:w="950"/>
            <w:vAlign w:val="top"/>
          </w:tcPr>
          <w:p>
            <w:pPr>
              <w:spacing w:after="40" w:before="0" w:line="259" w:lineRule="auto"/>
            </w:pPr>
            <w:r>
              <w:rPr>
                <w:rFonts w:ascii="Calibri" w:hAnsi="Calibri"/>
                <w:b w:val="0"/>
                <w:i w:val="0"/>
                <w:color w:val="212121"/>
                <w:sz w:val="16"/>
              </w:rPr>
              <w:t>Pallor, stunting/wasting, underweight, oedema</w:t>
            </w:r>
          </w:p>
        </w:tc>
        <w:tc>
          <w:tcPr>
            <w:tcW w:type="dxa" w:w="1036"/>
            <w:vAlign w:val="top"/>
          </w:tcPr>
          <w:p>
            <w:pPr>
              <w:spacing w:after="40" w:before="0" w:line="259" w:lineRule="auto"/>
            </w:pPr>
            <w:r>
              <w:rPr>
                <w:rFonts w:ascii="Calibri" w:hAnsi="Calibri"/>
                <w:b w:val="0"/>
                <w:i w:val="0"/>
                <w:color w:val="212121"/>
                <w:sz w:val="16"/>
              </w:rPr>
              <w:t>Detects anaemia and coexisting under-nutrition</w:t>
            </w:r>
          </w:p>
        </w:tc>
        <w:tc>
          <w:tcPr>
            <w:tcW w:type="dxa" w:w="1036"/>
            <w:vAlign w:val="top"/>
          </w:tcPr>
          <w:p>
            <w:pPr>
              <w:spacing w:after="40" w:before="0" w:line="259" w:lineRule="auto"/>
            </w:pPr>
            <w:r>
              <w:rPr>
                <w:rFonts w:ascii="Calibri" w:hAnsi="Calibri"/>
                <w:b w:val="0"/>
                <w:i w:val="0"/>
                <w:color w:val="212121"/>
                <w:sz w:val="16"/>
              </w:rPr>
              <w:t>Children, pregnancy, elderly, food-insecure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Growth faltering is an early sign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Mucocutaneous &amp; ocular examination</w:t>
            </w:r>
          </w:p>
        </w:tc>
        <w:tc>
          <w:tcPr>
            <w:tcW w:type="dxa" w:w="979"/>
            <w:vAlign w:val="top"/>
          </w:tcPr>
          <w:p>
            <w:pPr>
              <w:spacing w:after="40" w:before="0" w:line="259" w:lineRule="auto"/>
            </w:pPr>
            <w:r>
              <w:rPr>
                <w:rFonts w:ascii="Calibri" w:hAnsi="Calibri"/>
                <w:b w:val="0"/>
                <w:i w:val="0"/>
                <w:color w:val="212121"/>
                <w:sz w:val="16"/>
              </w:rPr>
              <w:t>Glossitis, angular stomatitis, koilonychia, follicular hyperkeratosis, Bitot’s spots, bleeding gums</w:t>
            </w:r>
          </w:p>
        </w:tc>
        <w:tc>
          <w:tcPr>
            <w:tcW w:type="dxa" w:w="950"/>
            <w:vAlign w:val="top"/>
          </w:tcPr>
          <w:p>
            <w:pPr>
              <w:spacing w:after="40" w:before="0" w:line="259" w:lineRule="auto"/>
            </w:pPr>
            <w:r>
              <w:rPr>
                <w:rFonts w:ascii="Calibri" w:hAnsi="Calibri"/>
                <w:b w:val="0"/>
                <w:i w:val="0"/>
                <w:color w:val="212121"/>
                <w:sz w:val="16"/>
              </w:rPr>
              <w:t>Normal tongue, nails, skin, gums and conjunctivae</w:t>
            </w:r>
          </w:p>
        </w:tc>
        <w:tc>
          <w:tcPr>
            <w:tcW w:type="dxa" w:w="950"/>
            <w:vAlign w:val="top"/>
          </w:tcPr>
          <w:p>
            <w:pPr>
              <w:spacing w:after="40" w:before="0" w:line="259" w:lineRule="auto"/>
            </w:pPr>
            <w:r>
              <w:rPr>
                <w:rFonts w:ascii="Calibri" w:hAnsi="Calibri"/>
                <w:b w:val="0"/>
                <w:i w:val="0"/>
                <w:color w:val="212121"/>
                <w:sz w:val="16"/>
              </w:rPr>
              <w:t>Deficiency-specific signs (see signs)</w:t>
            </w:r>
          </w:p>
        </w:tc>
        <w:tc>
          <w:tcPr>
            <w:tcW w:type="dxa" w:w="1036"/>
            <w:vAlign w:val="top"/>
          </w:tcPr>
          <w:p>
            <w:pPr>
              <w:spacing w:after="40" w:before="0" w:line="259" w:lineRule="auto"/>
            </w:pPr>
            <w:r>
              <w:rPr>
                <w:rFonts w:ascii="Calibri" w:hAnsi="Calibri"/>
                <w:b w:val="0"/>
                <w:i w:val="0"/>
                <w:color w:val="212121"/>
                <w:sz w:val="16"/>
              </w:rPr>
              <w:t>Points to iron, B-vitamin, vitamin A or vitamin C deficiency</w:t>
            </w:r>
          </w:p>
        </w:tc>
        <w:tc>
          <w:tcPr>
            <w:tcW w:type="dxa" w:w="1036"/>
            <w:vAlign w:val="top"/>
          </w:tcPr>
          <w:p>
            <w:pPr>
              <w:spacing w:after="40" w:before="0" w:line="259" w:lineRule="auto"/>
            </w:pPr>
            <w:r>
              <w:rPr>
                <w:rFonts w:ascii="Calibri" w:hAnsi="Calibri"/>
                <w:b w:val="0"/>
                <w:i w:val="0"/>
                <w:color w:val="212121"/>
                <w:sz w:val="16"/>
              </w:rPr>
              <w:t>Chronic/multiple deficiency,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Bitot’s spots and koilonychia are highly specific clues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Neck, skeletal &amp; neurological examination</w:t>
            </w:r>
          </w:p>
        </w:tc>
        <w:tc>
          <w:tcPr>
            <w:tcW w:type="dxa" w:w="979"/>
            <w:vAlign w:val="top"/>
          </w:tcPr>
          <w:p>
            <w:pPr>
              <w:spacing w:after="40" w:before="0" w:line="259" w:lineRule="auto"/>
            </w:pPr>
            <w:r>
              <w:rPr>
                <w:rFonts w:ascii="Calibri" w:hAnsi="Calibri"/>
                <w:b w:val="0"/>
                <w:i w:val="0"/>
                <w:color w:val="212121"/>
                <w:sz w:val="16"/>
              </w:rPr>
              <w:t>Goitre; bony tenderness/deformity, rickets signs; vibration/proprioception, reflexes, gait</w:t>
            </w:r>
          </w:p>
        </w:tc>
        <w:tc>
          <w:tcPr>
            <w:tcW w:type="dxa" w:w="950"/>
            <w:vAlign w:val="top"/>
          </w:tcPr>
          <w:p>
            <w:pPr>
              <w:spacing w:after="40" w:before="0" w:line="259" w:lineRule="auto"/>
            </w:pPr>
            <w:r>
              <w:rPr>
                <w:rFonts w:ascii="Calibri" w:hAnsi="Calibri"/>
                <w:b w:val="0"/>
                <w:i w:val="0"/>
                <w:color w:val="212121"/>
                <w:sz w:val="16"/>
              </w:rPr>
              <w:t>No goitre, normal bones and neurology</w:t>
            </w:r>
          </w:p>
        </w:tc>
        <w:tc>
          <w:tcPr>
            <w:tcW w:type="dxa" w:w="950"/>
            <w:vAlign w:val="top"/>
          </w:tcPr>
          <w:p>
            <w:pPr>
              <w:spacing w:after="40" w:before="0" w:line="259" w:lineRule="auto"/>
            </w:pPr>
            <w:r>
              <w:rPr>
                <w:rFonts w:ascii="Calibri" w:hAnsi="Calibri"/>
                <w:b w:val="0"/>
                <w:i w:val="0"/>
                <w:color w:val="212121"/>
                <w:sz w:val="16"/>
              </w:rPr>
              <w:t>Goitre (iodine); bowing/beading (vitamin D); sensory loss (B12/thiamine)</w:t>
            </w:r>
          </w:p>
        </w:tc>
        <w:tc>
          <w:tcPr>
            <w:tcW w:type="dxa" w:w="1036"/>
            <w:vAlign w:val="top"/>
          </w:tcPr>
          <w:p>
            <w:pPr>
              <w:spacing w:after="40" w:before="0" w:line="259" w:lineRule="auto"/>
            </w:pPr>
            <w:r>
              <w:rPr>
                <w:rFonts w:ascii="Calibri" w:hAnsi="Calibri"/>
                <w:b w:val="0"/>
                <w:i w:val="0"/>
                <w:color w:val="212121"/>
                <w:sz w:val="16"/>
              </w:rPr>
              <w:t>Detects iodine, vitamin D and B12/thiamine deficiency disease</w:t>
            </w:r>
          </w:p>
        </w:tc>
        <w:tc>
          <w:tcPr>
            <w:tcW w:type="dxa" w:w="1036"/>
            <w:vAlign w:val="top"/>
          </w:tcPr>
          <w:p>
            <w:pPr>
              <w:spacing w:after="40" w:before="0" w:line="259" w:lineRule="auto"/>
            </w:pPr>
            <w:r>
              <w:rPr>
                <w:rFonts w:ascii="Calibri" w:hAnsi="Calibri"/>
                <w:b w:val="0"/>
                <w:i w:val="0"/>
                <w:color w:val="212121"/>
                <w:sz w:val="16"/>
              </w:rPr>
              <w:t>Endemic belts, children, elderly, alcohol</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Neurological signs may precede anaemia in B12 deficiency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&amp;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 delivery from anaemia (iron/B12/folate) and impaired cellular energy metabolism; usually the earliest complaint.</w:t>
            </w:r>
          </w:p>
        </w:tc>
      </w:tr>
      <w:tr>
        <w:trPr>
          <w:cantSplit/>
        </w:trPr>
        <w:tc>
          <w:tcPr>
            <w:tcW w:type="dxa" w:w="2304"/>
            <w:vAlign w:val="top"/>
          </w:tcPr>
          <w:p>
            <w:pPr>
              <w:spacing w:after="40" w:before="0" w:line="259" w:lineRule="auto"/>
            </w:pPr>
            <w:r>
              <w:rPr>
                <w:rFonts w:ascii="Calibri" w:hAnsi="Calibri"/>
                <w:b/>
                <w:i w:val="0"/>
                <w:color w:val="212121"/>
                <w:sz w:val="19"/>
              </w:rPr>
              <w:t>Breathlessness on exertion &amp; 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response to nutritional anaemia.</w:t>
            </w:r>
          </w:p>
        </w:tc>
      </w:tr>
      <w:tr>
        <w:trPr>
          <w:cantSplit/>
        </w:trPr>
        <w:tc>
          <w:tcPr>
            <w:tcW w:type="dxa" w:w="2304"/>
            <w:vAlign w:val="top"/>
          </w:tcPr>
          <w:p>
            <w:pPr>
              <w:spacing w:after="40" w:before="0" w:line="259" w:lineRule="auto"/>
            </w:pPr>
            <w:r>
              <w:rPr>
                <w:rFonts w:ascii="Calibri" w:hAnsi="Calibri"/>
                <w:b/>
                <w:i w:val="0"/>
                <w:color w:val="212121"/>
                <w:sz w:val="19"/>
              </w:rPr>
              <w:t>Poor concentration &amp; “brain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B12, folate and iodine deficiency impair cognition, attention and, in children, learning.</w:t>
            </w:r>
          </w:p>
        </w:tc>
      </w:tr>
      <w:tr>
        <w:trPr>
          <w:cantSplit/>
        </w:trPr>
        <w:tc>
          <w:tcPr>
            <w:tcW w:type="dxa" w:w="2304"/>
            <w:vAlign w:val="top"/>
          </w:tcPr>
          <w:p>
            <w:pPr>
              <w:spacing w:after="40" w:before="0" w:line="259" w:lineRule="auto"/>
            </w:pPr>
            <w:r>
              <w:rPr>
                <w:rFonts w:ascii="Calibri" w:hAnsi="Calibri"/>
                <w:b/>
                <w:i w:val="0"/>
                <w:color w:val="212121"/>
                <w:sz w:val="19"/>
              </w:rPr>
              <w:t>Frequent or prolonged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Vitamin A, zinc, vitamin D and iron deficiency weaken mucosal and immune defences.</w:t>
            </w:r>
          </w:p>
        </w:tc>
      </w:tr>
      <w:tr>
        <w:trPr>
          <w:cantSplit/>
        </w:trPr>
        <w:tc>
          <w:tcPr>
            <w:tcW w:type="dxa" w:w="2304"/>
            <w:vAlign w:val="top"/>
          </w:tcPr>
          <w:p>
            <w:pPr>
              <w:spacing w:after="40" w:before="0" w:line="259" w:lineRule="auto"/>
            </w:pPr>
            <w:r>
              <w:rPr>
                <w:rFonts w:ascii="Calibri" w:hAnsi="Calibri"/>
                <w:b/>
                <w:i w:val="0"/>
                <w:color w:val="212121"/>
                <w:sz w:val="19"/>
              </w:rPr>
              <w:t>Hair loss, brittle nails &amp; dry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zinc and biotin deficiency affect rapidly dividing skin, hair and nail tissue.</w:t>
            </w:r>
          </w:p>
        </w:tc>
      </w:tr>
      <w:tr>
        <w:trPr>
          <w:cantSplit/>
        </w:trPr>
        <w:tc>
          <w:tcPr>
            <w:tcW w:type="dxa" w:w="2304"/>
            <w:vAlign w:val="top"/>
          </w:tcPr>
          <w:p>
            <w:pPr>
              <w:spacing w:after="40" w:before="0" w:line="259" w:lineRule="auto"/>
            </w:pPr>
            <w:r>
              <w:rPr>
                <w:rFonts w:ascii="Calibri" w:hAnsi="Calibri"/>
                <w:b/>
                <w:i w:val="0"/>
                <w:color w:val="212121"/>
                <w:sz w:val="19"/>
              </w:rPr>
              <w:t>Poor appetite &amp; altered taste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zinc deficiency and a driver of a vicious cycle of low intake.</w:t>
            </w:r>
          </w:p>
        </w:tc>
      </w:tr>
      <w:tr>
        <w:trPr>
          <w:cantSplit/>
        </w:trPr>
        <w:tc>
          <w:tcPr>
            <w:tcW w:type="dxa" w:w="2304"/>
            <w:vAlign w:val="top"/>
          </w:tcPr>
          <w:p>
            <w:pPr>
              <w:spacing w:after="40" w:before="0" w:line="259" w:lineRule="auto"/>
            </w:pPr>
            <w:r>
              <w:rPr>
                <w:rFonts w:ascii="Calibri" w:hAnsi="Calibri"/>
                <w:b/>
                <w:i w:val="0"/>
                <w:color w:val="212121"/>
                <w:sz w:val="19"/>
              </w:rPr>
              <w:t>Muscle cramps, bone &amp; 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Vitamin D, calcium and magnesium deficiency cause aches, cramps and bone pain (osteomalacia).</w:t>
            </w:r>
          </w:p>
        </w:tc>
      </w:tr>
      <w:tr>
        <w:trPr>
          <w:cantSplit/>
        </w:trPr>
        <w:tc>
          <w:tcPr>
            <w:tcW w:type="dxa" w:w="2304"/>
            <w:vAlign w:val="top"/>
          </w:tcPr>
          <w:p>
            <w:pPr>
              <w:spacing w:after="40" w:before="0" w:line="259" w:lineRule="auto"/>
            </w:pPr>
            <w:r>
              <w:rPr>
                <w:rFonts w:ascii="Calibri" w:hAnsi="Calibri"/>
                <w:b/>
                <w:i w:val="0"/>
                <w:color w:val="212121"/>
                <w:sz w:val="19"/>
              </w:rPr>
              <w:t>Delayed growth &amp; development in children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zinc, vitamin A and iodine deficiency cause stunting and developmental delay.</w:t>
            </w:r>
          </w:p>
        </w:tc>
      </w:tr>
      <w:tr>
        <w:trPr>
          <w:cantSplit/>
        </w:trPr>
        <w:tc>
          <w:tcPr>
            <w:tcW w:type="dxa" w:w="2304"/>
            <w:vAlign w:val="top"/>
          </w:tcPr>
          <w:p>
            <w:pPr>
              <w:spacing w:after="40" w:before="0" w:line="259" w:lineRule="auto"/>
            </w:pPr>
            <w:r>
              <w:rPr>
                <w:rFonts w:ascii="Calibri" w:hAnsi="Calibri"/>
                <w:b/>
                <w:i w:val="0"/>
                <w:color w:val="212121"/>
                <w:sz w:val="19"/>
              </w:rPr>
              <w:t>Tingling / numbness of hands &amp; feet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neuropathy from vitamin B12 or thiamine (B1) deficiency.</w:t>
            </w:r>
          </w:p>
        </w:tc>
      </w:tr>
      <w:tr>
        <w:trPr>
          <w:cantSplit/>
        </w:trPr>
        <w:tc>
          <w:tcPr>
            <w:tcW w:type="dxa" w:w="2304"/>
            <w:vAlign w:val="top"/>
          </w:tcPr>
          <w:p>
            <w:pPr>
              <w:spacing w:after="40" w:before="0" w:line="259" w:lineRule="auto"/>
            </w:pPr>
            <w:r>
              <w:rPr>
                <w:rFonts w:ascii="Calibri" w:hAnsi="Calibri"/>
                <w:b/>
                <w:i w:val="0"/>
                <w:color w:val="212121"/>
                <w:sz w:val="19"/>
              </w:rPr>
              <w:t>Night blindness / difficulty seeing in dim light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early, specific symptom of vitamin A deficiency (xerophthalmia).</w:t>
            </w:r>
          </w:p>
        </w:tc>
      </w:tr>
      <w:tr>
        <w:trPr>
          <w:cantSplit/>
        </w:trPr>
        <w:tc>
          <w:tcPr>
            <w:tcW w:type="dxa" w:w="2304"/>
            <w:vAlign w:val="top"/>
          </w:tcPr>
          <w:p>
            <w:pPr>
              <w:spacing w:after="40" w:before="0" w:line="259" w:lineRule="auto"/>
            </w:pPr>
            <w:r>
              <w:rPr>
                <w:rFonts w:ascii="Calibri" w:hAnsi="Calibri"/>
                <w:b/>
                <w:i w:val="0"/>
                <w:color w:val="212121"/>
                <w:sz w:val="19"/>
              </w:rPr>
              <w:t>Sore tongue, mouth ulcers &amp; cracked lips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Glossitis and angular stomatitis from iron, riboflavin, B12 or folate deficiency.</w:t>
            </w:r>
          </w:p>
        </w:tc>
      </w:tr>
      <w:tr>
        <w:trPr>
          <w:cantSplit/>
        </w:trPr>
        <w:tc>
          <w:tcPr>
            <w:tcW w:type="dxa" w:w="2304"/>
            <w:vAlign w:val="top"/>
          </w:tcPr>
          <w:p>
            <w:pPr>
              <w:spacing w:after="40" w:before="0" w:line="259" w:lineRule="auto"/>
            </w:pPr>
            <w:r>
              <w:rPr>
                <w:rFonts w:ascii="Calibri" w:hAnsi="Calibri"/>
                <w:b/>
                <w:i w:val="0"/>
                <w:color w:val="212121"/>
                <w:sz w:val="19"/>
              </w:rPr>
              <w:t>Bleeding or swollen gums &amp; easy bruising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Vitamin C deficiency (scurvy) impairs collagen and capillary integrity.</w:t>
            </w:r>
          </w:p>
        </w:tc>
      </w:tr>
      <w:tr>
        <w:trPr>
          <w:cantSplit/>
        </w:trPr>
        <w:tc>
          <w:tcPr>
            <w:tcW w:type="dxa" w:w="2304"/>
            <w:vAlign w:val="top"/>
          </w:tcPr>
          <w:p>
            <w:pPr>
              <w:spacing w:after="40" w:before="0" w:line="259" w:lineRule="auto"/>
            </w:pPr>
            <w:r>
              <w:rPr>
                <w:rFonts w:ascii="Calibri" w:hAnsi="Calibri"/>
                <w:b/>
                <w:i w:val="0"/>
                <w:color w:val="212121"/>
                <w:sz w:val="19"/>
              </w:rPr>
              <w:t>Low mood, irritability &amp; apathy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Linked to iron, B12, folate, vitamin D and iodine deficiency.</w:t>
            </w:r>
          </w:p>
        </w:tc>
      </w:tr>
      <w:tr>
        <w:trPr>
          <w:cantSplit/>
        </w:trPr>
        <w:tc>
          <w:tcPr>
            <w:tcW w:type="dxa" w:w="2304"/>
            <w:vAlign w:val="top"/>
          </w:tcPr>
          <w:p>
            <w:pPr>
              <w:spacing w:after="40" w:before="0" w:line="259" w:lineRule="auto"/>
            </w:pPr>
            <w:r>
              <w:rPr>
                <w:rFonts w:ascii="Calibri" w:hAnsi="Calibri"/>
                <w:b/>
                <w:i w:val="0"/>
                <w:color w:val="212121"/>
                <w:sz w:val="19"/>
              </w:rPr>
              <w:t>Neck swelling (goitre) &amp; cold intolerance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Iodine deficiency causes goitre and hypothyroid features; severe cases impair growth and cognition.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of conjunctivae, palms &amp; nail beds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sign of anaemia from iron, folate or B12 deficiency.</w:t>
            </w:r>
          </w:p>
        </w:tc>
      </w:tr>
      <w:tr>
        <w:trPr>
          <w:cantSplit/>
        </w:trPr>
        <w:tc>
          <w:tcPr>
            <w:tcW w:type="dxa" w:w="3456"/>
            <w:vAlign w:val="top"/>
          </w:tcPr>
          <w:p>
            <w:pPr>
              <w:spacing w:after="40" w:before="0" w:line="259" w:lineRule="auto"/>
            </w:pPr>
            <w:r>
              <w:rPr>
                <w:rFonts w:ascii="Calibri" w:hAnsi="Calibri"/>
                <w:b/>
                <w:i w:val="0"/>
                <w:color w:val="212121"/>
                <w:sz w:val="19"/>
              </w:rPr>
              <w:t>Glossitis (smooth, red or sore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Depapillated tongue seen with iron, riboflavin, niacin, folate and B12 deficiency.</w:t>
            </w:r>
          </w:p>
        </w:tc>
      </w:tr>
      <w:tr>
        <w:trPr>
          <w:cantSplit/>
        </w:trPr>
        <w:tc>
          <w:tcPr>
            <w:tcW w:type="dxa" w:w="3456"/>
            <w:vAlign w:val="top"/>
          </w:tcPr>
          <w:p>
            <w:pPr>
              <w:spacing w:after="40" w:before="0" w:line="259" w:lineRule="auto"/>
            </w:pPr>
            <w:r>
              <w:rPr>
                <w:rFonts w:ascii="Calibri" w:hAnsi="Calibri"/>
                <w:b/>
                <w:i w:val="0"/>
                <w:color w:val="212121"/>
                <w:sz w:val="19"/>
              </w:rPr>
              <w:t>Angular stomatitis / cheilosis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Cracking and fissuring at the mouth corners, often with combined iron and B-vitamin deficiency.</w:t>
            </w:r>
          </w:p>
        </w:tc>
      </w:tr>
      <w:tr>
        <w:trPr>
          <w:cantSplit/>
        </w:trPr>
        <w:tc>
          <w:tcPr>
            <w:tcW w:type="dxa" w:w="3456"/>
            <w:vAlign w:val="top"/>
          </w:tcPr>
          <w:p>
            <w:pPr>
              <w:spacing w:after="40" w:before="0" w:line="259" w:lineRule="auto"/>
            </w:pPr>
            <w:r>
              <w:rPr>
                <w:rFonts w:ascii="Calibri" w:hAnsi="Calibri"/>
                <w:b/>
                <w:i w:val="0"/>
                <w:color w:val="212121"/>
                <w:sz w:val="19"/>
              </w:rPr>
              <w:t>Koilonychia (spoon-shaped nails)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Concave, brittle nails — a classic sign of chronic iron deficiency.</w:t>
            </w:r>
          </w:p>
        </w:tc>
      </w:tr>
      <w:tr>
        <w:trPr>
          <w:cantSplit/>
        </w:trPr>
        <w:tc>
          <w:tcPr>
            <w:tcW w:type="dxa" w:w="3456"/>
            <w:vAlign w:val="top"/>
          </w:tcPr>
          <w:p>
            <w:pPr>
              <w:spacing w:after="40" w:before="0" w:line="259" w:lineRule="auto"/>
            </w:pPr>
            <w:r>
              <w:rPr>
                <w:rFonts w:ascii="Calibri" w:hAnsi="Calibri"/>
                <w:b/>
                <w:i w:val="0"/>
                <w:color w:val="212121"/>
                <w:sz w:val="19"/>
              </w:rPr>
              <w:t>Follicular hyperkeratosis &amp; Bitot’s spots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rough “toad skin” and foamy conjunctival patches — highly specific for vitamin A deficiency.</w:t>
            </w:r>
          </w:p>
        </w:tc>
      </w:tr>
      <w:tr>
        <w:trPr>
          <w:cantSplit/>
        </w:trPr>
        <w:tc>
          <w:tcPr>
            <w:tcW w:type="dxa" w:w="3456"/>
            <w:vAlign w:val="top"/>
          </w:tcPr>
          <w:p>
            <w:pPr>
              <w:spacing w:after="40" w:before="0" w:line="259" w:lineRule="auto"/>
            </w:pPr>
            <w:r>
              <w:rPr>
                <w:rFonts w:ascii="Calibri" w:hAnsi="Calibri"/>
                <w:b/>
                <w:i w:val="0"/>
                <w:color w:val="212121"/>
                <w:sz w:val="19"/>
              </w:rPr>
              <w:t>Goitre (thyroid enlargement)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Visible/palpable thyroid enlargement from iodine deficiency; the cardinal sign of IDD.</w:t>
            </w:r>
          </w:p>
        </w:tc>
      </w:tr>
      <w:tr>
        <w:trPr>
          <w:cantSplit/>
        </w:trPr>
        <w:tc>
          <w:tcPr>
            <w:tcW w:type="dxa" w:w="3456"/>
            <w:vAlign w:val="top"/>
          </w:tcPr>
          <w:p>
            <w:pPr>
              <w:spacing w:after="40" w:before="0" w:line="259" w:lineRule="auto"/>
            </w:pPr>
            <w:r>
              <w:rPr>
                <w:rFonts w:ascii="Calibri" w:hAnsi="Calibri"/>
                <w:b/>
                <w:i w:val="0"/>
                <w:color w:val="212121"/>
                <w:sz w:val="19"/>
              </w:rPr>
              <w:t>Rickets / osteomalacia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Bowing of legs, costochondral “rachitic rosary”, frontal bossing (children) and bone tenderness/proximal weakness (adults) from vitamin D/calcium deficiency.</w:t>
            </w:r>
          </w:p>
        </w:tc>
      </w:tr>
      <w:tr>
        <w:trPr>
          <w:cantSplit/>
        </w:trPr>
        <w:tc>
          <w:tcPr>
            <w:tcW w:type="dxa" w:w="3456"/>
            <w:vAlign w:val="top"/>
          </w:tcPr>
          <w:p>
            <w:pPr>
              <w:spacing w:after="40" w:before="0" w:line="259" w:lineRule="auto"/>
            </w:pPr>
            <w:r>
              <w:rPr>
                <w:rFonts w:ascii="Calibri" w:hAnsi="Calibri"/>
                <w:b/>
                <w:i w:val="0"/>
                <w:color w:val="212121"/>
                <w:sz w:val="19"/>
              </w:rPr>
              <w:t>Impaired vibration &amp; proprioception, absent ankle jerks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Dorsal-column and peripheral-nerve signs of vitamin B12 or thiamine deficiency.</w:t>
            </w:r>
          </w:p>
        </w:tc>
      </w:tr>
      <w:tr>
        <w:trPr>
          <w:cantSplit/>
        </w:trPr>
        <w:tc>
          <w:tcPr>
            <w:tcW w:type="dxa" w:w="3456"/>
            <w:vAlign w:val="top"/>
          </w:tcPr>
          <w:p>
            <w:pPr>
              <w:spacing w:after="40" w:before="0" w:line="259" w:lineRule="auto"/>
            </w:pPr>
            <w:r>
              <w:rPr>
                <w:rFonts w:ascii="Calibri" w:hAnsi="Calibri"/>
                <w:b/>
                <w:i w:val="0"/>
                <w:color w:val="212121"/>
                <w:sz w:val="19"/>
              </w:rPr>
              <w:t>Spongy, bleeding gums &amp; perifollicular haemorrhages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Scurvy (vitamin C deficiency) with corkscrew hairs and poor wound healing.</w:t>
            </w:r>
          </w:p>
        </w:tc>
      </w:tr>
      <w:tr>
        <w:trPr>
          <w:cantSplit/>
        </w:trPr>
        <w:tc>
          <w:tcPr>
            <w:tcW w:type="dxa" w:w="3456"/>
            <w:vAlign w:val="top"/>
          </w:tcPr>
          <w:p>
            <w:pPr>
              <w:spacing w:after="40" w:before="0" w:line="259" w:lineRule="auto"/>
            </w:pPr>
            <w:r>
              <w:rPr>
                <w:rFonts w:ascii="Calibri" w:hAnsi="Calibri"/>
                <w:b/>
                <w:i w:val="0"/>
                <w:color w:val="212121"/>
                <w:sz w:val="19"/>
              </w:rPr>
              <w:t>Peripheral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in wet beriberi (thiamine deficiency) and severe protein-energy/micronutrient malnutrition.</w:t>
            </w:r>
          </w:p>
        </w:tc>
      </w:tr>
      <w:tr>
        <w:trPr>
          <w:cantSplit/>
        </w:trPr>
        <w:tc>
          <w:tcPr>
            <w:tcW w:type="dxa" w:w="3456"/>
            <w:vAlign w:val="top"/>
          </w:tcPr>
          <w:p>
            <w:pPr>
              <w:spacing w:after="40" w:before="0" w:line="259" w:lineRule="auto"/>
            </w:pPr>
            <w:r>
              <w:rPr>
                <w:rFonts w:ascii="Calibri" w:hAnsi="Calibri"/>
                <w:b/>
                <w:i w:val="0"/>
                <w:color w:val="212121"/>
                <w:sz w:val="19"/>
              </w:rPr>
              <w:t>Peri-orificial / acral dermatitis &amp; alopecia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Zinc deficiency (including acrodermatitis enteropathica) causes rash around mouth/anus, hair loss and poor healing.</w:t>
            </w:r>
          </w:p>
        </w:tc>
      </w:tr>
      <w:tr>
        <w:trPr>
          <w:cantSplit/>
        </w:trPr>
        <w:tc>
          <w:tcPr>
            <w:tcW w:type="dxa" w:w="3456"/>
            <w:vAlign w:val="top"/>
          </w:tcPr>
          <w:p>
            <w:pPr>
              <w:spacing w:after="40" w:before="0" w:line="259" w:lineRule="auto"/>
            </w:pPr>
            <w:r>
              <w:rPr>
                <w:rFonts w:ascii="Calibri" w:hAnsi="Calibri"/>
                <w:b/>
                <w:i w:val="0"/>
                <w:color w:val="212121"/>
                <w:sz w:val="19"/>
              </w:rPr>
              <w:t>Pigmented dermatitis on sun-exposed skin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“Casal’s necklace” and photosensitive dermatitis of pellagra (niacin deficiency).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 anaemia — iron-deficiency (microcytic) and megaloblastic (B12/folate)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Rickets in children and osteomalacia in adults (vitamin D/calcium)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Xerophthalmia and night blindness (vitamin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Goitre and hypothyroidism (iodine)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immunity with frequent, more severe infections (vitamin A, zinc, D,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stunting and wasting in children</w:t>
            </w:r>
          </w:p>
        </w:tc>
        <w:tc>
          <w:tcPr>
            <w:tcW w:type="dxa" w:w="2980"/>
            <w:vAlign w:val="top"/>
          </w:tcPr>
          <w:p>
            <w:pPr>
              <w:spacing w:after="40" w:before="0" w:line="259" w:lineRule="auto"/>
            </w:pPr>
            <w:r>
              <w:rPr>
                <w:rFonts w:ascii="Calibri" w:hAnsi="Calibri"/>
                <w:b w:val="0"/>
                <w:i w:val="0"/>
                <w:color w:val="212121"/>
                <w:sz w:val="19"/>
              </w:rPr>
              <w:t>Direct clinical deficiency diseases arising from lack of the specific nutrient(s)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poor school performance and reduced work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combined degeneration of the cord and peripheral neuropathy (B12/thiamine)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and fragility fractures (chronic vitamin D/calcium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or wet-beriberi cardiac failure (thiamine); Wernicke–Korsakoff syndrome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 neural-tube defects (folate), low birth weight, prematurity and maternal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wound healing and recurrent skin/mucosal disease (zinc, vitamin C, vitamin A)</w:t>
            </w:r>
          </w:p>
        </w:tc>
        <w:tc>
          <w:tcPr>
            <w:tcW w:type="dxa" w:w="2980"/>
            <w:vAlign w:val="top"/>
          </w:tcPr>
          <w:p>
            <w:pPr>
              <w:spacing w:after="40" w:before="0" w:line="259" w:lineRule="auto"/>
            </w:pPr>
            <w:r>
              <w:rPr>
                <w:rFonts w:ascii="Calibri" w:hAnsi="Calibri"/>
                <w:b w:val="0"/>
                <w:i w:val="0"/>
                <w:color w:val="212121"/>
                <w:sz w:val="19"/>
              </w:rPr>
              <w:t>Result from sustained or combined deficiency acting on the nervous, skeletal, cardiac and reproductive systems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neurodevelopmental deficit and reduced IQ in children (iron, iodine, B12)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 cretinism from severe maternal-fetal iodine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blindness from advanced vitamin A deficiency (keratomalacia)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and child mortality from severe anaemia and its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skeletal deformity and disability from untreated rickets/osteomalacia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loss of national economic productivity attributable to hidden hunger</w:t>
            </w:r>
          </w:p>
        </w:tc>
        <w:tc>
          <w:tcPr>
            <w:tcW w:type="dxa" w:w="2980"/>
            <w:vAlign w:val="top"/>
          </w:tcPr>
          <w:p>
            <w:pPr>
              <w:spacing w:after="40" w:before="0" w:line="259" w:lineRule="auto"/>
            </w:pPr>
            <w:r>
              <w:rPr>
                <w:rFonts w:ascii="Calibri" w:hAnsi="Calibri"/>
                <w:b w:val="0"/>
                <w:i w:val="0"/>
                <w:color w:val="212121"/>
                <w:sz w:val="19"/>
              </w:rPr>
              <w:t>Irreversible, disabling or population-level outcomes of severe or long-standing untreated deficiency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clinical expression of micronutrient deficiency; strongly overlaps with folate/B12 deficiency.</w:t>
            </w:r>
          </w:p>
          <w:p>
            <w:pPr>
              <w:spacing w:after="40" w:before="0" w:line="259" w:lineRule="auto"/>
            </w:pPr>
            <w:r>
              <w:rPr>
                <w:rFonts w:ascii="Calibri" w:hAnsi="Calibri"/>
                <w:b/>
                <w:i w:val="0"/>
                <w:color w:val="212121"/>
                <w:sz w:val="19"/>
              </w:rPr>
              <w:t>~57% of women 15–49 (NFHS-5)</w:t>
            </w:r>
          </w:p>
        </w:tc>
      </w:tr>
      <w:tr>
        <w:trPr>
          <w:cantSplit/>
        </w:trPr>
        <w:tc>
          <w:tcPr>
            <w:tcW w:type="dxa" w:w="2232"/>
            <w:vAlign w:val="top"/>
          </w:tcPr>
          <w:p>
            <w:pPr>
              <w:spacing w:after="40" w:before="0" w:line="259" w:lineRule="auto"/>
            </w:pPr>
            <w:r>
              <w:rPr>
                <w:rFonts w:ascii="Calibri" w:hAnsi="Calibri"/>
                <w:b/>
                <w:i w:val="0"/>
                <w:color w:val="212121"/>
                <w:sz w:val="19"/>
              </w:rPr>
              <w:t>Vitamin D deficiency &amp; osteomalacia/rickets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Very high across Indian adults, elderly and children; drives bone disease and secondary hyperparathyroidism.</w:t>
            </w:r>
          </w:p>
          <w:p>
            <w:pPr>
              <w:spacing w:after="40" w:before="0" w:line="259" w:lineRule="auto"/>
            </w:pPr>
            <w:r>
              <w:rPr>
                <w:rFonts w:ascii="Calibri" w:hAnsi="Calibri"/>
                <w:b/>
                <w:i w:val="0"/>
                <w:color w:val="212121"/>
                <w:sz w:val="19"/>
              </w:rPr>
              <w:t>~70–90% in many cohorts</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Near-ubiquitous risk in vegetarian India; coexists with iron/folate deficiency and causes neuro-anaemia.</w:t>
            </w:r>
          </w:p>
          <w:p>
            <w:pPr>
              <w:spacing w:after="40" w:before="0" w:line="259" w:lineRule="auto"/>
            </w:pPr>
            <w:r>
              <w:rPr>
                <w:rFonts w:ascii="Calibri" w:hAnsi="Calibri"/>
                <w:b/>
                <w:i w:val="0"/>
                <w:color w:val="212121"/>
                <w:sz w:val="19"/>
              </w:rPr>
              <w:t>~89% at-risk of inadequate intake</w:t>
            </w:r>
          </w:p>
        </w:tc>
      </w:tr>
      <w:tr>
        <w:trPr>
          <w:cantSplit/>
        </w:trPr>
        <w:tc>
          <w:tcPr>
            <w:tcW w:type="dxa" w:w="2232"/>
            <w:vAlign w:val="top"/>
          </w:tcPr>
          <w:p>
            <w:pPr>
              <w:spacing w:after="40" w:before="0" w:line="259" w:lineRule="auto"/>
            </w:pPr>
            <w:r>
              <w:rPr>
                <w:rFonts w:ascii="Calibri" w:hAnsi="Calibri"/>
                <w:b/>
                <w:i w:val="0"/>
                <w:color w:val="212121"/>
                <w:sz w:val="19"/>
              </w:rPr>
              <w:t>Calcium deficiency / low bone mass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dairy intake makes inadequate calcium almost universal, compounding vitamin D-related bone disease.</w:t>
            </w:r>
          </w:p>
          <w:p>
            <w:pPr>
              <w:spacing w:after="40" w:before="0" w:line="259" w:lineRule="auto"/>
            </w:pPr>
            <w:r>
              <w:rPr>
                <w:rFonts w:ascii="Calibri" w:hAnsi="Calibri"/>
                <w:b/>
                <w:i w:val="0"/>
                <w:color w:val="212121"/>
                <w:sz w:val="19"/>
              </w:rPr>
              <w:t>~94% at-risk of inadequate intake</w:t>
            </w:r>
          </w:p>
        </w:tc>
      </w:tr>
      <w:tr>
        <w:trPr>
          <w:cantSplit/>
        </w:trPr>
        <w:tc>
          <w:tcPr>
            <w:tcW w:type="dxa" w:w="2232"/>
            <w:vAlign w:val="top"/>
          </w:tcPr>
          <w:p>
            <w:pPr>
              <w:spacing w:after="40" w:before="0" w:line="259" w:lineRule="auto"/>
            </w:pPr>
            <w:r>
              <w:rPr>
                <w:rFonts w:ascii="Calibri" w:hAnsi="Calibri"/>
                <w:b/>
                <w:i w:val="0"/>
                <w:color w:val="212121"/>
                <w:sz w:val="19"/>
              </w:rPr>
              <w:t>Folate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adolescents and pregnancy; critical peri-conceptionally to prevent neural-tube defects.</w:t>
            </w:r>
          </w:p>
          <w:p>
            <w:pPr>
              <w:spacing w:after="40" w:before="0" w:line="259" w:lineRule="auto"/>
            </w:pPr>
            <w:r>
              <w:rPr>
                <w:rFonts w:ascii="Calibri" w:hAnsi="Calibri"/>
                <w:b/>
                <w:i w:val="0"/>
                <w:color w:val="212121"/>
                <w:sz w:val="19"/>
              </w:rPr>
              <w:t>~81% at-risk (36.7% adolescents, CNNS)</w:t>
            </w:r>
          </w:p>
        </w:tc>
      </w:tr>
      <w:tr>
        <w:trPr>
          <w:cantSplit/>
        </w:trPr>
        <w:tc>
          <w:tcPr>
            <w:tcW w:type="dxa" w:w="2232"/>
            <w:vAlign w:val="top"/>
          </w:tcPr>
          <w:p>
            <w:pPr>
              <w:spacing w:after="40" w:before="0" w:line="259" w:lineRule="auto"/>
            </w:pPr>
            <w:r>
              <w:rPr>
                <w:rFonts w:ascii="Calibri" w:hAnsi="Calibri"/>
                <w:b/>
                <w:i w:val="0"/>
                <w:color w:val="212121"/>
                <w:sz w:val="19"/>
              </w:rPr>
              <w:t>Zinc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Impairs growth, immunity, appetite and wound healing, especially in children and adolescents.</w:t>
            </w:r>
          </w:p>
          <w:p>
            <w:pPr>
              <w:spacing w:after="40" w:before="0" w:line="259" w:lineRule="auto"/>
            </w:pPr>
            <w:r>
              <w:rPr>
                <w:rFonts w:ascii="Calibri" w:hAnsi="Calibri"/>
                <w:b/>
                <w:i w:val="0"/>
                <w:color w:val="212121"/>
                <w:sz w:val="19"/>
              </w:rPr>
              <w:t>~25–32% (children/adolescents)</w:t>
            </w:r>
          </w:p>
        </w:tc>
      </w:tr>
      <w:tr>
        <w:trPr>
          <w:cantSplit/>
        </w:trPr>
        <w:tc>
          <w:tcPr>
            <w:tcW w:type="dxa" w:w="2232"/>
            <w:vAlign w:val="top"/>
          </w:tcPr>
          <w:p>
            <w:pPr>
              <w:spacing w:after="40" w:before="0" w:line="259" w:lineRule="auto"/>
            </w:pPr>
            <w:r>
              <w:rPr>
                <w:rFonts w:ascii="Calibri" w:hAnsi="Calibri"/>
                <w:b/>
                <w:i w:val="0"/>
                <w:color w:val="212121"/>
                <w:sz w:val="19"/>
              </w:rPr>
              <w:t>Iodine-deficiency disorders / goitre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Endemic across a majority of surveyed districts despite salt iodisation; causes goitre and cognitive deficit.</w:t>
            </w:r>
          </w:p>
          <w:p>
            <w:pPr>
              <w:spacing w:after="40" w:before="0" w:line="259" w:lineRule="auto"/>
            </w:pPr>
            <w:r>
              <w:rPr>
                <w:rFonts w:ascii="Calibri" w:hAnsi="Calibri"/>
                <w:b/>
                <w:i w:val="0"/>
                <w:color w:val="212121"/>
                <w:sz w:val="19"/>
              </w:rPr>
              <w:t>263 of 325 districts endemic</w:t>
            </w:r>
          </w:p>
        </w:tc>
      </w:tr>
      <w:tr>
        <w:trPr>
          <w:cantSplit/>
        </w:trPr>
        <w:tc>
          <w:tcPr>
            <w:tcW w:type="dxa" w:w="2232"/>
            <w:vAlign w:val="top"/>
          </w:tcPr>
          <w:p>
            <w:pPr>
              <w:spacing w:after="40" w:before="0" w:line="259" w:lineRule="auto"/>
            </w:pPr>
            <w:r>
              <w:rPr>
                <w:rFonts w:ascii="Calibri" w:hAnsi="Calibri"/>
                <w:b/>
                <w:i w:val="0"/>
                <w:color w:val="212121"/>
                <w:sz w:val="19"/>
              </w:rPr>
              <w:t>Vitamin A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xerophthalmia and raises infection and child-mortality risk; common in preschool children.</w:t>
            </w:r>
          </w:p>
          <w:p>
            <w:pPr>
              <w:spacing w:after="40" w:before="0" w:line="259" w:lineRule="auto"/>
            </w:pPr>
            <w:r>
              <w:rPr>
                <w:rFonts w:ascii="Calibri" w:hAnsi="Calibri"/>
                <w:b/>
                <w:i w:val="0"/>
                <w:color w:val="212121"/>
                <w:sz w:val="19"/>
              </w:rPr>
              <w:t>~17–22% (children, CNNS)</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undernutrition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with micronutrient deficiency in the same undernourished child or adult.</w:t>
            </w:r>
          </w:p>
        </w:tc>
      </w:tr>
      <w:tr>
        <w:trPr>
          <w:cantSplit/>
        </w:trPr>
        <w:tc>
          <w:tcPr>
            <w:tcW w:type="dxa" w:w="2232"/>
            <w:vAlign w:val="top"/>
          </w:tcPr>
          <w:p>
            <w:pPr>
              <w:spacing w:after="40" w:before="0" w:line="259" w:lineRule="auto"/>
            </w:pPr>
            <w:r>
              <w:rPr>
                <w:rFonts w:ascii="Calibri" w:hAnsi="Calibri"/>
                <w:b/>
                <w:i w:val="0"/>
                <w:color w:val="212121"/>
                <w:sz w:val="19"/>
              </w:rPr>
              <w:t>Malabsorptive &amp; post-surgical states (coeliac, IBD, bariatric)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 combined, often severe deficiencies requiring targeted lifelong replacement.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“hidden hunger”: you can be deficient in vitamins and minerals even at a normal or high body weight, because cereal-heavy diets are low in nutrients.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diverse diet across the day — aim for at least five food groups including pulses, dairy, eggs/fish/meat where acceptable, and a variety of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iodised salt for all cooking, and choose fortified staples (fortified wheat flour, rice, milk, oil)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high-risk groups — infants, adolescents, pregnant and lactating women, the elderly, strict vegetarians/vegans, and people on metformin or long-term antacids — and seek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vegetarians and vegans usually need a reliable B12 (and often vitamin D and iron) supplement, not diet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sensible midday sun exposure and ask for a vitamin D, haemoglobin/ferritin and B12 check if you are at risk rather than waiting for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 the specific deficiency with the right biomarker before treating, and screen for coexisting deficiencies (iron, B12, folate, vitamin D commonly cluster).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established deficiency with appropriate supplements — oral iron for iron deficiency, oral/IM B12 for cobalamin deficiency, cholecalciferol for vitamin D, and treat clinical syndromes (e.g., vitamin A for xerophthalmia).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correct B12 before or alongside folate in a macrocytic anaemia so that folate does not mask worsening neurological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cause — deworm where hookworm is likely, manage malabsorption, eradicate H. pylori, and review deficiency-inducing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response (haemoglobin/reticulocytes at 2–4 weeks, repeat biomarker after repletion) and arrange lifelong replacement for pernicious anaemia and post-bariatric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national programmes — iron-folic-acid supplementation, vitamin A prophylaxis for children and universal salt iodisation — as the backbone of population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Post-bariatric &amp; 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regular outdoor activity (a daily walk in midday sun) to support vitamin D synthesis while staying active.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resistance exercise to protect bone alongside adequate calcium and vitamin 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active (≥ 150 minutes/week of moderate activity) for appetite, metabolic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Very heavy endurance athletes should monitor iron status, as intense training can increase iron losses and requirements.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meals around dietary diversity: combine cereals with pulses/legumes, and add dairy, eggs, fish or meat where acceptable, plus colourful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Boost mineral absorption — pair iron-rich foods with vitamin C (lemon, amla, guava), and reduce phytate by soaking, sprouting and fermenting cereals and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 or coffee within about an hour of iron-rich meals, as tannins block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iodised salt and, where available, fortified flour, rice, milk and edible oil to raise iron, folic acid, vitamin A/D and B12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sources of vitamin A (dark-green leafy vegetables, carrots, mango, eggs, dairy) and calcium (milk, curd, paneer, ragi, sesame) daily.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strict vegetarians/vegans, plan reliable B12 and, if needed, iron, vitamin D and calcium supplementation rather than relying on diet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Low-income/cereal-based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targeted supplementation to correct diagnosed deficiency quickly, since diet alone cannot rapidly reverse established depletion.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oral iron (with vitamin C) for iron-deficiency anaemia; use IV iron or parenteral B12 where oral therapy fails or malabsorption 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vitamin D (cholecalciferol) with co-administered calcium for osteomalacia/rickets, and vitamin A for xerophthalmia per protocol.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maintenance intake through fortified foods, dairy/animal foods and, where indicated, ongoing supplements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combined deficiencies together (e.g., iron plus B12/folate) to fully correct a dimorphic anaemia.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Osteomalacia/rickets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&amp; post-surgical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support recovery, appetite regulation and cognition.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iron, magnesium, vitamin D and B12 deficiency can cause restless legs, fatigue and disturbed sleep that improve with correction.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low mood or anxiety that may coexist with deficiency and impair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late-night tea/coffee, particularly in tea-heavy diets already low in iron.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smokeless-tobacco/areca-nut use, which raise micronutrient requirements and lower vitamin C and folate.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intake of antioxidant-rich fruit and vegetables while quitting, and use cessation support (counselling,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tobacco use often accompanies the poorer diets that drive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a diverse, nutrient-dense diet for better blood, bone and immune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&amp;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 with poor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 chronic heavy use depletes thiamine, folate, B12, magnesium and zinc and impairs their absorption and storage.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heavy drinkers, give thiamine before any glucose load to prevent Wernicke’s encephalopathy, and screen for folate, B12 and magnesium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alcohol calories with nutrient-dense foods to improve overall micronutrient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given the added neurological and haematological risks.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liver/GI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testing iron, B12, folate, vitamin D and thyroid/iodine status in patients with unexplained fatigue, low mood or cognitive decline, especially the elderly and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mood and cognitive symptoms on their own merits; micronutrient repletion is a corrective adjunct where deficiency is present, not a substitute for standard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fatigue, poor concentration and low mood from deficiency are often partly reversible with adequate, early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children’s learning and development by correcting iron, iodine and B12 deficiency early, and combine repletion with good sleep, activity and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patients with low mood/fatigue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poor school performance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nmhs.com/archive/volume/5/issue/3/article/1879" TargetMode="External"/><Relationship Id="rId10" Type="http://schemas.openxmlformats.org/officeDocument/2006/relationships/hyperlink" Target="https://ijmr.org.in/prevalence-of-hypovitaminosis-d-in-india-way-forward/" TargetMode="External"/><Relationship Id="rId11" Type="http://schemas.openxmlformats.org/officeDocument/2006/relationships/hyperlink" Target="https://journals.plos.org/globalpublichealth/article?id=10.1371%2Fjournal.pgph.0002095" TargetMode="External"/><Relationship Id="rId12" Type="http://schemas.openxmlformats.org/officeDocument/2006/relationships/hyperlink" Target="https://healthnutritionindia.in/static_files/factsheets/CNNS-v6-factsheet-India.pdf" TargetMode="External"/><Relationship Id="rId13" Type="http://schemas.openxmlformats.org/officeDocument/2006/relationships/hyperlink" Target="https://www.pib.gov.in/PressReleasePage.aspx?PRID=1795421" TargetMode="External"/><Relationship Id="rId14" Type="http://schemas.openxmlformats.org/officeDocument/2006/relationships/hyperlink" Target="https://www.frontiersin.org/articles/10.3389/fsufs.2018.00011/full" TargetMode="External"/><Relationship Id="rId15" Type="http://schemas.openxmlformats.org/officeDocument/2006/relationships/hyperlink" Target="https://pmc.ncbi.nlm.nih.gov/articles/PMC3818611/" TargetMode="External"/><Relationship Id="rId16" Type="http://schemas.openxmlformats.org/officeDocument/2006/relationships/hyperlink" Target="https://journals.plos.org/plosone/article?id=10.1371%2Fjournal.pone.0267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