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80"/>
      </w:pPr>
      <w:r>
        <w:rPr>
          <w:rFonts w:ascii="Calibri" w:hAnsi="Calibri"/>
          <w:b/>
          <w:i w:val="0"/>
          <w:color w:val="2B2B33"/>
          <w:sz w:val="44"/>
        </w:rPr>
        <w:t>Prediabetes</w:t>
      </w:r>
    </w:p>
    <w:p>
      <w:pPr>
        <w:spacing w:before="0" w:after="160"/>
      </w:pPr>
      <w:r>
        <w:rPr>
          <w:rFonts w:ascii="Calibri" w:hAnsi="Calibri"/>
          <w:b/>
          <w:i w:val="0"/>
          <w:color w:val="212121"/>
          <w:sz w:val="22"/>
        </w:rPr>
        <w:t xml:space="preserve">AKA </w:t>
      </w:r>
      <w:r>
        <w:rPr>
          <w:rFonts w:ascii="Calibri" w:hAnsi="Calibri"/>
          <w:b w:val="0"/>
          <w:i w:val="0"/>
          <w:color w:val="212121"/>
          <w:sz w:val="22"/>
        </w:rPr>
        <w:t>i.e., Impaired fasting glucose (IFG), Impaired glucose tolerance (IGT), Borderline diabetes, Non-diabetic hyperglycaemia, Intermediate hyperglycaemia, Pre-diabetic state</w:t>
      </w:r>
    </w:p>
    <w:p>
      <w:pPr>
        <w:spacing w:before="280" w:after="120"/>
      </w:pPr>
      <w:r>
        <w:rPr>
          <w:rFonts w:ascii="Calibri" w:hAnsi="Calibri"/>
          <w:b/>
          <w:i w:val="0"/>
          <w:color w:val="212121"/>
          <w:sz w:val="31"/>
        </w:rPr>
        <w:t>Introduction to MCP</w:t>
      </w:r>
    </w:p>
    <w:p>
      <w:pPr>
        <w:spacing w:before="200" w:after="120"/>
      </w:pPr>
      <w:r>
        <w:rPr>
          <w:rFonts w:ascii="Calibri" w:hAnsi="Calibri"/>
          <w:b/>
          <w:i w:val="0"/>
          <w:color w:val="212121"/>
          <w:sz w:val="25"/>
        </w:rPr>
        <w:t>Definition</w:t>
      </w:r>
    </w:p>
    <w:p>
      <w:pPr>
        <w:spacing w:before="0" w:after="120"/>
      </w:pPr>
      <w:r>
        <w:rPr>
          <w:rFonts w:ascii="Calibri" w:hAnsi="Calibri"/>
          <w:b w:val="0"/>
          <w:i w:val="0"/>
          <w:color w:val="212121"/>
          <w:sz w:val="21"/>
        </w:rPr>
        <w:t>Prediabetes is an intermediate stage of dysglycaemia in which blood glucose is higher than normal but has not reached the diagnostic threshold for diabetes. It is defined by impaired fasting glucose (IFG), impaired glucose tolerance (IGT) and/or a glycated haemoglobin (HbA1c) of 5.7-6.4%, and reflects early insulin resistance with declining first-phase insulin secretion. It is usually silent (asymptomatic) and is a high-risk state for progression to type 2 diabetes and for cardiovascular disease. Crucially, and unlike established diabetes, prediabetes is frequently reversible to normal glucose regulation through lifestyle change - making it the key early-intervention window rather than a disease with fixed organ damage.</w:t>
      </w:r>
    </w:p>
    <w:p>
      <w:pPr>
        <w:spacing w:before="200" w:after="120"/>
      </w:pPr>
      <w:r>
        <w:rPr>
          <w:rFonts w:ascii="Calibri" w:hAnsi="Calibri"/>
          <w:b/>
          <w:i w:val="0"/>
          <w:color w:val="212121"/>
          <w:sz w:val="25"/>
        </w:rPr>
        <w:t>Prevalence</w:t>
      </w:r>
    </w:p>
    <w:p>
      <w:pPr>
        <w:spacing w:before="0" w:after="120"/>
      </w:pPr>
      <w:r>
        <w:rPr>
          <w:rFonts w:ascii="Calibri" w:hAnsi="Calibri"/>
          <w:b w:val="0"/>
          <w:i w:val="0"/>
          <w:color w:val="212121"/>
          <w:sz w:val="21"/>
        </w:rPr>
        <w:t>India carries one of the world's largest prediabetes burdens. In the ICMR-INDIAB national study, 15.3% of Indian adults - about 136 million people - have prediabetes, actually exceeding the 11.4% (about 101 million) who have diabetes. Prevalence is higher in urban metros (around 21% in urban Delhi). In several less-developed states the prediabetes-to-diabetes ratio is high, signalling a very large future wave of diabetes unless the condition is reversed - what Indian investigators describe as a 'golden window' for prevention. Asian Indians also convert to diabetes unusually fast: in the Indian Diabetes Prevention Programme, 55% of untreated adults with impaired glucose tolerance developed diabetes within just three years.</w:t>
      </w:r>
    </w:p>
    <w:p>
      <w:pPr>
        <w:spacing w:before="200" w:after="120"/>
      </w:pPr>
      <w:r>
        <w:rPr>
          <w:rFonts w:ascii="Calibri" w:hAnsi="Calibri"/>
          <w:b/>
          <w:i w:val="0"/>
          <w:color w:val="212121"/>
          <w:sz w:val="25"/>
        </w:rPr>
        <w:t>Diagnosis</w:t>
      </w:r>
    </w:p>
    <w:p>
      <w:pPr>
        <w:spacing w:before="0" w:after="120"/>
      </w:pPr>
      <w:r>
        <w:rPr>
          <w:rFonts w:ascii="Calibri" w:hAnsi="Calibri"/>
          <w:b w:val="0"/>
          <w:i w:val="0"/>
          <w:color w:val="212121"/>
          <w:sz w:val="21"/>
        </w:rPr>
        <w:t>Prediabetes is diagnosed when any one of the following glycaemic criteria is met (each test can be discordant, so more than one may be used); a value reaching the diabetes threshold instead indicates diabetes, and borderline results should be confirmed on a repeat sample:</w:t>
      </w:r>
    </w:p>
    <w:p>
      <w:pPr>
        <w:spacing w:after="60"/>
        <w:ind w:left="432" w:hanging="259"/>
      </w:pPr>
      <w:r>
        <w:rPr>
          <w:rFonts w:ascii="Calibri" w:hAnsi="Calibri"/>
          <w:b w:val="0"/>
          <w:i w:val="0"/>
          <w:color w:val="212121"/>
          <w:sz w:val="21"/>
        </w:rPr>
        <w:t xml:space="preserve">•  </w:t>
      </w:r>
      <w:r>
        <w:rPr>
          <w:rFonts w:ascii="Calibri" w:hAnsi="Calibri"/>
          <w:b w:val="0"/>
          <w:i w:val="0"/>
          <w:color w:val="212121"/>
          <w:sz w:val="21"/>
        </w:rPr>
        <w:t>Impaired fasting glucose (IFG): fasting plasma glucose 100-125 mg/dL (5.6-6.9 mmol/L) by ADA criteria after an 8-hour fast; the WHO defines IFG more conservatively as 110-125 mg/dL (6.1-6.9 mmol/L).</w:t>
      </w:r>
    </w:p>
    <w:p>
      <w:pPr>
        <w:spacing w:after="60"/>
        <w:ind w:left="432" w:hanging="259"/>
      </w:pPr>
      <w:r>
        <w:rPr>
          <w:rFonts w:ascii="Calibri" w:hAnsi="Calibri"/>
          <w:b w:val="0"/>
          <w:i w:val="0"/>
          <w:color w:val="212121"/>
          <w:sz w:val="21"/>
        </w:rPr>
        <w:t xml:space="preserve">•  </w:t>
      </w:r>
      <w:r>
        <w:rPr>
          <w:rFonts w:ascii="Calibri" w:hAnsi="Calibri"/>
          <w:b w:val="0"/>
          <w:i w:val="0"/>
          <w:color w:val="212121"/>
          <w:sz w:val="21"/>
        </w:rPr>
        <w:t>Impaired glucose tolerance (IGT): 2-hour plasma glucose 140-199 mg/dL (7.8-11.0 mmol/L) during a standard 75 g oral glucose tolerance test (OGTT); IGT is often the earliest and most sensitive marker in Asian Indians, appearing before fasting glucose rises.</w:t>
      </w:r>
    </w:p>
    <w:p>
      <w:pPr>
        <w:spacing w:after="60"/>
        <w:ind w:left="432" w:hanging="259"/>
      </w:pPr>
      <w:r>
        <w:rPr>
          <w:rFonts w:ascii="Calibri" w:hAnsi="Calibri"/>
          <w:b w:val="0"/>
          <w:i w:val="0"/>
          <w:color w:val="212121"/>
          <w:sz w:val="21"/>
        </w:rPr>
        <w:t xml:space="preserve">•  </w:t>
      </w:r>
      <w:r>
        <w:rPr>
          <w:rFonts w:ascii="Calibri" w:hAnsi="Calibri"/>
          <w:b w:val="0"/>
          <w:i w:val="0"/>
          <w:color w:val="212121"/>
          <w:sz w:val="21"/>
        </w:rPr>
        <w:t>HbA1c (glycated haemoglobin) 5.7-6.4% (39-47 mmol/mol) by ADA criteria; WHO-aligned, IEC and NICE guidance often use a narrower 6.0-6.4% (42-47 mmol/mol) high-risk band.</w:t>
      </w:r>
    </w:p>
    <w:p>
      <w:pPr>
        <w:spacing w:after="60"/>
        <w:ind w:left="432" w:hanging="259"/>
      </w:pPr>
      <w:r>
        <w:rPr>
          <w:rFonts w:ascii="Calibri" w:hAnsi="Calibri"/>
          <w:b w:val="0"/>
          <w:i w:val="0"/>
          <w:color w:val="212121"/>
          <w:sz w:val="21"/>
        </w:rPr>
        <w:t xml:space="preserve">•  </w:t>
      </w:r>
      <w:r>
        <w:rPr>
          <w:rFonts w:ascii="Calibri" w:hAnsi="Calibri"/>
          <w:b w:val="0"/>
          <w:i w:val="0"/>
          <w:color w:val="212121"/>
          <w:sz w:val="21"/>
        </w:rPr>
        <w:t>Exclusion of diabetes: fasting plasma glucose &gt;= 126 mg/dL, 2-hour PG &gt;= 200 mg/dL, HbA1c &gt;= 6.5%, or random glucose &gt;= 200 mg/dL with symptoms indicates diabetes, not prediabetes.</w:t>
      </w:r>
    </w:p>
    <w:p>
      <w:pPr>
        <w:spacing w:after="60"/>
        <w:ind w:left="432" w:hanging="259"/>
      </w:pPr>
      <w:r>
        <w:rPr>
          <w:rFonts w:ascii="Calibri" w:hAnsi="Calibri"/>
          <w:b w:val="0"/>
          <w:i w:val="0"/>
          <w:color w:val="212121"/>
          <w:sz w:val="21"/>
        </w:rPr>
        <w:t xml:space="preserve">•  </w:t>
      </w:r>
      <w:r>
        <w:rPr>
          <w:rFonts w:ascii="Calibri" w:hAnsi="Calibri"/>
          <w:b w:val="0"/>
          <w:i w:val="0"/>
          <w:color w:val="212121"/>
          <w:sz w:val="21"/>
        </w:rPr>
        <w:t>The three tests frequently disagree - many people meet only one criterion - and combined IFG plus IGT identifies the highest-risk group. Given rapid progression in Indians, opportunistic screening is advised from about age 30, or earlier with risk factors (family history, overweight/obesity, prior gestational diabetes, PCOS).</w:t>
      </w:r>
    </w:p>
    <w:p>
      <w:pPr>
        <w:spacing w:before="200" w:after="120"/>
      </w:pPr>
      <w:r>
        <w:rPr>
          <w:rFonts w:ascii="Calibri" w:hAnsi="Calibri"/>
          <w:b/>
          <w:i w:val="0"/>
          <w:color w:val="212121"/>
          <w:sz w:val="25"/>
        </w:rPr>
        <w:t>Classification</w:t>
      </w:r>
    </w:p>
    <w:p>
      <w:pPr>
        <w:spacing w:before="0" w:after="120"/>
      </w:pPr>
      <w:r>
        <w:rPr>
          <w:rFonts w:ascii="Calibri" w:hAnsi="Calibri"/>
          <w:b w:val="0"/>
          <w:i w:val="0"/>
          <w:color w:val="212121"/>
          <w:sz w:val="21"/>
        </w:rPr>
        <w:t>Prediabetes is classified by which glycaemic marker is abnormal; the categories differ in underlying physiology and in the rate of progression to diabetes:</w:t>
      </w:r>
    </w:p>
    <w:p>
      <w:pPr>
        <w:spacing w:before="0" w:after="80"/>
      </w:pPr>
      <w:r>
        <w:rPr>
          <w:rFonts w:ascii="Calibri" w:hAnsi="Calibri"/>
          <w:b w:val="0"/>
          <w:i w:val="0"/>
          <w:color w:val="212121"/>
          <w:sz w:val="21"/>
        </w:rPr>
        <w:t>(1) Isolated impaired fasting glucose (IFG): predominantly hepatic insulin resistance and impaired early-phase (first-phase) insulin secretion; fasting glucose is raised while the post-load value is normal.</w:t>
      </w:r>
    </w:p>
    <w:p>
      <w:pPr>
        <w:spacing w:before="0" w:after="80"/>
      </w:pPr>
      <w:r>
        <w:rPr>
          <w:rFonts w:ascii="Calibri" w:hAnsi="Calibri"/>
          <w:b w:val="0"/>
          <w:i w:val="0"/>
          <w:color w:val="212121"/>
          <w:sz w:val="21"/>
        </w:rPr>
        <w:t>(2) Isolated impaired glucose tolerance (IGT): predominantly peripheral (skeletal-muscle) insulin resistance with impaired postprandial glucose disposal; fasting glucose is normal. IGT is especially common in Asian Indians and is a strong predictor of cardiovascular risk.</w:t>
      </w:r>
    </w:p>
    <w:p>
      <w:pPr>
        <w:spacing w:before="0" w:after="80"/>
      </w:pPr>
      <w:r>
        <w:rPr>
          <w:rFonts w:ascii="Calibri" w:hAnsi="Calibri"/>
          <w:b w:val="0"/>
          <w:i w:val="0"/>
          <w:color w:val="212121"/>
          <w:sz w:val="21"/>
        </w:rPr>
        <w:t>(3) Combined IFG + IGT: both the fasting and post-load defects coexist; this group has the highest rate of progression to diabetes and the greatest cardiometabolic risk.</w:t>
      </w:r>
    </w:p>
    <w:p>
      <w:pPr>
        <w:spacing w:before="0" w:after="80"/>
      </w:pPr>
      <w:r>
        <w:rPr>
          <w:rFonts w:ascii="Calibri" w:hAnsi="Calibri"/>
          <w:b w:val="0"/>
          <w:i w:val="0"/>
          <w:color w:val="212121"/>
          <w:sz w:val="21"/>
        </w:rPr>
        <w:t>(4) Isolated raised HbA1c (5.7-6.4%): an integrated marker of chronic glycaemia that can be discordant with glucose-based tests and may be distorted by anaemia, haemoglobinopathies and nutritional deficiencies that are common in India.</w:t>
      </w:r>
    </w:p>
    <w:p>
      <w:pPr>
        <w:spacing w:before="200" w:after="120"/>
      </w:pPr>
      <w:r>
        <w:rPr>
          <w:rFonts w:ascii="Calibri" w:hAnsi="Calibri"/>
          <w:b/>
          <w:i w:val="0"/>
          <w:color w:val="212121"/>
          <w:sz w:val="25"/>
        </w:rPr>
        <w:t>Etiology</w:t>
      </w:r>
    </w:p>
    <w:p>
      <w:pPr>
        <w:spacing w:after="60"/>
        <w:ind w:left="432" w:hanging="288"/>
      </w:pPr>
      <w:r>
        <w:rPr>
          <w:rFonts w:ascii="Calibri" w:hAnsi="Calibri"/>
          <w:b/>
          <w:i w:val="0"/>
          <w:color w:val="212121"/>
          <w:sz w:val="21"/>
        </w:rPr>
        <w:t xml:space="preserve">1. </w:t>
      </w:r>
      <w:r>
        <w:rPr>
          <w:rFonts w:ascii="Calibri" w:hAnsi="Calibri"/>
          <w:b w:val="0"/>
          <w:i w:val="0"/>
          <w:color w:val="212121"/>
          <w:sz w:val="21"/>
        </w:rPr>
        <w:t>Insulin resistance: The central defect - reduced insulin action in muscle, liver and adipose tissue, driven largely by visceral and ectopic (liver/pancreas) fat - raises both fasting and post-load glucose.</w:t>
      </w:r>
    </w:p>
    <w:p>
      <w:pPr>
        <w:spacing w:after="60"/>
        <w:ind w:left="432" w:hanging="288"/>
      </w:pPr>
      <w:r>
        <w:rPr>
          <w:rFonts w:ascii="Calibri" w:hAnsi="Calibri"/>
          <w:b/>
          <w:i w:val="0"/>
          <w:color w:val="212121"/>
          <w:sz w:val="21"/>
        </w:rPr>
        <w:t xml:space="preserve">2. </w:t>
      </w:r>
      <w:r>
        <w:rPr>
          <w:rFonts w:ascii="Calibri" w:hAnsi="Calibri"/>
          <w:b w:val="0"/>
          <w:i w:val="0"/>
          <w:color w:val="212121"/>
          <w:sz w:val="21"/>
        </w:rPr>
        <w:t>Early beta-cell dysfunction: Loss of first-phase insulin secretion means the pancreas can no longer fully compensate for resistance; Asian Indians show earlier beta-cell decline and faster progression.</w:t>
      </w:r>
    </w:p>
    <w:p>
      <w:pPr>
        <w:spacing w:after="60"/>
        <w:ind w:left="432" w:hanging="288"/>
      </w:pPr>
      <w:r>
        <w:rPr>
          <w:rFonts w:ascii="Calibri" w:hAnsi="Calibri"/>
          <w:b/>
          <w:i w:val="0"/>
          <w:color w:val="212121"/>
          <w:sz w:val="21"/>
        </w:rPr>
        <w:t xml:space="preserve">3. </w:t>
      </w:r>
      <w:r>
        <w:rPr>
          <w:rFonts w:ascii="Calibri" w:hAnsi="Calibri"/>
          <w:b w:val="0"/>
          <w:i w:val="0"/>
          <w:color w:val="212121"/>
          <w:sz w:val="21"/>
        </w:rPr>
        <w:t>Central adiposity / thin-fat phenotype: Asian Indians accumulate visceral and hepatic fat at low body-mass index, producing insulin resistance even at an apparently 'normal' weight.</w:t>
      </w:r>
    </w:p>
    <w:p>
      <w:pPr>
        <w:spacing w:after="60"/>
        <w:ind w:left="432" w:hanging="288"/>
      </w:pPr>
      <w:r>
        <w:rPr>
          <w:rFonts w:ascii="Calibri" w:hAnsi="Calibri"/>
          <w:b/>
          <w:i w:val="0"/>
          <w:color w:val="212121"/>
          <w:sz w:val="21"/>
        </w:rPr>
        <w:t xml:space="preserve">4. </w:t>
      </w:r>
      <w:r>
        <w:rPr>
          <w:rFonts w:ascii="Calibri" w:hAnsi="Calibri"/>
          <w:b w:val="0"/>
          <w:i w:val="0"/>
          <w:color w:val="212121"/>
          <w:sz w:val="21"/>
        </w:rPr>
        <w:t>Genetic and developmental predisposition: Strong South Asian familial clustering, compounded by intrauterine undernutrition followed by later overnutrition (developmental programming of metabolic risk).</w:t>
      </w:r>
    </w:p>
    <w:p>
      <w:pPr>
        <w:spacing w:after="60"/>
        <w:ind w:left="432" w:hanging="288"/>
      </w:pPr>
      <w:r>
        <w:rPr>
          <w:rFonts w:ascii="Calibri" w:hAnsi="Calibri"/>
          <w:b/>
          <w:i w:val="0"/>
          <w:color w:val="212121"/>
          <w:sz w:val="21"/>
        </w:rPr>
        <w:t xml:space="preserve">5. </w:t>
      </w:r>
      <w:r>
        <w:rPr>
          <w:rFonts w:ascii="Calibri" w:hAnsi="Calibri"/>
          <w:b w:val="0"/>
          <w:i w:val="0"/>
          <w:color w:val="212121"/>
          <w:sz w:val="21"/>
        </w:rPr>
        <w:t>Sedentary behaviour and dietary transition: Physical inactivity together with high-glycaemic refined carbohydrates (polished white rice, refined wheat/maida), added sugar and ultra-processed foods drive dysglycaemia and weight gain.</w:t>
      </w:r>
    </w:p>
    <w:p>
      <w:pPr>
        <w:spacing w:after="60"/>
        <w:ind w:left="432" w:hanging="288"/>
      </w:pPr>
      <w:r>
        <w:rPr>
          <w:rFonts w:ascii="Calibri" w:hAnsi="Calibri"/>
          <w:b/>
          <w:i w:val="0"/>
          <w:color w:val="212121"/>
          <w:sz w:val="21"/>
        </w:rPr>
        <w:t xml:space="preserve">6. </w:t>
      </w:r>
      <w:r>
        <w:rPr>
          <w:rFonts w:ascii="Calibri" w:hAnsi="Calibri"/>
          <w:b w:val="0"/>
          <w:i w:val="0"/>
          <w:color w:val="212121"/>
          <w:sz w:val="21"/>
        </w:rPr>
        <w:t>Ageing and secondary contributors: Risk rises with age, and conditions or exposures such as prior gestational diabetes, PCOS, obesity, obstructive sleep apnoea and glucocorticoid use accelerate onset.</w:t>
      </w:r>
    </w:p>
    <w:p>
      <w:pPr>
        <w:spacing w:before="280" w:after="120"/>
      </w:pPr>
      <w:r>
        <w:rPr>
          <w:rFonts w:ascii="Calibri" w:hAnsi="Calibri"/>
          <w:b/>
          <w:i w:val="0"/>
          <w:color w:val="212121"/>
          <w:sz w:val="31"/>
        </w:rPr>
        <w:t>Research Draft of MCP</w:t>
      </w:r>
    </w:p>
    <w:p>
      <w:pPr>
        <w:spacing w:before="200" w:after="120"/>
      </w:pPr>
      <w:r>
        <w:rPr>
          <w:rFonts w:ascii="Calibri" w:hAnsi="Calibri"/>
          <w:b/>
          <w:i w:val="0"/>
          <w:color w:val="212121"/>
          <w:sz w:val="25"/>
        </w:rPr>
        <w:t>Profiles Prone To</w:t>
      </w:r>
    </w:p>
    <w:tbl>
      <w:tblPr>
        <w:tblW w:type="dxa" w:w="9604"/>
        <w:jc w:val="center"/>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Grid>
        <w:gridCol w:w="2401"/>
        <w:gridCol w:w="2401"/>
        <w:gridCol w:w="2401"/>
        <w:gridCol w:w="2401"/>
      </w:tblGrid>
      <w:tr>
        <w:trPr>
          <w:cantSplit/>
        </w:trPr>
        <w:tc>
          <w:tcPr>
            <w:tcW w:type="dxa" w:w="1512"/>
            <w:shd w:val="clear" w:color="auto" w:fill="F2F2F2"/>
            <w:vAlign w:val="center"/>
          </w:tcPr>
          <w:p>
            <w:pPr>
              <w:spacing w:after="40" w:before="0" w:line="259" w:lineRule="auto"/>
            </w:pPr>
            <w:r>
              <w:rPr>
                <w:rFonts w:ascii="Calibri" w:hAnsi="Calibri"/>
                <w:b/>
                <w:i w:val="0"/>
                <w:color w:val="212121"/>
                <w:sz w:val="19"/>
              </w:rPr>
              <w:t>Category</w:t>
            </w:r>
          </w:p>
        </w:tc>
        <w:tc>
          <w:tcPr>
            <w:tcW w:type="dxa" w:w="1655"/>
            <w:shd w:val="clear" w:color="auto" w:fill="F2F2F2"/>
            <w:vAlign w:val="center"/>
          </w:tcPr>
          <w:p>
            <w:pPr>
              <w:spacing w:after="40" w:before="0" w:line="259" w:lineRule="auto"/>
            </w:pPr>
            <w:r>
              <w:rPr>
                <w:rFonts w:ascii="Calibri" w:hAnsi="Calibri"/>
                <w:b/>
                <w:i w:val="0"/>
                <w:color w:val="212121"/>
                <w:sz w:val="19"/>
              </w:rPr>
              <w:t>Disposition</w:t>
            </w:r>
          </w:p>
        </w:tc>
        <w:tc>
          <w:tcPr>
            <w:tcW w:type="dxa" w:w="2160"/>
            <w:shd w:val="clear" w:color="auto" w:fill="F2F2F2"/>
            <w:vAlign w:val="center"/>
          </w:tcPr>
          <w:p>
            <w:pPr>
              <w:spacing w:after="40" w:before="0" w:line="259" w:lineRule="auto"/>
            </w:pPr>
            <w:r>
              <w:rPr>
                <w:rFonts w:ascii="Calibri" w:hAnsi="Calibri"/>
                <w:b/>
                <w:i w:val="0"/>
                <w:color w:val="212121"/>
                <w:sz w:val="19"/>
              </w:rPr>
              <w:t>Profiles</w:t>
            </w:r>
          </w:p>
        </w:tc>
        <w:tc>
          <w:tcPr>
            <w:tcW w:type="dxa" w:w="4276"/>
            <w:shd w:val="clear" w:color="auto" w:fill="F2F2F2"/>
            <w:vAlign w:val="center"/>
          </w:tcPr>
          <w:p>
            <w:pPr>
              <w:spacing w:after="40" w:before="0" w:line="259" w:lineRule="auto"/>
            </w:pPr>
            <w:r>
              <w:rPr>
                <w:rFonts w:ascii="Calibri" w:hAnsi="Calibri"/>
                <w:b/>
                <w:i w:val="0"/>
                <w:color w:val="212121"/>
                <w:sz w:val="19"/>
              </w:rPr>
              <w:t>Explanation</w:t>
            </w:r>
          </w:p>
        </w:tc>
      </w:tr>
      <w:tr>
        <w:trPr>
          <w:cantSplit/>
        </w:trPr>
        <w:tc>
          <w:tcPr>
            <w:tcW w:type="dxa" w:w="1512"/>
            <w:vMerge w:val="restart"/>
            <w:vAlign w:val="center"/>
          </w:tcPr>
          <w:p>
            <w:pPr>
              <w:spacing w:after="40"/>
            </w:pPr>
            <w:r>
              <w:rPr>
                <w:rFonts w:ascii="Calibri" w:hAnsi="Calibri"/>
                <w:b/>
                <w:i w:val="0"/>
                <w:color w:val="212121"/>
                <w:sz w:val="19"/>
              </w:rPr>
              <w:t>Demographic factors</w:t>
            </w:r>
          </w:p>
        </w:tc>
        <w:tc>
          <w:tcPr>
            <w:tcW w:type="dxa" w:w="1655"/>
            <w:vMerge w:val="restart"/>
            <w:vAlign w:val="center"/>
          </w:tcPr>
          <w:p>
            <w:pPr>
              <w:spacing w:after="40"/>
            </w:pPr>
            <w:r>
              <w:rPr>
                <w:rFonts w:ascii="Calibri" w:hAnsi="Calibri"/>
                <w:b w:val="0"/>
                <w:i w:val="0"/>
                <w:color w:val="212121"/>
                <w:sz w:val="19"/>
              </w:rPr>
              <w:t>Age</w:t>
            </w:r>
          </w:p>
        </w:tc>
        <w:tc>
          <w:tcPr>
            <w:tcW w:type="dxa" w:w="2160"/>
            <w:vAlign w:val="top"/>
          </w:tcPr>
          <w:p>
            <w:pPr>
              <w:spacing w:after="40" w:before="0" w:line="259" w:lineRule="auto"/>
            </w:pPr>
            <w:r>
              <w:rPr>
                <w:rFonts w:ascii="Calibri" w:hAnsi="Calibri"/>
                <w:b w:val="0"/>
                <w:i w:val="0"/>
                <w:color w:val="212121"/>
                <w:sz w:val="19"/>
              </w:rPr>
              <w:t>Adults</w:t>
            </w:r>
          </w:p>
        </w:tc>
        <w:tc>
          <w:tcPr>
            <w:tcW w:type="dxa" w:w="4276"/>
            <w:vAlign w:val="top"/>
          </w:tcPr>
          <w:p>
            <w:pPr>
              <w:spacing w:after="60" w:line="259" w:lineRule="auto"/>
            </w:pPr>
            <w:r>
              <w:rPr>
                <w:rFonts w:ascii="Calibri" w:hAnsi="Calibri"/>
                <w:b w:val="0"/>
                <w:i w:val="0"/>
                <w:color w:val="212121"/>
                <w:sz w:val="19"/>
              </w:rPr>
              <w:t>Cumulative visceral fat gain, dietary transition and progressive insulin resistance push working-age Indians into the prediabetic range - often a decade earlier than in Western populations. This is the prime window to intervene before beta-cell reserve is exhausted.</w:t>
            </w:r>
          </w:p>
          <w:p>
            <w:pPr>
              <w:spacing w:after="40" w:before="60" w:line="259" w:lineRule="auto"/>
            </w:pPr>
            <w:r>
              <w:rPr>
                <w:rFonts w:ascii="Calibri" w:hAnsi="Calibri"/>
                <w:b w:val="0"/>
                <w:i w:val="0"/>
                <w:color w:val="212121"/>
                <w:sz w:val="19"/>
              </w:rPr>
              <w:t>In ICMR-INDIAB, 15.3% of Indian adults (about 136 million) have prediabetes, exceeding the 11.4% (about 101 million) with diabetes.</w:t>
            </w:r>
          </w:p>
          <w:p>
            <w:pPr>
              <w:spacing w:after="40" w:line="252" w:lineRule="auto"/>
            </w:pPr>
            <w:hyperlink r:id="rId9">
              <w:r>
                <w:rPr>
                  <w:rFonts w:ascii="Calibri" w:hAnsi="Calibri" w:cs="Calibri"/>
                  <w:sz w:val="18"/>
                  <w:color w:val="1155CC"/>
                  <w:u w:val="single"/>
                </w:rPr>
                <w:t xml:space="preserve">nmji.in - ICMR-INDIAB national burden</w:t>
              </w:r>
            </w:hyperlink>
          </w:p>
          <w:p>
            <w:pPr>
              <w:spacing w:before="60" w:after="40"/>
            </w:pPr>
            <w:r>
              <w:rPr>
                <w:rFonts w:ascii="Calibri" w:hAnsi="Calibri"/>
                <w:b w:val="0"/>
                <w:i w:val="0"/>
                <w:color w:val="5A5A5A"/>
                <w:sz w:val="18"/>
              </w:rPr>
              <w:t>#prediabetes  #insulinresistance  #earlyintervention  #reversible  #youngonset</w:t>
            </w:r>
          </w:p>
        </w:tc>
      </w:tr>
      <w:tr>
        <w:trPr>
          <w:cantSplit/>
        </w:trPr>
        <w:tc>
          <w:tcPr>
            <w:tcW w:type="dxa" w:w="1512"/>
            <w:vMerge/>
            <w:vAlign w:val="top"/>
          </w:tcPr>
          <w:p>
            <w:pPr>
              <w:spacing w:after="40" w:before="0" w:line="259" w:lineRule="auto"/>
            </w:pPr>
          </w:p>
        </w:tc>
        <w:tc>
          <w:tcPr>
            <w:tcW w:type="dxa" w:w="1655"/>
            <w:vMerge/>
            <w:vAlign w:val="top"/>
          </w:tcPr>
          <w:p>
            <w:pPr>
              <w:spacing w:after="40" w:before="0" w:line="259" w:lineRule="auto"/>
            </w:pPr>
          </w:p>
        </w:tc>
        <w:tc>
          <w:tcPr>
            <w:tcW w:type="dxa" w:w="2160"/>
            <w:vAlign w:val="top"/>
          </w:tcPr>
          <w:p>
            <w:pPr>
              <w:spacing w:after="40" w:before="0" w:line="259" w:lineRule="auto"/>
            </w:pPr>
            <w:r>
              <w:rPr>
                <w:rFonts w:ascii="Calibri" w:hAnsi="Calibri"/>
                <w:b w:val="0"/>
                <w:i w:val="0"/>
                <w:color w:val="212121"/>
                <w:sz w:val="19"/>
              </w:rPr>
              <w:t>Elderly</w:t>
            </w:r>
          </w:p>
        </w:tc>
        <w:tc>
          <w:tcPr>
            <w:tcW w:type="dxa" w:w="4276"/>
            <w:vAlign w:val="top"/>
          </w:tcPr>
          <w:p>
            <w:pPr>
              <w:spacing w:after="60" w:line="259" w:lineRule="auto"/>
            </w:pPr>
            <w:r>
              <w:rPr>
                <w:rFonts w:ascii="Calibri" w:hAnsi="Calibri"/>
                <w:b w:val="0"/>
                <w:i w:val="0"/>
                <w:color w:val="212121"/>
                <w:sz w:val="19"/>
              </w:rPr>
              <w:t>Prevalence of dysglycaemia rises with age as beta-cell function declines and muscle mass falls; in older adults prediabetes commonly coexists with hypertension and dyslipidaemia, compounding cardiovascular risk.</w:t>
            </w:r>
          </w:p>
          <w:p>
            <w:pPr>
              <w:spacing w:after="40" w:before="60" w:line="259" w:lineRule="auto"/>
            </w:pPr>
            <w:r>
              <w:rPr>
                <w:rFonts w:ascii="Calibri" w:hAnsi="Calibri"/>
                <w:b w:val="0"/>
                <w:i w:val="0"/>
                <w:color w:val="212121"/>
                <w:sz w:val="19"/>
              </w:rPr>
              <w:t>Prediabetes and diabetes both cluster in later life in ICMR-INDIAB, and older adults carry a high absolute burden of intermediate hyperglycaemia.</w:t>
            </w:r>
          </w:p>
          <w:p>
            <w:pPr>
              <w:spacing w:after="40" w:line="252" w:lineRule="auto"/>
            </w:pPr>
            <w:hyperlink r:id="rId9">
              <w:r>
                <w:rPr>
                  <w:rFonts w:ascii="Calibri" w:hAnsi="Calibri" w:cs="Calibri"/>
                  <w:sz w:val="18"/>
                  <w:color w:val="1155CC"/>
                  <w:u w:val="single"/>
                </w:rPr>
                <w:t xml:space="preserve">nmji.in - ICMR-INDIAB national burden</w:t>
              </w:r>
            </w:hyperlink>
          </w:p>
          <w:p>
            <w:pPr>
              <w:spacing w:before="60" w:after="40"/>
            </w:pPr>
            <w:r>
              <w:rPr>
                <w:rFonts w:ascii="Calibri" w:hAnsi="Calibri"/>
                <w:b w:val="0"/>
                <w:i w:val="0"/>
                <w:color w:val="5A5A5A"/>
                <w:sz w:val="18"/>
              </w:rPr>
              <w:t>#ageing  #betacelldecline  #sarcopenia  #cardiometabolic</w:t>
            </w:r>
          </w:p>
        </w:tc>
      </w:tr>
      <w:tr>
        <w:trPr>
          <w:cantSplit/>
        </w:trPr>
        <w:tc>
          <w:tcPr>
            <w:tcW w:type="dxa" w:w="1512"/>
            <w:vMerge/>
            <w:vAlign w:val="top"/>
          </w:tcPr>
          <w:p>
            <w:pPr>
              <w:spacing w:after="40" w:before="0" w:line="259" w:lineRule="auto"/>
            </w:pPr>
          </w:p>
        </w:tc>
        <w:tc>
          <w:tcPr>
            <w:tcW w:type="dxa" w:w="1655"/>
            <w:vMerge w:val="restart"/>
            <w:vAlign w:val="center"/>
          </w:tcPr>
          <w:p>
            <w:pPr>
              <w:spacing w:after="40"/>
            </w:pPr>
            <w:r>
              <w:rPr>
                <w:rFonts w:ascii="Calibri" w:hAnsi="Calibri"/>
                <w:b w:val="0"/>
                <w:i w:val="0"/>
                <w:color w:val="212121"/>
                <w:sz w:val="19"/>
              </w:rPr>
              <w:t>Sex</w:t>
            </w:r>
          </w:p>
        </w:tc>
        <w:tc>
          <w:tcPr>
            <w:tcW w:type="dxa" w:w="2160"/>
            <w:vAlign w:val="top"/>
          </w:tcPr>
          <w:p>
            <w:pPr>
              <w:spacing w:after="40" w:before="0" w:line="259" w:lineRule="auto"/>
            </w:pPr>
            <w:r>
              <w:rPr>
                <w:rFonts w:ascii="Calibri" w:hAnsi="Calibri"/>
                <w:b w:val="0"/>
                <w:i w:val="0"/>
                <w:color w:val="212121"/>
                <w:sz w:val="19"/>
              </w:rPr>
              <w:t>Male</w:t>
            </w:r>
          </w:p>
        </w:tc>
        <w:tc>
          <w:tcPr>
            <w:tcW w:type="dxa" w:w="4276"/>
            <w:vAlign w:val="top"/>
          </w:tcPr>
          <w:p>
            <w:pPr>
              <w:spacing w:after="60" w:line="259" w:lineRule="auto"/>
            </w:pPr>
            <w:r>
              <w:rPr>
                <w:rFonts w:ascii="Calibri" w:hAnsi="Calibri"/>
                <w:b w:val="0"/>
                <w:i w:val="0"/>
                <w:color w:val="212121"/>
                <w:sz w:val="19"/>
              </w:rPr>
              <w:t>Men tend to carry more visceral fat and develop insulin resistance and dysglycaemia earlier than pre-menopausal women, contributing to earlier progression and premature cardiovascular disease.</w:t>
            </w:r>
          </w:p>
          <w:p>
            <w:pPr>
              <w:spacing w:after="40" w:before="60" w:line="259" w:lineRule="auto"/>
            </w:pPr>
            <w:r>
              <w:rPr>
                <w:rFonts w:ascii="Calibri" w:hAnsi="Calibri"/>
                <w:b w:val="0"/>
                <w:i w:val="0"/>
                <w:color w:val="212121"/>
                <w:sz w:val="19"/>
              </w:rPr>
              <w:t>Central adiposity and low HDL are common in Indian men and drive early insulin resistance underlying prediabetes.</w:t>
            </w:r>
          </w:p>
          <w:p>
            <w:pPr>
              <w:spacing w:before="60" w:after="40"/>
            </w:pPr>
            <w:r>
              <w:rPr>
                <w:rFonts w:ascii="Calibri" w:hAnsi="Calibri"/>
                <w:b w:val="0"/>
                <w:i w:val="0"/>
                <w:color w:val="5A5A5A"/>
                <w:sz w:val="18"/>
              </w:rPr>
              <w:t>#malerisk  #visceralfat  #insulinresistance  #prematureCVD</w:t>
            </w:r>
          </w:p>
        </w:tc>
      </w:tr>
      <w:tr>
        <w:trPr>
          <w:cantSplit/>
        </w:trPr>
        <w:tc>
          <w:tcPr>
            <w:tcW w:type="dxa" w:w="1512"/>
            <w:vMerge/>
            <w:vAlign w:val="top"/>
          </w:tcPr>
          <w:p>
            <w:pPr>
              <w:spacing w:after="40" w:before="0" w:line="259" w:lineRule="auto"/>
            </w:pPr>
          </w:p>
        </w:tc>
        <w:tc>
          <w:tcPr>
            <w:tcW w:type="dxa" w:w="1655"/>
            <w:vMerge/>
            <w:vAlign w:val="top"/>
          </w:tcPr>
          <w:p>
            <w:pPr>
              <w:spacing w:after="40" w:before="0" w:line="259" w:lineRule="auto"/>
            </w:pPr>
          </w:p>
        </w:tc>
        <w:tc>
          <w:tcPr>
            <w:tcW w:type="dxa" w:w="2160"/>
            <w:vAlign w:val="top"/>
          </w:tcPr>
          <w:p>
            <w:pPr>
              <w:spacing w:after="40" w:before="0" w:line="259" w:lineRule="auto"/>
            </w:pPr>
            <w:r>
              <w:rPr>
                <w:rFonts w:ascii="Calibri" w:hAnsi="Calibri"/>
                <w:b w:val="0"/>
                <w:i w:val="0"/>
                <w:color w:val="212121"/>
                <w:sz w:val="19"/>
              </w:rPr>
              <w:t>Female (prior GDM / PCOS)</w:t>
            </w:r>
          </w:p>
        </w:tc>
        <w:tc>
          <w:tcPr>
            <w:tcW w:type="dxa" w:w="4276"/>
            <w:vAlign w:val="top"/>
          </w:tcPr>
          <w:p>
            <w:pPr>
              <w:spacing w:after="60" w:line="259" w:lineRule="auto"/>
            </w:pPr>
            <w:r>
              <w:rPr>
                <w:rFonts w:ascii="Calibri" w:hAnsi="Calibri"/>
                <w:b w:val="0"/>
                <w:i w:val="0"/>
                <w:color w:val="212121"/>
                <w:sz w:val="19"/>
              </w:rPr>
              <w:t>Women with a history of gestational diabetes or with polycystic ovary syndrome are strongly insulin resistant and face a high future risk of prediabetes and diabetes; risk also rises after menopause as protective oestrogen falls.</w:t>
            </w:r>
          </w:p>
          <w:p>
            <w:pPr>
              <w:spacing w:after="40" w:before="60" w:line="259" w:lineRule="auto"/>
            </w:pPr>
            <w:r>
              <w:rPr>
                <w:rFonts w:ascii="Calibri" w:hAnsi="Calibri"/>
                <w:b w:val="0"/>
                <w:i w:val="0"/>
                <w:color w:val="212121"/>
                <w:sz w:val="19"/>
              </w:rPr>
              <w:t>Prior gestational diabetes and PCOS are recognised high-risk states that markedly raise the likelihood of prediabetes and later type 2 diabetes.</w:t>
            </w:r>
          </w:p>
          <w:p>
            <w:pPr>
              <w:spacing w:before="60" w:after="40"/>
            </w:pPr>
            <w:r>
              <w:rPr>
                <w:rFonts w:ascii="Calibri" w:hAnsi="Calibri"/>
                <w:b w:val="0"/>
                <w:i w:val="0"/>
                <w:color w:val="5A5A5A"/>
                <w:sz w:val="18"/>
              </w:rPr>
              <w:t>#GDM  #PCOS  #womenshealth  #insulinresistance  #postmenopause</w:t>
            </w:r>
          </w:p>
        </w:tc>
      </w:tr>
      <w:tr>
        <w:trPr>
          <w:cantSplit/>
        </w:trPr>
        <w:tc>
          <w:tcPr>
            <w:tcW w:type="dxa" w:w="1512"/>
            <w:vMerge/>
            <w:vAlign w:val="top"/>
          </w:tcPr>
          <w:p>
            <w:pPr>
              <w:spacing w:after="40" w:before="0" w:line="259" w:lineRule="auto"/>
            </w:pPr>
          </w:p>
        </w:tc>
        <w:tc>
          <w:tcPr>
            <w:tcW w:type="dxa" w:w="1655"/>
            <w:vAlign w:val="center"/>
          </w:tcPr>
          <w:p>
            <w:pPr>
              <w:spacing w:after="40"/>
            </w:pPr>
            <w:r>
              <w:rPr>
                <w:rFonts w:ascii="Calibri" w:hAnsi="Calibri"/>
                <w:b w:val="0"/>
                <w:i w:val="0"/>
                <w:color w:val="212121"/>
                <w:sz w:val="19"/>
              </w:rPr>
              <w:t>Socioeconomic status</w:t>
            </w:r>
          </w:p>
        </w:tc>
        <w:tc>
          <w:tcPr>
            <w:tcW w:type="dxa" w:w="2160"/>
            <w:vAlign w:val="top"/>
          </w:tcPr>
          <w:p>
            <w:pPr>
              <w:spacing w:after="40" w:before="0" w:line="259" w:lineRule="auto"/>
            </w:pPr>
            <w:r>
              <w:rPr>
                <w:rFonts w:ascii="Calibri" w:hAnsi="Calibri"/>
                <w:b w:val="0"/>
                <w:i w:val="0"/>
                <w:color w:val="212121"/>
                <w:sz w:val="19"/>
              </w:rPr>
              <w:t>Urban affluent and rising middle class</w:t>
            </w:r>
          </w:p>
        </w:tc>
        <w:tc>
          <w:tcPr>
            <w:tcW w:type="dxa" w:w="4276"/>
            <w:vAlign w:val="top"/>
          </w:tcPr>
          <w:p>
            <w:pPr>
              <w:spacing w:after="60" w:line="259" w:lineRule="auto"/>
            </w:pPr>
            <w:r>
              <w:rPr>
                <w:rFonts w:ascii="Calibri" w:hAnsi="Calibri"/>
                <w:b w:val="0"/>
                <w:i w:val="0"/>
                <w:color w:val="212121"/>
                <w:sz w:val="19"/>
              </w:rPr>
              <w:t>Higher disposable income, energy-dense restaurant and packaged foods, motorised transport and sedentary desk/IT occupations accelerate visceral fat and dysglycaemia; the burden is now spreading to lower-income urban and rural groups as diets shift.</w:t>
            </w:r>
          </w:p>
          <w:p>
            <w:pPr>
              <w:spacing w:after="40" w:before="60" w:line="259" w:lineRule="auto"/>
            </w:pPr>
            <w:r>
              <w:rPr>
                <w:rFonts w:ascii="Calibri" w:hAnsi="Calibri"/>
                <w:b w:val="0"/>
                <w:i w:val="0"/>
                <w:color w:val="212121"/>
                <w:sz w:val="19"/>
              </w:rPr>
              <w:t>Urban metros show the highest prediabetes prevalence, around 21% in urban Delhi, against a national figure of 15.3%.</w:t>
            </w:r>
          </w:p>
          <w:p>
            <w:pPr>
              <w:spacing w:after="40" w:line="252" w:lineRule="auto"/>
            </w:pPr>
            <w:hyperlink r:id="rId10">
              <w:r>
                <w:rPr>
                  <w:rFonts w:ascii="Calibri" w:hAnsi="Calibri" w:cs="Calibri"/>
                  <w:sz w:val="18"/>
                  <w:color w:val="1155CC"/>
                  <w:u w:val="single"/>
                </w:rPr>
                <w:t xml:space="preserve">pmc.ncbi.nlm.nih.gov - ICMR-INDIAB commentary (urban Delhi 21%)</w:t>
              </w:r>
            </w:hyperlink>
          </w:p>
          <w:p>
            <w:pPr>
              <w:spacing w:before="60" w:after="40"/>
            </w:pPr>
            <w:r>
              <w:rPr>
                <w:rFonts w:ascii="Calibri" w:hAnsi="Calibri"/>
                <w:b w:val="0"/>
                <w:i w:val="0"/>
                <w:color w:val="5A5A5A"/>
                <w:sz w:val="18"/>
              </w:rPr>
              <w:t>#urbanisation  #nutritiontransition  #deskjob  #processedfood</w:t>
            </w:r>
          </w:p>
        </w:tc>
      </w:tr>
      <w:tr>
        <w:trPr>
          <w:cantSplit/>
        </w:trPr>
        <w:tc>
          <w:tcPr>
            <w:tcW w:type="dxa" w:w="1512"/>
            <w:vMerge w:val="restart"/>
            <w:vAlign w:val="center"/>
          </w:tcPr>
          <w:p>
            <w:pPr>
              <w:spacing w:after="40"/>
            </w:pPr>
            <w:r>
              <w:rPr>
                <w:rFonts w:ascii="Calibri" w:hAnsi="Calibri"/>
                <w:b/>
                <w:i w:val="0"/>
                <w:color w:val="212121"/>
                <w:sz w:val="19"/>
              </w:rPr>
              <w:t>Geographic factors</w:t>
            </w:r>
          </w:p>
        </w:tc>
        <w:tc>
          <w:tcPr>
            <w:tcW w:type="dxa" w:w="1655"/>
            <w:vAlign w:val="center"/>
          </w:tcPr>
          <w:p>
            <w:pPr>
              <w:spacing w:after="40"/>
            </w:pPr>
            <w:r>
              <w:rPr>
                <w:rFonts w:ascii="Calibri" w:hAnsi="Calibri"/>
                <w:b w:val="0"/>
                <w:i w:val="0"/>
                <w:color w:val="212121"/>
                <w:sz w:val="19"/>
              </w:rPr>
              <w:t>Ethnicity</w:t>
            </w:r>
          </w:p>
        </w:tc>
        <w:tc>
          <w:tcPr>
            <w:tcW w:type="dxa" w:w="2160"/>
            <w:vAlign w:val="top"/>
          </w:tcPr>
          <w:p>
            <w:pPr>
              <w:spacing w:after="40" w:before="0" w:line="259" w:lineRule="auto"/>
            </w:pPr>
            <w:r>
              <w:rPr>
                <w:rFonts w:ascii="Calibri" w:hAnsi="Calibri"/>
                <w:b w:val="0"/>
                <w:i w:val="0"/>
                <w:color w:val="212121"/>
                <w:sz w:val="19"/>
              </w:rPr>
              <w:t>Asian Indian / South Asian phenotype</w:t>
            </w:r>
          </w:p>
        </w:tc>
        <w:tc>
          <w:tcPr>
            <w:tcW w:type="dxa" w:w="4276"/>
            <w:vAlign w:val="top"/>
          </w:tcPr>
          <w:p>
            <w:pPr>
              <w:spacing w:after="60" w:line="259" w:lineRule="auto"/>
            </w:pPr>
            <w:r>
              <w:rPr>
                <w:rFonts w:ascii="Calibri" w:hAnsi="Calibri"/>
                <w:b w:val="0"/>
                <w:i w:val="0"/>
                <w:color w:val="212121"/>
                <w:sz w:val="19"/>
              </w:rPr>
              <w:t>Asian Indians are metabolically distinct - the thin-fat phenotype means visceral and hepatic fat, insulin resistance and early beta-cell failure occur at low BMI, so prediabetes appears young and converts to diabetes unusually fast.</w:t>
            </w:r>
          </w:p>
          <w:p>
            <w:pPr>
              <w:spacing w:after="40" w:before="60" w:line="259" w:lineRule="auto"/>
            </w:pPr>
            <w:r>
              <w:rPr>
                <w:rFonts w:ascii="Calibri" w:hAnsi="Calibri"/>
                <w:b w:val="0"/>
                <w:i w:val="0"/>
                <w:color w:val="212121"/>
                <w:sz w:val="19"/>
              </w:rPr>
              <w:t>In the Indian Diabetes Prevention Programme, 55% of untreated Asian Indians with impaired glucose tolerance developed diabetes within 3 years - far faster than typical Western rates.</w:t>
            </w:r>
          </w:p>
          <w:p>
            <w:pPr>
              <w:spacing w:after="40" w:line="252" w:lineRule="auto"/>
            </w:pPr>
            <w:hyperlink r:id="rId11">
              <w:r>
                <w:rPr>
                  <w:rFonts w:ascii="Calibri" w:hAnsi="Calibri" w:cs="Calibri"/>
                  <w:sz w:val="18"/>
                  <w:color w:val="1155CC"/>
                  <w:u w:val="single"/>
                </w:rPr>
                <w:t xml:space="preserve">frontiersin.org - IDPP-1 control-group progression</w:t>
              </w:r>
            </w:hyperlink>
          </w:p>
          <w:p>
            <w:pPr>
              <w:spacing w:before="60" w:after="40"/>
            </w:pPr>
            <w:r>
              <w:rPr>
                <w:rFonts w:ascii="Calibri" w:hAnsi="Calibri"/>
                <w:b w:val="0"/>
                <w:i w:val="0"/>
                <w:color w:val="5A5A5A"/>
                <w:sz w:val="18"/>
              </w:rPr>
              <w:t>#SouthAsian  #thinfat  #rapidprogression  #ectopicfat  #betacell</w:t>
            </w:r>
          </w:p>
        </w:tc>
      </w:tr>
      <w:tr>
        <w:trPr>
          <w:cantSplit/>
        </w:trPr>
        <w:tc>
          <w:tcPr>
            <w:tcW w:type="dxa" w:w="1512"/>
            <w:vMerge/>
            <w:vAlign w:val="top"/>
          </w:tcPr>
          <w:p>
            <w:pPr>
              <w:spacing w:after="40" w:before="0" w:line="259" w:lineRule="auto"/>
            </w:pPr>
          </w:p>
        </w:tc>
        <w:tc>
          <w:tcPr>
            <w:tcW w:type="dxa" w:w="1655"/>
            <w:vAlign w:val="center"/>
          </w:tcPr>
          <w:p>
            <w:pPr>
              <w:spacing w:after="40"/>
            </w:pPr>
            <w:r>
              <w:rPr>
                <w:rFonts w:ascii="Calibri" w:hAnsi="Calibri"/>
                <w:b w:val="0"/>
                <w:i w:val="0"/>
                <w:color w:val="212121"/>
                <w:sz w:val="19"/>
              </w:rPr>
              <w:t>Region</w:t>
            </w:r>
          </w:p>
        </w:tc>
        <w:tc>
          <w:tcPr>
            <w:tcW w:type="dxa" w:w="2160"/>
            <w:vAlign w:val="top"/>
          </w:tcPr>
          <w:p>
            <w:pPr>
              <w:spacing w:after="40" w:before="0" w:line="259" w:lineRule="auto"/>
            </w:pPr>
            <w:r>
              <w:rPr>
                <w:rFonts w:ascii="Calibri" w:hAnsi="Calibri"/>
                <w:b w:val="0"/>
                <w:i w:val="0"/>
                <w:color w:val="212121"/>
                <w:sz w:val="19"/>
              </w:rPr>
              <w:t>States with high prediabetes-to-diabetes ratio</w:t>
            </w:r>
          </w:p>
        </w:tc>
        <w:tc>
          <w:tcPr>
            <w:tcW w:type="dxa" w:w="4276"/>
            <w:vAlign w:val="top"/>
          </w:tcPr>
          <w:p>
            <w:pPr>
              <w:spacing w:after="60" w:line="259" w:lineRule="auto"/>
            </w:pPr>
            <w:r>
              <w:rPr>
                <w:rFonts w:ascii="Calibri" w:hAnsi="Calibri"/>
                <w:b w:val="0"/>
                <w:i w:val="0"/>
                <w:color w:val="212121"/>
                <w:sz w:val="19"/>
              </w:rPr>
              <w:t>Less economically developed states (for example Uttar Pradesh) currently have lower diabetes but disproportionately high prediabetes, indicating a large pool poised to convert - the epidemic's leading edge and the best target for prevention.</w:t>
            </w:r>
          </w:p>
          <w:p>
            <w:pPr>
              <w:spacing w:after="40" w:before="60" w:line="259" w:lineRule="auto"/>
            </w:pPr>
            <w:r>
              <w:rPr>
                <w:rFonts w:ascii="Calibri" w:hAnsi="Calibri"/>
                <w:b w:val="0"/>
                <w:i w:val="0"/>
                <w:color w:val="212121"/>
                <w:sz w:val="19"/>
              </w:rPr>
              <w:t>ICMR-INDIAB shows wide state variation; a high prediabetes-to-diabetes ratio flags a coming diabetes surge and a 'golden window' for reversal.</w:t>
            </w:r>
          </w:p>
          <w:p>
            <w:pPr>
              <w:spacing w:after="40" w:line="252" w:lineRule="auto"/>
            </w:pPr>
            <w:hyperlink r:id="rId9">
              <w:r>
                <w:rPr>
                  <w:rFonts w:ascii="Calibri" w:hAnsi="Calibri" w:cs="Calibri"/>
                  <w:sz w:val="18"/>
                  <w:color w:val="1155CC"/>
                  <w:u w:val="single"/>
                </w:rPr>
                <w:t xml:space="preserve">nmji.in - ICMR-INDIAB state ratios and prevention window</w:t>
              </w:r>
            </w:hyperlink>
          </w:p>
          <w:p>
            <w:pPr>
              <w:spacing w:before="60" w:after="40"/>
            </w:pPr>
            <w:r>
              <w:rPr>
                <w:rFonts w:ascii="Calibri" w:hAnsi="Calibri"/>
                <w:b w:val="0"/>
                <w:i w:val="0"/>
                <w:color w:val="5A5A5A"/>
                <w:sz w:val="18"/>
              </w:rPr>
              <w:t>#regionalvariation  #UttarPradesh  #futurewave  #preventionwindow</w:t>
            </w:r>
          </w:p>
        </w:tc>
      </w:tr>
      <w:tr>
        <w:trPr>
          <w:cantSplit/>
        </w:trPr>
        <w:tc>
          <w:tcPr>
            <w:tcW w:type="dxa" w:w="1512"/>
            <w:vMerge w:val="restart"/>
            <w:vAlign w:val="center"/>
          </w:tcPr>
          <w:p>
            <w:pPr>
              <w:spacing w:after="40"/>
            </w:pPr>
            <w:r>
              <w:rPr>
                <w:rFonts w:ascii="Calibri" w:hAnsi="Calibri"/>
                <w:b/>
                <w:i w:val="0"/>
                <w:color w:val="212121"/>
                <w:sz w:val="19"/>
              </w:rPr>
              <w:t>Lifestyle factors</w:t>
            </w:r>
          </w:p>
        </w:tc>
        <w:tc>
          <w:tcPr>
            <w:tcW w:type="dxa" w:w="1655"/>
            <w:vAlign w:val="center"/>
          </w:tcPr>
          <w:p>
            <w:pPr>
              <w:spacing w:after="40"/>
            </w:pPr>
            <w:r>
              <w:rPr>
                <w:rFonts w:ascii="Calibri" w:hAnsi="Calibri"/>
                <w:b w:val="0"/>
                <w:i w:val="0"/>
                <w:color w:val="212121"/>
                <w:sz w:val="19"/>
              </w:rPr>
              <w:t>Sedentary</w:t>
            </w:r>
          </w:p>
        </w:tc>
        <w:tc>
          <w:tcPr>
            <w:tcW w:type="dxa" w:w="2160"/>
            <w:vAlign w:val="top"/>
          </w:tcPr>
          <w:p>
            <w:pPr>
              <w:spacing w:after="40" w:before="0" w:line="259" w:lineRule="auto"/>
            </w:pPr>
            <w:r>
              <w:rPr>
                <w:rFonts w:ascii="Calibri" w:hAnsi="Calibri"/>
                <w:b w:val="0"/>
                <w:i w:val="0"/>
                <w:color w:val="212121"/>
                <w:sz w:val="19"/>
              </w:rPr>
              <w:t>Office/IT workers, homemakers, drivers, elderly</w:t>
            </w:r>
          </w:p>
        </w:tc>
        <w:tc>
          <w:tcPr>
            <w:tcW w:type="dxa" w:w="4276"/>
            <w:vAlign w:val="top"/>
          </w:tcPr>
          <w:p>
            <w:pPr>
              <w:spacing w:after="60" w:line="259" w:lineRule="auto"/>
            </w:pPr>
            <w:r>
              <w:rPr>
                <w:rFonts w:ascii="Calibri" w:hAnsi="Calibri"/>
                <w:b w:val="0"/>
                <w:i w:val="0"/>
                <w:color w:val="212121"/>
                <w:sz w:val="19"/>
              </w:rPr>
              <w:t>Physical inactivity and low muscle mass reduce insulin-mediated glucose uptake, the primary route of glucose disposal; prolonged sitting independently worsens post-meal glucose and promotes visceral fat.</w:t>
            </w:r>
          </w:p>
          <w:p>
            <w:pPr>
              <w:spacing w:after="40" w:before="60" w:line="259" w:lineRule="auto"/>
            </w:pPr>
            <w:r>
              <w:rPr>
                <w:rFonts w:ascii="Calibri" w:hAnsi="Calibri"/>
                <w:b w:val="0"/>
                <w:i w:val="0"/>
                <w:color w:val="212121"/>
                <w:sz w:val="19"/>
              </w:rPr>
              <w:t>Structured physical activity is the cornerstone of reversal - the US DPP cut progression to diabetes by 58% with lifestyle change centred on activity and modest weight loss.</w:t>
            </w:r>
          </w:p>
          <w:p>
            <w:pPr>
              <w:spacing w:after="40" w:line="252" w:lineRule="auto"/>
            </w:pPr>
            <w:hyperlink r:id="rId11">
              <w:r>
                <w:rPr>
                  <w:rFonts w:ascii="Calibri" w:hAnsi="Calibri" w:cs="Calibri"/>
                  <w:sz w:val="18"/>
                  <w:color w:val="1155CC"/>
                  <w:u w:val="single"/>
                </w:rPr>
                <w:t xml:space="preserve">frontiersin.org - DPP lifestyle 58% risk reduction</w:t>
              </w:r>
            </w:hyperlink>
          </w:p>
          <w:p>
            <w:pPr>
              <w:spacing w:before="60" w:after="40"/>
            </w:pPr>
            <w:r>
              <w:rPr>
                <w:rFonts w:ascii="Calibri" w:hAnsi="Calibri"/>
                <w:b w:val="0"/>
                <w:i w:val="0"/>
                <w:color w:val="5A5A5A"/>
                <w:sz w:val="18"/>
              </w:rPr>
              <w:t>#sedentary  #screenbound  #lowactivity  #postmealsitting  #muscleglucose</w:t>
            </w:r>
          </w:p>
        </w:tc>
      </w:tr>
      <w:tr>
        <w:trPr>
          <w:cantSplit/>
        </w:trPr>
        <w:tc>
          <w:tcPr>
            <w:tcW w:type="dxa" w:w="1512"/>
            <w:vMerge/>
            <w:vAlign w:val="top"/>
          </w:tcPr>
          <w:p>
            <w:pPr>
              <w:spacing w:after="40" w:before="0" w:line="259" w:lineRule="auto"/>
            </w:pPr>
          </w:p>
        </w:tc>
        <w:tc>
          <w:tcPr>
            <w:tcW w:type="dxa" w:w="1655"/>
            <w:vAlign w:val="center"/>
          </w:tcPr>
          <w:p>
            <w:pPr>
              <w:spacing w:after="40"/>
            </w:pPr>
            <w:r>
              <w:rPr>
                <w:rFonts w:ascii="Calibri" w:hAnsi="Calibri"/>
                <w:b w:val="0"/>
                <w:i w:val="0"/>
                <w:color w:val="212121"/>
                <w:sz w:val="19"/>
              </w:rPr>
              <w:t>Smoking</w:t>
            </w:r>
          </w:p>
        </w:tc>
        <w:tc>
          <w:tcPr>
            <w:tcW w:type="dxa" w:w="2160"/>
            <w:vAlign w:val="top"/>
          </w:tcPr>
          <w:p>
            <w:pPr>
              <w:spacing w:after="40" w:before="0" w:line="259" w:lineRule="auto"/>
            </w:pPr>
            <w:r>
              <w:rPr>
                <w:rFonts w:ascii="Calibri" w:hAnsi="Calibri"/>
                <w:b w:val="0"/>
                <w:i w:val="0"/>
                <w:color w:val="212121"/>
                <w:sz w:val="19"/>
              </w:rPr>
              <w:t>Cigarette and bidi smokers, tobacco users</w:t>
            </w:r>
          </w:p>
        </w:tc>
        <w:tc>
          <w:tcPr>
            <w:tcW w:type="dxa" w:w="4276"/>
            <w:vAlign w:val="top"/>
          </w:tcPr>
          <w:p>
            <w:pPr>
              <w:spacing w:after="60" w:line="259" w:lineRule="auto"/>
            </w:pPr>
            <w:r>
              <w:rPr>
                <w:rFonts w:ascii="Calibri" w:hAnsi="Calibri"/>
                <w:b w:val="0"/>
                <w:i w:val="0"/>
                <w:color w:val="212121"/>
                <w:sz w:val="19"/>
              </w:rPr>
              <w:t>Active and passive tobacco exposure increases insulin resistance and systemic inflammation, raising the incidence of type 2 diabetes in a dose-dependent way; risk remains elevated for years after quitting.</w:t>
            </w:r>
          </w:p>
          <w:p>
            <w:pPr>
              <w:spacing w:after="40" w:before="60" w:line="259" w:lineRule="auto"/>
            </w:pPr>
            <w:r>
              <w:rPr>
                <w:rFonts w:ascii="Calibri" w:hAnsi="Calibri"/>
                <w:b w:val="0"/>
                <w:i w:val="0"/>
                <w:color w:val="212121"/>
                <w:sz w:val="19"/>
              </w:rPr>
              <w:t>Smoking is an independent, modifiable risk factor for progression from prediabetes to diabetes and for cardiovascular disease.</w:t>
            </w:r>
          </w:p>
          <w:p>
            <w:pPr>
              <w:spacing w:before="60" w:after="40"/>
            </w:pPr>
            <w:r>
              <w:rPr>
                <w:rFonts w:ascii="Calibri" w:hAnsi="Calibri"/>
                <w:b w:val="0"/>
                <w:i w:val="0"/>
                <w:color w:val="5A5A5A"/>
                <w:sz w:val="18"/>
              </w:rPr>
              <w:t>#smoking  #tobacco  #bidi  #insulinresistance  #inflammation</w:t>
            </w:r>
          </w:p>
        </w:tc>
      </w:tr>
      <w:tr>
        <w:trPr>
          <w:cantSplit/>
        </w:trPr>
        <w:tc>
          <w:tcPr>
            <w:tcW w:type="dxa" w:w="1512"/>
            <w:vMerge/>
            <w:vAlign w:val="top"/>
          </w:tcPr>
          <w:p>
            <w:pPr>
              <w:spacing w:after="40" w:before="0" w:line="259" w:lineRule="auto"/>
            </w:pPr>
          </w:p>
        </w:tc>
        <w:tc>
          <w:tcPr>
            <w:tcW w:type="dxa" w:w="1655"/>
            <w:vAlign w:val="center"/>
          </w:tcPr>
          <w:p>
            <w:pPr>
              <w:spacing w:after="40"/>
            </w:pPr>
            <w:r>
              <w:rPr>
                <w:rFonts w:ascii="Calibri" w:hAnsi="Calibri"/>
                <w:b w:val="0"/>
                <w:i w:val="0"/>
                <w:color w:val="212121"/>
                <w:sz w:val="19"/>
              </w:rPr>
              <w:t>Alcohol</w:t>
            </w:r>
          </w:p>
        </w:tc>
        <w:tc>
          <w:tcPr>
            <w:tcW w:type="dxa" w:w="2160"/>
            <w:vAlign w:val="top"/>
          </w:tcPr>
          <w:p>
            <w:pPr>
              <w:spacing w:after="40" w:before="0" w:line="259" w:lineRule="auto"/>
            </w:pPr>
            <w:r>
              <w:rPr>
                <w:rFonts w:ascii="Calibri" w:hAnsi="Calibri"/>
                <w:b w:val="0"/>
                <w:i w:val="0"/>
                <w:color w:val="212121"/>
                <w:sz w:val="19"/>
              </w:rPr>
              <w:t>Regular and heavy drinkers</w:t>
            </w:r>
          </w:p>
        </w:tc>
        <w:tc>
          <w:tcPr>
            <w:tcW w:type="dxa" w:w="4276"/>
            <w:vAlign w:val="top"/>
          </w:tcPr>
          <w:p>
            <w:pPr>
              <w:spacing w:after="60" w:line="259" w:lineRule="auto"/>
            </w:pPr>
            <w:r>
              <w:rPr>
                <w:rFonts w:ascii="Calibri" w:hAnsi="Calibri"/>
                <w:b w:val="0"/>
                <w:i w:val="0"/>
                <w:color w:val="212121"/>
                <w:sz w:val="19"/>
              </w:rPr>
              <w:t>Regular or heavy alcohol adds empty calories, promotes central fat deposition and raises blood pressure, worsening the insulin-resistant, dysglycaemic state that underlies prediabetes.</w:t>
            </w:r>
          </w:p>
          <w:p>
            <w:pPr>
              <w:spacing w:after="40" w:before="60" w:line="259" w:lineRule="auto"/>
            </w:pPr>
            <w:r>
              <w:rPr>
                <w:rFonts w:ascii="Calibri" w:hAnsi="Calibri"/>
                <w:b w:val="0"/>
                <w:i w:val="0"/>
                <w:color w:val="212121"/>
                <w:sz w:val="19"/>
              </w:rPr>
              <w:t>Heavy alcohol intake is associated with higher diabetes incidence and with the hypertension and dyslipidaemia that cluster around prediabetes.</w:t>
            </w:r>
          </w:p>
          <w:p>
            <w:pPr>
              <w:spacing w:before="60" w:after="40"/>
            </w:pPr>
            <w:r>
              <w:rPr>
                <w:rFonts w:ascii="Calibri" w:hAnsi="Calibri"/>
                <w:b w:val="0"/>
                <w:i w:val="0"/>
                <w:color w:val="5A5A5A"/>
                <w:sz w:val="18"/>
              </w:rPr>
              <w:t>#alcohol  #emptycalories  #centralfat  #bloodpressure</w:t>
            </w:r>
          </w:p>
        </w:tc>
      </w:tr>
      <w:tr>
        <w:trPr>
          <w:cantSplit/>
        </w:trPr>
        <w:tc>
          <w:tcPr>
            <w:tcW w:type="dxa" w:w="1512"/>
            <w:vMerge/>
            <w:vAlign w:val="top"/>
          </w:tcPr>
          <w:p>
            <w:pPr>
              <w:spacing w:after="40" w:before="0" w:line="259" w:lineRule="auto"/>
            </w:pPr>
          </w:p>
        </w:tc>
        <w:tc>
          <w:tcPr>
            <w:tcW w:type="dxa" w:w="1655"/>
            <w:vAlign w:val="center"/>
          </w:tcPr>
          <w:p>
            <w:pPr>
              <w:spacing w:after="40"/>
            </w:pPr>
            <w:r>
              <w:rPr>
                <w:rFonts w:ascii="Calibri" w:hAnsi="Calibri"/>
                <w:b w:val="0"/>
                <w:i w:val="0"/>
                <w:color w:val="212121"/>
                <w:sz w:val="19"/>
              </w:rPr>
              <w:t>Overweight</w:t>
            </w:r>
          </w:p>
        </w:tc>
        <w:tc>
          <w:tcPr>
            <w:tcW w:type="dxa" w:w="2160"/>
            <w:vAlign w:val="top"/>
          </w:tcPr>
          <w:p>
            <w:pPr>
              <w:spacing w:after="40" w:before="0" w:line="259" w:lineRule="auto"/>
            </w:pPr>
            <w:r>
              <w:rPr>
                <w:rFonts w:ascii="Calibri" w:hAnsi="Calibri"/>
                <w:b w:val="0"/>
                <w:i w:val="0"/>
                <w:color w:val="212121"/>
                <w:sz w:val="19"/>
              </w:rPr>
              <w:t>Overweight adults (Asian-Indian BMI &gt;= 23)</w:t>
            </w:r>
          </w:p>
        </w:tc>
        <w:tc>
          <w:tcPr>
            <w:tcW w:type="dxa" w:w="4276"/>
            <w:vAlign w:val="top"/>
          </w:tcPr>
          <w:p>
            <w:pPr>
              <w:spacing w:after="60" w:line="259" w:lineRule="auto"/>
            </w:pPr>
            <w:r>
              <w:rPr>
                <w:rFonts w:ascii="Calibri" w:hAnsi="Calibri"/>
                <w:b w:val="0"/>
                <w:i w:val="0"/>
                <w:color w:val="212121"/>
                <w:sz w:val="19"/>
              </w:rPr>
              <w:t>Even modest excess weight in Indians drives insulin resistance; the thin-fat pattern means many are metabolically unhealthy despite a 'normal' Western BMI, so Asian-Indian overweight begins at a BMI of 23 rather than 25.</w:t>
            </w:r>
          </w:p>
          <w:p>
            <w:pPr>
              <w:spacing w:after="40" w:before="60" w:line="259" w:lineRule="auto"/>
            </w:pPr>
            <w:r>
              <w:rPr>
                <w:rFonts w:ascii="Calibri" w:hAnsi="Calibri"/>
                <w:b w:val="0"/>
                <w:i w:val="0"/>
                <w:color w:val="212121"/>
                <w:sz w:val="19"/>
              </w:rPr>
              <w:t>About 43.3% of Indians are metabolically obese but of normal weight, reflecting how readily adiposity produces dysglycaemia in this population.</w:t>
            </w:r>
          </w:p>
          <w:p>
            <w:pPr>
              <w:spacing w:after="40" w:line="252" w:lineRule="auto"/>
            </w:pPr>
            <w:hyperlink r:id="rId12">
              <w:r>
                <w:rPr>
                  <w:rFonts w:ascii="Calibri" w:hAnsi="Calibri" w:cs="Calibri"/>
                  <w:sz w:val="18"/>
                  <w:color w:val="1155CC"/>
                  <w:u w:val="single"/>
                </w:rPr>
                <w:t xml:space="preserve">ijmr.org.in - ICMR-INDIAB-23 metabolic obesity (43.3% MONW)</w:t>
              </w:r>
            </w:hyperlink>
          </w:p>
          <w:p>
            <w:pPr>
              <w:spacing w:before="60" w:after="40"/>
            </w:pPr>
            <w:r>
              <w:rPr>
                <w:rFonts w:ascii="Calibri" w:hAnsi="Calibri"/>
                <w:b w:val="0"/>
                <w:i w:val="0"/>
                <w:color w:val="5A5A5A"/>
                <w:sz w:val="18"/>
              </w:rPr>
              <w:t>#overweight  #thinfat  #asianBMI  #metabolicallyobese  #normalweight</w:t>
            </w:r>
          </w:p>
        </w:tc>
      </w:tr>
      <w:tr>
        <w:trPr>
          <w:cantSplit/>
        </w:trPr>
        <w:tc>
          <w:tcPr>
            <w:tcW w:type="dxa" w:w="1512"/>
            <w:vMerge/>
            <w:vAlign w:val="top"/>
          </w:tcPr>
          <w:p>
            <w:pPr>
              <w:spacing w:after="40" w:before="0" w:line="259" w:lineRule="auto"/>
            </w:pPr>
          </w:p>
        </w:tc>
        <w:tc>
          <w:tcPr>
            <w:tcW w:type="dxa" w:w="1655"/>
            <w:vAlign w:val="center"/>
          </w:tcPr>
          <w:p>
            <w:pPr>
              <w:spacing w:after="40"/>
            </w:pPr>
            <w:r>
              <w:rPr>
                <w:rFonts w:ascii="Calibri" w:hAnsi="Calibri"/>
                <w:b w:val="0"/>
                <w:i w:val="0"/>
                <w:color w:val="212121"/>
                <w:sz w:val="19"/>
              </w:rPr>
              <w:t>Obese</w:t>
            </w:r>
          </w:p>
        </w:tc>
        <w:tc>
          <w:tcPr>
            <w:tcW w:type="dxa" w:w="2160"/>
            <w:vAlign w:val="top"/>
          </w:tcPr>
          <w:p>
            <w:pPr>
              <w:spacing w:after="40" w:before="0" w:line="259" w:lineRule="auto"/>
            </w:pPr>
            <w:r>
              <w:rPr>
                <w:rFonts w:ascii="Calibri" w:hAnsi="Calibri"/>
                <w:b w:val="0"/>
                <w:i w:val="0"/>
                <w:color w:val="212121"/>
                <w:sz w:val="19"/>
              </w:rPr>
              <w:t>Abdominally obese adults (waist M&gt;=90, F&gt;=80 cm)</w:t>
            </w:r>
          </w:p>
        </w:tc>
        <w:tc>
          <w:tcPr>
            <w:tcW w:type="dxa" w:w="4276"/>
            <w:vAlign w:val="top"/>
          </w:tcPr>
          <w:p>
            <w:pPr>
              <w:spacing w:after="60" w:line="259" w:lineRule="auto"/>
            </w:pPr>
            <w:r>
              <w:rPr>
                <w:rFonts w:ascii="Calibri" w:hAnsi="Calibri"/>
                <w:b w:val="0"/>
                <w:i w:val="0"/>
                <w:color w:val="212121"/>
                <w:sz w:val="19"/>
              </w:rPr>
              <w:t>Central/visceral obesity is the strongest driver of insulin resistance, flooding the liver and muscle with free fatty acids and inflammatory cytokines and pushing glucose into the prediabetic range.</w:t>
            </w:r>
          </w:p>
          <w:p>
            <w:pPr>
              <w:spacing w:after="40" w:before="60" w:line="259" w:lineRule="auto"/>
            </w:pPr>
            <w:r>
              <w:rPr>
                <w:rFonts w:ascii="Calibri" w:hAnsi="Calibri"/>
                <w:b w:val="0"/>
                <w:i w:val="0"/>
                <w:color w:val="212121"/>
                <w:sz w:val="19"/>
              </w:rPr>
              <w:t>An estimated 351 million Indian adults have abdominal obesity (waist &gt;= 90 cm in men, &gt;= 80 cm in women), a principal engine of the prediabetes epidemic.</w:t>
            </w:r>
          </w:p>
          <w:p>
            <w:pPr>
              <w:spacing w:after="40" w:line="252" w:lineRule="auto"/>
            </w:pPr>
            <w:hyperlink r:id="rId12">
              <w:r>
                <w:rPr>
                  <w:rFonts w:ascii="Calibri" w:hAnsi="Calibri" w:cs="Calibri"/>
                  <w:sz w:val="18"/>
                  <w:color w:val="1155CC"/>
                  <w:u w:val="single"/>
                </w:rPr>
                <w:t xml:space="preserve">ijmr.org.in - ICMR-INDIAB abdominal obesity (351 million)</w:t>
              </w:r>
            </w:hyperlink>
          </w:p>
          <w:p>
            <w:pPr>
              <w:spacing w:before="60" w:after="40"/>
            </w:pPr>
            <w:r>
              <w:rPr>
                <w:rFonts w:ascii="Calibri" w:hAnsi="Calibri"/>
                <w:b w:val="0"/>
                <w:i w:val="0"/>
                <w:color w:val="5A5A5A"/>
                <w:sz w:val="18"/>
              </w:rPr>
              <w:t>#abdominalobesity  #visceralfat  #freefattyacids  #waistcircumference</w:t>
            </w:r>
          </w:p>
        </w:tc>
      </w:tr>
      <w:tr>
        <w:trPr>
          <w:cantSplit/>
        </w:trPr>
        <w:tc>
          <w:tcPr>
            <w:tcW w:type="dxa" w:w="1512"/>
            <w:vAlign w:val="center"/>
          </w:tcPr>
          <w:p>
            <w:pPr>
              <w:spacing w:after="40"/>
            </w:pPr>
            <w:r>
              <w:rPr>
                <w:rFonts w:ascii="Calibri" w:hAnsi="Calibri"/>
                <w:b/>
                <w:i w:val="0"/>
                <w:color w:val="212121"/>
                <w:sz w:val="19"/>
              </w:rPr>
              <w:t>Dietary factors</w:t>
            </w:r>
          </w:p>
        </w:tc>
        <w:tc>
          <w:tcPr>
            <w:tcW w:type="dxa" w:w="1655"/>
            <w:vAlign w:val="center"/>
          </w:tcPr>
          <w:p>
            <w:pPr>
              <w:spacing w:after="40"/>
            </w:pPr>
            <w:r>
              <w:rPr>
                <w:rFonts w:ascii="Calibri" w:hAnsi="Calibri"/>
                <w:b w:val="0"/>
                <w:i w:val="0"/>
                <w:color w:val="212121"/>
                <w:sz w:val="19"/>
              </w:rPr>
              <w:t>Dietary preference</w:t>
            </w:r>
          </w:p>
        </w:tc>
        <w:tc>
          <w:tcPr>
            <w:tcW w:type="dxa" w:w="2160"/>
            <w:vAlign w:val="top"/>
          </w:tcPr>
          <w:p>
            <w:pPr>
              <w:spacing w:after="40" w:before="0" w:line="259" w:lineRule="auto"/>
            </w:pPr>
            <w:r>
              <w:rPr>
                <w:rFonts w:ascii="Calibri" w:hAnsi="Calibri"/>
                <w:b w:val="0"/>
                <w:i w:val="0"/>
                <w:color w:val="212121"/>
                <w:sz w:val="19"/>
              </w:rPr>
              <w:t>High refined-carbohydrate, high-glycaemic diets</w:t>
            </w:r>
          </w:p>
        </w:tc>
        <w:tc>
          <w:tcPr>
            <w:tcW w:type="dxa" w:w="4276"/>
            <w:vAlign w:val="top"/>
          </w:tcPr>
          <w:p>
            <w:pPr>
              <w:spacing w:after="60" w:line="259" w:lineRule="auto"/>
            </w:pPr>
            <w:r>
              <w:rPr>
                <w:rFonts w:ascii="Calibri" w:hAnsi="Calibri"/>
                <w:b w:val="0"/>
                <w:i w:val="0"/>
                <w:color w:val="212121"/>
                <w:sz w:val="19"/>
              </w:rPr>
              <w:t>Polished white rice, refined wheat/maida, sugar and ultra-processed snacks produce rapid, repeated glucose spikes and promote visceral fat, steadily eroding glucose tolerance; the effect is amplified by the high-carbohydrate Indian staple diet.</w:t>
            </w:r>
          </w:p>
          <w:p>
            <w:pPr>
              <w:spacing w:after="40" w:before="60" w:line="259" w:lineRule="auto"/>
            </w:pPr>
            <w:r>
              <w:rPr>
                <w:rFonts w:ascii="Calibri" w:hAnsi="Calibri"/>
                <w:b w:val="0"/>
                <w:i w:val="0"/>
                <w:color w:val="212121"/>
                <w:sz w:val="19"/>
              </w:rPr>
              <w:t>Low-glycaemic, fibre-rich diets built on millets, pulses and whole grains improve glucose tolerance and support regression to normal glucose regulation.</w:t>
            </w:r>
          </w:p>
          <w:p>
            <w:pPr>
              <w:spacing w:before="60" w:after="40"/>
            </w:pPr>
            <w:r>
              <w:rPr>
                <w:rFonts w:ascii="Calibri" w:hAnsi="Calibri"/>
                <w:b w:val="0"/>
                <w:i w:val="0"/>
                <w:color w:val="5A5A5A"/>
                <w:sz w:val="18"/>
              </w:rPr>
              <w:t>#refinedcarbs  #whiterice  #highGI  #sugar  #millets</w:t>
            </w:r>
          </w:p>
        </w:tc>
      </w:tr>
      <w:tr>
        <w:trPr>
          <w:cantSplit/>
        </w:trPr>
        <w:tc>
          <w:tcPr>
            <w:tcW w:type="dxa" w:w="1512"/>
            <w:vAlign w:val="center"/>
          </w:tcPr>
          <w:p>
            <w:pPr>
              <w:spacing w:after="40"/>
            </w:pPr>
            <w:r>
              <w:rPr>
                <w:rFonts w:ascii="Calibri" w:hAnsi="Calibri"/>
                <w:b/>
                <w:i w:val="0"/>
                <w:color w:val="212121"/>
                <w:sz w:val="19"/>
              </w:rPr>
              <w:t>Genetic factors</w:t>
            </w:r>
          </w:p>
        </w:tc>
        <w:tc>
          <w:tcPr>
            <w:tcW w:type="dxa" w:w="1655"/>
            <w:vAlign w:val="center"/>
          </w:tcPr>
          <w:p>
            <w:pPr>
              <w:spacing w:after="40"/>
            </w:pPr>
            <w:r>
              <w:rPr>
                <w:rFonts w:ascii="Calibri" w:hAnsi="Calibri"/>
                <w:b w:val="0"/>
                <w:i w:val="0"/>
                <w:color w:val="212121"/>
                <w:sz w:val="19"/>
              </w:rPr>
              <w:t>Family history</w:t>
            </w:r>
          </w:p>
        </w:tc>
        <w:tc>
          <w:tcPr>
            <w:tcW w:type="dxa" w:w="2160"/>
            <w:vAlign w:val="top"/>
          </w:tcPr>
          <w:p>
            <w:pPr>
              <w:spacing w:after="40" w:before="0" w:line="259" w:lineRule="auto"/>
            </w:pPr>
            <w:r>
              <w:rPr>
                <w:rFonts w:ascii="Calibri" w:hAnsi="Calibri"/>
                <w:b w:val="0"/>
                <w:i w:val="0"/>
                <w:color w:val="212121"/>
                <w:sz w:val="19"/>
              </w:rPr>
              <w:t>First-degree relatives with type 2 diabetes</w:t>
            </w:r>
          </w:p>
        </w:tc>
        <w:tc>
          <w:tcPr>
            <w:tcW w:type="dxa" w:w="4276"/>
            <w:vAlign w:val="top"/>
          </w:tcPr>
          <w:p>
            <w:pPr>
              <w:spacing w:after="60" w:line="259" w:lineRule="auto"/>
            </w:pPr>
            <w:r>
              <w:rPr>
                <w:rFonts w:ascii="Calibri" w:hAnsi="Calibri"/>
                <w:b w:val="0"/>
                <w:i w:val="0"/>
                <w:color w:val="212121"/>
                <w:sz w:val="19"/>
              </w:rPr>
              <w:t>A strong South Asian genetic predisposition means that having a parent or sibling with type 2 diabetes substantially raises the likelihood of insulin resistance and prediabetes, frequently at a younger age.</w:t>
            </w:r>
          </w:p>
          <w:p>
            <w:pPr>
              <w:spacing w:after="40" w:before="60" w:line="259" w:lineRule="auto"/>
            </w:pPr>
            <w:r>
              <w:rPr>
                <w:rFonts w:ascii="Calibri" w:hAnsi="Calibri"/>
                <w:b w:val="0"/>
                <w:i w:val="0"/>
                <w:color w:val="212121"/>
                <w:sz w:val="19"/>
              </w:rPr>
              <w:t>Family history of type 2 diabetes is one of the strongest non-modifiable risk factors and a key trigger for early screening in Indians.</w:t>
            </w:r>
          </w:p>
          <w:p>
            <w:pPr>
              <w:spacing w:before="60" w:after="40"/>
            </w:pPr>
            <w:r>
              <w:rPr>
                <w:rFonts w:ascii="Calibri" w:hAnsi="Calibri"/>
                <w:b w:val="0"/>
                <w:i w:val="0"/>
                <w:color w:val="5A5A5A"/>
                <w:sz w:val="18"/>
              </w:rPr>
              <w:t>#familyhistory  #geneticrisk  #SouthAsian  #earlyscreening</w:t>
            </w:r>
          </w:p>
        </w:tc>
      </w:tr>
      <w:tr>
        <w:trPr>
          <w:cantSplit/>
        </w:trPr>
        <w:tc>
          <w:tcPr>
            <w:tcW w:type="dxa" w:w="1512"/>
            <w:vMerge w:val="restart"/>
            <w:vAlign w:val="center"/>
          </w:tcPr>
          <w:p>
            <w:pPr>
              <w:spacing w:after="40"/>
            </w:pPr>
            <w:r>
              <w:rPr>
                <w:rFonts w:ascii="Calibri" w:hAnsi="Calibri"/>
                <w:b/>
                <w:i w:val="0"/>
                <w:color w:val="212121"/>
                <w:sz w:val="19"/>
              </w:rPr>
              <w:t>Medical conditions profile (mcp)</w:t>
            </w:r>
          </w:p>
        </w:tc>
        <w:tc>
          <w:tcPr>
            <w:tcW w:type="dxa" w:w="1655"/>
            <w:vAlign w:val="center"/>
          </w:tcPr>
          <w:p>
            <w:pPr>
              <w:spacing w:after="40"/>
            </w:pPr>
            <w:r>
              <w:rPr>
                <w:rFonts w:ascii="Calibri" w:hAnsi="Calibri"/>
                <w:b w:val="0"/>
                <w:i w:val="0"/>
                <w:color w:val="212121"/>
                <w:sz w:val="19"/>
              </w:rPr>
              <w:t>Prior gestational diabetes</w:t>
            </w:r>
          </w:p>
        </w:tc>
        <w:tc>
          <w:tcPr>
            <w:tcW w:type="dxa" w:w="2160"/>
            <w:vAlign w:val="top"/>
          </w:tcPr>
          <w:p>
            <w:pPr>
              <w:spacing w:after="40" w:before="0" w:line="259" w:lineRule="auto"/>
            </w:pPr>
            <w:r>
              <w:rPr>
                <w:rFonts w:ascii="Calibri" w:hAnsi="Calibri"/>
                <w:b w:val="0"/>
                <w:i w:val="0"/>
                <w:color w:val="212121"/>
                <w:sz w:val="19"/>
              </w:rPr>
              <w:t>Women with a history of GDM</w:t>
            </w:r>
          </w:p>
        </w:tc>
        <w:tc>
          <w:tcPr>
            <w:tcW w:type="dxa" w:w="4276"/>
            <w:vAlign w:val="top"/>
          </w:tcPr>
          <w:p>
            <w:pPr>
              <w:spacing w:after="60" w:line="259" w:lineRule="auto"/>
            </w:pPr>
            <w:r>
              <w:rPr>
                <w:rFonts w:ascii="Calibri" w:hAnsi="Calibri"/>
                <w:b w:val="0"/>
                <w:i w:val="0"/>
                <w:color w:val="212121"/>
                <w:sz w:val="19"/>
              </w:rPr>
              <w:t>Gestational diabetes unmasks a limited beta-cell reserve; after delivery many women remain insulin resistant and progress through prediabetes to type 2 diabetes over the following years.</w:t>
            </w:r>
          </w:p>
          <w:p>
            <w:pPr>
              <w:spacing w:after="40" w:before="60" w:line="259" w:lineRule="auto"/>
            </w:pPr>
            <w:r>
              <w:rPr>
                <w:rFonts w:ascii="Calibri" w:hAnsi="Calibri"/>
                <w:b w:val="0"/>
                <w:i w:val="0"/>
                <w:color w:val="212121"/>
                <w:sz w:val="19"/>
              </w:rPr>
              <w:t>A history of GDM confers a high future risk of prediabetes and diabetes and warrants periodic post-partum glucose screening.</w:t>
            </w:r>
          </w:p>
          <w:p>
            <w:pPr>
              <w:spacing w:before="60" w:after="40"/>
            </w:pPr>
            <w:r>
              <w:rPr>
                <w:rFonts w:ascii="Calibri" w:hAnsi="Calibri"/>
                <w:b w:val="0"/>
                <w:i w:val="0"/>
                <w:color w:val="5A5A5A"/>
                <w:sz w:val="18"/>
              </w:rPr>
              <w:t>#GDM  #postpartum  #betacellreserve  #womenshealth  #screening</w:t>
            </w:r>
          </w:p>
        </w:tc>
      </w:tr>
      <w:tr>
        <w:trPr>
          <w:cantSplit/>
        </w:trPr>
        <w:tc>
          <w:tcPr>
            <w:tcW w:type="dxa" w:w="1512"/>
            <w:vMerge/>
            <w:vAlign w:val="top"/>
          </w:tcPr>
          <w:p>
            <w:pPr>
              <w:spacing w:after="40" w:before="0" w:line="259" w:lineRule="auto"/>
            </w:pPr>
          </w:p>
        </w:tc>
        <w:tc>
          <w:tcPr>
            <w:tcW w:type="dxa" w:w="1655"/>
            <w:vAlign w:val="center"/>
          </w:tcPr>
          <w:p>
            <w:pPr>
              <w:spacing w:after="40"/>
            </w:pPr>
            <w:r>
              <w:rPr>
                <w:rFonts w:ascii="Calibri" w:hAnsi="Calibri"/>
                <w:b w:val="0"/>
                <w:i w:val="0"/>
                <w:color w:val="212121"/>
                <w:sz w:val="19"/>
              </w:rPr>
              <w:t>PCOS</w:t>
            </w:r>
          </w:p>
        </w:tc>
        <w:tc>
          <w:tcPr>
            <w:tcW w:type="dxa" w:w="2160"/>
            <w:vAlign w:val="top"/>
          </w:tcPr>
          <w:p>
            <w:pPr>
              <w:spacing w:after="40" w:before="0" w:line="259" w:lineRule="auto"/>
            </w:pPr>
            <w:r>
              <w:rPr>
                <w:rFonts w:ascii="Calibri" w:hAnsi="Calibri"/>
                <w:b w:val="0"/>
                <w:i w:val="0"/>
                <w:color w:val="212121"/>
                <w:sz w:val="19"/>
              </w:rPr>
              <w:t>Women with polycystic ovary syndrome</w:t>
            </w:r>
          </w:p>
        </w:tc>
        <w:tc>
          <w:tcPr>
            <w:tcW w:type="dxa" w:w="4276"/>
            <w:vAlign w:val="top"/>
          </w:tcPr>
          <w:p>
            <w:pPr>
              <w:spacing w:after="60" w:line="259" w:lineRule="auto"/>
            </w:pPr>
            <w:r>
              <w:rPr>
                <w:rFonts w:ascii="Calibri" w:hAnsi="Calibri"/>
                <w:b w:val="0"/>
                <w:i w:val="0"/>
                <w:color w:val="212121"/>
                <w:sz w:val="19"/>
              </w:rPr>
              <w:t>PCOS is characterised by marked insulin resistance and compensatory hyperinsulinaemia, making prediabetes and impaired glucose tolerance common even in young, lean women.</w:t>
            </w:r>
          </w:p>
          <w:p>
            <w:pPr>
              <w:spacing w:after="40" w:before="60" w:line="259" w:lineRule="auto"/>
            </w:pPr>
            <w:r>
              <w:rPr>
                <w:rFonts w:ascii="Calibri" w:hAnsi="Calibri"/>
                <w:b w:val="0"/>
                <w:i w:val="0"/>
                <w:color w:val="212121"/>
                <w:sz w:val="19"/>
              </w:rPr>
              <w:t>Insulin resistance links PCOS with a high prevalence of prediabetes/IGT and early type 2 diabetes in reproductive-age women.</w:t>
            </w:r>
          </w:p>
          <w:p>
            <w:pPr>
              <w:spacing w:before="60" w:after="40"/>
            </w:pPr>
            <w:r>
              <w:rPr>
                <w:rFonts w:ascii="Calibri" w:hAnsi="Calibri"/>
                <w:b w:val="0"/>
                <w:i w:val="0"/>
                <w:color w:val="5A5A5A"/>
                <w:sz w:val="18"/>
              </w:rPr>
              <w:t>#PCOS  #hyperinsulinaemia  #IGT  #youngwomen  #insulinresistance</w:t>
            </w:r>
          </w:p>
        </w:tc>
      </w:tr>
      <w:tr>
        <w:trPr>
          <w:cantSplit/>
        </w:trPr>
        <w:tc>
          <w:tcPr>
            <w:tcW w:type="dxa" w:w="1512"/>
            <w:vMerge/>
            <w:vAlign w:val="top"/>
          </w:tcPr>
          <w:p>
            <w:pPr>
              <w:spacing w:after="40" w:before="0" w:line="259" w:lineRule="auto"/>
            </w:pPr>
          </w:p>
        </w:tc>
        <w:tc>
          <w:tcPr>
            <w:tcW w:type="dxa" w:w="1655"/>
            <w:vAlign w:val="center"/>
          </w:tcPr>
          <w:p>
            <w:pPr>
              <w:spacing w:after="40"/>
            </w:pPr>
            <w:r>
              <w:rPr>
                <w:rFonts w:ascii="Calibri" w:hAnsi="Calibri"/>
                <w:b w:val="0"/>
                <w:i w:val="0"/>
                <w:color w:val="212121"/>
                <w:sz w:val="19"/>
              </w:rPr>
              <w:t>Metabolic syndrome / hypertension</w:t>
            </w:r>
          </w:p>
        </w:tc>
        <w:tc>
          <w:tcPr>
            <w:tcW w:type="dxa" w:w="2160"/>
            <w:vAlign w:val="top"/>
          </w:tcPr>
          <w:p>
            <w:pPr>
              <w:spacing w:after="40" w:before="0" w:line="259" w:lineRule="auto"/>
            </w:pPr>
            <w:r>
              <w:rPr>
                <w:rFonts w:ascii="Calibri" w:hAnsi="Calibri"/>
                <w:b w:val="0"/>
                <w:i w:val="0"/>
                <w:color w:val="212121"/>
                <w:sz w:val="19"/>
              </w:rPr>
              <w:t>Patients with metabolic syndrome or hypertension</w:t>
            </w:r>
          </w:p>
        </w:tc>
        <w:tc>
          <w:tcPr>
            <w:tcW w:type="dxa" w:w="4276"/>
            <w:vAlign w:val="top"/>
          </w:tcPr>
          <w:p>
            <w:pPr>
              <w:spacing w:after="60" w:line="259" w:lineRule="auto"/>
            </w:pPr>
            <w:r>
              <w:rPr>
                <w:rFonts w:ascii="Calibri" w:hAnsi="Calibri"/>
                <w:b w:val="0"/>
                <w:i w:val="0"/>
                <w:color w:val="212121"/>
                <w:sz w:val="19"/>
              </w:rPr>
              <w:t>Prediabetes is a core component of the metabolic syndrome and clusters with hypertension, central obesity, high triglycerides and low HDL through shared insulin resistance, multiplying cardiovascular risk.</w:t>
            </w:r>
          </w:p>
          <w:p>
            <w:pPr>
              <w:spacing w:after="40" w:before="60" w:line="259" w:lineRule="auto"/>
            </w:pPr>
            <w:r>
              <w:rPr>
                <w:rFonts w:ascii="Calibri" w:hAnsi="Calibri"/>
                <w:b w:val="0"/>
                <w:i w:val="0"/>
                <w:color w:val="212121"/>
                <w:sz w:val="19"/>
              </w:rPr>
              <w:t>Hypertension affects about 35.5% of Indian adults (around 315 million) and commonly coexists with prediabetes as part of the metabolic syndrome.</w:t>
            </w:r>
          </w:p>
          <w:p>
            <w:pPr>
              <w:spacing w:after="40" w:line="252" w:lineRule="auto"/>
            </w:pPr>
            <w:hyperlink r:id="rId9">
              <w:r>
                <w:rPr>
                  <w:rFonts w:ascii="Calibri" w:hAnsi="Calibri" w:cs="Calibri"/>
                  <w:sz w:val="18"/>
                  <w:color w:val="1155CC"/>
                  <w:u w:val="single"/>
                </w:rPr>
                <w:t xml:space="preserve">nmji.in - ICMR-INDIAB hypertension prevalence</w:t>
              </w:r>
            </w:hyperlink>
          </w:p>
          <w:p>
            <w:pPr>
              <w:spacing w:before="60" w:after="40"/>
            </w:pPr>
            <w:r>
              <w:rPr>
                <w:rFonts w:ascii="Calibri" w:hAnsi="Calibri"/>
                <w:b w:val="0"/>
                <w:i w:val="0"/>
                <w:color w:val="5A5A5A"/>
                <w:sz w:val="18"/>
              </w:rPr>
              <w:t>#metabolicsyndrome  #hypertension  #lowHDL  #cardiometabolic</w:t>
            </w:r>
          </w:p>
        </w:tc>
      </w:tr>
      <w:tr>
        <w:trPr>
          <w:cantSplit/>
        </w:trPr>
        <w:tc>
          <w:tcPr>
            <w:tcW w:type="dxa" w:w="1512"/>
            <w:vMerge/>
            <w:vAlign w:val="top"/>
          </w:tcPr>
          <w:p>
            <w:pPr>
              <w:spacing w:after="40" w:before="0" w:line="259" w:lineRule="auto"/>
            </w:pPr>
          </w:p>
        </w:tc>
        <w:tc>
          <w:tcPr>
            <w:tcW w:type="dxa" w:w="1655"/>
            <w:vAlign w:val="center"/>
          </w:tcPr>
          <w:p>
            <w:pPr>
              <w:spacing w:after="40"/>
            </w:pPr>
            <w:r>
              <w:rPr>
                <w:rFonts w:ascii="Calibri" w:hAnsi="Calibri"/>
                <w:b w:val="0"/>
                <w:i w:val="0"/>
                <w:color w:val="212121"/>
                <w:sz w:val="19"/>
              </w:rPr>
              <w:t>NAFLD</w:t>
            </w:r>
          </w:p>
        </w:tc>
        <w:tc>
          <w:tcPr>
            <w:tcW w:type="dxa" w:w="2160"/>
            <w:vAlign w:val="top"/>
          </w:tcPr>
          <w:p>
            <w:pPr>
              <w:spacing w:after="40" w:before="0" w:line="259" w:lineRule="auto"/>
            </w:pPr>
            <w:r>
              <w:rPr>
                <w:rFonts w:ascii="Calibri" w:hAnsi="Calibri"/>
                <w:b w:val="0"/>
                <w:i w:val="0"/>
                <w:color w:val="212121"/>
                <w:sz w:val="19"/>
              </w:rPr>
              <w:t>Patients with non-alcoholic fatty liver disease</w:t>
            </w:r>
          </w:p>
        </w:tc>
        <w:tc>
          <w:tcPr>
            <w:tcW w:type="dxa" w:w="4276"/>
            <w:vAlign w:val="top"/>
          </w:tcPr>
          <w:p>
            <w:pPr>
              <w:spacing w:after="60" w:line="259" w:lineRule="auto"/>
            </w:pPr>
            <w:r>
              <w:rPr>
                <w:rFonts w:ascii="Calibri" w:hAnsi="Calibri"/>
                <w:b w:val="0"/>
                <w:i w:val="0"/>
                <w:color w:val="212121"/>
                <w:sz w:val="19"/>
              </w:rPr>
              <w:t>Fatty liver is the hepatic expression of insulin resistance; it both reflects and worsens dysglycaemia by increasing hepatic glucose output, and strongly predicts progression to diabetes.</w:t>
            </w:r>
          </w:p>
          <w:p>
            <w:pPr>
              <w:spacing w:after="40" w:before="60" w:line="259" w:lineRule="auto"/>
            </w:pPr>
            <w:r>
              <w:rPr>
                <w:rFonts w:ascii="Calibri" w:hAnsi="Calibri"/>
                <w:b w:val="0"/>
                <w:i w:val="0"/>
                <w:color w:val="212121"/>
                <w:sz w:val="19"/>
              </w:rPr>
              <w:t>NAFLD is a very common accompaniment of prediabetes in Indians and marks heightened risk of progression and cardiovascular disease.</w:t>
            </w:r>
          </w:p>
          <w:p>
            <w:pPr>
              <w:spacing w:before="60" w:after="40"/>
            </w:pPr>
            <w:r>
              <w:rPr>
                <w:rFonts w:ascii="Calibri" w:hAnsi="Calibri"/>
                <w:b w:val="0"/>
                <w:i w:val="0"/>
                <w:color w:val="5A5A5A"/>
                <w:sz w:val="18"/>
              </w:rPr>
              <w:t>#NAFLD  #fattyliver  #hepaticinsulinresistance  #ectopicfat</w:t>
            </w:r>
          </w:p>
        </w:tc>
      </w:tr>
    </w:tbl>
    <w:p>
      <w:pPr>
        <w:spacing w:before="200" w:after="120"/>
      </w:pPr>
      <w:r>
        <w:rPr>
          <w:rFonts w:ascii="Calibri" w:hAnsi="Calibri"/>
          <w:b/>
          <w:i w:val="0"/>
          <w:color w:val="212121"/>
          <w:sz w:val="25"/>
        </w:rPr>
        <w:t>Lifestyle Health Parameters ( LHP )</w:t>
      </w:r>
    </w:p>
    <w:p>
      <w:pPr>
        <w:spacing w:before="160" w:after="120"/>
      </w:pPr>
      <w:r>
        <w:rPr>
          <w:rFonts w:ascii="Calibri" w:hAnsi="Calibri"/>
          <w:b/>
          <w:i w:val="0"/>
          <w:color w:val="212121"/>
          <w:sz w:val="22"/>
        </w:rPr>
        <w:t>Order of Parameter Influence Study</w:t>
      </w:r>
    </w:p>
    <w:tbl>
      <w:tblPr>
        <w:tblW w:type="dxa" w:w="9604"/>
        <w:jc w:val="center"/>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Grid>
        <w:gridCol w:w="3202"/>
        <w:gridCol w:w="3202"/>
        <w:gridCol w:w="3202"/>
      </w:tblGrid>
      <w:tr>
        <w:trPr>
          <w:cantSplit/>
        </w:trPr>
        <w:tc>
          <w:tcPr>
            <w:tcW w:type="dxa" w:w="2304"/>
            <w:shd w:val="clear" w:color="auto" w:fill="F2F2F2"/>
            <w:vAlign w:val="center"/>
          </w:tcPr>
          <w:p>
            <w:pPr>
              <w:spacing w:after="40" w:before="0" w:line="259" w:lineRule="auto"/>
            </w:pPr>
            <w:r>
              <w:rPr>
                <w:rFonts w:ascii="Calibri" w:hAnsi="Calibri"/>
                <w:b/>
                <w:i w:val="0"/>
                <w:color w:val="212121"/>
                <w:sz w:val="19"/>
              </w:rPr>
              <w:t>LHP</w:t>
            </w:r>
          </w:p>
        </w:tc>
        <w:tc>
          <w:tcPr>
            <w:tcW w:type="dxa" w:w="1800"/>
            <w:shd w:val="clear" w:color="auto" w:fill="F2F2F2"/>
            <w:vAlign w:val="center"/>
          </w:tcPr>
          <w:p>
            <w:pPr>
              <w:spacing w:after="40" w:before="0" w:line="259" w:lineRule="auto"/>
            </w:pPr>
            <w:r>
              <w:rPr>
                <w:rFonts w:ascii="Calibri" w:hAnsi="Calibri"/>
                <w:b/>
                <w:i w:val="0"/>
                <w:color w:val="212121"/>
                <w:sz w:val="19"/>
              </w:rPr>
              <w:t>Influence Level</w:t>
            </w:r>
          </w:p>
        </w:tc>
        <w:tc>
          <w:tcPr>
            <w:tcW w:type="dxa" w:w="5500"/>
            <w:shd w:val="clear" w:color="auto" w:fill="F2F2F2"/>
            <w:vAlign w:val="center"/>
          </w:tcPr>
          <w:p>
            <w:pPr>
              <w:spacing w:after="40" w:before="0" w:line="259" w:lineRule="auto"/>
            </w:pPr>
            <w:r>
              <w:rPr>
                <w:rFonts w:ascii="Calibri" w:hAnsi="Calibri"/>
                <w:b/>
                <w:i w:val="0"/>
                <w:color w:val="212121"/>
                <w:sz w:val="19"/>
              </w:rPr>
              <w:t>Influence Study</w:t>
            </w:r>
          </w:p>
        </w:tc>
      </w:tr>
      <w:tr>
        <w:trPr>
          <w:cantSplit/>
        </w:trPr>
        <w:tc>
          <w:tcPr>
            <w:tcW w:type="dxa" w:w="2304"/>
            <w:vAlign w:val="top"/>
          </w:tcPr>
          <w:p>
            <w:pPr>
              <w:spacing w:after="40" w:before="0" w:line="259" w:lineRule="auto"/>
            </w:pPr>
            <w:r>
              <w:rPr>
                <w:rFonts w:ascii="Calibri" w:hAnsi="Calibri"/>
                <w:b/>
                <w:i w:val="0"/>
                <w:color w:val="212121"/>
                <w:sz w:val="19"/>
              </w:rPr>
              <w:t>Physical activity</w:t>
            </w:r>
          </w:p>
        </w:tc>
        <w:tc>
          <w:tcPr>
            <w:tcW w:type="dxa" w:w="1800"/>
            <w:vAlign w:val="top"/>
          </w:tcPr>
          <w:p>
            <w:pPr>
              <w:spacing w:after="40" w:before="0" w:line="259" w:lineRule="auto"/>
            </w:pPr>
            <w:r>
              <w:rPr>
                <w:rFonts w:ascii="Calibri" w:hAnsi="Calibri"/>
                <w:b w:val="0"/>
                <w:i w:val="0"/>
                <w:color w:val="212121"/>
                <w:sz w:val="19"/>
              </w:rPr>
              <w:t>High</w:t>
            </w:r>
          </w:p>
        </w:tc>
        <w:tc>
          <w:tcPr>
            <w:tcW w:type="dxa" w:w="5500"/>
            <w:vAlign w:val="top"/>
          </w:tcPr>
          <w:p>
            <w:pPr>
              <w:spacing w:after="40" w:before="0" w:line="259" w:lineRule="auto"/>
            </w:pPr>
            <w:r>
              <w:rPr>
                <w:rFonts w:ascii="Calibri" w:hAnsi="Calibri"/>
                <w:b w:val="0"/>
                <w:i w:val="0"/>
                <w:color w:val="212121"/>
                <w:sz w:val="19"/>
              </w:rPr>
              <w:t>Inactivity and low muscle mass reduce insulin-mediated glucose uptake and promote visceral fat. Structured activity is the cornerstone of reversal: the Indian D-CLIP trial cut progression to diabetes by 32%, and the US DPP by 58% with lifestyle change.</w:t>
            </w:r>
          </w:p>
        </w:tc>
      </w:tr>
      <w:tr>
        <w:trPr>
          <w:cantSplit/>
        </w:trPr>
        <w:tc>
          <w:tcPr>
            <w:tcW w:type="dxa" w:w="2304"/>
            <w:vAlign w:val="top"/>
          </w:tcPr>
          <w:p>
            <w:pPr>
              <w:spacing w:after="40" w:before="0" w:line="259" w:lineRule="auto"/>
            </w:pPr>
            <w:r>
              <w:rPr>
                <w:rFonts w:ascii="Calibri" w:hAnsi="Calibri"/>
                <w:b/>
                <w:i w:val="0"/>
                <w:color w:val="212121"/>
                <w:sz w:val="19"/>
              </w:rPr>
              <w:t>Food</w:t>
            </w:r>
          </w:p>
        </w:tc>
        <w:tc>
          <w:tcPr>
            <w:tcW w:type="dxa" w:w="1800"/>
            <w:vAlign w:val="top"/>
          </w:tcPr>
          <w:p>
            <w:pPr>
              <w:spacing w:after="40" w:before="0" w:line="259" w:lineRule="auto"/>
            </w:pPr>
            <w:r>
              <w:rPr>
                <w:rFonts w:ascii="Calibri" w:hAnsi="Calibri"/>
                <w:b w:val="0"/>
                <w:i w:val="0"/>
                <w:color w:val="212121"/>
                <w:sz w:val="19"/>
              </w:rPr>
              <w:t>High</w:t>
            </w:r>
          </w:p>
        </w:tc>
        <w:tc>
          <w:tcPr>
            <w:tcW w:type="dxa" w:w="5500"/>
            <w:vAlign w:val="top"/>
          </w:tcPr>
          <w:p>
            <w:pPr>
              <w:spacing w:after="40" w:before="0" w:line="259" w:lineRule="auto"/>
            </w:pPr>
            <w:r>
              <w:rPr>
                <w:rFonts w:ascii="Calibri" w:hAnsi="Calibri"/>
                <w:b w:val="0"/>
                <w:i w:val="0"/>
                <w:color w:val="212121"/>
                <w:sz w:val="19"/>
              </w:rPr>
              <w:t>High-glycaemic refined carbohydrates (polished rice, refined wheat, sugar) and ultra-processed foods drive glucose spikes and visceral fat; fibre-rich low-GI diets and millets improve glucose tolerance and support regression to normoglycaemia.</w:t>
            </w:r>
          </w:p>
        </w:tc>
      </w:tr>
      <w:tr>
        <w:trPr>
          <w:cantSplit/>
        </w:trPr>
        <w:tc>
          <w:tcPr>
            <w:tcW w:type="dxa" w:w="2304"/>
            <w:vAlign w:val="top"/>
          </w:tcPr>
          <w:p>
            <w:pPr>
              <w:spacing w:after="40" w:before="0" w:line="259" w:lineRule="auto"/>
            </w:pPr>
            <w:r>
              <w:rPr>
                <w:rFonts w:ascii="Calibri" w:hAnsi="Calibri"/>
                <w:b/>
                <w:i w:val="0"/>
                <w:color w:val="212121"/>
                <w:sz w:val="19"/>
              </w:rPr>
              <w:t>Sleep</w:t>
            </w:r>
          </w:p>
        </w:tc>
        <w:tc>
          <w:tcPr>
            <w:tcW w:type="dxa" w:w="1800"/>
            <w:vAlign w:val="top"/>
          </w:tcPr>
          <w:p>
            <w:pPr>
              <w:spacing w:after="40" w:before="0" w:line="259" w:lineRule="auto"/>
            </w:pPr>
            <w:r>
              <w:rPr>
                <w:rFonts w:ascii="Calibri" w:hAnsi="Calibri"/>
                <w:b w:val="0"/>
                <w:i w:val="0"/>
                <w:color w:val="212121"/>
                <w:sz w:val="19"/>
              </w:rPr>
              <w:t>Medium</w:t>
            </w:r>
          </w:p>
        </w:tc>
        <w:tc>
          <w:tcPr>
            <w:tcW w:type="dxa" w:w="5500"/>
            <w:vAlign w:val="top"/>
          </w:tcPr>
          <w:p>
            <w:pPr>
              <w:spacing w:after="40" w:before="0" w:line="259" w:lineRule="auto"/>
            </w:pPr>
            <w:r>
              <w:rPr>
                <w:rFonts w:ascii="Calibri" w:hAnsi="Calibri"/>
                <w:b w:val="0"/>
                <w:i w:val="0"/>
                <w:color w:val="212121"/>
                <w:sz w:val="19"/>
              </w:rPr>
              <w:t>Short (&lt;6 h), long (&gt;9 h) and poor-quality sleep, and untreated obstructive sleep apnoea, worsen insulin resistance and raise the risk of progression to diabetes.</w:t>
            </w:r>
          </w:p>
        </w:tc>
      </w:tr>
      <w:tr>
        <w:trPr>
          <w:cantSplit/>
        </w:trPr>
        <w:tc>
          <w:tcPr>
            <w:tcW w:type="dxa" w:w="2304"/>
            <w:vAlign w:val="top"/>
          </w:tcPr>
          <w:p>
            <w:pPr>
              <w:spacing w:after="40" w:before="0" w:line="259" w:lineRule="auto"/>
            </w:pPr>
            <w:r>
              <w:rPr>
                <w:rFonts w:ascii="Calibri" w:hAnsi="Calibri"/>
                <w:b/>
                <w:i w:val="0"/>
                <w:color w:val="212121"/>
                <w:sz w:val="19"/>
              </w:rPr>
              <w:t>Smoking</w:t>
            </w:r>
          </w:p>
        </w:tc>
        <w:tc>
          <w:tcPr>
            <w:tcW w:type="dxa" w:w="1800"/>
            <w:vAlign w:val="top"/>
          </w:tcPr>
          <w:p>
            <w:pPr>
              <w:spacing w:after="40" w:before="0" w:line="259" w:lineRule="auto"/>
            </w:pPr>
            <w:r>
              <w:rPr>
                <w:rFonts w:ascii="Calibri" w:hAnsi="Calibri"/>
                <w:b w:val="0"/>
                <w:i w:val="0"/>
                <w:color w:val="212121"/>
                <w:sz w:val="19"/>
              </w:rPr>
              <w:t>Medium</w:t>
            </w:r>
          </w:p>
        </w:tc>
        <w:tc>
          <w:tcPr>
            <w:tcW w:type="dxa" w:w="5500"/>
            <w:vAlign w:val="top"/>
          </w:tcPr>
          <w:p>
            <w:pPr>
              <w:spacing w:after="40" w:before="0" w:line="259" w:lineRule="auto"/>
            </w:pPr>
            <w:r>
              <w:rPr>
                <w:rFonts w:ascii="Calibri" w:hAnsi="Calibri"/>
                <w:b w:val="0"/>
                <w:i w:val="0"/>
                <w:color w:val="212121"/>
                <w:sz w:val="19"/>
              </w:rPr>
              <w:t>Active and passive smoking increase insulin resistance and the incidence of type 2 diabetes in a dose-dependent way; risk remains elevated for several years after cessation.</w:t>
            </w:r>
          </w:p>
        </w:tc>
      </w:tr>
      <w:tr>
        <w:trPr>
          <w:cantSplit/>
        </w:trPr>
        <w:tc>
          <w:tcPr>
            <w:tcW w:type="dxa" w:w="2304"/>
            <w:vAlign w:val="top"/>
          </w:tcPr>
          <w:p>
            <w:pPr>
              <w:spacing w:after="40" w:before="0" w:line="259" w:lineRule="auto"/>
            </w:pPr>
            <w:r>
              <w:rPr>
                <w:rFonts w:ascii="Calibri" w:hAnsi="Calibri"/>
                <w:b/>
                <w:i w:val="0"/>
                <w:color w:val="212121"/>
                <w:sz w:val="19"/>
              </w:rPr>
              <w:t>Alcohol</w:t>
            </w:r>
          </w:p>
        </w:tc>
        <w:tc>
          <w:tcPr>
            <w:tcW w:type="dxa" w:w="1800"/>
            <w:vAlign w:val="top"/>
          </w:tcPr>
          <w:p>
            <w:pPr>
              <w:spacing w:after="40" w:before="0" w:line="259" w:lineRule="auto"/>
            </w:pPr>
            <w:r>
              <w:rPr>
                <w:rFonts w:ascii="Calibri" w:hAnsi="Calibri"/>
                <w:b w:val="0"/>
                <w:i w:val="0"/>
                <w:color w:val="212121"/>
                <w:sz w:val="19"/>
              </w:rPr>
              <w:t>Medium</w:t>
            </w:r>
          </w:p>
        </w:tc>
        <w:tc>
          <w:tcPr>
            <w:tcW w:type="dxa" w:w="5500"/>
            <w:vAlign w:val="top"/>
          </w:tcPr>
          <w:p>
            <w:pPr>
              <w:spacing w:after="40" w:before="0" w:line="259" w:lineRule="auto"/>
            </w:pPr>
            <w:r>
              <w:rPr>
                <w:rFonts w:ascii="Calibri" w:hAnsi="Calibri"/>
                <w:b w:val="0"/>
                <w:i w:val="0"/>
                <w:color w:val="212121"/>
                <w:sz w:val="19"/>
              </w:rPr>
              <w:t>Regular or heavy alcohol adds empty calories, promotes central adiposity and raises blood pressure, worsening the insulin-resistant, dysglycaemic state.</w:t>
            </w:r>
          </w:p>
        </w:tc>
      </w:tr>
      <w:tr>
        <w:trPr>
          <w:cantSplit/>
        </w:trPr>
        <w:tc>
          <w:tcPr>
            <w:tcW w:type="dxa" w:w="2304"/>
            <w:vAlign w:val="top"/>
          </w:tcPr>
          <w:p>
            <w:pPr>
              <w:spacing w:after="40" w:before="0" w:line="259" w:lineRule="auto"/>
            </w:pPr>
            <w:r>
              <w:rPr>
                <w:rFonts w:ascii="Calibri" w:hAnsi="Calibri"/>
                <w:b/>
                <w:i w:val="0"/>
                <w:color w:val="212121"/>
                <w:sz w:val="19"/>
              </w:rPr>
              <w:t>Mental health</w:t>
            </w:r>
          </w:p>
        </w:tc>
        <w:tc>
          <w:tcPr>
            <w:tcW w:type="dxa" w:w="1800"/>
            <w:vAlign w:val="top"/>
          </w:tcPr>
          <w:p>
            <w:pPr>
              <w:spacing w:after="40" w:before="0" w:line="259" w:lineRule="auto"/>
            </w:pPr>
            <w:r>
              <w:rPr>
                <w:rFonts w:ascii="Calibri" w:hAnsi="Calibri"/>
                <w:b w:val="0"/>
                <w:i w:val="0"/>
                <w:color w:val="212121"/>
                <w:sz w:val="19"/>
              </w:rPr>
              <w:t>Medium</w:t>
            </w:r>
          </w:p>
        </w:tc>
        <w:tc>
          <w:tcPr>
            <w:tcW w:type="dxa" w:w="5500"/>
            <w:vAlign w:val="top"/>
          </w:tcPr>
          <w:p>
            <w:pPr>
              <w:spacing w:after="40" w:before="0" w:line="259" w:lineRule="auto"/>
            </w:pPr>
            <w:r>
              <w:rPr>
                <w:rFonts w:ascii="Calibri" w:hAnsi="Calibri"/>
                <w:b w:val="0"/>
                <w:i w:val="0"/>
                <w:color w:val="212121"/>
                <w:sz w:val="19"/>
              </w:rPr>
              <w:t>Chronic stress and depression raise cortisol and promote inactivity and unhealthy eating; depression is associated with a higher risk of incident type 2 diabetes.</w:t>
            </w:r>
          </w:p>
        </w:tc>
      </w:tr>
      <w:tr>
        <w:trPr>
          <w:cantSplit/>
        </w:trPr>
        <w:tc>
          <w:tcPr>
            <w:tcW w:type="dxa" w:w="2304"/>
            <w:vAlign w:val="top"/>
          </w:tcPr>
          <w:p>
            <w:pPr>
              <w:spacing w:after="40" w:before="0" w:line="259" w:lineRule="auto"/>
            </w:pPr>
            <w:r>
              <w:rPr>
                <w:rFonts w:ascii="Calibri" w:hAnsi="Calibri"/>
                <w:b/>
                <w:i w:val="0"/>
                <w:color w:val="212121"/>
                <w:sz w:val="19"/>
              </w:rPr>
              <w:t>Water</w:t>
            </w:r>
          </w:p>
        </w:tc>
        <w:tc>
          <w:tcPr>
            <w:tcW w:type="dxa" w:w="1800"/>
            <w:vAlign w:val="top"/>
          </w:tcPr>
          <w:p>
            <w:pPr>
              <w:spacing w:after="40" w:before="0" w:line="259" w:lineRule="auto"/>
            </w:pPr>
            <w:r>
              <w:rPr>
                <w:rFonts w:ascii="Calibri" w:hAnsi="Calibri"/>
                <w:b w:val="0"/>
                <w:i w:val="0"/>
                <w:color w:val="212121"/>
                <w:sz w:val="19"/>
              </w:rPr>
              <w:t>Low</w:t>
            </w:r>
          </w:p>
        </w:tc>
        <w:tc>
          <w:tcPr>
            <w:tcW w:type="dxa" w:w="5500"/>
            <w:vAlign w:val="top"/>
          </w:tcPr>
          <w:p>
            <w:pPr>
              <w:spacing w:after="40" w:before="0" w:line="259" w:lineRule="auto"/>
            </w:pPr>
            <w:r>
              <w:rPr>
                <w:rFonts w:ascii="Calibri" w:hAnsi="Calibri"/>
                <w:b w:val="0"/>
                <w:i w:val="0"/>
                <w:color w:val="212121"/>
                <w:sz w:val="19"/>
              </w:rPr>
              <w:t>Adequate hydration supports normal metabolism and helps displace sugar-sweetened beverages, but has no strong independent effect on glucose regulation.</w:t>
            </w:r>
          </w:p>
        </w:tc>
      </w:tr>
      <w:tr>
        <w:trPr>
          <w:cantSplit/>
        </w:trPr>
        <w:tc>
          <w:tcPr>
            <w:tcW w:type="dxa" w:w="2304"/>
            <w:vAlign w:val="top"/>
          </w:tcPr>
          <w:p>
            <w:pPr>
              <w:spacing w:after="40" w:before="0" w:line="259" w:lineRule="auto"/>
            </w:pPr>
            <w:r>
              <w:rPr>
                <w:rFonts w:ascii="Calibri" w:hAnsi="Calibri"/>
                <w:b/>
                <w:i w:val="0"/>
                <w:color w:val="212121"/>
                <w:sz w:val="19"/>
              </w:rPr>
              <w:t>Caffeine</w:t>
            </w:r>
          </w:p>
        </w:tc>
        <w:tc>
          <w:tcPr>
            <w:tcW w:type="dxa" w:w="1800"/>
            <w:vAlign w:val="top"/>
          </w:tcPr>
          <w:p>
            <w:pPr>
              <w:spacing w:after="40" w:before="0" w:line="259" w:lineRule="auto"/>
            </w:pPr>
            <w:r>
              <w:rPr>
                <w:rFonts w:ascii="Calibri" w:hAnsi="Calibri"/>
                <w:b w:val="0"/>
                <w:i w:val="0"/>
                <w:color w:val="212121"/>
                <w:sz w:val="19"/>
              </w:rPr>
              <w:t>Low</w:t>
            </w:r>
          </w:p>
        </w:tc>
        <w:tc>
          <w:tcPr>
            <w:tcW w:type="dxa" w:w="5500"/>
            <w:vAlign w:val="top"/>
          </w:tcPr>
          <w:p>
            <w:pPr>
              <w:spacing w:after="40" w:before="0" w:line="259" w:lineRule="auto"/>
            </w:pPr>
            <w:r>
              <w:rPr>
                <w:rFonts w:ascii="Calibri" w:hAnsi="Calibri"/>
                <w:b w:val="0"/>
                <w:i w:val="0"/>
                <w:color w:val="212121"/>
                <w:sz w:val="19"/>
              </w:rPr>
              <w:t>Habitual unsweetened coffee/tea shows a modest inverse association with diabetes, but the benefit is offset when taken with sugar or as sweetened milky preparations.</w:t>
            </w:r>
          </w:p>
        </w:tc>
      </w:tr>
      <w:tr>
        <w:trPr>
          <w:cantSplit/>
        </w:trPr>
        <w:tc>
          <w:tcPr>
            <w:tcW w:type="dxa" w:w="2304"/>
            <w:vAlign w:val="top"/>
          </w:tcPr>
          <w:p>
            <w:pPr>
              <w:spacing w:after="40" w:before="0" w:line="259" w:lineRule="auto"/>
            </w:pPr>
            <w:r>
              <w:rPr>
                <w:rFonts w:ascii="Calibri" w:hAnsi="Calibri"/>
                <w:b/>
                <w:i w:val="0"/>
                <w:color w:val="212121"/>
                <w:sz w:val="19"/>
              </w:rPr>
              <w:t>Hygiene</w:t>
            </w:r>
          </w:p>
        </w:tc>
        <w:tc>
          <w:tcPr>
            <w:tcW w:type="dxa" w:w="1800"/>
            <w:vAlign w:val="top"/>
          </w:tcPr>
          <w:p>
            <w:pPr>
              <w:spacing w:after="40" w:before="0" w:line="259" w:lineRule="auto"/>
            </w:pPr>
            <w:r>
              <w:rPr>
                <w:rFonts w:ascii="Calibri" w:hAnsi="Calibri"/>
                <w:b w:val="0"/>
                <w:i w:val="0"/>
                <w:color w:val="212121"/>
                <w:sz w:val="19"/>
              </w:rPr>
              <w:t>Low</w:t>
            </w:r>
          </w:p>
        </w:tc>
        <w:tc>
          <w:tcPr>
            <w:tcW w:type="dxa" w:w="5500"/>
            <w:vAlign w:val="top"/>
          </w:tcPr>
          <w:p>
            <w:pPr>
              <w:spacing w:after="40" w:before="0" w:line="259" w:lineRule="auto"/>
            </w:pPr>
            <w:r>
              <w:rPr>
                <w:rFonts w:ascii="Calibri" w:hAnsi="Calibri"/>
                <w:b w:val="0"/>
                <w:i w:val="0"/>
                <w:color w:val="212121"/>
                <w:sz w:val="19"/>
              </w:rPr>
              <w:t>Limited direct role; general and periodontal hygiene support metabolic health, and gum disease is bidirectionally linked with dysglycaemia.</w:t>
            </w:r>
          </w:p>
        </w:tc>
      </w:tr>
      <w:tr>
        <w:trPr>
          <w:cantSplit/>
        </w:trPr>
        <w:tc>
          <w:tcPr>
            <w:tcW w:type="dxa" w:w="2304"/>
            <w:vAlign w:val="top"/>
          </w:tcPr>
          <w:p>
            <w:pPr>
              <w:spacing w:after="40" w:before="0" w:line="259" w:lineRule="auto"/>
            </w:pPr>
            <w:r>
              <w:rPr>
                <w:rFonts w:ascii="Calibri" w:hAnsi="Calibri"/>
                <w:b/>
                <w:i w:val="0"/>
                <w:color w:val="212121"/>
                <w:sz w:val="19"/>
              </w:rPr>
              <w:t>Provoking factors</w:t>
            </w:r>
          </w:p>
        </w:tc>
        <w:tc>
          <w:tcPr>
            <w:tcW w:type="dxa" w:w="1800"/>
            <w:vAlign w:val="top"/>
          </w:tcPr>
          <w:p>
            <w:pPr>
              <w:spacing w:after="40" w:before="0" w:line="259" w:lineRule="auto"/>
            </w:pPr>
            <w:r>
              <w:rPr>
                <w:rFonts w:ascii="Calibri" w:hAnsi="Calibri"/>
                <w:b w:val="0"/>
                <w:i w:val="0"/>
                <w:color w:val="212121"/>
                <w:sz w:val="19"/>
              </w:rPr>
              <w:t>NA</w:t>
            </w:r>
          </w:p>
        </w:tc>
        <w:tc>
          <w:tcPr>
            <w:tcW w:type="dxa" w:w="5500"/>
            <w:vAlign w:val="top"/>
          </w:tcPr>
          <w:p>
            <w:pPr>
              <w:spacing w:after="40" w:before="0" w:line="259" w:lineRule="auto"/>
            </w:pPr>
            <w:r>
              <w:rPr>
                <w:rFonts w:ascii="Calibri" w:hAnsi="Calibri"/>
                <w:b w:val="0"/>
                <w:i w:val="0"/>
                <w:color w:val="212121"/>
                <w:sz w:val="19"/>
              </w:rPr>
              <w:t>NA</w:t>
            </w:r>
          </w:p>
        </w:tc>
      </w:tr>
      <w:tr>
        <w:trPr>
          <w:cantSplit/>
        </w:trPr>
        <w:tc>
          <w:tcPr>
            <w:tcW w:type="dxa" w:w="2304"/>
            <w:vAlign w:val="top"/>
          </w:tcPr>
          <w:p>
            <w:pPr>
              <w:spacing w:after="40" w:before="0" w:line="259" w:lineRule="auto"/>
            </w:pPr>
            <w:r>
              <w:rPr>
                <w:rFonts w:ascii="Calibri" w:hAnsi="Calibri"/>
                <w:b/>
                <w:i w:val="0"/>
                <w:color w:val="212121"/>
                <w:sz w:val="19"/>
              </w:rPr>
              <w:t>Posture</w:t>
            </w:r>
          </w:p>
        </w:tc>
        <w:tc>
          <w:tcPr>
            <w:tcW w:type="dxa" w:w="1800"/>
            <w:vAlign w:val="top"/>
          </w:tcPr>
          <w:p>
            <w:pPr>
              <w:spacing w:after="40" w:before="0" w:line="259" w:lineRule="auto"/>
            </w:pPr>
            <w:r>
              <w:rPr>
                <w:rFonts w:ascii="Calibri" w:hAnsi="Calibri"/>
                <w:b w:val="0"/>
                <w:i w:val="0"/>
                <w:color w:val="212121"/>
                <w:sz w:val="19"/>
              </w:rPr>
              <w:t>NA</w:t>
            </w:r>
          </w:p>
        </w:tc>
        <w:tc>
          <w:tcPr>
            <w:tcW w:type="dxa" w:w="5500"/>
            <w:vAlign w:val="top"/>
          </w:tcPr>
          <w:p>
            <w:pPr>
              <w:spacing w:after="40" w:before="0" w:line="259" w:lineRule="auto"/>
            </w:pPr>
            <w:r>
              <w:rPr>
                <w:rFonts w:ascii="Calibri" w:hAnsi="Calibri"/>
                <w:b w:val="0"/>
                <w:i w:val="0"/>
                <w:color w:val="212121"/>
                <w:sz w:val="19"/>
              </w:rPr>
              <w:t>NA</w:t>
            </w:r>
          </w:p>
        </w:tc>
      </w:tr>
    </w:tbl>
    <w:p>
      <w:pPr>
        <w:spacing w:before="160" w:after="120"/>
      </w:pPr>
      <w:r>
        <w:rPr>
          <w:rFonts w:ascii="Calibri" w:hAnsi="Calibri"/>
          <w:b/>
          <w:i w:val="0"/>
          <w:color w:val="212121"/>
          <w:sz w:val="22"/>
        </w:rPr>
        <w:t>LHP Metric Triggers &amp; Specifications</w:t>
      </w:r>
    </w:p>
    <w:tbl>
      <w:tblPr>
        <w:tblW w:type="dxa" w:w="9604"/>
        <w:jc w:val="center"/>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Grid>
        <w:gridCol w:w="1601"/>
        <w:gridCol w:w="1601"/>
        <w:gridCol w:w="1601"/>
        <w:gridCol w:w="1601"/>
        <w:gridCol w:w="1601"/>
        <w:gridCol w:w="1601"/>
      </w:tblGrid>
      <w:tr>
        <w:trPr>
          <w:cantSplit/>
        </w:trPr>
        <w:tc>
          <w:tcPr>
            <w:tcW w:type="dxa" w:w="1512"/>
            <w:shd w:val="clear" w:color="auto" w:fill="F2F2F2"/>
            <w:vAlign w:val="center"/>
          </w:tcPr>
          <w:p>
            <w:pPr>
              <w:spacing w:after="40" w:before="0" w:line="259" w:lineRule="auto"/>
            </w:pPr>
            <w:r>
              <w:rPr>
                <w:rFonts w:ascii="Calibri" w:hAnsi="Calibri"/>
                <w:b/>
                <w:i w:val="0"/>
                <w:color w:val="212121"/>
                <w:sz w:val="19"/>
              </w:rPr>
              <w:t>LHP</w:t>
            </w:r>
          </w:p>
        </w:tc>
        <w:tc>
          <w:tcPr>
            <w:tcW w:type="dxa" w:w="1944"/>
            <w:shd w:val="clear" w:color="auto" w:fill="F2F2F2"/>
            <w:vAlign w:val="center"/>
          </w:tcPr>
          <w:p>
            <w:pPr>
              <w:spacing w:after="40" w:before="0" w:line="259" w:lineRule="auto"/>
            </w:pPr>
            <w:r>
              <w:rPr>
                <w:rFonts w:ascii="Calibri" w:hAnsi="Calibri"/>
                <w:b/>
                <w:i w:val="0"/>
                <w:color w:val="212121"/>
                <w:sz w:val="19"/>
              </w:rPr>
              <w:t>Metric</w:t>
            </w:r>
          </w:p>
        </w:tc>
        <w:tc>
          <w:tcPr>
            <w:tcW w:type="dxa" w:w="1655"/>
            <w:shd w:val="clear" w:color="auto" w:fill="F2F2F2"/>
            <w:vAlign w:val="center"/>
          </w:tcPr>
          <w:p>
            <w:pPr>
              <w:spacing w:after="40" w:before="0" w:line="259" w:lineRule="auto"/>
            </w:pPr>
            <w:r>
              <w:rPr>
                <w:rFonts w:ascii="Calibri" w:hAnsi="Calibri"/>
                <w:b/>
                <w:i w:val="0"/>
                <w:color w:val="212121"/>
                <w:sz w:val="19"/>
              </w:rPr>
              <w:t>Profile</w:t>
            </w:r>
          </w:p>
        </w:tc>
        <w:tc>
          <w:tcPr>
            <w:tcW w:type="dxa" w:w="1512"/>
            <w:shd w:val="clear" w:color="auto" w:fill="F2F2F2"/>
            <w:vAlign w:val="center"/>
          </w:tcPr>
          <w:p>
            <w:pPr>
              <w:spacing w:after="40" w:before="0" w:line="259" w:lineRule="auto"/>
            </w:pPr>
            <w:r>
              <w:rPr>
                <w:rFonts w:ascii="Calibri" w:hAnsi="Calibri"/>
                <w:b/>
                <w:i w:val="0"/>
                <w:color w:val="212121"/>
                <w:sz w:val="19"/>
              </w:rPr>
              <w:t>Ideal Values</w:t>
            </w:r>
          </w:p>
        </w:tc>
        <w:tc>
          <w:tcPr>
            <w:tcW w:type="dxa" w:w="1512"/>
            <w:shd w:val="clear" w:color="auto" w:fill="F2F2F2"/>
            <w:vAlign w:val="center"/>
          </w:tcPr>
          <w:p>
            <w:pPr>
              <w:spacing w:after="40" w:before="0" w:line="259" w:lineRule="auto"/>
            </w:pPr>
            <w:r>
              <w:rPr>
                <w:rFonts w:ascii="Calibri" w:hAnsi="Calibri"/>
                <w:b/>
                <w:i w:val="0"/>
                <w:color w:val="212121"/>
                <w:sz w:val="19"/>
              </w:rPr>
              <w:t>Trigger Values</w:t>
            </w:r>
          </w:p>
        </w:tc>
        <w:tc>
          <w:tcPr>
            <w:tcW w:type="dxa" w:w="1468"/>
            <w:shd w:val="clear" w:color="auto" w:fill="F2F2F2"/>
            <w:vAlign w:val="center"/>
          </w:tcPr>
          <w:p>
            <w:pPr>
              <w:spacing w:after="40" w:before="0" w:line="259" w:lineRule="auto"/>
            </w:pPr>
            <w:r>
              <w:rPr>
                <w:rFonts w:ascii="Calibri" w:hAnsi="Calibri"/>
                <w:b/>
                <w:i w:val="0"/>
                <w:color w:val="212121"/>
                <w:sz w:val="19"/>
              </w:rPr>
              <w:t>Note</w:t>
            </w:r>
          </w:p>
        </w:tc>
      </w:tr>
      <w:tr>
        <w:trPr>
          <w:cantSplit/>
        </w:trPr>
        <w:tc>
          <w:tcPr>
            <w:tcW w:type="dxa" w:w="1512"/>
            <w:vMerge w:val="restart"/>
            <w:vAlign w:val="center"/>
          </w:tcPr>
          <w:p>
            <w:pPr>
              <w:spacing w:after="40"/>
            </w:pPr>
            <w:r>
              <w:rPr>
                <w:rFonts w:ascii="Calibri" w:hAnsi="Calibri"/>
                <w:b w:val="0"/>
                <w:i w:val="0"/>
                <w:color w:val="212121"/>
                <w:sz w:val="19"/>
              </w:rPr>
              <w:t>Physical activity</w:t>
            </w:r>
          </w:p>
        </w:tc>
        <w:tc>
          <w:tcPr>
            <w:tcW w:type="dxa" w:w="1944"/>
            <w:vAlign w:val="top"/>
          </w:tcPr>
          <w:p>
            <w:pPr>
              <w:spacing w:after="40" w:before="0" w:line="259" w:lineRule="auto"/>
            </w:pPr>
            <w:r>
              <w:rPr>
                <w:rFonts w:ascii="Calibri" w:hAnsi="Calibri"/>
                <w:b w:val="0"/>
                <w:i w:val="0"/>
                <w:color w:val="212121"/>
                <w:sz w:val="19"/>
              </w:rPr>
              <w:t>Body Mass Index (kg/m2, Asian-Indian)</w:t>
            </w:r>
          </w:p>
        </w:tc>
        <w:tc>
          <w:tcPr>
            <w:tcW w:type="dxa" w:w="1655"/>
            <w:vAlign w:val="top"/>
          </w:tcPr>
          <w:p>
            <w:pPr>
              <w:spacing w:after="40" w:before="0" w:line="259" w:lineRule="auto"/>
            </w:pPr>
            <w:r>
              <w:rPr>
                <w:rFonts w:ascii="Calibri" w:hAnsi="Calibri"/>
                <w:b w:val="0"/>
                <w:i w:val="0"/>
                <w:color w:val="212121"/>
                <w:sz w:val="19"/>
              </w:rPr>
              <w:t>Adults</w:t>
            </w:r>
          </w:p>
        </w:tc>
        <w:tc>
          <w:tcPr>
            <w:tcW w:type="dxa" w:w="1512"/>
            <w:vAlign w:val="top"/>
          </w:tcPr>
          <w:p>
            <w:pPr>
              <w:spacing w:after="40" w:before="0" w:line="259" w:lineRule="auto"/>
            </w:pPr>
            <w:r>
              <w:rPr>
                <w:rFonts w:ascii="Calibri" w:hAnsi="Calibri"/>
                <w:b w:val="0"/>
                <w:i w:val="0"/>
                <w:color w:val="212121"/>
                <w:sz w:val="19"/>
              </w:rPr>
              <w:t>18.0-22.9 kg/m2</w:t>
            </w:r>
          </w:p>
        </w:tc>
        <w:tc>
          <w:tcPr>
            <w:tcW w:type="dxa" w:w="1512"/>
            <w:vAlign w:val="top"/>
          </w:tcPr>
          <w:p>
            <w:pPr>
              <w:spacing w:after="40" w:before="0" w:line="259" w:lineRule="auto"/>
            </w:pPr>
            <w:r>
              <w:rPr>
                <w:rFonts w:ascii="Calibri" w:hAnsi="Calibri"/>
                <w:b w:val="0"/>
                <w:i w:val="0"/>
                <w:color w:val="212121"/>
                <w:sz w:val="19"/>
              </w:rPr>
              <w:t>&gt;= 23 (overweight); &gt;= 25 (obese)</w:t>
            </w:r>
          </w:p>
        </w:tc>
        <w:tc>
          <w:tcPr>
            <w:tcW w:type="dxa" w:w="1468"/>
            <w:vAlign w:val="top"/>
          </w:tcPr>
          <w:p>
            <w:pPr>
              <w:spacing w:after="60" w:line="259" w:lineRule="auto"/>
            </w:pPr>
            <w:r>
              <w:rPr>
                <w:rFonts w:ascii="Calibri" w:hAnsi="Calibri"/>
                <w:b w:val="0"/>
                <w:i w:val="0"/>
                <w:color w:val="212121"/>
                <w:sz w:val="19"/>
              </w:rPr>
              <w:t>Asian-Indian cut-offs are lower; excess weight drives insulin resistance and dysglycaemia</w:t>
            </w:r>
          </w:p>
          <w:p>
            <w:pPr>
              <w:spacing w:after="40" w:line="252" w:lineRule="auto"/>
            </w:pPr>
            <w:hyperlink r:id="rId12">
              <w:r>
                <w:rPr>
                  <w:rFonts w:ascii="Calibri" w:hAnsi="Calibri" w:cs="Calibri"/>
                  <w:sz w:val="18"/>
                  <w:color w:val="1155CC"/>
                  <w:u w:val="single"/>
                </w:rPr>
                <w:t xml:space="preserve">https://ijmr.org.in/high-prevalence-of-metabolic-obesity-in-india-the-icmr-indiab-national-study-icmr-indiab-23/</w:t>
              </w:r>
            </w:hyperlink>
          </w:p>
        </w:tc>
      </w:tr>
      <w:tr>
        <w:trPr>
          <w:cantSplit/>
        </w:trPr>
        <w:tc>
          <w:tcPr>
            <w:tcW w:type="dxa" w:w="1512"/>
            <w:vMerge/>
            <w:vAlign w:val="top"/>
          </w:tcPr>
          <w:p>
            <w:pPr>
              <w:spacing w:after="40" w:before="0" w:line="259" w:lineRule="auto"/>
            </w:pPr>
          </w:p>
        </w:tc>
        <w:tc>
          <w:tcPr>
            <w:tcW w:type="dxa" w:w="1944"/>
            <w:vAlign w:val="top"/>
          </w:tcPr>
          <w:p>
            <w:pPr>
              <w:spacing w:after="40" w:before="0" w:line="259" w:lineRule="auto"/>
            </w:pPr>
            <w:r>
              <w:rPr>
                <w:rFonts w:ascii="Calibri" w:hAnsi="Calibri"/>
                <w:b w:val="0"/>
                <w:i w:val="0"/>
                <w:color w:val="212121"/>
                <w:sz w:val="19"/>
              </w:rPr>
              <w:t>Waist circumference (cm)</w:t>
            </w:r>
          </w:p>
        </w:tc>
        <w:tc>
          <w:tcPr>
            <w:tcW w:type="dxa" w:w="1655"/>
            <w:vAlign w:val="top"/>
          </w:tcPr>
          <w:p>
            <w:pPr>
              <w:spacing w:after="40" w:before="0" w:line="259" w:lineRule="auto"/>
            </w:pPr>
            <w:r>
              <w:rPr>
                <w:rFonts w:ascii="Calibri" w:hAnsi="Calibri"/>
                <w:b w:val="0"/>
                <w:i w:val="0"/>
                <w:color w:val="212121"/>
                <w:sz w:val="19"/>
              </w:rPr>
              <w:t>Adults, overweight, obese</w:t>
            </w:r>
          </w:p>
        </w:tc>
        <w:tc>
          <w:tcPr>
            <w:tcW w:type="dxa" w:w="1512"/>
            <w:vAlign w:val="top"/>
          </w:tcPr>
          <w:p>
            <w:pPr>
              <w:spacing w:after="40" w:before="0" w:line="259" w:lineRule="auto"/>
            </w:pPr>
            <w:r>
              <w:rPr>
                <w:rFonts w:ascii="Calibri" w:hAnsi="Calibri"/>
                <w:b w:val="0"/>
                <w:i w:val="0"/>
                <w:color w:val="212121"/>
                <w:sz w:val="19"/>
              </w:rPr>
              <w:t>M &lt; 90; F &lt; 80 cm</w:t>
            </w:r>
          </w:p>
        </w:tc>
        <w:tc>
          <w:tcPr>
            <w:tcW w:type="dxa" w:w="1512"/>
            <w:vAlign w:val="top"/>
          </w:tcPr>
          <w:p>
            <w:pPr>
              <w:spacing w:after="40" w:before="0" w:line="259" w:lineRule="auto"/>
            </w:pPr>
            <w:r>
              <w:rPr>
                <w:rFonts w:ascii="Calibri" w:hAnsi="Calibri"/>
                <w:b w:val="0"/>
                <w:i w:val="0"/>
                <w:color w:val="212121"/>
                <w:sz w:val="19"/>
              </w:rPr>
              <w:t>M &gt;= 90; F &gt;= 80 cm</w:t>
            </w:r>
          </w:p>
        </w:tc>
        <w:tc>
          <w:tcPr>
            <w:tcW w:type="dxa" w:w="1468"/>
            <w:vAlign w:val="top"/>
          </w:tcPr>
          <w:p>
            <w:pPr>
              <w:spacing w:after="60" w:line="259" w:lineRule="auto"/>
            </w:pPr>
            <w:r>
              <w:rPr>
                <w:rFonts w:ascii="Calibri" w:hAnsi="Calibri"/>
                <w:b w:val="0"/>
                <w:i w:val="0"/>
                <w:color w:val="212121"/>
                <w:sz w:val="19"/>
              </w:rPr>
              <w:t>Abdominal obesity is a key driver; India has about 351 million adults with abdominal obesity</w:t>
            </w:r>
          </w:p>
          <w:p>
            <w:pPr>
              <w:spacing w:after="40" w:line="252" w:lineRule="auto"/>
            </w:pPr>
            <w:hyperlink r:id="rId12">
              <w:r>
                <w:rPr>
                  <w:rFonts w:ascii="Calibri" w:hAnsi="Calibri" w:cs="Calibri"/>
                  <w:sz w:val="18"/>
                  <w:color w:val="1155CC"/>
                  <w:u w:val="single"/>
                </w:rPr>
                <w:t xml:space="preserve">https://ijmr.org.in/high-prevalence-of-metabolic-obesity-in-india-the-icmr-indiab-national-study-icmr-indiab-23/</w:t>
              </w:r>
            </w:hyperlink>
          </w:p>
        </w:tc>
      </w:tr>
      <w:tr>
        <w:trPr>
          <w:cantSplit/>
        </w:trPr>
        <w:tc>
          <w:tcPr>
            <w:tcW w:type="dxa" w:w="1512"/>
            <w:vMerge/>
            <w:vAlign w:val="top"/>
          </w:tcPr>
          <w:p>
            <w:pPr>
              <w:spacing w:after="40" w:before="0" w:line="259" w:lineRule="auto"/>
            </w:pPr>
          </w:p>
        </w:tc>
        <w:tc>
          <w:tcPr>
            <w:tcW w:type="dxa" w:w="1944"/>
            <w:vAlign w:val="top"/>
          </w:tcPr>
          <w:p>
            <w:pPr>
              <w:spacing w:after="40" w:before="0" w:line="259" w:lineRule="auto"/>
            </w:pPr>
            <w:r>
              <w:rPr>
                <w:rFonts w:ascii="Calibri" w:hAnsi="Calibri"/>
                <w:b w:val="0"/>
                <w:i w:val="0"/>
                <w:color w:val="212121"/>
                <w:sz w:val="19"/>
              </w:rPr>
              <w:t>Waist-Hip Ratio</w:t>
            </w:r>
          </w:p>
        </w:tc>
        <w:tc>
          <w:tcPr>
            <w:tcW w:type="dxa" w:w="1655"/>
            <w:vAlign w:val="top"/>
          </w:tcPr>
          <w:p>
            <w:pPr>
              <w:spacing w:after="40" w:before="0" w:line="259" w:lineRule="auto"/>
            </w:pPr>
            <w:r>
              <w:rPr>
                <w:rFonts w:ascii="Calibri" w:hAnsi="Calibri"/>
                <w:b w:val="0"/>
                <w:i w:val="0"/>
                <w:color w:val="212121"/>
                <w:sz w:val="19"/>
              </w:rPr>
              <w:t>Adults, elderly</w:t>
            </w:r>
          </w:p>
        </w:tc>
        <w:tc>
          <w:tcPr>
            <w:tcW w:type="dxa" w:w="1512"/>
            <w:vAlign w:val="top"/>
          </w:tcPr>
          <w:p>
            <w:pPr>
              <w:spacing w:after="40" w:before="0" w:line="259" w:lineRule="auto"/>
            </w:pPr>
            <w:r>
              <w:rPr>
                <w:rFonts w:ascii="Calibri" w:hAnsi="Calibri"/>
                <w:b w:val="0"/>
                <w:i w:val="0"/>
                <w:color w:val="212121"/>
                <w:sz w:val="19"/>
              </w:rPr>
              <w:t>M &lt; 0.90; F &lt; 0.85</w:t>
            </w:r>
          </w:p>
        </w:tc>
        <w:tc>
          <w:tcPr>
            <w:tcW w:type="dxa" w:w="1512"/>
            <w:vAlign w:val="top"/>
          </w:tcPr>
          <w:p>
            <w:pPr>
              <w:spacing w:after="40" w:before="0" w:line="259" w:lineRule="auto"/>
            </w:pPr>
            <w:r>
              <w:rPr>
                <w:rFonts w:ascii="Calibri" w:hAnsi="Calibri"/>
                <w:b w:val="0"/>
                <w:i w:val="0"/>
                <w:color w:val="212121"/>
                <w:sz w:val="19"/>
              </w:rPr>
              <w:t>M &gt;= 0.90; F &gt;= 0.85</w:t>
            </w:r>
          </w:p>
        </w:tc>
        <w:tc>
          <w:tcPr>
            <w:tcW w:type="dxa" w:w="1468"/>
            <w:vAlign w:val="top"/>
          </w:tcPr>
          <w:p>
            <w:pPr>
              <w:spacing w:after="40" w:before="0" w:line="259" w:lineRule="auto"/>
            </w:pPr>
            <w:r>
              <w:rPr>
                <w:rFonts w:ascii="Calibri" w:hAnsi="Calibri"/>
                <w:b w:val="0"/>
                <w:i w:val="0"/>
                <w:color w:val="212121"/>
                <w:sz w:val="19"/>
              </w:rPr>
              <w:t>High ratio reflects visceral fat and predicts progression to diabetes</w:t>
            </w:r>
          </w:p>
        </w:tc>
      </w:tr>
      <w:tr>
        <w:trPr>
          <w:cantSplit/>
        </w:trPr>
        <w:tc>
          <w:tcPr>
            <w:tcW w:type="dxa" w:w="1512"/>
            <w:vMerge/>
            <w:vAlign w:val="top"/>
          </w:tcPr>
          <w:p>
            <w:pPr>
              <w:spacing w:after="40" w:before="0" w:line="259" w:lineRule="auto"/>
            </w:pPr>
          </w:p>
        </w:tc>
        <w:tc>
          <w:tcPr>
            <w:tcW w:type="dxa" w:w="1944"/>
            <w:vAlign w:val="top"/>
          </w:tcPr>
          <w:p>
            <w:pPr>
              <w:spacing w:after="40" w:before="0" w:line="259" w:lineRule="auto"/>
            </w:pPr>
            <w:r>
              <w:rPr>
                <w:rFonts w:ascii="Calibri" w:hAnsi="Calibri"/>
                <w:b w:val="0"/>
                <w:i w:val="0"/>
                <w:color w:val="212121"/>
                <w:sz w:val="19"/>
              </w:rPr>
              <w:t>Aerobic activity (minutes/week)</w:t>
            </w:r>
          </w:p>
        </w:tc>
        <w:tc>
          <w:tcPr>
            <w:tcW w:type="dxa" w:w="1655"/>
            <w:vAlign w:val="top"/>
          </w:tcPr>
          <w:p>
            <w:pPr>
              <w:spacing w:after="40" w:before="0" w:line="259" w:lineRule="auto"/>
            </w:pPr>
            <w:r>
              <w:rPr>
                <w:rFonts w:ascii="Calibri" w:hAnsi="Calibri"/>
                <w:b w:val="0"/>
                <w:i w:val="0"/>
                <w:color w:val="212121"/>
                <w:sz w:val="19"/>
              </w:rPr>
              <w:t>Adults</w:t>
            </w:r>
          </w:p>
        </w:tc>
        <w:tc>
          <w:tcPr>
            <w:tcW w:type="dxa" w:w="1512"/>
            <w:vAlign w:val="top"/>
          </w:tcPr>
          <w:p>
            <w:pPr>
              <w:spacing w:after="40" w:before="0" w:line="259" w:lineRule="auto"/>
            </w:pPr>
            <w:r>
              <w:rPr>
                <w:rFonts w:ascii="Calibri" w:hAnsi="Calibri"/>
                <w:b w:val="0"/>
                <w:i w:val="0"/>
                <w:color w:val="212121"/>
                <w:sz w:val="19"/>
              </w:rPr>
              <w:t>&gt;= 150 min/week moderate</w:t>
            </w:r>
          </w:p>
        </w:tc>
        <w:tc>
          <w:tcPr>
            <w:tcW w:type="dxa" w:w="1512"/>
            <w:vAlign w:val="top"/>
          </w:tcPr>
          <w:p>
            <w:pPr>
              <w:spacing w:after="40" w:before="0" w:line="259" w:lineRule="auto"/>
            </w:pPr>
            <w:r>
              <w:rPr>
                <w:rFonts w:ascii="Calibri" w:hAnsi="Calibri"/>
                <w:b w:val="0"/>
                <w:i w:val="0"/>
                <w:color w:val="212121"/>
                <w:sz w:val="19"/>
              </w:rPr>
              <w:t>&lt; 150 min/week</w:t>
            </w:r>
          </w:p>
        </w:tc>
        <w:tc>
          <w:tcPr>
            <w:tcW w:type="dxa" w:w="1468"/>
            <w:vAlign w:val="top"/>
          </w:tcPr>
          <w:p>
            <w:pPr>
              <w:spacing w:after="40" w:before="0" w:line="259" w:lineRule="auto"/>
            </w:pPr>
            <w:r>
              <w:rPr>
                <w:rFonts w:ascii="Calibri" w:hAnsi="Calibri"/>
                <w:b w:val="0"/>
                <w:i w:val="0"/>
                <w:color w:val="212121"/>
                <w:sz w:val="19"/>
              </w:rPr>
              <w:t>At least 150 min/week plus resistance training improves insulin sensitivity</w:t>
            </w:r>
          </w:p>
        </w:tc>
      </w:tr>
      <w:tr>
        <w:trPr>
          <w:cantSplit/>
        </w:trPr>
        <w:tc>
          <w:tcPr>
            <w:tcW w:type="dxa" w:w="1512"/>
            <w:vMerge/>
            <w:vAlign w:val="top"/>
          </w:tcPr>
          <w:p>
            <w:pPr>
              <w:spacing w:after="40" w:before="0" w:line="259" w:lineRule="auto"/>
            </w:pPr>
          </w:p>
        </w:tc>
        <w:tc>
          <w:tcPr>
            <w:tcW w:type="dxa" w:w="1944"/>
            <w:vAlign w:val="top"/>
          </w:tcPr>
          <w:p>
            <w:pPr>
              <w:spacing w:after="40" w:before="0" w:line="259" w:lineRule="auto"/>
            </w:pPr>
            <w:r>
              <w:rPr>
                <w:rFonts w:ascii="Calibri" w:hAnsi="Calibri"/>
                <w:b w:val="0"/>
                <w:i w:val="0"/>
                <w:color w:val="212121"/>
                <w:sz w:val="19"/>
              </w:rPr>
              <w:t>Body-weight reduction (%)</w:t>
            </w:r>
          </w:p>
        </w:tc>
        <w:tc>
          <w:tcPr>
            <w:tcW w:type="dxa" w:w="1655"/>
            <w:vAlign w:val="top"/>
          </w:tcPr>
          <w:p>
            <w:pPr>
              <w:spacing w:after="40" w:before="0" w:line="259" w:lineRule="auto"/>
            </w:pPr>
            <w:r>
              <w:rPr>
                <w:rFonts w:ascii="Calibri" w:hAnsi="Calibri"/>
                <w:b w:val="0"/>
                <w:i w:val="0"/>
                <w:color w:val="212121"/>
                <w:sz w:val="19"/>
              </w:rPr>
              <w:t>Overweight/obese prediabetics</w:t>
            </w:r>
          </w:p>
        </w:tc>
        <w:tc>
          <w:tcPr>
            <w:tcW w:type="dxa" w:w="1512"/>
            <w:vAlign w:val="top"/>
          </w:tcPr>
          <w:p>
            <w:pPr>
              <w:spacing w:after="40" w:before="0" w:line="259" w:lineRule="auto"/>
            </w:pPr>
            <w:r>
              <w:rPr>
                <w:rFonts w:ascii="Calibri" w:hAnsi="Calibri"/>
                <w:b w:val="0"/>
                <w:i w:val="0"/>
                <w:color w:val="212121"/>
                <w:sz w:val="19"/>
              </w:rPr>
              <w:t>5-7% loss (DPP target)</w:t>
            </w:r>
          </w:p>
        </w:tc>
        <w:tc>
          <w:tcPr>
            <w:tcW w:type="dxa" w:w="1512"/>
            <w:vAlign w:val="top"/>
          </w:tcPr>
          <w:p>
            <w:pPr>
              <w:spacing w:after="40" w:before="0" w:line="259" w:lineRule="auto"/>
            </w:pPr>
            <w:r>
              <w:rPr>
                <w:rFonts w:ascii="Calibri" w:hAnsi="Calibri"/>
                <w:b w:val="0"/>
                <w:i w:val="0"/>
                <w:color w:val="212121"/>
                <w:sz w:val="19"/>
              </w:rPr>
              <w:t>&lt; 5% loss</w:t>
            </w:r>
          </w:p>
        </w:tc>
        <w:tc>
          <w:tcPr>
            <w:tcW w:type="dxa" w:w="1468"/>
            <w:vAlign w:val="top"/>
          </w:tcPr>
          <w:p>
            <w:pPr>
              <w:spacing w:after="60" w:line="259" w:lineRule="auto"/>
            </w:pPr>
            <w:r>
              <w:rPr>
                <w:rFonts w:ascii="Calibri" w:hAnsi="Calibri"/>
                <w:b w:val="0"/>
                <w:i w:val="0"/>
                <w:color w:val="212121"/>
                <w:sz w:val="19"/>
              </w:rPr>
              <w:t>Modest weight loss sharply cuts progression; about 47% of Indian prediabetics reverted to normoglycaemia with structured lifestyle change</w:t>
            </w:r>
          </w:p>
          <w:p>
            <w:pPr>
              <w:spacing w:after="40" w:line="252" w:lineRule="auto"/>
            </w:pPr>
            <w:hyperlink r:id="rId13">
              <w:r>
                <w:rPr>
                  <w:rFonts w:ascii="Calibri" w:hAnsi="Calibri" w:cs="Calibri"/>
                  <w:sz w:val="18"/>
                  <w:color w:val="1155CC"/>
                  <w:u w:val="single"/>
                </w:rPr>
                <w:t xml:space="preserve">https://pmc.ncbi.nlm.nih.gov/articles/PMC12367371/</w:t>
              </w:r>
            </w:hyperlink>
          </w:p>
        </w:tc>
      </w:tr>
      <w:tr>
        <w:trPr>
          <w:cantSplit/>
        </w:trPr>
        <w:tc>
          <w:tcPr>
            <w:tcW w:type="dxa" w:w="1512"/>
            <w:vMerge w:val="restart"/>
            <w:vAlign w:val="center"/>
          </w:tcPr>
          <w:p>
            <w:pPr>
              <w:spacing w:after="40"/>
            </w:pPr>
            <w:r>
              <w:rPr>
                <w:rFonts w:ascii="Calibri" w:hAnsi="Calibri"/>
                <w:b w:val="0"/>
                <w:i w:val="0"/>
                <w:color w:val="212121"/>
                <w:sz w:val="19"/>
              </w:rPr>
              <w:t>Food</w:t>
            </w:r>
          </w:p>
        </w:tc>
        <w:tc>
          <w:tcPr>
            <w:tcW w:type="dxa" w:w="1944"/>
            <w:vAlign w:val="top"/>
          </w:tcPr>
          <w:p>
            <w:pPr>
              <w:spacing w:after="40" w:before="0" w:line="259" w:lineRule="auto"/>
            </w:pPr>
            <w:r>
              <w:rPr>
                <w:rFonts w:ascii="Calibri" w:hAnsi="Calibri"/>
                <w:b w:val="0"/>
                <w:i w:val="0"/>
                <w:color w:val="212121"/>
                <w:sz w:val="19"/>
              </w:rPr>
              <w:t>Fasting plasma glucose (mg/dL)</w:t>
            </w:r>
          </w:p>
        </w:tc>
        <w:tc>
          <w:tcPr>
            <w:tcW w:type="dxa" w:w="1655"/>
            <w:vAlign w:val="top"/>
          </w:tcPr>
          <w:p>
            <w:pPr>
              <w:spacing w:after="40" w:before="0" w:line="259" w:lineRule="auto"/>
            </w:pPr>
            <w:r>
              <w:rPr>
                <w:rFonts w:ascii="Calibri" w:hAnsi="Calibri"/>
                <w:b w:val="0"/>
                <w:i w:val="0"/>
                <w:color w:val="212121"/>
                <w:sz w:val="19"/>
              </w:rPr>
              <w:t>At-risk adults</w:t>
            </w:r>
          </w:p>
        </w:tc>
        <w:tc>
          <w:tcPr>
            <w:tcW w:type="dxa" w:w="1512"/>
            <w:vAlign w:val="top"/>
          </w:tcPr>
          <w:p>
            <w:pPr>
              <w:spacing w:after="40" w:before="0" w:line="259" w:lineRule="auto"/>
            </w:pPr>
            <w:r>
              <w:rPr>
                <w:rFonts w:ascii="Calibri" w:hAnsi="Calibri"/>
                <w:b w:val="0"/>
                <w:i w:val="0"/>
                <w:color w:val="212121"/>
                <w:sz w:val="19"/>
              </w:rPr>
              <w:t>70-99 mg/dL</w:t>
            </w:r>
          </w:p>
        </w:tc>
        <w:tc>
          <w:tcPr>
            <w:tcW w:type="dxa" w:w="1512"/>
            <w:vAlign w:val="top"/>
          </w:tcPr>
          <w:p>
            <w:pPr>
              <w:spacing w:after="40" w:before="0" w:line="259" w:lineRule="auto"/>
            </w:pPr>
            <w:r>
              <w:rPr>
                <w:rFonts w:ascii="Calibri" w:hAnsi="Calibri"/>
                <w:b w:val="0"/>
                <w:i w:val="0"/>
                <w:color w:val="212121"/>
                <w:sz w:val="19"/>
              </w:rPr>
              <w:t>100-125 mg/dL (IFG); &gt;= 126 = diabetes</w:t>
            </w:r>
          </w:p>
        </w:tc>
        <w:tc>
          <w:tcPr>
            <w:tcW w:type="dxa" w:w="1468"/>
            <w:vAlign w:val="top"/>
          </w:tcPr>
          <w:p>
            <w:pPr>
              <w:spacing w:after="60" w:line="259" w:lineRule="auto"/>
            </w:pPr>
            <w:r>
              <w:rPr>
                <w:rFonts w:ascii="Calibri" w:hAnsi="Calibri"/>
                <w:b w:val="0"/>
                <w:i w:val="0"/>
                <w:color w:val="212121"/>
                <w:sz w:val="19"/>
              </w:rPr>
              <w:t>IFG range defines prediabetes; confirm borderline values on a repeat sample</w:t>
            </w:r>
          </w:p>
          <w:p>
            <w:pPr>
              <w:spacing w:after="40" w:line="252" w:lineRule="auto"/>
            </w:pPr>
            <w:hyperlink r:id="rId14">
              <w:r>
                <w:rPr>
                  <w:rFonts w:ascii="Calibri" w:hAnsi="Calibri" w:cs="Calibri"/>
                  <w:sz w:val="18"/>
                  <w:color w:val="1155CC"/>
                  <w:u w:val="single"/>
                </w:rPr>
                <w:t xml:space="preserve">https://diabetesjournals.org/care/article/48/Supplement_1/S27/157566/2-Diagnosis-and-Classification-of-Diabetes</w:t>
              </w:r>
            </w:hyperlink>
          </w:p>
        </w:tc>
      </w:tr>
      <w:tr>
        <w:trPr>
          <w:cantSplit/>
        </w:trPr>
        <w:tc>
          <w:tcPr>
            <w:tcW w:type="dxa" w:w="1512"/>
            <w:vMerge/>
            <w:vAlign w:val="top"/>
          </w:tcPr>
          <w:p>
            <w:pPr>
              <w:spacing w:after="40" w:before="0" w:line="259" w:lineRule="auto"/>
            </w:pPr>
          </w:p>
        </w:tc>
        <w:tc>
          <w:tcPr>
            <w:tcW w:type="dxa" w:w="1944"/>
            <w:vAlign w:val="top"/>
          </w:tcPr>
          <w:p>
            <w:pPr>
              <w:spacing w:after="40" w:before="0" w:line="259" w:lineRule="auto"/>
            </w:pPr>
            <w:r>
              <w:rPr>
                <w:rFonts w:ascii="Calibri" w:hAnsi="Calibri"/>
                <w:b w:val="0"/>
                <w:i w:val="0"/>
                <w:color w:val="212121"/>
                <w:sz w:val="19"/>
              </w:rPr>
              <w:t>2-hour OGTT glucose (mg/dL)</w:t>
            </w:r>
          </w:p>
        </w:tc>
        <w:tc>
          <w:tcPr>
            <w:tcW w:type="dxa" w:w="1655"/>
            <w:vAlign w:val="top"/>
          </w:tcPr>
          <w:p>
            <w:pPr>
              <w:spacing w:after="40" w:before="0" w:line="259" w:lineRule="auto"/>
            </w:pPr>
            <w:r>
              <w:rPr>
                <w:rFonts w:ascii="Calibri" w:hAnsi="Calibri"/>
                <w:b w:val="0"/>
                <w:i w:val="0"/>
                <w:color w:val="212121"/>
                <w:sz w:val="19"/>
              </w:rPr>
              <w:t>At-risk adults, prior GDM, PCOS</w:t>
            </w:r>
          </w:p>
        </w:tc>
        <w:tc>
          <w:tcPr>
            <w:tcW w:type="dxa" w:w="1512"/>
            <w:vAlign w:val="top"/>
          </w:tcPr>
          <w:p>
            <w:pPr>
              <w:spacing w:after="40" w:before="0" w:line="259" w:lineRule="auto"/>
            </w:pPr>
            <w:r>
              <w:rPr>
                <w:rFonts w:ascii="Calibri" w:hAnsi="Calibri"/>
                <w:b w:val="0"/>
                <w:i w:val="0"/>
                <w:color w:val="212121"/>
                <w:sz w:val="19"/>
              </w:rPr>
              <w:t>&lt; 140 mg/dL</w:t>
            </w:r>
          </w:p>
        </w:tc>
        <w:tc>
          <w:tcPr>
            <w:tcW w:type="dxa" w:w="1512"/>
            <w:vAlign w:val="top"/>
          </w:tcPr>
          <w:p>
            <w:pPr>
              <w:spacing w:after="40" w:before="0" w:line="259" w:lineRule="auto"/>
            </w:pPr>
            <w:r>
              <w:rPr>
                <w:rFonts w:ascii="Calibri" w:hAnsi="Calibri"/>
                <w:b w:val="0"/>
                <w:i w:val="0"/>
                <w:color w:val="212121"/>
                <w:sz w:val="19"/>
              </w:rPr>
              <w:t>140-199 mg/dL (IGT); &gt;= 200 = diabetes</w:t>
            </w:r>
          </w:p>
        </w:tc>
        <w:tc>
          <w:tcPr>
            <w:tcW w:type="dxa" w:w="1468"/>
            <w:vAlign w:val="top"/>
          </w:tcPr>
          <w:p>
            <w:pPr>
              <w:spacing w:after="60" w:line="259" w:lineRule="auto"/>
            </w:pPr>
            <w:r>
              <w:rPr>
                <w:rFonts w:ascii="Calibri" w:hAnsi="Calibri"/>
                <w:b w:val="0"/>
                <w:i w:val="0"/>
                <w:color w:val="212121"/>
                <w:sz w:val="19"/>
              </w:rPr>
              <w:t>IGT is the most sensitive marker in Asian Indians and may be abnormal when fasting glucose is normal</w:t>
            </w:r>
          </w:p>
          <w:p>
            <w:pPr>
              <w:spacing w:after="40" w:line="252" w:lineRule="auto"/>
            </w:pPr>
            <w:hyperlink r:id="rId14">
              <w:r>
                <w:rPr>
                  <w:rFonts w:ascii="Calibri" w:hAnsi="Calibri" w:cs="Calibri"/>
                  <w:sz w:val="18"/>
                  <w:color w:val="1155CC"/>
                  <w:u w:val="single"/>
                </w:rPr>
                <w:t xml:space="preserve">https://diabetesjournals.org/care/article/48/Supplement_1/S27/157566/2-Diagnosis-and-Classification-of-Diabetes</w:t>
              </w:r>
            </w:hyperlink>
          </w:p>
        </w:tc>
      </w:tr>
      <w:tr>
        <w:trPr>
          <w:cantSplit/>
        </w:trPr>
        <w:tc>
          <w:tcPr>
            <w:tcW w:type="dxa" w:w="1512"/>
            <w:vMerge/>
            <w:vAlign w:val="top"/>
          </w:tcPr>
          <w:p>
            <w:pPr>
              <w:spacing w:after="40" w:before="0" w:line="259" w:lineRule="auto"/>
            </w:pPr>
          </w:p>
        </w:tc>
        <w:tc>
          <w:tcPr>
            <w:tcW w:type="dxa" w:w="1944"/>
            <w:vAlign w:val="top"/>
          </w:tcPr>
          <w:p>
            <w:pPr>
              <w:spacing w:after="40" w:before="0" w:line="259" w:lineRule="auto"/>
            </w:pPr>
            <w:r>
              <w:rPr>
                <w:rFonts w:ascii="Calibri" w:hAnsi="Calibri"/>
                <w:b w:val="0"/>
                <w:i w:val="0"/>
                <w:color w:val="212121"/>
                <w:sz w:val="19"/>
              </w:rPr>
              <w:t>HbA1c (%)</w:t>
            </w:r>
          </w:p>
        </w:tc>
        <w:tc>
          <w:tcPr>
            <w:tcW w:type="dxa" w:w="1655"/>
            <w:vAlign w:val="top"/>
          </w:tcPr>
          <w:p>
            <w:pPr>
              <w:spacing w:after="40" w:before="0" w:line="259" w:lineRule="auto"/>
            </w:pPr>
            <w:r>
              <w:rPr>
                <w:rFonts w:ascii="Calibri" w:hAnsi="Calibri"/>
                <w:b w:val="0"/>
                <w:i w:val="0"/>
                <w:color w:val="212121"/>
                <w:sz w:val="19"/>
              </w:rPr>
              <w:t>Adults, opportunistic screening</w:t>
            </w:r>
          </w:p>
        </w:tc>
        <w:tc>
          <w:tcPr>
            <w:tcW w:type="dxa" w:w="1512"/>
            <w:vAlign w:val="top"/>
          </w:tcPr>
          <w:p>
            <w:pPr>
              <w:spacing w:after="40" w:before="0" w:line="259" w:lineRule="auto"/>
            </w:pPr>
            <w:r>
              <w:rPr>
                <w:rFonts w:ascii="Calibri" w:hAnsi="Calibri"/>
                <w:b w:val="0"/>
                <w:i w:val="0"/>
                <w:color w:val="212121"/>
                <w:sz w:val="19"/>
              </w:rPr>
              <w:t>&lt; 5.7%</w:t>
            </w:r>
          </w:p>
        </w:tc>
        <w:tc>
          <w:tcPr>
            <w:tcW w:type="dxa" w:w="1512"/>
            <w:vAlign w:val="top"/>
          </w:tcPr>
          <w:p>
            <w:pPr>
              <w:spacing w:after="40" w:before="0" w:line="259" w:lineRule="auto"/>
            </w:pPr>
            <w:r>
              <w:rPr>
                <w:rFonts w:ascii="Calibri" w:hAnsi="Calibri"/>
                <w:b w:val="0"/>
                <w:i w:val="0"/>
                <w:color w:val="212121"/>
                <w:sz w:val="19"/>
              </w:rPr>
              <w:t>5.7-6.4%; &gt;= 6.5% = diabetes</w:t>
            </w:r>
          </w:p>
        </w:tc>
        <w:tc>
          <w:tcPr>
            <w:tcW w:type="dxa" w:w="1468"/>
            <w:vAlign w:val="top"/>
          </w:tcPr>
          <w:p>
            <w:pPr>
              <w:spacing w:after="60" w:line="259" w:lineRule="auto"/>
            </w:pPr>
            <w:r>
              <w:rPr>
                <w:rFonts w:ascii="Calibri" w:hAnsi="Calibri"/>
                <w:b w:val="0"/>
                <w:i w:val="0"/>
                <w:color w:val="212121"/>
                <w:sz w:val="19"/>
              </w:rPr>
              <w:t>Integrated glycaemia marker; interpret with caution in anaemia/haemoglobinopathy common in India</w:t>
            </w:r>
          </w:p>
          <w:p>
            <w:pPr>
              <w:spacing w:after="40" w:line="252" w:lineRule="auto"/>
            </w:pPr>
            <w:hyperlink r:id="rId14">
              <w:r>
                <w:rPr>
                  <w:rFonts w:ascii="Calibri" w:hAnsi="Calibri" w:cs="Calibri"/>
                  <w:sz w:val="18"/>
                  <w:color w:val="1155CC"/>
                  <w:u w:val="single"/>
                </w:rPr>
                <w:t xml:space="preserve">https://diabetesjournals.org/care/article/48/Supplement_1/S27/157566/2-Diagnosis-and-Classification-of-Diabetes</w:t>
              </w:r>
            </w:hyperlink>
          </w:p>
        </w:tc>
      </w:tr>
      <w:tr>
        <w:trPr>
          <w:cantSplit/>
        </w:trPr>
        <w:tc>
          <w:tcPr>
            <w:tcW w:type="dxa" w:w="1512"/>
            <w:vMerge/>
            <w:vAlign w:val="top"/>
          </w:tcPr>
          <w:p>
            <w:pPr>
              <w:spacing w:after="40" w:before="0" w:line="259" w:lineRule="auto"/>
            </w:pPr>
          </w:p>
        </w:tc>
        <w:tc>
          <w:tcPr>
            <w:tcW w:type="dxa" w:w="1944"/>
            <w:vAlign w:val="top"/>
          </w:tcPr>
          <w:p>
            <w:pPr>
              <w:spacing w:after="40" w:before="0" w:line="259" w:lineRule="auto"/>
            </w:pPr>
            <w:r>
              <w:rPr>
                <w:rFonts w:ascii="Calibri" w:hAnsi="Calibri"/>
                <w:b w:val="0"/>
                <w:i w:val="0"/>
                <w:color w:val="212121"/>
                <w:sz w:val="19"/>
              </w:rPr>
              <w:t>Fasting insulin / HOMA-IR</w:t>
            </w:r>
          </w:p>
        </w:tc>
        <w:tc>
          <w:tcPr>
            <w:tcW w:type="dxa" w:w="1655"/>
            <w:vAlign w:val="top"/>
          </w:tcPr>
          <w:p>
            <w:pPr>
              <w:spacing w:after="40" w:before="0" w:line="259" w:lineRule="auto"/>
            </w:pPr>
            <w:r>
              <w:rPr>
                <w:rFonts w:ascii="Calibri" w:hAnsi="Calibri"/>
                <w:b w:val="0"/>
                <w:i w:val="0"/>
                <w:color w:val="212121"/>
                <w:sz w:val="19"/>
              </w:rPr>
              <w:t>Thin-fat, PCOS, NAFLD</w:t>
            </w:r>
          </w:p>
        </w:tc>
        <w:tc>
          <w:tcPr>
            <w:tcW w:type="dxa" w:w="1512"/>
            <w:vAlign w:val="top"/>
          </w:tcPr>
          <w:p>
            <w:pPr>
              <w:spacing w:after="40" w:before="0" w:line="259" w:lineRule="auto"/>
            </w:pPr>
            <w:r>
              <w:rPr>
                <w:rFonts w:ascii="Calibri" w:hAnsi="Calibri"/>
                <w:b w:val="0"/>
                <w:i w:val="0"/>
                <w:color w:val="212121"/>
                <w:sz w:val="19"/>
              </w:rPr>
              <w:t>HOMA-IR &lt; 2.5</w:t>
            </w:r>
          </w:p>
        </w:tc>
        <w:tc>
          <w:tcPr>
            <w:tcW w:type="dxa" w:w="1512"/>
            <w:vAlign w:val="top"/>
          </w:tcPr>
          <w:p>
            <w:pPr>
              <w:spacing w:after="40" w:before="0" w:line="259" w:lineRule="auto"/>
            </w:pPr>
            <w:r>
              <w:rPr>
                <w:rFonts w:ascii="Calibri" w:hAnsi="Calibri"/>
                <w:b w:val="0"/>
                <w:i w:val="0"/>
                <w:color w:val="212121"/>
                <w:sz w:val="19"/>
              </w:rPr>
              <w:t>HOMA-IR &gt;= 2.5</w:t>
            </w:r>
          </w:p>
        </w:tc>
        <w:tc>
          <w:tcPr>
            <w:tcW w:type="dxa" w:w="1468"/>
            <w:vAlign w:val="top"/>
          </w:tcPr>
          <w:p>
            <w:pPr>
              <w:spacing w:after="60" w:line="259" w:lineRule="auto"/>
            </w:pPr>
            <w:r>
              <w:rPr>
                <w:rFonts w:ascii="Calibri" w:hAnsi="Calibri"/>
                <w:b w:val="0"/>
                <w:i w:val="0"/>
                <w:color w:val="212121"/>
                <w:sz w:val="19"/>
              </w:rPr>
              <w:t>Quantifies insulin resistance; lower endpoint HOMA-IR predicts reversal to normoglycaemia</w:t>
            </w:r>
          </w:p>
          <w:p>
            <w:pPr>
              <w:spacing w:after="40" w:line="252" w:lineRule="auto"/>
            </w:pPr>
            <w:hyperlink r:id="rId13">
              <w:r>
                <w:rPr>
                  <w:rFonts w:ascii="Calibri" w:hAnsi="Calibri" w:cs="Calibri"/>
                  <w:sz w:val="18"/>
                  <w:color w:val="1155CC"/>
                  <w:u w:val="single"/>
                </w:rPr>
                <w:t xml:space="preserve">https://pmc.ncbi.nlm.nih.gov/articles/PMC12367371/</w:t>
              </w:r>
            </w:hyperlink>
          </w:p>
        </w:tc>
      </w:tr>
      <w:tr>
        <w:trPr>
          <w:cantSplit/>
        </w:trPr>
        <w:tc>
          <w:tcPr>
            <w:tcW w:type="dxa" w:w="1512"/>
            <w:vMerge/>
            <w:vAlign w:val="top"/>
          </w:tcPr>
          <w:p>
            <w:pPr>
              <w:spacing w:after="40" w:before="0" w:line="259" w:lineRule="auto"/>
            </w:pPr>
          </w:p>
        </w:tc>
        <w:tc>
          <w:tcPr>
            <w:tcW w:type="dxa" w:w="1944"/>
            <w:vAlign w:val="top"/>
          </w:tcPr>
          <w:p>
            <w:pPr>
              <w:spacing w:after="40" w:before="0" w:line="259" w:lineRule="auto"/>
            </w:pPr>
            <w:r>
              <w:rPr>
                <w:rFonts w:ascii="Calibri" w:hAnsi="Calibri"/>
                <w:b w:val="0"/>
                <w:i w:val="0"/>
                <w:color w:val="212121"/>
                <w:sz w:val="19"/>
              </w:rPr>
              <w:t>Dietary fibre (g/day)</w:t>
            </w:r>
          </w:p>
        </w:tc>
        <w:tc>
          <w:tcPr>
            <w:tcW w:type="dxa" w:w="1655"/>
            <w:vAlign w:val="top"/>
          </w:tcPr>
          <w:p>
            <w:pPr>
              <w:spacing w:after="40" w:before="0" w:line="259" w:lineRule="auto"/>
            </w:pPr>
            <w:r>
              <w:rPr>
                <w:rFonts w:ascii="Calibri" w:hAnsi="Calibri"/>
                <w:b w:val="0"/>
                <w:i w:val="0"/>
                <w:color w:val="212121"/>
                <w:sz w:val="19"/>
              </w:rPr>
              <w:t>Adults</w:t>
            </w:r>
          </w:p>
        </w:tc>
        <w:tc>
          <w:tcPr>
            <w:tcW w:type="dxa" w:w="1512"/>
            <w:vAlign w:val="top"/>
          </w:tcPr>
          <w:p>
            <w:pPr>
              <w:spacing w:after="40" w:before="0" w:line="259" w:lineRule="auto"/>
            </w:pPr>
            <w:r>
              <w:rPr>
                <w:rFonts w:ascii="Calibri" w:hAnsi="Calibri"/>
                <w:b w:val="0"/>
                <w:i w:val="0"/>
                <w:color w:val="212121"/>
                <w:sz w:val="19"/>
              </w:rPr>
              <w:t>25-40 g/day</w:t>
            </w:r>
          </w:p>
        </w:tc>
        <w:tc>
          <w:tcPr>
            <w:tcW w:type="dxa" w:w="1512"/>
            <w:vAlign w:val="top"/>
          </w:tcPr>
          <w:p>
            <w:pPr>
              <w:spacing w:after="40" w:before="0" w:line="259" w:lineRule="auto"/>
            </w:pPr>
            <w:r>
              <w:rPr>
                <w:rFonts w:ascii="Calibri" w:hAnsi="Calibri"/>
                <w:b w:val="0"/>
                <w:i w:val="0"/>
                <w:color w:val="212121"/>
                <w:sz w:val="19"/>
              </w:rPr>
              <w:t>&lt; 25 g/day</w:t>
            </w:r>
          </w:p>
        </w:tc>
        <w:tc>
          <w:tcPr>
            <w:tcW w:type="dxa" w:w="1468"/>
            <w:vAlign w:val="top"/>
          </w:tcPr>
          <w:p>
            <w:pPr>
              <w:spacing w:after="40" w:before="0" w:line="259" w:lineRule="auto"/>
            </w:pPr>
            <w:r>
              <w:rPr>
                <w:rFonts w:ascii="Calibri" w:hAnsi="Calibri"/>
                <w:b w:val="0"/>
                <w:i w:val="0"/>
                <w:color w:val="212121"/>
                <w:sz w:val="19"/>
              </w:rPr>
              <w:t>Higher fibre and low-GI millets/pulses improve glucose tolerance</w:t>
            </w:r>
          </w:p>
        </w:tc>
      </w:tr>
      <w:tr>
        <w:trPr>
          <w:cantSplit/>
        </w:trPr>
        <w:tc>
          <w:tcPr>
            <w:tcW w:type="dxa" w:w="1512"/>
            <w:vAlign w:val="center"/>
          </w:tcPr>
          <w:p>
            <w:pPr>
              <w:spacing w:after="40"/>
            </w:pPr>
            <w:r>
              <w:rPr>
                <w:rFonts w:ascii="Calibri" w:hAnsi="Calibri"/>
                <w:b w:val="0"/>
                <w:i w:val="0"/>
                <w:color w:val="212121"/>
                <w:sz w:val="19"/>
              </w:rPr>
              <w:t>Sleep</w:t>
            </w:r>
          </w:p>
        </w:tc>
        <w:tc>
          <w:tcPr>
            <w:tcW w:type="dxa" w:w="1944"/>
            <w:vAlign w:val="top"/>
          </w:tcPr>
          <w:p>
            <w:pPr>
              <w:spacing w:after="40" w:before="0" w:line="259" w:lineRule="auto"/>
            </w:pPr>
            <w:r>
              <w:rPr>
                <w:rFonts w:ascii="Calibri" w:hAnsi="Calibri"/>
                <w:b w:val="0"/>
                <w:i w:val="0"/>
                <w:color w:val="212121"/>
                <w:sz w:val="19"/>
              </w:rPr>
              <w:t>Sleep duration (hours/night)</w:t>
            </w:r>
          </w:p>
        </w:tc>
        <w:tc>
          <w:tcPr>
            <w:tcW w:type="dxa" w:w="1655"/>
            <w:vAlign w:val="top"/>
          </w:tcPr>
          <w:p>
            <w:pPr>
              <w:spacing w:after="40" w:before="0" w:line="259" w:lineRule="auto"/>
            </w:pPr>
            <w:r>
              <w:rPr>
                <w:rFonts w:ascii="Calibri" w:hAnsi="Calibri"/>
                <w:b w:val="0"/>
                <w:i w:val="0"/>
                <w:color w:val="212121"/>
                <w:sz w:val="19"/>
              </w:rPr>
              <w:t>Adults</w:t>
            </w:r>
          </w:p>
        </w:tc>
        <w:tc>
          <w:tcPr>
            <w:tcW w:type="dxa" w:w="1512"/>
            <w:vAlign w:val="top"/>
          </w:tcPr>
          <w:p>
            <w:pPr>
              <w:spacing w:after="40" w:before="0" w:line="259" w:lineRule="auto"/>
            </w:pPr>
            <w:r>
              <w:rPr>
                <w:rFonts w:ascii="Calibri" w:hAnsi="Calibri"/>
                <w:b w:val="0"/>
                <w:i w:val="0"/>
                <w:color w:val="212121"/>
                <w:sz w:val="19"/>
              </w:rPr>
              <w:t>7-9 hours/night</w:t>
            </w:r>
          </w:p>
        </w:tc>
        <w:tc>
          <w:tcPr>
            <w:tcW w:type="dxa" w:w="1512"/>
            <w:vAlign w:val="top"/>
          </w:tcPr>
          <w:p>
            <w:pPr>
              <w:spacing w:after="40" w:before="0" w:line="259" w:lineRule="auto"/>
            </w:pPr>
            <w:r>
              <w:rPr>
                <w:rFonts w:ascii="Calibri" w:hAnsi="Calibri"/>
                <w:b w:val="0"/>
                <w:i w:val="0"/>
                <w:color w:val="212121"/>
                <w:sz w:val="19"/>
              </w:rPr>
              <w:t>&lt; 6 or &gt; 9 hours/night</w:t>
            </w:r>
          </w:p>
        </w:tc>
        <w:tc>
          <w:tcPr>
            <w:tcW w:type="dxa" w:w="1468"/>
            <w:vAlign w:val="top"/>
          </w:tcPr>
          <w:p>
            <w:pPr>
              <w:spacing w:after="40" w:before="0" w:line="259" w:lineRule="auto"/>
            </w:pPr>
            <w:r>
              <w:rPr>
                <w:rFonts w:ascii="Calibri" w:hAnsi="Calibri"/>
                <w:b w:val="0"/>
                <w:i w:val="0"/>
                <w:color w:val="212121"/>
                <w:sz w:val="19"/>
              </w:rPr>
              <w:t>Short and poor-quality sleep worsen insulin resistance</w:t>
            </w:r>
          </w:p>
        </w:tc>
      </w:tr>
      <w:tr>
        <w:trPr>
          <w:cantSplit/>
        </w:trPr>
        <w:tc>
          <w:tcPr>
            <w:tcW w:type="dxa" w:w="1512"/>
            <w:vAlign w:val="center"/>
          </w:tcPr>
          <w:p>
            <w:pPr>
              <w:spacing w:after="40"/>
            </w:pPr>
            <w:r>
              <w:rPr>
                <w:rFonts w:ascii="Calibri" w:hAnsi="Calibri"/>
                <w:b w:val="0"/>
                <w:i w:val="0"/>
                <w:color w:val="212121"/>
                <w:sz w:val="19"/>
              </w:rPr>
              <w:t>Smoking</w:t>
            </w:r>
          </w:p>
        </w:tc>
        <w:tc>
          <w:tcPr>
            <w:tcW w:type="dxa" w:w="1944"/>
            <w:vAlign w:val="top"/>
          </w:tcPr>
          <w:p>
            <w:pPr>
              <w:spacing w:after="40" w:before="0" w:line="259" w:lineRule="auto"/>
            </w:pPr>
            <w:r>
              <w:rPr>
                <w:rFonts w:ascii="Calibri" w:hAnsi="Calibri"/>
                <w:b w:val="0"/>
                <w:i w:val="0"/>
                <w:color w:val="212121"/>
                <w:sz w:val="19"/>
              </w:rPr>
              <w:t>Cigarettes/bidis per day</w:t>
            </w:r>
          </w:p>
        </w:tc>
        <w:tc>
          <w:tcPr>
            <w:tcW w:type="dxa" w:w="1655"/>
            <w:vAlign w:val="top"/>
          </w:tcPr>
          <w:p>
            <w:pPr>
              <w:spacing w:after="40" w:before="0" w:line="259" w:lineRule="auto"/>
            </w:pPr>
            <w:r>
              <w:rPr>
                <w:rFonts w:ascii="Calibri" w:hAnsi="Calibri"/>
                <w:b w:val="0"/>
                <w:i w:val="0"/>
                <w:color w:val="212121"/>
                <w:sz w:val="19"/>
              </w:rPr>
              <w:t>Adults</w:t>
            </w:r>
          </w:p>
        </w:tc>
        <w:tc>
          <w:tcPr>
            <w:tcW w:type="dxa" w:w="1512"/>
            <w:vAlign w:val="top"/>
          </w:tcPr>
          <w:p>
            <w:pPr>
              <w:spacing w:after="40" w:before="0" w:line="259" w:lineRule="auto"/>
            </w:pPr>
            <w:r>
              <w:rPr>
                <w:rFonts w:ascii="Calibri" w:hAnsi="Calibri"/>
                <w:b w:val="0"/>
                <w:i w:val="0"/>
                <w:color w:val="212121"/>
                <w:sz w:val="19"/>
              </w:rPr>
              <w:t>0 per day</w:t>
            </w:r>
          </w:p>
        </w:tc>
        <w:tc>
          <w:tcPr>
            <w:tcW w:type="dxa" w:w="1512"/>
            <w:vAlign w:val="top"/>
          </w:tcPr>
          <w:p>
            <w:pPr>
              <w:spacing w:after="40" w:before="0" w:line="259" w:lineRule="auto"/>
            </w:pPr>
            <w:r>
              <w:rPr>
                <w:rFonts w:ascii="Calibri" w:hAnsi="Calibri"/>
                <w:b w:val="0"/>
                <w:i w:val="0"/>
                <w:color w:val="212121"/>
                <w:sz w:val="19"/>
              </w:rPr>
              <w:t>&gt;= 1 per day</w:t>
            </w:r>
          </w:p>
        </w:tc>
        <w:tc>
          <w:tcPr>
            <w:tcW w:type="dxa" w:w="1468"/>
            <w:vAlign w:val="top"/>
          </w:tcPr>
          <w:p>
            <w:pPr>
              <w:spacing w:after="40" w:before="0" w:line="259" w:lineRule="auto"/>
            </w:pPr>
            <w:r>
              <w:rPr>
                <w:rFonts w:ascii="Calibri" w:hAnsi="Calibri"/>
                <w:b w:val="0"/>
                <w:i w:val="0"/>
                <w:color w:val="212121"/>
                <w:sz w:val="19"/>
              </w:rPr>
              <w:t>Any tobacco raises diabetes incidence and insulin resistance</w:t>
            </w:r>
          </w:p>
        </w:tc>
      </w:tr>
      <w:tr>
        <w:trPr>
          <w:cantSplit/>
        </w:trPr>
        <w:tc>
          <w:tcPr>
            <w:tcW w:type="dxa" w:w="1512"/>
            <w:vAlign w:val="center"/>
          </w:tcPr>
          <w:p>
            <w:pPr>
              <w:spacing w:after="40"/>
            </w:pPr>
            <w:r>
              <w:rPr>
                <w:rFonts w:ascii="Calibri" w:hAnsi="Calibri"/>
                <w:b w:val="0"/>
                <w:i w:val="0"/>
                <w:color w:val="212121"/>
                <w:sz w:val="19"/>
              </w:rPr>
              <w:t>Alcohol</w:t>
            </w:r>
          </w:p>
        </w:tc>
        <w:tc>
          <w:tcPr>
            <w:tcW w:type="dxa" w:w="1944"/>
            <w:vAlign w:val="top"/>
          </w:tcPr>
          <w:p>
            <w:pPr>
              <w:spacing w:after="40" w:before="0" w:line="259" w:lineRule="auto"/>
            </w:pPr>
            <w:r>
              <w:rPr>
                <w:rFonts w:ascii="Calibri" w:hAnsi="Calibri"/>
                <w:b w:val="0"/>
                <w:i w:val="0"/>
                <w:color w:val="212121"/>
                <w:sz w:val="19"/>
              </w:rPr>
              <w:t>Alcohol (drinks/week)</w:t>
            </w:r>
          </w:p>
        </w:tc>
        <w:tc>
          <w:tcPr>
            <w:tcW w:type="dxa" w:w="1655"/>
            <w:vAlign w:val="top"/>
          </w:tcPr>
          <w:p>
            <w:pPr>
              <w:spacing w:after="40" w:before="0" w:line="259" w:lineRule="auto"/>
            </w:pPr>
            <w:r>
              <w:rPr>
                <w:rFonts w:ascii="Calibri" w:hAnsi="Calibri"/>
                <w:b w:val="0"/>
                <w:i w:val="0"/>
                <w:color w:val="212121"/>
                <w:sz w:val="19"/>
              </w:rPr>
              <w:t>Adults, heavy drinkers</w:t>
            </w:r>
          </w:p>
        </w:tc>
        <w:tc>
          <w:tcPr>
            <w:tcW w:type="dxa" w:w="1512"/>
            <w:vAlign w:val="top"/>
          </w:tcPr>
          <w:p>
            <w:pPr>
              <w:spacing w:after="40" w:before="0" w:line="259" w:lineRule="auto"/>
            </w:pPr>
            <w:r>
              <w:rPr>
                <w:rFonts w:ascii="Calibri" w:hAnsi="Calibri"/>
                <w:b w:val="0"/>
                <w:i w:val="0"/>
                <w:color w:val="212121"/>
                <w:sz w:val="19"/>
              </w:rPr>
              <w:t>None to minimal</w:t>
            </w:r>
          </w:p>
        </w:tc>
        <w:tc>
          <w:tcPr>
            <w:tcW w:type="dxa" w:w="1512"/>
            <w:vAlign w:val="top"/>
          </w:tcPr>
          <w:p>
            <w:pPr>
              <w:spacing w:after="40" w:before="0" w:line="259" w:lineRule="auto"/>
            </w:pPr>
            <w:r>
              <w:rPr>
                <w:rFonts w:ascii="Calibri" w:hAnsi="Calibri"/>
                <w:b w:val="0"/>
                <w:i w:val="0"/>
                <w:color w:val="212121"/>
                <w:sz w:val="19"/>
              </w:rPr>
              <w:t>Heavy/regular intake</w:t>
            </w:r>
          </w:p>
        </w:tc>
        <w:tc>
          <w:tcPr>
            <w:tcW w:type="dxa" w:w="1468"/>
            <w:vAlign w:val="top"/>
          </w:tcPr>
          <w:p>
            <w:pPr>
              <w:spacing w:after="40" w:before="0" w:line="259" w:lineRule="auto"/>
            </w:pPr>
            <w:r>
              <w:rPr>
                <w:rFonts w:ascii="Calibri" w:hAnsi="Calibri"/>
                <w:b w:val="0"/>
                <w:i w:val="0"/>
                <w:color w:val="212121"/>
                <w:sz w:val="19"/>
              </w:rPr>
              <w:t>Excess alcohol promotes central fat, raised blood pressure and dysglycaemia</w:t>
            </w:r>
          </w:p>
        </w:tc>
      </w:tr>
    </w:tbl>
    <w:p>
      <w:pPr>
        <w:spacing w:before="200" w:after="120"/>
      </w:pPr>
      <w:r>
        <w:rPr>
          <w:rFonts w:ascii="Calibri" w:hAnsi="Calibri"/>
          <w:b/>
          <w:i w:val="0"/>
          <w:color w:val="212121"/>
          <w:sz w:val="25"/>
        </w:rPr>
        <w:t>Traditional Health Parameters ( THP )</w:t>
      </w:r>
    </w:p>
    <w:p>
      <w:pPr>
        <w:spacing w:before="160" w:after="120"/>
      </w:pPr>
      <w:r>
        <w:rPr>
          <w:rFonts w:ascii="Calibri" w:hAnsi="Calibri"/>
          <w:b/>
          <w:i w:val="0"/>
          <w:color w:val="212121"/>
          <w:sz w:val="22"/>
        </w:rPr>
        <w:t>Quantitative THP</w:t>
      </w:r>
    </w:p>
    <w:tbl>
      <w:tblPr>
        <w:tblW w:type="dxa" w:w="9792"/>
        <w:jc w:val="center"/>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Grid>
        <w:gridCol w:w="873"/>
        <w:gridCol w:w="873"/>
        <w:gridCol w:w="873"/>
        <w:gridCol w:w="873"/>
        <w:gridCol w:w="873"/>
        <w:gridCol w:w="873"/>
        <w:gridCol w:w="873"/>
        <w:gridCol w:w="873"/>
        <w:gridCol w:w="873"/>
        <w:gridCol w:w="873"/>
        <w:gridCol w:w="873"/>
      </w:tblGrid>
      <w:tr>
        <w:trPr>
          <w:cantSplit/>
        </w:trPr>
        <w:tc>
          <w:tcPr>
            <w:tcW w:type="dxa" w:w="892"/>
            <w:shd w:val="clear" w:color="auto" w:fill="F2F2F2"/>
            <w:vAlign w:val="center"/>
          </w:tcPr>
          <w:p>
            <w:pPr>
              <w:spacing w:after="40" w:before="0" w:line="259" w:lineRule="auto"/>
            </w:pPr>
            <w:r>
              <w:rPr>
                <w:rFonts w:ascii="Calibri" w:hAnsi="Calibri"/>
                <w:b/>
                <w:i w:val="0"/>
                <w:color w:val="212121"/>
                <w:sz w:val="16"/>
              </w:rPr>
              <w:t>Diagnostic workup</w:t>
            </w:r>
          </w:p>
        </w:tc>
        <w:tc>
          <w:tcPr>
            <w:tcW w:type="dxa" w:w="835"/>
            <w:shd w:val="clear" w:color="auto" w:fill="F2F2F2"/>
            <w:vAlign w:val="center"/>
          </w:tcPr>
          <w:p>
            <w:pPr>
              <w:spacing w:after="40" w:before="0" w:line="259" w:lineRule="auto"/>
            </w:pPr>
            <w:r>
              <w:rPr>
                <w:rFonts w:ascii="Calibri" w:hAnsi="Calibri"/>
                <w:b/>
                <w:i w:val="0"/>
                <w:color w:val="212121"/>
                <w:sz w:val="16"/>
              </w:rPr>
              <w:t>Tests</w:t>
            </w:r>
          </w:p>
        </w:tc>
        <w:tc>
          <w:tcPr>
            <w:tcW w:type="dxa" w:w="1036"/>
            <w:shd w:val="clear" w:color="auto" w:fill="F2F2F2"/>
            <w:vAlign w:val="center"/>
          </w:tcPr>
          <w:p>
            <w:pPr>
              <w:spacing w:after="40" w:before="0" w:line="259" w:lineRule="auto"/>
            </w:pPr>
            <w:r>
              <w:rPr>
                <w:rFonts w:ascii="Calibri" w:hAnsi="Calibri"/>
                <w:b/>
                <w:i w:val="0"/>
                <w:color w:val="212121"/>
                <w:sz w:val="16"/>
              </w:rPr>
              <w:t>Parameter</w:t>
            </w:r>
          </w:p>
        </w:tc>
        <w:tc>
          <w:tcPr>
            <w:tcW w:type="dxa" w:w="892"/>
            <w:shd w:val="clear" w:color="auto" w:fill="F2F2F2"/>
            <w:vAlign w:val="center"/>
          </w:tcPr>
          <w:p>
            <w:pPr>
              <w:spacing w:after="40" w:before="0" w:line="259" w:lineRule="auto"/>
            </w:pPr>
            <w:r>
              <w:rPr>
                <w:rFonts w:ascii="Calibri" w:hAnsi="Calibri"/>
                <w:b/>
                <w:i w:val="0"/>
                <w:color w:val="212121"/>
                <w:sz w:val="16"/>
              </w:rPr>
              <w:t>THP</w:t>
            </w:r>
          </w:p>
        </w:tc>
        <w:tc>
          <w:tcPr>
            <w:tcW w:type="dxa" w:w="950"/>
            <w:shd w:val="clear" w:color="auto" w:fill="F2F2F2"/>
            <w:vAlign w:val="center"/>
          </w:tcPr>
          <w:p>
            <w:pPr>
              <w:spacing w:after="40" w:before="0" w:line="259" w:lineRule="auto"/>
            </w:pPr>
            <w:r>
              <w:rPr>
                <w:rFonts w:ascii="Calibri" w:hAnsi="Calibri"/>
                <w:b/>
                <w:i w:val="0"/>
                <w:color w:val="212121"/>
                <w:sz w:val="16"/>
              </w:rPr>
              <w:t>Normal values</w:t>
            </w:r>
          </w:p>
        </w:tc>
        <w:tc>
          <w:tcPr>
            <w:tcW w:type="dxa" w:w="950"/>
            <w:shd w:val="clear" w:color="auto" w:fill="F2F2F2"/>
            <w:vAlign w:val="center"/>
          </w:tcPr>
          <w:p>
            <w:pPr>
              <w:spacing w:after="40" w:before="0" w:line="259" w:lineRule="auto"/>
            </w:pPr>
            <w:r>
              <w:rPr>
                <w:rFonts w:ascii="Calibri" w:hAnsi="Calibri"/>
                <w:b/>
                <w:i w:val="0"/>
                <w:color w:val="212121"/>
                <w:sz w:val="16"/>
              </w:rPr>
              <w:t>Abnormal values</w:t>
            </w:r>
          </w:p>
        </w:tc>
        <w:tc>
          <w:tcPr>
            <w:tcW w:type="dxa" w:w="1036"/>
            <w:shd w:val="clear" w:color="auto" w:fill="F2F2F2"/>
            <w:vAlign w:val="center"/>
          </w:tcPr>
          <w:p>
            <w:pPr>
              <w:spacing w:after="40" w:before="0" w:line="259" w:lineRule="auto"/>
            </w:pPr>
            <w:r>
              <w:rPr>
                <w:rFonts w:ascii="Calibri" w:hAnsi="Calibri"/>
                <w:b/>
                <w:i w:val="0"/>
                <w:color w:val="212121"/>
                <w:sz w:val="16"/>
              </w:rPr>
              <w:t>Interpretation</w:t>
            </w:r>
          </w:p>
        </w:tc>
        <w:tc>
          <w:tcPr>
            <w:tcW w:type="dxa" w:w="1036"/>
            <w:shd w:val="clear" w:color="auto" w:fill="F2F2F2"/>
            <w:vAlign w:val="center"/>
          </w:tcPr>
          <w:p>
            <w:pPr>
              <w:spacing w:after="40" w:before="0" w:line="259" w:lineRule="auto"/>
            </w:pPr>
            <w:r>
              <w:rPr>
                <w:rFonts w:ascii="Calibri" w:hAnsi="Calibri"/>
                <w:b/>
                <w:i w:val="0"/>
                <w:color w:val="212121"/>
                <w:sz w:val="16"/>
              </w:rPr>
              <w:t>Profiles</w:t>
            </w:r>
          </w:p>
        </w:tc>
        <w:tc>
          <w:tcPr>
            <w:tcW w:type="dxa" w:w="720"/>
            <w:shd w:val="clear" w:color="auto" w:fill="F2F2F2"/>
            <w:vAlign w:val="center"/>
          </w:tcPr>
          <w:p>
            <w:pPr>
              <w:spacing w:after="40" w:before="0" w:line="259" w:lineRule="auto"/>
            </w:pPr>
            <w:r>
              <w:rPr>
                <w:rFonts w:ascii="Calibri" w:hAnsi="Calibri"/>
                <w:b/>
                <w:i w:val="0"/>
                <w:color w:val="212121"/>
                <w:sz w:val="16"/>
              </w:rPr>
              <w:t>LHP</w:t>
            </w:r>
          </w:p>
        </w:tc>
        <w:tc>
          <w:tcPr>
            <w:tcW w:type="dxa" w:w="720"/>
            <w:shd w:val="clear" w:color="auto" w:fill="F2F2F2"/>
            <w:vAlign w:val="center"/>
          </w:tcPr>
          <w:p>
            <w:pPr>
              <w:spacing w:after="40" w:before="0" w:line="259" w:lineRule="auto"/>
            </w:pPr>
            <w:r>
              <w:rPr>
                <w:rFonts w:ascii="Calibri" w:hAnsi="Calibri"/>
                <w:b/>
                <w:i w:val="0"/>
                <w:color w:val="212121"/>
                <w:sz w:val="16"/>
              </w:rPr>
              <w:t>Importance</w:t>
            </w:r>
          </w:p>
        </w:tc>
        <w:tc>
          <w:tcPr>
            <w:tcW w:type="dxa" w:w="720"/>
            <w:shd w:val="clear" w:color="auto" w:fill="F2F2F2"/>
            <w:vAlign w:val="center"/>
          </w:tcPr>
          <w:p>
            <w:pPr>
              <w:spacing w:after="40" w:before="0" w:line="259" w:lineRule="auto"/>
            </w:pPr>
            <w:r>
              <w:rPr>
                <w:rFonts w:ascii="Calibri" w:hAnsi="Calibri"/>
                <w:b/>
                <w:i w:val="0"/>
                <w:color w:val="212121"/>
                <w:sz w:val="16"/>
              </w:rPr>
              <w:t>Note</w:t>
            </w:r>
          </w:p>
        </w:tc>
      </w:tr>
      <w:tr>
        <w:trPr>
          <w:cantSplit/>
        </w:trPr>
        <w:tc>
          <w:tcPr>
            <w:tcW w:type="dxa" w:w="892"/>
            <w:vAlign w:val="top"/>
          </w:tcPr>
          <w:p>
            <w:pPr>
              <w:spacing w:after="40" w:before="0" w:line="259" w:lineRule="auto"/>
            </w:pPr>
            <w:r>
              <w:rPr>
                <w:rFonts w:ascii="Calibri" w:hAnsi="Calibri"/>
                <w:b w:val="0"/>
                <w:i w:val="0"/>
                <w:color w:val="212121"/>
                <w:sz w:val="16"/>
              </w:rPr>
              <w:t>Investigation</w:t>
            </w:r>
          </w:p>
        </w:tc>
        <w:tc>
          <w:tcPr>
            <w:tcW w:type="dxa" w:w="835"/>
            <w:vAlign w:val="top"/>
          </w:tcPr>
          <w:p>
            <w:pPr>
              <w:spacing w:after="40" w:before="0" w:line="259" w:lineRule="auto"/>
            </w:pPr>
            <w:r>
              <w:rPr>
                <w:rFonts w:ascii="Calibri" w:hAnsi="Calibri"/>
                <w:b w:val="0"/>
                <w:i w:val="0"/>
                <w:color w:val="212121"/>
                <w:sz w:val="16"/>
              </w:rPr>
              <w:t>Biochemical</w:t>
            </w:r>
          </w:p>
        </w:tc>
        <w:tc>
          <w:tcPr>
            <w:tcW w:type="dxa" w:w="1036"/>
            <w:vAlign w:val="top"/>
          </w:tcPr>
          <w:p>
            <w:pPr>
              <w:spacing w:after="40" w:before="0" w:line="259" w:lineRule="auto"/>
            </w:pPr>
            <w:r>
              <w:rPr>
                <w:rFonts w:ascii="Calibri" w:hAnsi="Calibri"/>
                <w:b w:val="0"/>
                <w:i w:val="0"/>
                <w:color w:val="212121"/>
                <w:sz w:val="16"/>
              </w:rPr>
              <w:t>Fasting Plasma Glucose</w:t>
            </w:r>
          </w:p>
        </w:tc>
        <w:tc>
          <w:tcPr>
            <w:tcW w:type="dxa" w:w="892"/>
            <w:vAlign w:val="top"/>
          </w:tcPr>
          <w:p>
            <w:pPr>
              <w:spacing w:after="40" w:before="0" w:line="259" w:lineRule="auto"/>
            </w:pPr>
            <w:r>
              <w:rPr>
                <w:rFonts w:ascii="Calibri" w:hAnsi="Calibri"/>
                <w:b w:val="0"/>
                <w:i w:val="0"/>
                <w:color w:val="212121"/>
                <w:sz w:val="16"/>
              </w:rPr>
              <w:t>Blood Glucose Test</w:t>
            </w:r>
          </w:p>
        </w:tc>
        <w:tc>
          <w:tcPr>
            <w:tcW w:type="dxa" w:w="950"/>
            <w:vAlign w:val="top"/>
          </w:tcPr>
          <w:p>
            <w:pPr>
              <w:spacing w:after="40" w:before="0" w:line="259" w:lineRule="auto"/>
            </w:pPr>
            <w:r>
              <w:rPr>
                <w:rFonts w:ascii="Calibri" w:hAnsi="Calibri"/>
                <w:b w:val="0"/>
                <w:i w:val="0"/>
                <w:color w:val="212121"/>
                <w:sz w:val="16"/>
              </w:rPr>
              <w:t>70-99 mg/dL</w:t>
            </w:r>
          </w:p>
        </w:tc>
        <w:tc>
          <w:tcPr>
            <w:tcW w:type="dxa" w:w="950"/>
            <w:vAlign w:val="top"/>
          </w:tcPr>
          <w:p>
            <w:pPr>
              <w:spacing w:after="40" w:before="0" w:line="259" w:lineRule="auto"/>
            </w:pPr>
            <w:r>
              <w:rPr>
                <w:rFonts w:ascii="Calibri" w:hAnsi="Calibri"/>
                <w:b w:val="0"/>
                <w:i w:val="0"/>
                <w:color w:val="212121"/>
                <w:sz w:val="16"/>
              </w:rPr>
              <w:t>100-125 mg/dL (&gt;= 126 = diabetes)</w:t>
            </w:r>
          </w:p>
        </w:tc>
        <w:tc>
          <w:tcPr>
            <w:tcW w:type="dxa" w:w="1036"/>
            <w:vAlign w:val="top"/>
          </w:tcPr>
          <w:p>
            <w:pPr>
              <w:spacing w:after="40" w:before="0" w:line="259" w:lineRule="auto"/>
            </w:pPr>
            <w:r>
              <w:rPr>
                <w:rFonts w:ascii="Calibri" w:hAnsi="Calibri"/>
                <w:b w:val="0"/>
                <w:i w:val="0"/>
                <w:color w:val="212121"/>
                <w:sz w:val="16"/>
              </w:rPr>
              <w:t>Detects impaired fasting glucose; simplest, commonest screening test</w:t>
            </w:r>
          </w:p>
        </w:tc>
        <w:tc>
          <w:tcPr>
            <w:tcW w:type="dxa" w:w="1036"/>
            <w:vAlign w:val="top"/>
          </w:tcPr>
          <w:p>
            <w:pPr>
              <w:spacing w:after="40" w:before="0" w:line="259" w:lineRule="auto"/>
            </w:pPr>
            <w:r>
              <w:rPr>
                <w:rFonts w:ascii="Calibri" w:hAnsi="Calibri"/>
                <w:b w:val="0"/>
                <w:i w:val="0"/>
                <w:color w:val="212121"/>
                <w:sz w:val="16"/>
              </w:rPr>
              <w:t>High-risk adults, overweight, family history</w:t>
            </w:r>
          </w:p>
        </w:tc>
        <w:tc>
          <w:tcPr>
            <w:tcW w:type="dxa" w:w="720"/>
            <w:vAlign w:val="top"/>
          </w:tcPr>
          <w:p>
            <w:pPr>
              <w:spacing w:after="40" w:before="0" w:line="259" w:lineRule="auto"/>
            </w:pPr>
            <w:r>
              <w:rPr>
                <w:rFonts w:ascii="Calibri" w:hAnsi="Calibri"/>
                <w:b w:val="0"/>
                <w:i w:val="0"/>
                <w:color w:val="212121"/>
                <w:sz w:val="16"/>
              </w:rPr>
              <w:t>Food; Physical activity</w:t>
            </w:r>
          </w:p>
        </w:tc>
        <w:tc>
          <w:tcPr>
            <w:tcW w:type="dxa" w:w="720"/>
            <w:vAlign w:val="top"/>
          </w:tcPr>
          <w:p>
            <w:pPr>
              <w:spacing w:after="40" w:before="0" w:line="259" w:lineRule="auto"/>
            </w:pPr>
            <w:r>
              <w:rPr>
                <w:rFonts w:ascii="Calibri" w:hAnsi="Calibri"/>
                <w:b w:val="0"/>
                <w:i w:val="0"/>
                <w:color w:val="212121"/>
                <w:sz w:val="16"/>
              </w:rPr>
              <w:t>Screening</w:t>
            </w:r>
          </w:p>
        </w:tc>
        <w:tc>
          <w:tcPr>
            <w:tcW w:type="dxa" w:w="720"/>
            <w:vAlign w:val="top"/>
          </w:tcPr>
          <w:p>
            <w:pPr>
              <w:spacing w:after="40" w:before="0" w:line="259" w:lineRule="auto"/>
            </w:pPr>
            <w:r>
              <w:rPr>
                <w:rFonts w:ascii="Calibri" w:hAnsi="Calibri"/>
                <w:b w:val="0"/>
                <w:i w:val="0"/>
                <w:color w:val="212121"/>
                <w:sz w:val="16"/>
              </w:rPr>
              <w:t>8-hour fast; confirm borderline results on a repeat day</w:t>
            </w:r>
          </w:p>
        </w:tc>
      </w:tr>
      <w:tr>
        <w:trPr>
          <w:cantSplit/>
        </w:trPr>
        <w:tc>
          <w:tcPr>
            <w:tcW w:type="dxa" w:w="892"/>
            <w:vAlign w:val="top"/>
          </w:tcPr>
          <w:p>
            <w:pPr>
              <w:spacing w:after="40" w:before="0" w:line="259" w:lineRule="auto"/>
            </w:pPr>
            <w:r>
              <w:rPr>
                <w:rFonts w:ascii="Calibri" w:hAnsi="Calibri"/>
                <w:b w:val="0"/>
                <w:i w:val="0"/>
                <w:color w:val="212121"/>
                <w:sz w:val="16"/>
              </w:rPr>
              <w:t>Investigation</w:t>
            </w:r>
          </w:p>
        </w:tc>
        <w:tc>
          <w:tcPr>
            <w:tcW w:type="dxa" w:w="835"/>
            <w:vAlign w:val="top"/>
          </w:tcPr>
          <w:p>
            <w:pPr>
              <w:spacing w:after="40" w:before="0" w:line="259" w:lineRule="auto"/>
            </w:pPr>
            <w:r>
              <w:rPr>
                <w:rFonts w:ascii="Calibri" w:hAnsi="Calibri"/>
                <w:b w:val="0"/>
                <w:i w:val="0"/>
                <w:color w:val="212121"/>
                <w:sz w:val="16"/>
              </w:rPr>
              <w:t>Biochemical</w:t>
            </w:r>
          </w:p>
        </w:tc>
        <w:tc>
          <w:tcPr>
            <w:tcW w:type="dxa" w:w="1036"/>
            <w:vAlign w:val="top"/>
          </w:tcPr>
          <w:p>
            <w:pPr>
              <w:spacing w:after="40" w:before="0" w:line="259" w:lineRule="auto"/>
            </w:pPr>
            <w:r>
              <w:rPr>
                <w:rFonts w:ascii="Calibri" w:hAnsi="Calibri"/>
                <w:b w:val="0"/>
                <w:i w:val="0"/>
                <w:color w:val="212121"/>
                <w:sz w:val="16"/>
              </w:rPr>
              <w:t>2-hour Plasma Glucose</w:t>
            </w:r>
          </w:p>
        </w:tc>
        <w:tc>
          <w:tcPr>
            <w:tcW w:type="dxa" w:w="892"/>
            <w:vAlign w:val="top"/>
          </w:tcPr>
          <w:p>
            <w:pPr>
              <w:spacing w:after="40" w:before="0" w:line="259" w:lineRule="auto"/>
            </w:pPr>
            <w:r>
              <w:rPr>
                <w:rFonts w:ascii="Calibri" w:hAnsi="Calibri"/>
                <w:b w:val="0"/>
                <w:i w:val="0"/>
                <w:color w:val="212121"/>
                <w:sz w:val="16"/>
              </w:rPr>
              <w:t>75 g Oral Glucose Tolerance Test</w:t>
            </w:r>
          </w:p>
        </w:tc>
        <w:tc>
          <w:tcPr>
            <w:tcW w:type="dxa" w:w="950"/>
            <w:vAlign w:val="top"/>
          </w:tcPr>
          <w:p>
            <w:pPr>
              <w:spacing w:after="40" w:before="0" w:line="259" w:lineRule="auto"/>
            </w:pPr>
            <w:r>
              <w:rPr>
                <w:rFonts w:ascii="Calibri" w:hAnsi="Calibri"/>
                <w:b w:val="0"/>
                <w:i w:val="0"/>
                <w:color w:val="212121"/>
                <w:sz w:val="16"/>
              </w:rPr>
              <w:t>&lt; 140 mg/dL</w:t>
            </w:r>
          </w:p>
        </w:tc>
        <w:tc>
          <w:tcPr>
            <w:tcW w:type="dxa" w:w="950"/>
            <w:vAlign w:val="top"/>
          </w:tcPr>
          <w:p>
            <w:pPr>
              <w:spacing w:after="40" w:before="0" w:line="259" w:lineRule="auto"/>
            </w:pPr>
            <w:r>
              <w:rPr>
                <w:rFonts w:ascii="Calibri" w:hAnsi="Calibri"/>
                <w:b w:val="0"/>
                <w:i w:val="0"/>
                <w:color w:val="212121"/>
                <w:sz w:val="16"/>
              </w:rPr>
              <w:t>140-199 mg/dL (&gt;= 200 = diabetes)</w:t>
            </w:r>
          </w:p>
        </w:tc>
        <w:tc>
          <w:tcPr>
            <w:tcW w:type="dxa" w:w="1036"/>
            <w:vAlign w:val="top"/>
          </w:tcPr>
          <w:p>
            <w:pPr>
              <w:spacing w:after="40" w:before="0" w:line="259" w:lineRule="auto"/>
            </w:pPr>
            <w:r>
              <w:rPr>
                <w:rFonts w:ascii="Calibri" w:hAnsi="Calibri"/>
                <w:b w:val="0"/>
                <w:i w:val="0"/>
                <w:color w:val="212121"/>
                <w:sz w:val="16"/>
              </w:rPr>
              <w:t>Detects impaired glucose tolerance missed by fasting glucose</w:t>
            </w:r>
          </w:p>
        </w:tc>
        <w:tc>
          <w:tcPr>
            <w:tcW w:type="dxa" w:w="1036"/>
            <w:vAlign w:val="top"/>
          </w:tcPr>
          <w:p>
            <w:pPr>
              <w:spacing w:after="40" w:before="0" w:line="259" w:lineRule="auto"/>
            </w:pPr>
            <w:r>
              <w:rPr>
                <w:rFonts w:ascii="Calibri" w:hAnsi="Calibri"/>
                <w:b w:val="0"/>
                <w:i w:val="0"/>
                <w:color w:val="212121"/>
                <w:sz w:val="16"/>
              </w:rPr>
              <w:t>Prior GDM, PCOS, normal FPG but high risk</w:t>
            </w:r>
          </w:p>
        </w:tc>
        <w:tc>
          <w:tcPr>
            <w:tcW w:type="dxa" w:w="720"/>
            <w:vAlign w:val="top"/>
          </w:tcPr>
          <w:p>
            <w:pPr>
              <w:spacing w:after="40" w:before="0" w:line="259" w:lineRule="auto"/>
            </w:pPr>
            <w:r>
              <w:rPr>
                <w:rFonts w:ascii="Calibri" w:hAnsi="Calibri"/>
                <w:b w:val="0"/>
                <w:i w:val="0"/>
                <w:color w:val="212121"/>
                <w:sz w:val="16"/>
              </w:rPr>
              <w:t>Food</w:t>
            </w:r>
          </w:p>
        </w:tc>
        <w:tc>
          <w:tcPr>
            <w:tcW w:type="dxa" w:w="720"/>
            <w:vAlign w:val="top"/>
          </w:tcPr>
          <w:p>
            <w:pPr>
              <w:spacing w:after="40" w:before="0" w:line="259" w:lineRule="auto"/>
            </w:pPr>
            <w:r>
              <w:rPr>
                <w:rFonts w:ascii="Calibri" w:hAnsi="Calibri"/>
                <w:b w:val="0"/>
                <w:i w:val="0"/>
                <w:color w:val="212121"/>
                <w:sz w:val="16"/>
              </w:rPr>
              <w:t>Gold standard</w:t>
            </w:r>
          </w:p>
        </w:tc>
        <w:tc>
          <w:tcPr>
            <w:tcW w:type="dxa" w:w="720"/>
            <w:vAlign w:val="top"/>
          </w:tcPr>
          <w:p>
            <w:pPr>
              <w:spacing w:after="40" w:before="0" w:line="259" w:lineRule="auto"/>
            </w:pPr>
            <w:r>
              <w:rPr>
                <w:rFonts w:ascii="Calibri" w:hAnsi="Calibri"/>
                <w:b w:val="0"/>
                <w:i w:val="0"/>
                <w:color w:val="212121"/>
                <w:sz w:val="16"/>
              </w:rPr>
              <w:t>Standardised 75 g load; most sensitive but less reproducible</w:t>
            </w:r>
          </w:p>
        </w:tc>
      </w:tr>
      <w:tr>
        <w:trPr>
          <w:cantSplit/>
        </w:trPr>
        <w:tc>
          <w:tcPr>
            <w:tcW w:type="dxa" w:w="892"/>
            <w:vAlign w:val="top"/>
          </w:tcPr>
          <w:p>
            <w:pPr>
              <w:spacing w:after="40" w:before="0" w:line="259" w:lineRule="auto"/>
            </w:pPr>
            <w:r>
              <w:rPr>
                <w:rFonts w:ascii="Calibri" w:hAnsi="Calibri"/>
                <w:b w:val="0"/>
                <w:i w:val="0"/>
                <w:color w:val="212121"/>
                <w:sz w:val="16"/>
              </w:rPr>
              <w:t>Investigation</w:t>
            </w:r>
          </w:p>
        </w:tc>
        <w:tc>
          <w:tcPr>
            <w:tcW w:type="dxa" w:w="835"/>
            <w:vAlign w:val="top"/>
          </w:tcPr>
          <w:p>
            <w:pPr>
              <w:spacing w:after="40" w:before="0" w:line="259" w:lineRule="auto"/>
            </w:pPr>
            <w:r>
              <w:rPr>
                <w:rFonts w:ascii="Calibri" w:hAnsi="Calibri"/>
                <w:b w:val="0"/>
                <w:i w:val="0"/>
                <w:color w:val="212121"/>
                <w:sz w:val="16"/>
              </w:rPr>
              <w:t>Biochemical</w:t>
            </w:r>
          </w:p>
        </w:tc>
        <w:tc>
          <w:tcPr>
            <w:tcW w:type="dxa" w:w="1036"/>
            <w:vAlign w:val="top"/>
          </w:tcPr>
          <w:p>
            <w:pPr>
              <w:spacing w:after="40" w:before="0" w:line="259" w:lineRule="auto"/>
            </w:pPr>
            <w:r>
              <w:rPr>
                <w:rFonts w:ascii="Calibri" w:hAnsi="Calibri"/>
                <w:b w:val="0"/>
                <w:i w:val="0"/>
                <w:color w:val="212121"/>
                <w:sz w:val="16"/>
              </w:rPr>
              <w:t>Glycated Haemoglobin (HbA1c)</w:t>
            </w:r>
          </w:p>
        </w:tc>
        <w:tc>
          <w:tcPr>
            <w:tcW w:type="dxa" w:w="892"/>
            <w:vAlign w:val="top"/>
          </w:tcPr>
          <w:p>
            <w:pPr>
              <w:spacing w:after="40" w:before="0" w:line="259" w:lineRule="auto"/>
            </w:pPr>
            <w:r>
              <w:rPr>
                <w:rFonts w:ascii="Calibri" w:hAnsi="Calibri"/>
                <w:b w:val="0"/>
                <w:i w:val="0"/>
                <w:color w:val="212121"/>
                <w:sz w:val="16"/>
              </w:rPr>
              <w:t>Blood Glucose Test</w:t>
            </w:r>
          </w:p>
        </w:tc>
        <w:tc>
          <w:tcPr>
            <w:tcW w:type="dxa" w:w="950"/>
            <w:vAlign w:val="top"/>
          </w:tcPr>
          <w:p>
            <w:pPr>
              <w:spacing w:after="40" w:before="0" w:line="259" w:lineRule="auto"/>
            </w:pPr>
            <w:r>
              <w:rPr>
                <w:rFonts w:ascii="Calibri" w:hAnsi="Calibri"/>
                <w:b w:val="0"/>
                <w:i w:val="0"/>
                <w:color w:val="212121"/>
                <w:sz w:val="16"/>
              </w:rPr>
              <w:t>&lt; 5.7%</w:t>
            </w:r>
          </w:p>
        </w:tc>
        <w:tc>
          <w:tcPr>
            <w:tcW w:type="dxa" w:w="950"/>
            <w:vAlign w:val="top"/>
          </w:tcPr>
          <w:p>
            <w:pPr>
              <w:spacing w:after="40" w:before="0" w:line="259" w:lineRule="auto"/>
            </w:pPr>
            <w:r>
              <w:rPr>
                <w:rFonts w:ascii="Calibri" w:hAnsi="Calibri"/>
                <w:b w:val="0"/>
                <w:i w:val="0"/>
                <w:color w:val="212121"/>
                <w:sz w:val="16"/>
              </w:rPr>
              <w:t>5.7-6.4% (&gt;= 6.5% = diabetes)</w:t>
            </w:r>
          </w:p>
        </w:tc>
        <w:tc>
          <w:tcPr>
            <w:tcW w:type="dxa" w:w="1036"/>
            <w:vAlign w:val="top"/>
          </w:tcPr>
          <w:p>
            <w:pPr>
              <w:spacing w:after="40" w:before="0" w:line="259" w:lineRule="auto"/>
            </w:pPr>
            <w:r>
              <w:rPr>
                <w:rFonts w:ascii="Calibri" w:hAnsi="Calibri"/>
                <w:b w:val="0"/>
                <w:i w:val="0"/>
                <w:color w:val="212121"/>
                <w:sz w:val="16"/>
              </w:rPr>
              <w:t>Reflects 2-3 month average glycaemia; no fasting required</w:t>
            </w:r>
          </w:p>
        </w:tc>
        <w:tc>
          <w:tcPr>
            <w:tcW w:type="dxa" w:w="1036"/>
            <w:vAlign w:val="top"/>
          </w:tcPr>
          <w:p>
            <w:pPr>
              <w:spacing w:after="40" w:before="0" w:line="259" w:lineRule="auto"/>
            </w:pPr>
            <w:r>
              <w:rPr>
                <w:rFonts w:ascii="Calibri" w:hAnsi="Calibri"/>
                <w:b w:val="0"/>
                <w:i w:val="0"/>
                <w:color w:val="212121"/>
                <w:sz w:val="16"/>
              </w:rPr>
              <w:t>Opportunistic screening, adults 30+</w:t>
            </w:r>
          </w:p>
        </w:tc>
        <w:tc>
          <w:tcPr>
            <w:tcW w:type="dxa" w:w="720"/>
            <w:vAlign w:val="top"/>
          </w:tcPr>
          <w:p>
            <w:pPr>
              <w:spacing w:after="40" w:before="0" w:line="259" w:lineRule="auto"/>
            </w:pPr>
            <w:r>
              <w:rPr>
                <w:rFonts w:ascii="Calibri" w:hAnsi="Calibri"/>
                <w:b w:val="0"/>
                <w:i w:val="0"/>
                <w:color w:val="212121"/>
                <w:sz w:val="16"/>
              </w:rPr>
              <w:t>Food; Physical activity</w:t>
            </w:r>
          </w:p>
        </w:tc>
        <w:tc>
          <w:tcPr>
            <w:tcW w:type="dxa" w:w="720"/>
            <w:vAlign w:val="top"/>
          </w:tcPr>
          <w:p>
            <w:pPr>
              <w:spacing w:after="40" w:before="0" w:line="259" w:lineRule="auto"/>
            </w:pPr>
            <w:r>
              <w:rPr>
                <w:rFonts w:ascii="Calibri" w:hAnsi="Calibri"/>
                <w:b w:val="0"/>
                <w:i w:val="0"/>
                <w:color w:val="212121"/>
                <w:sz w:val="16"/>
              </w:rPr>
              <w:t>Diagnostic</w:t>
            </w:r>
          </w:p>
        </w:tc>
        <w:tc>
          <w:tcPr>
            <w:tcW w:type="dxa" w:w="720"/>
            <w:vAlign w:val="top"/>
          </w:tcPr>
          <w:p>
            <w:pPr>
              <w:spacing w:after="40" w:before="0" w:line="259" w:lineRule="auto"/>
            </w:pPr>
            <w:r>
              <w:rPr>
                <w:rFonts w:ascii="Calibri" w:hAnsi="Calibri"/>
                <w:b w:val="0"/>
                <w:i w:val="0"/>
                <w:color w:val="212121"/>
                <w:sz w:val="16"/>
              </w:rPr>
              <w:t>Unreliable in anaemia, haemoglobinopathy or recent blood loss - common in India</w:t>
            </w:r>
          </w:p>
        </w:tc>
      </w:tr>
      <w:tr>
        <w:trPr>
          <w:cantSplit/>
        </w:trPr>
        <w:tc>
          <w:tcPr>
            <w:tcW w:type="dxa" w:w="892"/>
            <w:vAlign w:val="top"/>
          </w:tcPr>
          <w:p>
            <w:pPr>
              <w:spacing w:after="40" w:before="0" w:line="259" w:lineRule="auto"/>
            </w:pPr>
            <w:r>
              <w:rPr>
                <w:rFonts w:ascii="Calibri" w:hAnsi="Calibri"/>
                <w:b w:val="0"/>
                <w:i w:val="0"/>
                <w:color w:val="212121"/>
                <w:sz w:val="16"/>
              </w:rPr>
              <w:t>Investigation</w:t>
            </w:r>
          </w:p>
        </w:tc>
        <w:tc>
          <w:tcPr>
            <w:tcW w:type="dxa" w:w="835"/>
            <w:vAlign w:val="top"/>
          </w:tcPr>
          <w:p>
            <w:pPr>
              <w:spacing w:after="40" w:before="0" w:line="259" w:lineRule="auto"/>
            </w:pPr>
            <w:r>
              <w:rPr>
                <w:rFonts w:ascii="Calibri" w:hAnsi="Calibri"/>
                <w:b w:val="0"/>
                <w:i w:val="0"/>
                <w:color w:val="212121"/>
                <w:sz w:val="16"/>
              </w:rPr>
              <w:t>Biochemical</w:t>
            </w:r>
          </w:p>
        </w:tc>
        <w:tc>
          <w:tcPr>
            <w:tcW w:type="dxa" w:w="1036"/>
            <w:vAlign w:val="top"/>
          </w:tcPr>
          <w:p>
            <w:pPr>
              <w:spacing w:after="40" w:before="0" w:line="259" w:lineRule="auto"/>
            </w:pPr>
            <w:r>
              <w:rPr>
                <w:rFonts w:ascii="Calibri" w:hAnsi="Calibri"/>
                <w:b w:val="0"/>
                <w:i w:val="0"/>
                <w:color w:val="212121"/>
                <w:sz w:val="16"/>
              </w:rPr>
              <w:t>Fasting Insulin / HOMA-IR</w:t>
            </w:r>
          </w:p>
        </w:tc>
        <w:tc>
          <w:tcPr>
            <w:tcW w:type="dxa" w:w="892"/>
            <w:vAlign w:val="top"/>
          </w:tcPr>
          <w:p>
            <w:pPr>
              <w:spacing w:after="40" w:before="0" w:line="259" w:lineRule="auto"/>
            </w:pPr>
            <w:r>
              <w:rPr>
                <w:rFonts w:ascii="Calibri" w:hAnsi="Calibri"/>
                <w:b w:val="0"/>
                <w:i w:val="0"/>
                <w:color w:val="212121"/>
                <w:sz w:val="16"/>
              </w:rPr>
              <w:t>Insulin resistance assessment</w:t>
            </w:r>
          </w:p>
        </w:tc>
        <w:tc>
          <w:tcPr>
            <w:tcW w:type="dxa" w:w="950"/>
            <w:vAlign w:val="top"/>
          </w:tcPr>
          <w:p>
            <w:pPr>
              <w:spacing w:after="40" w:before="0" w:line="259" w:lineRule="auto"/>
            </w:pPr>
            <w:r>
              <w:rPr>
                <w:rFonts w:ascii="Calibri" w:hAnsi="Calibri"/>
                <w:b w:val="0"/>
                <w:i w:val="0"/>
                <w:color w:val="212121"/>
                <w:sz w:val="16"/>
              </w:rPr>
              <w:t>HOMA-IR &lt; 2.5</w:t>
            </w:r>
          </w:p>
        </w:tc>
        <w:tc>
          <w:tcPr>
            <w:tcW w:type="dxa" w:w="950"/>
            <w:vAlign w:val="top"/>
          </w:tcPr>
          <w:p>
            <w:pPr>
              <w:spacing w:after="40" w:before="0" w:line="259" w:lineRule="auto"/>
            </w:pPr>
            <w:r>
              <w:rPr>
                <w:rFonts w:ascii="Calibri" w:hAnsi="Calibri"/>
                <w:b w:val="0"/>
                <w:i w:val="0"/>
                <w:color w:val="212121"/>
                <w:sz w:val="16"/>
              </w:rPr>
              <w:t>HOMA-IR &gt;= 2.5</w:t>
            </w:r>
          </w:p>
        </w:tc>
        <w:tc>
          <w:tcPr>
            <w:tcW w:type="dxa" w:w="1036"/>
            <w:vAlign w:val="top"/>
          </w:tcPr>
          <w:p>
            <w:pPr>
              <w:spacing w:after="40" w:before="0" w:line="259" w:lineRule="auto"/>
            </w:pPr>
            <w:r>
              <w:rPr>
                <w:rFonts w:ascii="Calibri" w:hAnsi="Calibri"/>
                <w:b w:val="0"/>
                <w:i w:val="0"/>
                <w:color w:val="212121"/>
                <w:sz w:val="16"/>
              </w:rPr>
              <w:t>Quantifies the insulin resistance underlying prediabetes</w:t>
            </w:r>
          </w:p>
        </w:tc>
        <w:tc>
          <w:tcPr>
            <w:tcW w:type="dxa" w:w="1036"/>
            <w:vAlign w:val="top"/>
          </w:tcPr>
          <w:p>
            <w:pPr>
              <w:spacing w:after="40" w:before="0" w:line="259" w:lineRule="auto"/>
            </w:pPr>
            <w:r>
              <w:rPr>
                <w:rFonts w:ascii="Calibri" w:hAnsi="Calibri"/>
                <w:b w:val="0"/>
                <w:i w:val="0"/>
                <w:color w:val="212121"/>
                <w:sz w:val="16"/>
              </w:rPr>
              <w:t>Thin-fat, PCOS, NAFLD, metabolic syndrome</w:t>
            </w:r>
          </w:p>
        </w:tc>
        <w:tc>
          <w:tcPr>
            <w:tcW w:type="dxa" w:w="720"/>
            <w:vAlign w:val="top"/>
          </w:tcPr>
          <w:p>
            <w:pPr>
              <w:spacing w:after="40" w:before="0" w:line="259" w:lineRule="auto"/>
            </w:pPr>
            <w:r>
              <w:rPr>
                <w:rFonts w:ascii="Calibri" w:hAnsi="Calibri"/>
                <w:b w:val="0"/>
                <w:i w:val="0"/>
                <w:color w:val="212121"/>
                <w:sz w:val="16"/>
              </w:rPr>
              <w:t>Physical activity; Food</w:t>
            </w:r>
          </w:p>
        </w:tc>
        <w:tc>
          <w:tcPr>
            <w:tcW w:type="dxa" w:w="720"/>
            <w:vAlign w:val="top"/>
          </w:tcPr>
          <w:p>
            <w:pPr>
              <w:spacing w:after="40" w:before="0" w:line="259" w:lineRule="auto"/>
            </w:pPr>
            <w:r>
              <w:rPr>
                <w:rFonts w:ascii="Calibri" w:hAnsi="Calibri"/>
                <w:b w:val="0"/>
                <w:i w:val="0"/>
                <w:color w:val="212121"/>
                <w:sz w:val="16"/>
              </w:rPr>
              <w:t>Prognostic</w:t>
            </w:r>
          </w:p>
        </w:tc>
        <w:tc>
          <w:tcPr>
            <w:tcW w:type="dxa" w:w="720"/>
            <w:vAlign w:val="top"/>
          </w:tcPr>
          <w:p>
            <w:pPr>
              <w:spacing w:after="40" w:before="0" w:line="259" w:lineRule="auto"/>
            </w:pPr>
            <w:r>
              <w:rPr>
                <w:rFonts w:ascii="Calibri" w:hAnsi="Calibri"/>
                <w:b w:val="0"/>
                <w:i w:val="0"/>
                <w:color w:val="212121"/>
                <w:sz w:val="16"/>
              </w:rPr>
              <w:t>Adjunctive/risk-stratification use; not required for routine diagnosis</w:t>
            </w:r>
          </w:p>
        </w:tc>
      </w:tr>
      <w:tr>
        <w:trPr>
          <w:cantSplit/>
        </w:trPr>
        <w:tc>
          <w:tcPr>
            <w:tcW w:type="dxa" w:w="892"/>
            <w:vAlign w:val="top"/>
          </w:tcPr>
          <w:p>
            <w:pPr>
              <w:spacing w:after="40" w:before="0" w:line="259" w:lineRule="auto"/>
            </w:pPr>
            <w:r>
              <w:rPr>
                <w:rFonts w:ascii="Calibri" w:hAnsi="Calibri"/>
                <w:b w:val="0"/>
                <w:i w:val="0"/>
                <w:color w:val="212121"/>
                <w:sz w:val="16"/>
              </w:rPr>
              <w:t>Investigation</w:t>
            </w:r>
          </w:p>
        </w:tc>
        <w:tc>
          <w:tcPr>
            <w:tcW w:type="dxa" w:w="835"/>
            <w:vAlign w:val="top"/>
          </w:tcPr>
          <w:p>
            <w:pPr>
              <w:spacing w:after="40" w:before="0" w:line="259" w:lineRule="auto"/>
            </w:pPr>
            <w:r>
              <w:rPr>
                <w:rFonts w:ascii="Calibri" w:hAnsi="Calibri"/>
                <w:b w:val="0"/>
                <w:i w:val="0"/>
                <w:color w:val="212121"/>
                <w:sz w:val="16"/>
              </w:rPr>
              <w:t>Biochemical</w:t>
            </w:r>
          </w:p>
        </w:tc>
        <w:tc>
          <w:tcPr>
            <w:tcW w:type="dxa" w:w="1036"/>
            <w:vAlign w:val="top"/>
          </w:tcPr>
          <w:p>
            <w:pPr>
              <w:spacing w:after="40" w:before="0" w:line="259" w:lineRule="auto"/>
            </w:pPr>
            <w:r>
              <w:rPr>
                <w:rFonts w:ascii="Calibri" w:hAnsi="Calibri"/>
                <w:b w:val="0"/>
                <w:i w:val="0"/>
                <w:color w:val="212121"/>
                <w:sz w:val="16"/>
              </w:rPr>
              <w:t>Fasting Lipid Profile</w:t>
            </w:r>
          </w:p>
        </w:tc>
        <w:tc>
          <w:tcPr>
            <w:tcW w:type="dxa" w:w="892"/>
            <w:vAlign w:val="top"/>
          </w:tcPr>
          <w:p>
            <w:pPr>
              <w:spacing w:after="40" w:before="0" w:line="259" w:lineRule="auto"/>
            </w:pPr>
            <w:r>
              <w:rPr>
                <w:rFonts w:ascii="Calibri" w:hAnsi="Calibri"/>
                <w:b w:val="0"/>
                <w:i w:val="0"/>
                <w:color w:val="212121"/>
                <w:sz w:val="16"/>
              </w:rPr>
              <w:t>Cardiometabolic risk panel</w:t>
            </w:r>
          </w:p>
        </w:tc>
        <w:tc>
          <w:tcPr>
            <w:tcW w:type="dxa" w:w="950"/>
            <w:vAlign w:val="top"/>
          </w:tcPr>
          <w:p>
            <w:pPr>
              <w:spacing w:after="40" w:before="0" w:line="259" w:lineRule="auto"/>
            </w:pPr>
            <w:r>
              <w:rPr>
                <w:rFonts w:ascii="Calibri" w:hAnsi="Calibri"/>
                <w:b w:val="0"/>
                <w:i w:val="0"/>
                <w:color w:val="212121"/>
                <w:sz w:val="16"/>
              </w:rPr>
              <w:t>TG &lt; 150; HDL M&gt;=40, F&gt;=50 mg/dL</w:t>
            </w:r>
          </w:p>
        </w:tc>
        <w:tc>
          <w:tcPr>
            <w:tcW w:type="dxa" w:w="950"/>
            <w:vAlign w:val="top"/>
          </w:tcPr>
          <w:p>
            <w:pPr>
              <w:spacing w:after="40" w:before="0" w:line="259" w:lineRule="auto"/>
            </w:pPr>
            <w:r>
              <w:rPr>
                <w:rFonts w:ascii="Calibri" w:hAnsi="Calibri"/>
                <w:b w:val="0"/>
                <w:i w:val="0"/>
                <w:color w:val="212121"/>
                <w:sz w:val="16"/>
              </w:rPr>
              <w:t>High TG and/or low HDL</w:t>
            </w:r>
          </w:p>
        </w:tc>
        <w:tc>
          <w:tcPr>
            <w:tcW w:type="dxa" w:w="1036"/>
            <w:vAlign w:val="top"/>
          </w:tcPr>
          <w:p>
            <w:pPr>
              <w:spacing w:after="40" w:before="0" w:line="259" w:lineRule="auto"/>
            </w:pPr>
            <w:r>
              <w:rPr>
                <w:rFonts w:ascii="Calibri" w:hAnsi="Calibri"/>
                <w:b w:val="0"/>
                <w:i w:val="0"/>
                <w:color w:val="212121"/>
                <w:sz w:val="16"/>
              </w:rPr>
              <w:t>Atherogenic dyslipidaemia clusters with prediabetes in metabolic syndrome</w:t>
            </w:r>
          </w:p>
        </w:tc>
        <w:tc>
          <w:tcPr>
            <w:tcW w:type="dxa" w:w="1036"/>
            <w:vAlign w:val="top"/>
          </w:tcPr>
          <w:p>
            <w:pPr>
              <w:spacing w:after="40" w:before="0" w:line="259" w:lineRule="auto"/>
            </w:pPr>
            <w:r>
              <w:rPr>
                <w:rFonts w:ascii="Calibri" w:hAnsi="Calibri"/>
                <w:b w:val="0"/>
                <w:i w:val="0"/>
                <w:color w:val="212121"/>
                <w:sz w:val="16"/>
              </w:rPr>
              <w:t>Central obesity, metabolic syndrome</w:t>
            </w:r>
          </w:p>
        </w:tc>
        <w:tc>
          <w:tcPr>
            <w:tcW w:type="dxa" w:w="720"/>
            <w:vAlign w:val="top"/>
          </w:tcPr>
          <w:p>
            <w:pPr>
              <w:spacing w:after="40" w:before="0" w:line="259" w:lineRule="auto"/>
            </w:pPr>
            <w:r>
              <w:rPr>
                <w:rFonts w:ascii="Calibri" w:hAnsi="Calibri"/>
                <w:b w:val="0"/>
                <w:i w:val="0"/>
                <w:color w:val="212121"/>
                <w:sz w:val="16"/>
              </w:rPr>
              <w:t>Food; Physical activity</w:t>
            </w:r>
          </w:p>
        </w:tc>
        <w:tc>
          <w:tcPr>
            <w:tcW w:type="dxa" w:w="720"/>
            <w:vAlign w:val="top"/>
          </w:tcPr>
          <w:p>
            <w:pPr>
              <w:spacing w:after="40" w:before="0" w:line="259" w:lineRule="auto"/>
            </w:pPr>
            <w:r>
              <w:rPr>
                <w:rFonts w:ascii="Calibri" w:hAnsi="Calibri"/>
                <w:b w:val="0"/>
                <w:i w:val="0"/>
                <w:color w:val="212121"/>
                <w:sz w:val="16"/>
              </w:rPr>
              <w:t>Screening</w:t>
            </w:r>
          </w:p>
        </w:tc>
        <w:tc>
          <w:tcPr>
            <w:tcW w:type="dxa" w:w="720"/>
            <w:vAlign w:val="top"/>
          </w:tcPr>
          <w:p>
            <w:pPr>
              <w:spacing w:after="40" w:before="0" w:line="259" w:lineRule="auto"/>
            </w:pPr>
            <w:r>
              <w:rPr>
                <w:rFonts w:ascii="Calibri" w:hAnsi="Calibri"/>
                <w:b w:val="0"/>
                <w:i w:val="0"/>
                <w:color w:val="212121"/>
                <w:sz w:val="16"/>
              </w:rPr>
              <w:t>Assess total cardiometabolic risk, not glucose alone</w:t>
            </w:r>
          </w:p>
        </w:tc>
      </w:tr>
      <w:tr>
        <w:trPr>
          <w:cantSplit/>
        </w:trPr>
        <w:tc>
          <w:tcPr>
            <w:tcW w:type="dxa" w:w="892"/>
            <w:vAlign w:val="top"/>
          </w:tcPr>
          <w:p>
            <w:pPr>
              <w:spacing w:after="40" w:before="0" w:line="259" w:lineRule="auto"/>
            </w:pPr>
            <w:r>
              <w:rPr>
                <w:rFonts w:ascii="Calibri" w:hAnsi="Calibri"/>
                <w:b w:val="0"/>
                <w:i w:val="0"/>
                <w:color w:val="212121"/>
                <w:sz w:val="16"/>
              </w:rPr>
              <w:t>Investigation</w:t>
            </w:r>
          </w:p>
        </w:tc>
        <w:tc>
          <w:tcPr>
            <w:tcW w:type="dxa" w:w="835"/>
            <w:vAlign w:val="top"/>
          </w:tcPr>
          <w:p>
            <w:pPr>
              <w:spacing w:after="40" w:before="0" w:line="259" w:lineRule="auto"/>
            </w:pPr>
            <w:r>
              <w:rPr>
                <w:rFonts w:ascii="Calibri" w:hAnsi="Calibri"/>
                <w:b w:val="0"/>
                <w:i w:val="0"/>
                <w:color w:val="212121"/>
                <w:sz w:val="16"/>
              </w:rPr>
              <w:t>Clinical</w:t>
            </w:r>
          </w:p>
        </w:tc>
        <w:tc>
          <w:tcPr>
            <w:tcW w:type="dxa" w:w="1036"/>
            <w:vAlign w:val="top"/>
          </w:tcPr>
          <w:p>
            <w:pPr>
              <w:spacing w:after="40" w:before="0" w:line="259" w:lineRule="auto"/>
            </w:pPr>
            <w:r>
              <w:rPr>
                <w:rFonts w:ascii="Calibri" w:hAnsi="Calibri"/>
                <w:b w:val="0"/>
                <w:i w:val="0"/>
                <w:color w:val="212121"/>
                <w:sz w:val="16"/>
              </w:rPr>
              <w:t>Blood Pressure</w:t>
            </w:r>
          </w:p>
        </w:tc>
        <w:tc>
          <w:tcPr>
            <w:tcW w:type="dxa" w:w="892"/>
            <w:vAlign w:val="top"/>
          </w:tcPr>
          <w:p>
            <w:pPr>
              <w:spacing w:after="40" w:before="0" w:line="259" w:lineRule="auto"/>
            </w:pPr>
            <w:r>
              <w:rPr>
                <w:rFonts w:ascii="Calibri" w:hAnsi="Calibri"/>
                <w:b w:val="0"/>
                <w:i w:val="0"/>
                <w:color w:val="212121"/>
                <w:sz w:val="16"/>
              </w:rPr>
              <w:t>Cardiovascular assessment</w:t>
            </w:r>
          </w:p>
        </w:tc>
        <w:tc>
          <w:tcPr>
            <w:tcW w:type="dxa" w:w="950"/>
            <w:vAlign w:val="top"/>
          </w:tcPr>
          <w:p>
            <w:pPr>
              <w:spacing w:after="40" w:before="0" w:line="259" w:lineRule="auto"/>
            </w:pPr>
            <w:r>
              <w:rPr>
                <w:rFonts w:ascii="Calibri" w:hAnsi="Calibri"/>
                <w:b w:val="0"/>
                <w:i w:val="0"/>
                <w:color w:val="212121"/>
                <w:sz w:val="16"/>
              </w:rPr>
              <w:t>&lt; 130/80 mmHg</w:t>
            </w:r>
          </w:p>
        </w:tc>
        <w:tc>
          <w:tcPr>
            <w:tcW w:type="dxa" w:w="950"/>
            <w:vAlign w:val="top"/>
          </w:tcPr>
          <w:p>
            <w:pPr>
              <w:spacing w:after="40" w:before="0" w:line="259" w:lineRule="auto"/>
            </w:pPr>
            <w:r>
              <w:rPr>
                <w:rFonts w:ascii="Calibri" w:hAnsi="Calibri"/>
                <w:b w:val="0"/>
                <w:i w:val="0"/>
                <w:color w:val="212121"/>
                <w:sz w:val="16"/>
              </w:rPr>
              <w:t>&gt;= 140/90 mmHg</w:t>
            </w:r>
          </w:p>
        </w:tc>
        <w:tc>
          <w:tcPr>
            <w:tcW w:type="dxa" w:w="1036"/>
            <w:vAlign w:val="top"/>
          </w:tcPr>
          <w:p>
            <w:pPr>
              <w:spacing w:after="40" w:before="0" w:line="259" w:lineRule="auto"/>
            </w:pPr>
            <w:r>
              <w:rPr>
                <w:rFonts w:ascii="Calibri" w:hAnsi="Calibri"/>
                <w:b w:val="0"/>
                <w:i w:val="0"/>
                <w:color w:val="212121"/>
                <w:sz w:val="16"/>
              </w:rPr>
              <w:t>Hypertension frequently coexists and multiplies cardiovascular risk</w:t>
            </w:r>
          </w:p>
        </w:tc>
        <w:tc>
          <w:tcPr>
            <w:tcW w:type="dxa" w:w="1036"/>
            <w:vAlign w:val="top"/>
          </w:tcPr>
          <w:p>
            <w:pPr>
              <w:spacing w:after="40" w:before="0" w:line="259" w:lineRule="auto"/>
            </w:pPr>
            <w:r>
              <w:rPr>
                <w:rFonts w:ascii="Calibri" w:hAnsi="Calibri"/>
                <w:b w:val="0"/>
                <w:i w:val="0"/>
                <w:color w:val="212121"/>
                <w:sz w:val="16"/>
              </w:rPr>
              <w:t>Obese, metabolic syndrome, elderly</w:t>
            </w:r>
          </w:p>
        </w:tc>
        <w:tc>
          <w:tcPr>
            <w:tcW w:type="dxa" w:w="720"/>
            <w:vAlign w:val="top"/>
          </w:tcPr>
          <w:p>
            <w:pPr>
              <w:spacing w:after="40" w:before="0" w:line="259" w:lineRule="auto"/>
            </w:pPr>
            <w:r>
              <w:rPr>
                <w:rFonts w:ascii="Calibri" w:hAnsi="Calibri"/>
                <w:b w:val="0"/>
                <w:i w:val="0"/>
                <w:color w:val="212121"/>
                <w:sz w:val="16"/>
              </w:rPr>
              <w:t>Food; Physical activity</w:t>
            </w:r>
          </w:p>
        </w:tc>
        <w:tc>
          <w:tcPr>
            <w:tcW w:type="dxa" w:w="720"/>
            <w:vAlign w:val="top"/>
          </w:tcPr>
          <w:p>
            <w:pPr>
              <w:spacing w:after="40" w:before="0" w:line="259" w:lineRule="auto"/>
            </w:pPr>
            <w:r>
              <w:rPr>
                <w:rFonts w:ascii="Calibri" w:hAnsi="Calibri"/>
                <w:b w:val="0"/>
                <w:i w:val="0"/>
                <w:color w:val="212121"/>
                <w:sz w:val="16"/>
              </w:rPr>
              <w:t>Screening</w:t>
            </w:r>
          </w:p>
        </w:tc>
        <w:tc>
          <w:tcPr>
            <w:tcW w:type="dxa" w:w="720"/>
            <w:vAlign w:val="top"/>
          </w:tcPr>
          <w:p>
            <w:pPr>
              <w:spacing w:after="40" w:before="0" w:line="259" w:lineRule="auto"/>
            </w:pPr>
            <w:r>
              <w:rPr>
                <w:rFonts w:ascii="Calibri" w:hAnsi="Calibri"/>
                <w:b w:val="0"/>
                <w:i w:val="0"/>
                <w:color w:val="212121"/>
                <w:sz w:val="16"/>
              </w:rPr>
              <w:t>Prediabetes independently raises CVD and stroke risk</w:t>
            </w:r>
          </w:p>
        </w:tc>
      </w:tr>
      <w:tr>
        <w:trPr>
          <w:cantSplit/>
        </w:trPr>
        <w:tc>
          <w:tcPr>
            <w:tcW w:type="dxa" w:w="892"/>
            <w:vAlign w:val="top"/>
          </w:tcPr>
          <w:p>
            <w:pPr>
              <w:spacing w:after="40" w:before="0" w:line="259" w:lineRule="auto"/>
            </w:pPr>
            <w:r>
              <w:rPr>
                <w:rFonts w:ascii="Calibri" w:hAnsi="Calibri"/>
                <w:b w:val="0"/>
                <w:i w:val="0"/>
                <w:color w:val="212121"/>
                <w:sz w:val="16"/>
              </w:rPr>
              <w:t>Investigation</w:t>
            </w:r>
          </w:p>
        </w:tc>
        <w:tc>
          <w:tcPr>
            <w:tcW w:type="dxa" w:w="835"/>
            <w:vAlign w:val="top"/>
          </w:tcPr>
          <w:p>
            <w:pPr>
              <w:spacing w:after="40" w:before="0" w:line="259" w:lineRule="auto"/>
            </w:pPr>
            <w:r>
              <w:rPr>
                <w:rFonts w:ascii="Calibri" w:hAnsi="Calibri"/>
                <w:b w:val="0"/>
                <w:i w:val="0"/>
                <w:color w:val="212121"/>
                <w:sz w:val="16"/>
              </w:rPr>
              <w:t>Biochemical</w:t>
            </w:r>
          </w:p>
        </w:tc>
        <w:tc>
          <w:tcPr>
            <w:tcW w:type="dxa" w:w="1036"/>
            <w:vAlign w:val="top"/>
          </w:tcPr>
          <w:p>
            <w:pPr>
              <w:spacing w:after="40" w:before="0" w:line="259" w:lineRule="auto"/>
            </w:pPr>
            <w:r>
              <w:rPr>
                <w:rFonts w:ascii="Calibri" w:hAnsi="Calibri"/>
                <w:b w:val="0"/>
                <w:i w:val="0"/>
                <w:color w:val="212121"/>
                <w:sz w:val="16"/>
              </w:rPr>
              <w:t>Urine Albumin-Creatinine Ratio</w:t>
            </w:r>
          </w:p>
        </w:tc>
        <w:tc>
          <w:tcPr>
            <w:tcW w:type="dxa" w:w="892"/>
            <w:vAlign w:val="top"/>
          </w:tcPr>
          <w:p>
            <w:pPr>
              <w:spacing w:after="40" w:before="0" w:line="259" w:lineRule="auto"/>
            </w:pPr>
            <w:r>
              <w:rPr>
                <w:rFonts w:ascii="Calibri" w:hAnsi="Calibri"/>
                <w:b w:val="0"/>
                <w:i w:val="0"/>
                <w:color w:val="212121"/>
                <w:sz w:val="16"/>
              </w:rPr>
              <w:t>Early renal/vascular screen</w:t>
            </w:r>
          </w:p>
        </w:tc>
        <w:tc>
          <w:tcPr>
            <w:tcW w:type="dxa" w:w="950"/>
            <w:vAlign w:val="top"/>
          </w:tcPr>
          <w:p>
            <w:pPr>
              <w:spacing w:after="40" w:before="0" w:line="259" w:lineRule="auto"/>
            </w:pPr>
            <w:r>
              <w:rPr>
                <w:rFonts w:ascii="Calibri" w:hAnsi="Calibri"/>
                <w:b w:val="0"/>
                <w:i w:val="0"/>
                <w:color w:val="212121"/>
                <w:sz w:val="16"/>
              </w:rPr>
              <w:t>&lt; 30 mg/g</w:t>
            </w:r>
          </w:p>
        </w:tc>
        <w:tc>
          <w:tcPr>
            <w:tcW w:type="dxa" w:w="950"/>
            <w:vAlign w:val="top"/>
          </w:tcPr>
          <w:p>
            <w:pPr>
              <w:spacing w:after="40" w:before="0" w:line="259" w:lineRule="auto"/>
            </w:pPr>
            <w:r>
              <w:rPr>
                <w:rFonts w:ascii="Calibri" w:hAnsi="Calibri"/>
                <w:b w:val="0"/>
                <w:i w:val="0"/>
                <w:color w:val="212121"/>
                <w:sz w:val="16"/>
              </w:rPr>
              <w:t>&gt;= 30 mg/g (microalbuminuria)</w:t>
            </w:r>
          </w:p>
        </w:tc>
        <w:tc>
          <w:tcPr>
            <w:tcW w:type="dxa" w:w="1036"/>
            <w:vAlign w:val="top"/>
          </w:tcPr>
          <w:p>
            <w:pPr>
              <w:spacing w:after="40" w:before="0" w:line="259" w:lineRule="auto"/>
            </w:pPr>
            <w:r>
              <w:rPr>
                <w:rFonts w:ascii="Calibri" w:hAnsi="Calibri"/>
                <w:b w:val="0"/>
                <w:i w:val="0"/>
                <w:color w:val="212121"/>
                <w:sz w:val="16"/>
              </w:rPr>
              <w:t>Early microalbuminuria can appear in the insulin-resistant/prediabetic state</w:t>
            </w:r>
          </w:p>
        </w:tc>
        <w:tc>
          <w:tcPr>
            <w:tcW w:type="dxa" w:w="1036"/>
            <w:vAlign w:val="top"/>
          </w:tcPr>
          <w:p>
            <w:pPr>
              <w:spacing w:after="40" w:before="0" w:line="259" w:lineRule="auto"/>
            </w:pPr>
            <w:r>
              <w:rPr>
                <w:rFonts w:ascii="Calibri" w:hAnsi="Calibri"/>
                <w:b w:val="0"/>
                <w:i w:val="0"/>
                <w:color w:val="212121"/>
                <w:sz w:val="16"/>
              </w:rPr>
              <w:t>Hypertensive, long-standing dysglycaemia</w:t>
            </w:r>
          </w:p>
        </w:tc>
        <w:tc>
          <w:tcPr>
            <w:tcW w:type="dxa" w:w="720"/>
            <w:vAlign w:val="top"/>
          </w:tcPr>
          <w:p>
            <w:pPr>
              <w:spacing w:after="40" w:before="0" w:line="259" w:lineRule="auto"/>
            </w:pPr>
            <w:r>
              <w:rPr>
                <w:rFonts w:ascii="Calibri" w:hAnsi="Calibri"/>
                <w:b w:val="0"/>
                <w:i w:val="0"/>
                <w:color w:val="212121"/>
                <w:sz w:val="16"/>
              </w:rPr>
              <w:t>Food</w:t>
            </w:r>
          </w:p>
        </w:tc>
        <w:tc>
          <w:tcPr>
            <w:tcW w:type="dxa" w:w="720"/>
            <w:vAlign w:val="top"/>
          </w:tcPr>
          <w:p>
            <w:pPr>
              <w:spacing w:after="40" w:before="0" w:line="259" w:lineRule="auto"/>
            </w:pPr>
            <w:r>
              <w:rPr>
                <w:rFonts w:ascii="Calibri" w:hAnsi="Calibri"/>
                <w:b w:val="0"/>
                <w:i w:val="0"/>
                <w:color w:val="212121"/>
                <w:sz w:val="16"/>
              </w:rPr>
              <w:t>Prognostic</w:t>
            </w:r>
          </w:p>
        </w:tc>
        <w:tc>
          <w:tcPr>
            <w:tcW w:type="dxa" w:w="720"/>
            <w:vAlign w:val="top"/>
          </w:tcPr>
          <w:p>
            <w:pPr>
              <w:spacing w:after="40" w:before="0" w:line="259" w:lineRule="auto"/>
            </w:pPr>
            <w:r>
              <w:rPr>
                <w:rFonts w:ascii="Calibri" w:hAnsi="Calibri"/>
                <w:b w:val="0"/>
                <w:i w:val="0"/>
                <w:color w:val="212121"/>
                <w:sz w:val="16"/>
              </w:rPr>
              <w:t>Signals early vascular involvement before overt diabetes</w:t>
            </w:r>
          </w:p>
        </w:tc>
      </w:tr>
      <w:tr>
        <w:trPr>
          <w:cantSplit/>
        </w:trPr>
        <w:tc>
          <w:tcPr>
            <w:tcW w:type="dxa" w:w="892"/>
            <w:vAlign w:val="top"/>
          </w:tcPr>
          <w:p>
            <w:pPr>
              <w:spacing w:after="40" w:before="0" w:line="259" w:lineRule="auto"/>
            </w:pPr>
            <w:r>
              <w:rPr>
                <w:rFonts w:ascii="Calibri" w:hAnsi="Calibri"/>
                <w:b w:val="0"/>
                <w:i w:val="0"/>
                <w:color w:val="212121"/>
                <w:sz w:val="16"/>
              </w:rPr>
              <w:t>Investigation</w:t>
            </w:r>
          </w:p>
        </w:tc>
        <w:tc>
          <w:tcPr>
            <w:tcW w:type="dxa" w:w="835"/>
            <w:vAlign w:val="top"/>
          </w:tcPr>
          <w:p>
            <w:pPr>
              <w:spacing w:after="40" w:before="0" w:line="259" w:lineRule="auto"/>
            </w:pPr>
            <w:r>
              <w:rPr>
                <w:rFonts w:ascii="Calibri" w:hAnsi="Calibri"/>
                <w:b w:val="0"/>
                <w:i w:val="0"/>
                <w:color w:val="212121"/>
                <w:sz w:val="16"/>
              </w:rPr>
              <w:t>Imaging/Biochemical</w:t>
            </w:r>
          </w:p>
        </w:tc>
        <w:tc>
          <w:tcPr>
            <w:tcW w:type="dxa" w:w="1036"/>
            <w:vAlign w:val="top"/>
          </w:tcPr>
          <w:p>
            <w:pPr>
              <w:spacing w:after="40" w:before="0" w:line="259" w:lineRule="auto"/>
            </w:pPr>
            <w:r>
              <w:rPr>
                <w:rFonts w:ascii="Calibri" w:hAnsi="Calibri"/>
                <w:b w:val="0"/>
                <w:i w:val="0"/>
                <w:color w:val="212121"/>
                <w:sz w:val="16"/>
              </w:rPr>
              <w:t>Liver Ultrasound / ALT</w:t>
            </w:r>
          </w:p>
        </w:tc>
        <w:tc>
          <w:tcPr>
            <w:tcW w:type="dxa" w:w="892"/>
            <w:vAlign w:val="top"/>
          </w:tcPr>
          <w:p>
            <w:pPr>
              <w:spacing w:after="40" w:before="0" w:line="259" w:lineRule="auto"/>
            </w:pPr>
            <w:r>
              <w:rPr>
                <w:rFonts w:ascii="Calibri" w:hAnsi="Calibri"/>
                <w:b w:val="0"/>
                <w:i w:val="0"/>
                <w:color w:val="212121"/>
                <w:sz w:val="16"/>
              </w:rPr>
              <w:t>Hepatic assessment</w:t>
            </w:r>
          </w:p>
        </w:tc>
        <w:tc>
          <w:tcPr>
            <w:tcW w:type="dxa" w:w="950"/>
            <w:vAlign w:val="top"/>
          </w:tcPr>
          <w:p>
            <w:pPr>
              <w:spacing w:after="40" w:before="0" w:line="259" w:lineRule="auto"/>
            </w:pPr>
            <w:r>
              <w:rPr>
                <w:rFonts w:ascii="Calibri" w:hAnsi="Calibri"/>
                <w:b w:val="0"/>
                <w:i w:val="0"/>
                <w:color w:val="212121"/>
                <w:sz w:val="16"/>
              </w:rPr>
              <w:t>Normal echotexture; normal ALT</w:t>
            </w:r>
          </w:p>
        </w:tc>
        <w:tc>
          <w:tcPr>
            <w:tcW w:type="dxa" w:w="950"/>
            <w:vAlign w:val="top"/>
          </w:tcPr>
          <w:p>
            <w:pPr>
              <w:spacing w:after="40" w:before="0" w:line="259" w:lineRule="auto"/>
            </w:pPr>
            <w:r>
              <w:rPr>
                <w:rFonts w:ascii="Calibri" w:hAnsi="Calibri"/>
                <w:b w:val="0"/>
                <w:i w:val="0"/>
                <w:color w:val="212121"/>
                <w:sz w:val="16"/>
              </w:rPr>
              <w:t>Fatty liver; raised ALT</w:t>
            </w:r>
          </w:p>
        </w:tc>
        <w:tc>
          <w:tcPr>
            <w:tcW w:type="dxa" w:w="1036"/>
            <w:vAlign w:val="top"/>
          </w:tcPr>
          <w:p>
            <w:pPr>
              <w:spacing w:after="40" w:before="0" w:line="259" w:lineRule="auto"/>
            </w:pPr>
            <w:r>
              <w:rPr>
                <w:rFonts w:ascii="Calibri" w:hAnsi="Calibri"/>
                <w:b w:val="0"/>
                <w:i w:val="0"/>
                <w:color w:val="212121"/>
                <w:sz w:val="16"/>
              </w:rPr>
              <w:t>NAFLD reflects hepatic insulin resistance and predicts progression</w:t>
            </w:r>
          </w:p>
        </w:tc>
        <w:tc>
          <w:tcPr>
            <w:tcW w:type="dxa" w:w="1036"/>
            <w:vAlign w:val="top"/>
          </w:tcPr>
          <w:p>
            <w:pPr>
              <w:spacing w:after="40" w:before="0" w:line="259" w:lineRule="auto"/>
            </w:pPr>
            <w:r>
              <w:rPr>
                <w:rFonts w:ascii="Calibri" w:hAnsi="Calibri"/>
                <w:b w:val="0"/>
                <w:i w:val="0"/>
                <w:color w:val="212121"/>
                <w:sz w:val="16"/>
              </w:rPr>
              <w:t>Central obesity, high triglycerides</w:t>
            </w:r>
          </w:p>
        </w:tc>
        <w:tc>
          <w:tcPr>
            <w:tcW w:type="dxa" w:w="720"/>
            <w:vAlign w:val="top"/>
          </w:tcPr>
          <w:p>
            <w:pPr>
              <w:spacing w:after="40" w:before="0" w:line="259" w:lineRule="auto"/>
            </w:pPr>
            <w:r>
              <w:rPr>
                <w:rFonts w:ascii="Calibri" w:hAnsi="Calibri"/>
                <w:b w:val="0"/>
                <w:i w:val="0"/>
                <w:color w:val="212121"/>
                <w:sz w:val="16"/>
              </w:rPr>
              <w:t>Food; Alcohol</w:t>
            </w:r>
          </w:p>
        </w:tc>
        <w:tc>
          <w:tcPr>
            <w:tcW w:type="dxa" w:w="720"/>
            <w:vAlign w:val="top"/>
          </w:tcPr>
          <w:p>
            <w:pPr>
              <w:spacing w:after="40" w:before="0" w:line="259" w:lineRule="auto"/>
            </w:pPr>
            <w:r>
              <w:rPr>
                <w:rFonts w:ascii="Calibri" w:hAnsi="Calibri"/>
                <w:b w:val="0"/>
                <w:i w:val="0"/>
                <w:color w:val="212121"/>
                <w:sz w:val="16"/>
              </w:rPr>
              <w:t>Screening</w:t>
            </w:r>
          </w:p>
        </w:tc>
        <w:tc>
          <w:tcPr>
            <w:tcW w:type="dxa" w:w="720"/>
            <w:vAlign w:val="top"/>
          </w:tcPr>
          <w:p>
            <w:pPr>
              <w:spacing w:after="40" w:before="0" w:line="259" w:lineRule="auto"/>
            </w:pPr>
            <w:r>
              <w:rPr>
                <w:rFonts w:ascii="Calibri" w:hAnsi="Calibri"/>
                <w:b w:val="0"/>
                <w:i w:val="0"/>
                <w:color w:val="212121"/>
                <w:sz w:val="16"/>
              </w:rPr>
              <w:t>Very common accompaniment of prediabetes in Indians</w:t>
            </w:r>
          </w:p>
        </w:tc>
      </w:tr>
    </w:tbl>
    <w:p>
      <w:pPr>
        <w:spacing w:before="160" w:after="120"/>
      </w:pPr>
      <w:r>
        <w:rPr>
          <w:rFonts w:ascii="Calibri" w:hAnsi="Calibri"/>
          <w:b/>
          <w:i w:val="0"/>
          <w:color w:val="212121"/>
          <w:sz w:val="22"/>
        </w:rPr>
        <w:t>Qualitative THP</w:t>
      </w:r>
    </w:p>
    <w:tbl>
      <w:tblPr>
        <w:tblW w:type="dxa" w:w="9792"/>
        <w:jc w:val="center"/>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Grid>
        <w:gridCol w:w="873"/>
        <w:gridCol w:w="873"/>
        <w:gridCol w:w="873"/>
        <w:gridCol w:w="873"/>
        <w:gridCol w:w="873"/>
        <w:gridCol w:w="873"/>
        <w:gridCol w:w="873"/>
        <w:gridCol w:w="873"/>
        <w:gridCol w:w="873"/>
        <w:gridCol w:w="873"/>
        <w:gridCol w:w="873"/>
      </w:tblGrid>
      <w:tr>
        <w:trPr>
          <w:cantSplit/>
        </w:trPr>
        <w:tc>
          <w:tcPr>
            <w:tcW w:type="dxa" w:w="892"/>
            <w:shd w:val="clear" w:color="auto" w:fill="F2F2F2"/>
            <w:vAlign w:val="center"/>
          </w:tcPr>
          <w:p>
            <w:pPr>
              <w:spacing w:after="40" w:before="0" w:line="259" w:lineRule="auto"/>
            </w:pPr>
            <w:r>
              <w:rPr>
                <w:rFonts w:ascii="Calibri" w:hAnsi="Calibri"/>
                <w:b/>
                <w:i w:val="0"/>
                <w:color w:val="212121"/>
                <w:sz w:val="16"/>
              </w:rPr>
              <w:t>Diagnostic Workup</w:t>
            </w:r>
          </w:p>
        </w:tc>
        <w:tc>
          <w:tcPr>
            <w:tcW w:type="dxa" w:w="835"/>
            <w:shd w:val="clear" w:color="auto" w:fill="F2F2F2"/>
            <w:vAlign w:val="center"/>
          </w:tcPr>
          <w:p>
            <w:pPr>
              <w:spacing w:after="40" w:before="0" w:line="259" w:lineRule="auto"/>
            </w:pPr>
            <w:r>
              <w:rPr>
                <w:rFonts w:ascii="Calibri" w:hAnsi="Calibri"/>
                <w:b/>
                <w:i w:val="0"/>
                <w:color w:val="212121"/>
                <w:sz w:val="16"/>
              </w:rPr>
              <w:t>Tests</w:t>
            </w:r>
          </w:p>
        </w:tc>
        <w:tc>
          <w:tcPr>
            <w:tcW w:type="dxa" w:w="950"/>
            <w:shd w:val="clear" w:color="auto" w:fill="F2F2F2"/>
            <w:vAlign w:val="center"/>
          </w:tcPr>
          <w:p>
            <w:pPr>
              <w:spacing w:after="40" w:before="0" w:line="259" w:lineRule="auto"/>
            </w:pPr>
            <w:r>
              <w:rPr>
                <w:rFonts w:ascii="Calibri" w:hAnsi="Calibri"/>
                <w:b/>
                <w:i w:val="0"/>
                <w:color w:val="212121"/>
                <w:sz w:val="16"/>
              </w:rPr>
              <w:t>THP</w:t>
            </w:r>
          </w:p>
        </w:tc>
        <w:tc>
          <w:tcPr>
            <w:tcW w:type="dxa" w:w="979"/>
            <w:shd w:val="clear" w:color="auto" w:fill="F2F2F2"/>
            <w:vAlign w:val="center"/>
          </w:tcPr>
          <w:p>
            <w:pPr>
              <w:spacing w:after="40" w:before="0" w:line="259" w:lineRule="auto"/>
            </w:pPr>
            <w:r>
              <w:rPr>
                <w:rFonts w:ascii="Calibri" w:hAnsi="Calibri"/>
                <w:b/>
                <w:i w:val="0"/>
                <w:color w:val="212121"/>
                <w:sz w:val="16"/>
              </w:rPr>
              <w:t>Parameter</w:t>
            </w:r>
          </w:p>
        </w:tc>
        <w:tc>
          <w:tcPr>
            <w:tcW w:type="dxa" w:w="950"/>
            <w:shd w:val="clear" w:color="auto" w:fill="F2F2F2"/>
            <w:vAlign w:val="center"/>
          </w:tcPr>
          <w:p>
            <w:pPr>
              <w:spacing w:after="40" w:before="0" w:line="259" w:lineRule="auto"/>
            </w:pPr>
            <w:r>
              <w:rPr>
                <w:rFonts w:ascii="Calibri" w:hAnsi="Calibri"/>
                <w:b/>
                <w:i w:val="0"/>
                <w:color w:val="212121"/>
                <w:sz w:val="16"/>
              </w:rPr>
              <w:t>Normal findings</w:t>
            </w:r>
          </w:p>
        </w:tc>
        <w:tc>
          <w:tcPr>
            <w:tcW w:type="dxa" w:w="950"/>
            <w:shd w:val="clear" w:color="auto" w:fill="F2F2F2"/>
            <w:vAlign w:val="center"/>
          </w:tcPr>
          <w:p>
            <w:pPr>
              <w:spacing w:after="40" w:before="0" w:line="259" w:lineRule="auto"/>
            </w:pPr>
            <w:r>
              <w:rPr>
                <w:rFonts w:ascii="Calibri" w:hAnsi="Calibri"/>
                <w:b/>
                <w:i w:val="0"/>
                <w:color w:val="212121"/>
                <w:sz w:val="16"/>
              </w:rPr>
              <w:t>Abnormal findings</w:t>
            </w:r>
          </w:p>
        </w:tc>
        <w:tc>
          <w:tcPr>
            <w:tcW w:type="dxa" w:w="1036"/>
            <w:shd w:val="clear" w:color="auto" w:fill="F2F2F2"/>
            <w:vAlign w:val="center"/>
          </w:tcPr>
          <w:p>
            <w:pPr>
              <w:spacing w:after="40" w:before="0" w:line="259" w:lineRule="auto"/>
            </w:pPr>
            <w:r>
              <w:rPr>
                <w:rFonts w:ascii="Calibri" w:hAnsi="Calibri"/>
                <w:b/>
                <w:i w:val="0"/>
                <w:color w:val="212121"/>
                <w:sz w:val="16"/>
              </w:rPr>
              <w:t>Interpretation</w:t>
            </w:r>
          </w:p>
        </w:tc>
        <w:tc>
          <w:tcPr>
            <w:tcW w:type="dxa" w:w="1036"/>
            <w:shd w:val="clear" w:color="auto" w:fill="F2F2F2"/>
            <w:vAlign w:val="center"/>
          </w:tcPr>
          <w:p>
            <w:pPr>
              <w:spacing w:after="40" w:before="0" w:line="259" w:lineRule="auto"/>
            </w:pPr>
            <w:r>
              <w:rPr>
                <w:rFonts w:ascii="Calibri" w:hAnsi="Calibri"/>
                <w:b/>
                <w:i w:val="0"/>
                <w:color w:val="212121"/>
                <w:sz w:val="16"/>
              </w:rPr>
              <w:t>Profiles</w:t>
            </w:r>
          </w:p>
        </w:tc>
        <w:tc>
          <w:tcPr>
            <w:tcW w:type="dxa" w:w="720"/>
            <w:shd w:val="clear" w:color="auto" w:fill="F2F2F2"/>
            <w:vAlign w:val="center"/>
          </w:tcPr>
          <w:p>
            <w:pPr>
              <w:spacing w:after="40" w:before="0" w:line="259" w:lineRule="auto"/>
            </w:pPr>
            <w:r>
              <w:rPr>
                <w:rFonts w:ascii="Calibri" w:hAnsi="Calibri"/>
                <w:b/>
                <w:i w:val="0"/>
                <w:color w:val="212121"/>
                <w:sz w:val="16"/>
              </w:rPr>
              <w:t>LHP</w:t>
            </w:r>
          </w:p>
        </w:tc>
        <w:tc>
          <w:tcPr>
            <w:tcW w:type="dxa" w:w="720"/>
            <w:shd w:val="clear" w:color="auto" w:fill="F2F2F2"/>
            <w:vAlign w:val="center"/>
          </w:tcPr>
          <w:p>
            <w:pPr>
              <w:spacing w:after="40" w:before="0" w:line="259" w:lineRule="auto"/>
            </w:pPr>
            <w:r>
              <w:rPr>
                <w:rFonts w:ascii="Calibri" w:hAnsi="Calibri"/>
                <w:b/>
                <w:i w:val="0"/>
                <w:color w:val="212121"/>
                <w:sz w:val="16"/>
              </w:rPr>
              <w:t>Importance</w:t>
            </w:r>
          </w:p>
        </w:tc>
        <w:tc>
          <w:tcPr>
            <w:tcW w:type="dxa" w:w="720"/>
            <w:shd w:val="clear" w:color="auto" w:fill="F2F2F2"/>
            <w:vAlign w:val="center"/>
          </w:tcPr>
          <w:p>
            <w:pPr>
              <w:spacing w:after="40" w:before="0" w:line="259" w:lineRule="auto"/>
            </w:pPr>
            <w:r>
              <w:rPr>
                <w:rFonts w:ascii="Calibri" w:hAnsi="Calibri"/>
                <w:b/>
                <w:i w:val="0"/>
                <w:color w:val="212121"/>
                <w:sz w:val="16"/>
              </w:rPr>
              <w:t>Note</w:t>
            </w:r>
          </w:p>
        </w:tc>
      </w:tr>
      <w:tr>
        <w:trPr>
          <w:cantSplit/>
        </w:trPr>
        <w:tc>
          <w:tcPr>
            <w:tcW w:type="dxa" w:w="892"/>
            <w:vAlign w:val="top"/>
          </w:tcPr>
          <w:p>
            <w:pPr>
              <w:spacing w:after="40" w:before="0" w:line="259" w:lineRule="auto"/>
            </w:pPr>
            <w:r>
              <w:rPr>
                <w:rFonts w:ascii="Calibri" w:hAnsi="Calibri"/>
                <w:b w:val="0"/>
                <w:i w:val="0"/>
                <w:color w:val="212121"/>
                <w:sz w:val="16"/>
              </w:rPr>
              <w:t>Clinical Examination</w:t>
            </w:r>
          </w:p>
        </w:tc>
        <w:tc>
          <w:tcPr>
            <w:tcW w:type="dxa" w:w="835"/>
            <w:vAlign w:val="top"/>
          </w:tcPr>
          <w:p>
            <w:pPr>
              <w:spacing w:after="40" w:before="0" w:line="259" w:lineRule="auto"/>
            </w:pPr>
            <w:r>
              <w:rPr>
                <w:rFonts w:ascii="Calibri" w:hAnsi="Calibri"/>
                <w:b w:val="0"/>
                <w:i w:val="0"/>
                <w:color w:val="212121"/>
                <w:sz w:val="16"/>
              </w:rPr>
              <w:t>History</w:t>
            </w:r>
          </w:p>
        </w:tc>
        <w:tc>
          <w:tcPr>
            <w:tcW w:type="dxa" w:w="950"/>
            <w:vAlign w:val="top"/>
          </w:tcPr>
          <w:p>
            <w:pPr>
              <w:spacing w:after="40" w:before="0" w:line="259" w:lineRule="auto"/>
            </w:pPr>
            <w:r>
              <w:rPr>
                <w:rFonts w:ascii="Calibri" w:hAnsi="Calibri"/>
                <w:b w:val="0"/>
                <w:i w:val="0"/>
                <w:color w:val="212121"/>
                <w:sz w:val="16"/>
              </w:rPr>
              <w:t>Family history</w:t>
            </w:r>
          </w:p>
        </w:tc>
        <w:tc>
          <w:tcPr>
            <w:tcW w:type="dxa" w:w="979"/>
            <w:vAlign w:val="top"/>
          </w:tcPr>
          <w:p>
            <w:pPr>
              <w:spacing w:after="40" w:before="0" w:line="259" w:lineRule="auto"/>
            </w:pPr>
            <w:r>
              <w:rPr>
                <w:rFonts w:ascii="Calibri" w:hAnsi="Calibri"/>
                <w:b w:val="0"/>
                <w:i w:val="0"/>
                <w:color w:val="212121"/>
                <w:sz w:val="16"/>
              </w:rPr>
              <w:t>First-degree relatives with type 2 diabetes</w:t>
            </w:r>
          </w:p>
        </w:tc>
        <w:tc>
          <w:tcPr>
            <w:tcW w:type="dxa" w:w="950"/>
            <w:vAlign w:val="top"/>
          </w:tcPr>
          <w:p>
            <w:pPr>
              <w:spacing w:after="40" w:before="0" w:line="259" w:lineRule="auto"/>
            </w:pPr>
            <w:r>
              <w:rPr>
                <w:rFonts w:ascii="Calibri" w:hAnsi="Calibri"/>
                <w:b w:val="0"/>
                <w:i w:val="0"/>
                <w:color w:val="212121"/>
                <w:sz w:val="16"/>
              </w:rPr>
              <w:t>No family history</w:t>
            </w:r>
          </w:p>
        </w:tc>
        <w:tc>
          <w:tcPr>
            <w:tcW w:type="dxa" w:w="950"/>
            <w:vAlign w:val="top"/>
          </w:tcPr>
          <w:p>
            <w:pPr>
              <w:spacing w:after="40" w:before="0" w:line="259" w:lineRule="auto"/>
            </w:pPr>
            <w:r>
              <w:rPr>
                <w:rFonts w:ascii="Calibri" w:hAnsi="Calibri"/>
                <w:b w:val="0"/>
                <w:i w:val="0"/>
                <w:color w:val="212121"/>
                <w:sz w:val="16"/>
              </w:rPr>
              <w:t>&gt;= 1 first-degree relative affected</w:t>
            </w:r>
          </w:p>
        </w:tc>
        <w:tc>
          <w:tcPr>
            <w:tcW w:type="dxa" w:w="1036"/>
            <w:vAlign w:val="top"/>
          </w:tcPr>
          <w:p>
            <w:pPr>
              <w:spacing w:after="40" w:before="0" w:line="259" w:lineRule="auto"/>
            </w:pPr>
            <w:r>
              <w:rPr>
                <w:rFonts w:ascii="Calibri" w:hAnsi="Calibri"/>
                <w:b w:val="0"/>
                <w:i w:val="0"/>
                <w:color w:val="212121"/>
                <w:sz w:val="16"/>
              </w:rPr>
              <w:t>Strong South Asian genetic predisposition to insulin resistance</w:t>
            </w:r>
          </w:p>
        </w:tc>
        <w:tc>
          <w:tcPr>
            <w:tcW w:type="dxa" w:w="1036"/>
            <w:vAlign w:val="top"/>
          </w:tcPr>
          <w:p>
            <w:pPr>
              <w:spacing w:after="40" w:before="0" w:line="259" w:lineRule="auto"/>
            </w:pPr>
            <w:r>
              <w:rPr>
                <w:rFonts w:ascii="Calibri" w:hAnsi="Calibri"/>
                <w:b w:val="0"/>
                <w:i w:val="0"/>
                <w:color w:val="212121"/>
                <w:sz w:val="16"/>
              </w:rPr>
              <w:t>Children/siblings of diabetics</w:t>
            </w:r>
          </w:p>
        </w:tc>
        <w:tc>
          <w:tcPr>
            <w:tcW w:type="dxa" w:w="720"/>
            <w:vAlign w:val="top"/>
          </w:tcPr>
          <w:p>
            <w:pPr>
              <w:spacing w:after="40" w:before="0" w:line="259" w:lineRule="auto"/>
            </w:pPr>
            <w:r>
              <w:rPr>
                <w:rFonts w:ascii="Calibri" w:hAnsi="Calibri"/>
                <w:b w:val="0"/>
                <w:i w:val="0"/>
                <w:color w:val="212121"/>
                <w:sz w:val="16"/>
              </w:rPr>
              <w:t>Provoking factors</w:t>
            </w:r>
          </w:p>
        </w:tc>
        <w:tc>
          <w:tcPr>
            <w:tcW w:type="dxa" w:w="720"/>
            <w:vAlign w:val="top"/>
          </w:tcPr>
          <w:p>
            <w:pPr>
              <w:spacing w:after="40" w:before="0" w:line="259" w:lineRule="auto"/>
            </w:pPr>
            <w:r>
              <w:rPr>
                <w:rFonts w:ascii="Calibri" w:hAnsi="Calibri"/>
                <w:b w:val="0"/>
                <w:i w:val="0"/>
                <w:color w:val="212121"/>
                <w:sz w:val="16"/>
              </w:rPr>
              <w:t>Prognostic</w:t>
            </w:r>
          </w:p>
        </w:tc>
        <w:tc>
          <w:tcPr>
            <w:tcW w:type="dxa" w:w="720"/>
            <w:vAlign w:val="top"/>
          </w:tcPr>
          <w:p>
            <w:pPr>
              <w:spacing w:after="40" w:before="0" w:line="259" w:lineRule="auto"/>
            </w:pPr>
            <w:r>
              <w:rPr>
                <w:rFonts w:ascii="Calibri" w:hAnsi="Calibri"/>
                <w:b w:val="0"/>
                <w:i w:val="0"/>
                <w:color w:val="212121"/>
                <w:sz w:val="16"/>
              </w:rPr>
              <w:t>Prompts earlier and repeat screening</w:t>
            </w:r>
          </w:p>
        </w:tc>
      </w:tr>
      <w:tr>
        <w:trPr>
          <w:cantSplit/>
        </w:trPr>
        <w:tc>
          <w:tcPr>
            <w:tcW w:type="dxa" w:w="892"/>
            <w:vAlign w:val="top"/>
          </w:tcPr>
          <w:p>
            <w:pPr>
              <w:spacing w:after="40" w:before="0" w:line="259" w:lineRule="auto"/>
            </w:pPr>
            <w:r>
              <w:rPr>
                <w:rFonts w:ascii="Calibri" w:hAnsi="Calibri"/>
                <w:b w:val="0"/>
                <w:i w:val="0"/>
                <w:color w:val="212121"/>
                <w:sz w:val="16"/>
              </w:rPr>
              <w:t>Clinical Examination</w:t>
            </w:r>
          </w:p>
        </w:tc>
        <w:tc>
          <w:tcPr>
            <w:tcW w:type="dxa" w:w="835"/>
            <w:vAlign w:val="top"/>
          </w:tcPr>
          <w:p>
            <w:pPr>
              <w:spacing w:after="40" w:before="0" w:line="259" w:lineRule="auto"/>
            </w:pPr>
            <w:r>
              <w:rPr>
                <w:rFonts w:ascii="Calibri" w:hAnsi="Calibri"/>
                <w:b w:val="0"/>
                <w:i w:val="0"/>
                <w:color w:val="212121"/>
                <w:sz w:val="16"/>
              </w:rPr>
              <w:t>History</w:t>
            </w:r>
          </w:p>
        </w:tc>
        <w:tc>
          <w:tcPr>
            <w:tcW w:type="dxa" w:w="950"/>
            <w:vAlign w:val="top"/>
          </w:tcPr>
          <w:p>
            <w:pPr>
              <w:spacing w:after="40" w:before="0" w:line="259" w:lineRule="auto"/>
            </w:pPr>
            <w:r>
              <w:rPr>
                <w:rFonts w:ascii="Calibri" w:hAnsi="Calibri"/>
                <w:b w:val="0"/>
                <w:i w:val="0"/>
                <w:color w:val="212121"/>
                <w:sz w:val="16"/>
              </w:rPr>
              <w:t>Obstetric history</w:t>
            </w:r>
          </w:p>
        </w:tc>
        <w:tc>
          <w:tcPr>
            <w:tcW w:type="dxa" w:w="979"/>
            <w:vAlign w:val="top"/>
          </w:tcPr>
          <w:p>
            <w:pPr>
              <w:spacing w:after="40" w:before="0" w:line="259" w:lineRule="auto"/>
            </w:pPr>
            <w:r>
              <w:rPr>
                <w:rFonts w:ascii="Calibri" w:hAnsi="Calibri"/>
                <w:b w:val="0"/>
                <w:i w:val="0"/>
                <w:color w:val="212121"/>
                <w:sz w:val="16"/>
              </w:rPr>
              <w:t>Prior gestational diabetes, macrosomic baby</w:t>
            </w:r>
          </w:p>
        </w:tc>
        <w:tc>
          <w:tcPr>
            <w:tcW w:type="dxa" w:w="950"/>
            <w:vAlign w:val="top"/>
          </w:tcPr>
          <w:p>
            <w:pPr>
              <w:spacing w:after="40" w:before="0" w:line="259" w:lineRule="auto"/>
            </w:pPr>
            <w:r>
              <w:rPr>
                <w:rFonts w:ascii="Calibri" w:hAnsi="Calibri"/>
                <w:b w:val="0"/>
                <w:i w:val="0"/>
                <w:color w:val="212121"/>
                <w:sz w:val="16"/>
              </w:rPr>
              <w:t>None</w:t>
            </w:r>
          </w:p>
        </w:tc>
        <w:tc>
          <w:tcPr>
            <w:tcW w:type="dxa" w:w="950"/>
            <w:vAlign w:val="top"/>
          </w:tcPr>
          <w:p>
            <w:pPr>
              <w:spacing w:after="40" w:before="0" w:line="259" w:lineRule="auto"/>
            </w:pPr>
            <w:r>
              <w:rPr>
                <w:rFonts w:ascii="Calibri" w:hAnsi="Calibri"/>
                <w:b w:val="0"/>
                <w:i w:val="0"/>
                <w:color w:val="212121"/>
                <w:sz w:val="16"/>
              </w:rPr>
              <w:t>Prior GDM or macrosomia</w:t>
            </w:r>
          </w:p>
        </w:tc>
        <w:tc>
          <w:tcPr>
            <w:tcW w:type="dxa" w:w="1036"/>
            <w:vAlign w:val="top"/>
          </w:tcPr>
          <w:p>
            <w:pPr>
              <w:spacing w:after="40" w:before="0" w:line="259" w:lineRule="auto"/>
            </w:pPr>
            <w:r>
              <w:rPr>
                <w:rFonts w:ascii="Calibri" w:hAnsi="Calibri"/>
                <w:b w:val="0"/>
                <w:i w:val="0"/>
                <w:color w:val="212121"/>
                <w:sz w:val="16"/>
              </w:rPr>
              <w:t>Marks limited beta-cell reserve and high future risk</w:t>
            </w:r>
          </w:p>
        </w:tc>
        <w:tc>
          <w:tcPr>
            <w:tcW w:type="dxa" w:w="1036"/>
            <w:vAlign w:val="top"/>
          </w:tcPr>
          <w:p>
            <w:pPr>
              <w:spacing w:after="40" w:before="0" w:line="259" w:lineRule="auto"/>
            </w:pPr>
            <w:r>
              <w:rPr>
                <w:rFonts w:ascii="Calibri" w:hAnsi="Calibri"/>
                <w:b w:val="0"/>
                <w:i w:val="0"/>
                <w:color w:val="212121"/>
                <w:sz w:val="16"/>
              </w:rPr>
              <w:t>Women post-GDM</w:t>
            </w:r>
          </w:p>
        </w:tc>
        <w:tc>
          <w:tcPr>
            <w:tcW w:type="dxa" w:w="720"/>
            <w:vAlign w:val="top"/>
          </w:tcPr>
          <w:p>
            <w:pPr>
              <w:spacing w:after="40" w:before="0" w:line="259" w:lineRule="auto"/>
            </w:pPr>
            <w:r>
              <w:rPr>
                <w:rFonts w:ascii="Calibri" w:hAnsi="Calibri"/>
                <w:b w:val="0"/>
                <w:i w:val="0"/>
                <w:color w:val="212121"/>
                <w:sz w:val="16"/>
              </w:rPr>
              <w:t>Provoking factors</w:t>
            </w:r>
          </w:p>
        </w:tc>
        <w:tc>
          <w:tcPr>
            <w:tcW w:type="dxa" w:w="720"/>
            <w:vAlign w:val="top"/>
          </w:tcPr>
          <w:p>
            <w:pPr>
              <w:spacing w:after="40" w:before="0" w:line="259" w:lineRule="auto"/>
            </w:pPr>
            <w:r>
              <w:rPr>
                <w:rFonts w:ascii="Calibri" w:hAnsi="Calibri"/>
                <w:b w:val="0"/>
                <w:i w:val="0"/>
                <w:color w:val="212121"/>
                <w:sz w:val="16"/>
              </w:rPr>
              <w:t>Screening</w:t>
            </w:r>
          </w:p>
        </w:tc>
        <w:tc>
          <w:tcPr>
            <w:tcW w:type="dxa" w:w="720"/>
            <w:vAlign w:val="top"/>
          </w:tcPr>
          <w:p>
            <w:pPr>
              <w:spacing w:after="40" w:before="0" w:line="259" w:lineRule="auto"/>
            </w:pPr>
            <w:r>
              <w:rPr>
                <w:rFonts w:ascii="Calibri" w:hAnsi="Calibri"/>
                <w:b w:val="0"/>
                <w:i w:val="0"/>
                <w:color w:val="212121"/>
                <w:sz w:val="16"/>
              </w:rPr>
              <w:t>Screen post-partum and periodically thereafter</w:t>
            </w:r>
          </w:p>
        </w:tc>
      </w:tr>
      <w:tr>
        <w:trPr>
          <w:cantSplit/>
        </w:trPr>
        <w:tc>
          <w:tcPr>
            <w:tcW w:type="dxa" w:w="892"/>
            <w:vAlign w:val="top"/>
          </w:tcPr>
          <w:p>
            <w:pPr>
              <w:spacing w:after="40" w:before="0" w:line="259" w:lineRule="auto"/>
            </w:pPr>
            <w:r>
              <w:rPr>
                <w:rFonts w:ascii="Calibri" w:hAnsi="Calibri"/>
                <w:b w:val="0"/>
                <w:i w:val="0"/>
                <w:color w:val="212121"/>
                <w:sz w:val="16"/>
              </w:rPr>
              <w:t>Clinical Examination</w:t>
            </w:r>
          </w:p>
        </w:tc>
        <w:tc>
          <w:tcPr>
            <w:tcW w:type="dxa" w:w="835"/>
            <w:vAlign w:val="top"/>
          </w:tcPr>
          <w:p>
            <w:pPr>
              <w:spacing w:after="40" w:before="0" w:line="259" w:lineRule="auto"/>
            </w:pPr>
            <w:r>
              <w:rPr>
                <w:rFonts w:ascii="Calibri" w:hAnsi="Calibri"/>
                <w:b w:val="0"/>
                <w:i w:val="0"/>
                <w:color w:val="212121"/>
                <w:sz w:val="16"/>
              </w:rPr>
              <w:t>History</w:t>
            </w:r>
          </w:p>
        </w:tc>
        <w:tc>
          <w:tcPr>
            <w:tcW w:type="dxa" w:w="950"/>
            <w:vAlign w:val="top"/>
          </w:tcPr>
          <w:p>
            <w:pPr>
              <w:spacing w:after="40" w:before="0" w:line="259" w:lineRule="auto"/>
            </w:pPr>
            <w:r>
              <w:rPr>
                <w:rFonts w:ascii="Calibri" w:hAnsi="Calibri"/>
                <w:b w:val="0"/>
                <w:i w:val="0"/>
                <w:color w:val="212121"/>
                <w:sz w:val="16"/>
              </w:rPr>
              <w:t>Dietary history</w:t>
            </w:r>
          </w:p>
        </w:tc>
        <w:tc>
          <w:tcPr>
            <w:tcW w:type="dxa" w:w="979"/>
            <w:vAlign w:val="top"/>
          </w:tcPr>
          <w:p>
            <w:pPr>
              <w:spacing w:after="40" w:before="0" w:line="259" w:lineRule="auto"/>
            </w:pPr>
            <w:r>
              <w:rPr>
                <w:rFonts w:ascii="Calibri" w:hAnsi="Calibri"/>
                <w:b w:val="0"/>
                <w:i w:val="0"/>
                <w:color w:val="212121"/>
                <w:sz w:val="16"/>
              </w:rPr>
              <w:t>Refined carbs, sugar, ultra-processed foods</w:t>
            </w:r>
          </w:p>
        </w:tc>
        <w:tc>
          <w:tcPr>
            <w:tcW w:type="dxa" w:w="950"/>
            <w:vAlign w:val="top"/>
          </w:tcPr>
          <w:p>
            <w:pPr>
              <w:spacing w:after="40" w:before="0" w:line="259" w:lineRule="auto"/>
            </w:pPr>
            <w:r>
              <w:rPr>
                <w:rFonts w:ascii="Calibri" w:hAnsi="Calibri"/>
                <w:b w:val="0"/>
                <w:i w:val="0"/>
                <w:color w:val="212121"/>
                <w:sz w:val="16"/>
              </w:rPr>
              <w:t>Balanced, low-GI, fibre-rich diet</w:t>
            </w:r>
          </w:p>
        </w:tc>
        <w:tc>
          <w:tcPr>
            <w:tcW w:type="dxa" w:w="950"/>
            <w:vAlign w:val="top"/>
          </w:tcPr>
          <w:p>
            <w:pPr>
              <w:spacing w:after="40" w:before="0" w:line="259" w:lineRule="auto"/>
            </w:pPr>
            <w:r>
              <w:rPr>
                <w:rFonts w:ascii="Calibri" w:hAnsi="Calibri"/>
                <w:b w:val="0"/>
                <w:i w:val="0"/>
                <w:color w:val="212121"/>
                <w:sz w:val="16"/>
              </w:rPr>
              <w:t>Frequent white rice/refined wheat/sweets/snacks</w:t>
            </w:r>
          </w:p>
        </w:tc>
        <w:tc>
          <w:tcPr>
            <w:tcW w:type="dxa" w:w="1036"/>
            <w:vAlign w:val="top"/>
          </w:tcPr>
          <w:p>
            <w:pPr>
              <w:spacing w:after="40" w:before="0" w:line="259" w:lineRule="auto"/>
            </w:pPr>
            <w:r>
              <w:rPr>
                <w:rFonts w:ascii="Calibri" w:hAnsi="Calibri"/>
                <w:b w:val="0"/>
                <w:i w:val="0"/>
                <w:color w:val="212121"/>
                <w:sz w:val="16"/>
              </w:rPr>
              <w:t>Dietary drivers of dysglycaemia and visceral fat</w:t>
            </w:r>
          </w:p>
        </w:tc>
        <w:tc>
          <w:tcPr>
            <w:tcW w:type="dxa" w:w="1036"/>
            <w:vAlign w:val="top"/>
          </w:tcPr>
          <w:p>
            <w:pPr>
              <w:spacing w:after="40" w:before="0" w:line="259" w:lineRule="auto"/>
            </w:pPr>
            <w:r>
              <w:rPr>
                <w:rFonts w:ascii="Calibri" w:hAnsi="Calibri"/>
                <w:b w:val="0"/>
                <w:i w:val="0"/>
                <w:color w:val="212121"/>
                <w:sz w:val="16"/>
              </w:rPr>
              <w:t>Urban adults, high-carbohydrate diets</w:t>
            </w:r>
          </w:p>
        </w:tc>
        <w:tc>
          <w:tcPr>
            <w:tcW w:type="dxa" w:w="720"/>
            <w:vAlign w:val="top"/>
          </w:tcPr>
          <w:p>
            <w:pPr>
              <w:spacing w:after="40" w:before="0" w:line="259" w:lineRule="auto"/>
            </w:pPr>
            <w:r>
              <w:rPr>
                <w:rFonts w:ascii="Calibri" w:hAnsi="Calibri"/>
                <w:b w:val="0"/>
                <w:i w:val="0"/>
                <w:color w:val="212121"/>
                <w:sz w:val="16"/>
              </w:rPr>
              <w:t>Food</w:t>
            </w:r>
          </w:p>
        </w:tc>
        <w:tc>
          <w:tcPr>
            <w:tcW w:type="dxa" w:w="720"/>
            <w:vAlign w:val="top"/>
          </w:tcPr>
          <w:p>
            <w:pPr>
              <w:spacing w:after="40" w:before="0" w:line="259" w:lineRule="auto"/>
            </w:pPr>
            <w:r>
              <w:rPr>
                <w:rFonts w:ascii="Calibri" w:hAnsi="Calibri"/>
                <w:b w:val="0"/>
                <w:i w:val="0"/>
                <w:color w:val="212121"/>
                <w:sz w:val="16"/>
              </w:rPr>
              <w:t>Screening</w:t>
            </w:r>
          </w:p>
        </w:tc>
        <w:tc>
          <w:tcPr>
            <w:tcW w:type="dxa" w:w="720"/>
            <w:vAlign w:val="top"/>
          </w:tcPr>
          <w:p>
            <w:pPr>
              <w:spacing w:after="40" w:before="0" w:line="259" w:lineRule="auto"/>
            </w:pPr>
            <w:r>
              <w:rPr>
                <w:rFonts w:ascii="Calibri" w:hAnsi="Calibri"/>
                <w:b w:val="0"/>
                <w:i w:val="0"/>
                <w:color w:val="212121"/>
                <w:sz w:val="16"/>
              </w:rPr>
              <w:t>Directs first-line lifestyle therapy</w:t>
            </w:r>
          </w:p>
        </w:tc>
      </w:tr>
      <w:tr>
        <w:trPr>
          <w:cantSplit/>
        </w:trPr>
        <w:tc>
          <w:tcPr>
            <w:tcW w:type="dxa" w:w="892"/>
            <w:vAlign w:val="top"/>
          </w:tcPr>
          <w:p>
            <w:pPr>
              <w:spacing w:after="40" w:before="0" w:line="259" w:lineRule="auto"/>
            </w:pPr>
            <w:r>
              <w:rPr>
                <w:rFonts w:ascii="Calibri" w:hAnsi="Calibri"/>
                <w:b w:val="0"/>
                <w:i w:val="0"/>
                <w:color w:val="212121"/>
                <w:sz w:val="16"/>
              </w:rPr>
              <w:t>Clinical Examination</w:t>
            </w:r>
          </w:p>
        </w:tc>
        <w:tc>
          <w:tcPr>
            <w:tcW w:type="dxa" w:w="835"/>
            <w:vAlign w:val="top"/>
          </w:tcPr>
          <w:p>
            <w:pPr>
              <w:spacing w:after="40" w:before="0" w:line="259" w:lineRule="auto"/>
            </w:pPr>
            <w:r>
              <w:rPr>
                <w:rFonts w:ascii="Calibri" w:hAnsi="Calibri"/>
                <w:b w:val="0"/>
                <w:i w:val="0"/>
                <w:color w:val="212121"/>
                <w:sz w:val="16"/>
              </w:rPr>
              <w:t>History</w:t>
            </w:r>
          </w:p>
        </w:tc>
        <w:tc>
          <w:tcPr>
            <w:tcW w:type="dxa" w:w="950"/>
            <w:vAlign w:val="top"/>
          </w:tcPr>
          <w:p>
            <w:pPr>
              <w:spacing w:after="40" w:before="0" w:line="259" w:lineRule="auto"/>
            </w:pPr>
            <w:r>
              <w:rPr>
                <w:rFonts w:ascii="Calibri" w:hAnsi="Calibri"/>
                <w:b w:val="0"/>
                <w:i w:val="0"/>
                <w:color w:val="212121"/>
                <w:sz w:val="16"/>
              </w:rPr>
              <w:t>Lifestyle history</w:t>
            </w:r>
          </w:p>
        </w:tc>
        <w:tc>
          <w:tcPr>
            <w:tcW w:type="dxa" w:w="979"/>
            <w:vAlign w:val="top"/>
          </w:tcPr>
          <w:p>
            <w:pPr>
              <w:spacing w:after="40" w:before="0" w:line="259" w:lineRule="auto"/>
            </w:pPr>
            <w:r>
              <w:rPr>
                <w:rFonts w:ascii="Calibri" w:hAnsi="Calibri"/>
                <w:b w:val="0"/>
                <w:i w:val="0"/>
                <w:color w:val="212121"/>
                <w:sz w:val="16"/>
              </w:rPr>
              <w:t>Physical activity, tobacco, alcohol, sleep</w:t>
            </w:r>
          </w:p>
        </w:tc>
        <w:tc>
          <w:tcPr>
            <w:tcW w:type="dxa" w:w="950"/>
            <w:vAlign w:val="top"/>
          </w:tcPr>
          <w:p>
            <w:pPr>
              <w:spacing w:after="40" w:before="0" w:line="259" w:lineRule="auto"/>
            </w:pPr>
            <w:r>
              <w:rPr>
                <w:rFonts w:ascii="Calibri" w:hAnsi="Calibri"/>
                <w:b w:val="0"/>
                <w:i w:val="0"/>
                <w:color w:val="212121"/>
                <w:sz w:val="16"/>
              </w:rPr>
              <w:t>Active, non-smoker, good sleep</w:t>
            </w:r>
          </w:p>
        </w:tc>
        <w:tc>
          <w:tcPr>
            <w:tcW w:type="dxa" w:w="950"/>
            <w:vAlign w:val="top"/>
          </w:tcPr>
          <w:p>
            <w:pPr>
              <w:spacing w:after="40" w:before="0" w:line="259" w:lineRule="auto"/>
            </w:pPr>
            <w:r>
              <w:rPr>
                <w:rFonts w:ascii="Calibri" w:hAnsi="Calibri"/>
                <w:b w:val="0"/>
                <w:i w:val="0"/>
                <w:color w:val="212121"/>
                <w:sz w:val="16"/>
              </w:rPr>
              <w:t>Sedentary, tobacco, heavy alcohol, poor sleep</w:t>
            </w:r>
          </w:p>
        </w:tc>
        <w:tc>
          <w:tcPr>
            <w:tcW w:type="dxa" w:w="1036"/>
            <w:vAlign w:val="top"/>
          </w:tcPr>
          <w:p>
            <w:pPr>
              <w:spacing w:after="40" w:before="0" w:line="259" w:lineRule="auto"/>
            </w:pPr>
            <w:r>
              <w:rPr>
                <w:rFonts w:ascii="Calibri" w:hAnsi="Calibri"/>
                <w:b w:val="0"/>
                <w:i w:val="0"/>
                <w:color w:val="212121"/>
                <w:sz w:val="16"/>
              </w:rPr>
              <w:t>Modifiable behaviours determine progression versus reversal</w:t>
            </w:r>
          </w:p>
        </w:tc>
        <w:tc>
          <w:tcPr>
            <w:tcW w:type="dxa" w:w="1036"/>
            <w:vAlign w:val="top"/>
          </w:tcPr>
          <w:p>
            <w:pPr>
              <w:spacing w:after="40" w:before="0" w:line="259" w:lineRule="auto"/>
            </w:pPr>
            <w:r>
              <w:rPr>
                <w:rFonts w:ascii="Calibri" w:hAnsi="Calibri"/>
                <w:b w:val="0"/>
                <w:i w:val="0"/>
                <w:color w:val="212121"/>
                <w:sz w:val="16"/>
              </w:rPr>
              <w:t>Sedentary workers, smokers, drinkers</w:t>
            </w:r>
          </w:p>
        </w:tc>
        <w:tc>
          <w:tcPr>
            <w:tcW w:type="dxa" w:w="720"/>
            <w:vAlign w:val="top"/>
          </w:tcPr>
          <w:p>
            <w:pPr>
              <w:spacing w:after="40" w:before="0" w:line="259" w:lineRule="auto"/>
            </w:pPr>
            <w:r>
              <w:rPr>
                <w:rFonts w:ascii="Calibri" w:hAnsi="Calibri"/>
                <w:b w:val="0"/>
                <w:i w:val="0"/>
                <w:color w:val="212121"/>
                <w:sz w:val="16"/>
              </w:rPr>
              <w:t>Physical activity; Smoking; Alcohol; Sleep</w:t>
            </w:r>
          </w:p>
        </w:tc>
        <w:tc>
          <w:tcPr>
            <w:tcW w:type="dxa" w:w="720"/>
            <w:vAlign w:val="top"/>
          </w:tcPr>
          <w:p>
            <w:pPr>
              <w:spacing w:after="40" w:before="0" w:line="259" w:lineRule="auto"/>
            </w:pPr>
            <w:r>
              <w:rPr>
                <w:rFonts w:ascii="Calibri" w:hAnsi="Calibri"/>
                <w:b w:val="0"/>
                <w:i w:val="0"/>
                <w:color w:val="212121"/>
                <w:sz w:val="16"/>
              </w:rPr>
              <w:t>Screening</w:t>
            </w:r>
          </w:p>
        </w:tc>
        <w:tc>
          <w:tcPr>
            <w:tcW w:type="dxa" w:w="720"/>
            <w:vAlign w:val="top"/>
          </w:tcPr>
          <w:p>
            <w:pPr>
              <w:spacing w:after="40" w:before="0" w:line="259" w:lineRule="auto"/>
            </w:pPr>
            <w:r>
              <w:rPr>
                <w:rFonts w:ascii="Calibri" w:hAnsi="Calibri"/>
                <w:b w:val="0"/>
                <w:i w:val="0"/>
                <w:color w:val="212121"/>
                <w:sz w:val="16"/>
              </w:rPr>
              <w:t>Core targets for the prevention window</w:t>
            </w:r>
          </w:p>
        </w:tc>
      </w:tr>
      <w:tr>
        <w:trPr>
          <w:cantSplit/>
        </w:trPr>
        <w:tc>
          <w:tcPr>
            <w:tcW w:type="dxa" w:w="892"/>
            <w:vAlign w:val="top"/>
          </w:tcPr>
          <w:p>
            <w:pPr>
              <w:spacing w:after="40" w:before="0" w:line="259" w:lineRule="auto"/>
            </w:pPr>
            <w:r>
              <w:rPr>
                <w:rFonts w:ascii="Calibri" w:hAnsi="Calibri"/>
                <w:b w:val="0"/>
                <w:i w:val="0"/>
                <w:color w:val="212121"/>
                <w:sz w:val="16"/>
              </w:rPr>
              <w:t>Clinical Examination</w:t>
            </w:r>
          </w:p>
        </w:tc>
        <w:tc>
          <w:tcPr>
            <w:tcW w:type="dxa" w:w="835"/>
            <w:vAlign w:val="top"/>
          </w:tcPr>
          <w:p>
            <w:pPr>
              <w:spacing w:after="40" w:before="0" w:line="259" w:lineRule="auto"/>
            </w:pPr>
            <w:r>
              <w:rPr>
                <w:rFonts w:ascii="Calibri" w:hAnsi="Calibri"/>
                <w:b w:val="0"/>
                <w:i w:val="0"/>
                <w:color w:val="212121"/>
                <w:sz w:val="16"/>
              </w:rPr>
              <w:t>Physical Exam</w:t>
            </w:r>
          </w:p>
        </w:tc>
        <w:tc>
          <w:tcPr>
            <w:tcW w:type="dxa" w:w="950"/>
            <w:vAlign w:val="top"/>
          </w:tcPr>
          <w:p>
            <w:pPr>
              <w:spacing w:after="40" w:before="0" w:line="259" w:lineRule="auto"/>
            </w:pPr>
            <w:r>
              <w:rPr>
                <w:rFonts w:ascii="Calibri" w:hAnsi="Calibri"/>
                <w:b w:val="0"/>
                <w:i w:val="0"/>
                <w:color w:val="212121"/>
                <w:sz w:val="16"/>
              </w:rPr>
              <w:t>Anthropometry</w:t>
            </w:r>
          </w:p>
        </w:tc>
        <w:tc>
          <w:tcPr>
            <w:tcW w:type="dxa" w:w="979"/>
            <w:vAlign w:val="top"/>
          </w:tcPr>
          <w:p>
            <w:pPr>
              <w:spacing w:after="40" w:before="0" w:line="259" w:lineRule="auto"/>
            </w:pPr>
            <w:r>
              <w:rPr>
                <w:rFonts w:ascii="Calibri" w:hAnsi="Calibri"/>
                <w:b w:val="0"/>
                <w:i w:val="0"/>
                <w:color w:val="212121"/>
                <w:sz w:val="16"/>
              </w:rPr>
              <w:t>BMI, waist circumference, waist-hip ratio</w:t>
            </w:r>
          </w:p>
        </w:tc>
        <w:tc>
          <w:tcPr>
            <w:tcW w:type="dxa" w:w="950"/>
            <w:vAlign w:val="top"/>
          </w:tcPr>
          <w:p>
            <w:pPr>
              <w:spacing w:after="40" w:before="0" w:line="259" w:lineRule="auto"/>
            </w:pPr>
            <w:r>
              <w:rPr>
                <w:rFonts w:ascii="Calibri" w:hAnsi="Calibri"/>
                <w:b w:val="0"/>
                <w:i w:val="0"/>
                <w:color w:val="212121"/>
                <w:sz w:val="16"/>
              </w:rPr>
              <w:t>BMI &lt; 23; waist M &lt; 90, F &lt; 80 cm</w:t>
            </w:r>
          </w:p>
        </w:tc>
        <w:tc>
          <w:tcPr>
            <w:tcW w:type="dxa" w:w="950"/>
            <w:vAlign w:val="top"/>
          </w:tcPr>
          <w:p>
            <w:pPr>
              <w:spacing w:after="40" w:before="0" w:line="259" w:lineRule="auto"/>
            </w:pPr>
            <w:r>
              <w:rPr>
                <w:rFonts w:ascii="Calibri" w:hAnsi="Calibri"/>
                <w:b w:val="0"/>
                <w:i w:val="0"/>
                <w:color w:val="212121"/>
                <w:sz w:val="16"/>
              </w:rPr>
              <w:t>BMI &gt;= 23; waist M &gt;= 90, F &gt;= 80 cm</w:t>
            </w:r>
          </w:p>
        </w:tc>
        <w:tc>
          <w:tcPr>
            <w:tcW w:type="dxa" w:w="1036"/>
            <w:vAlign w:val="top"/>
          </w:tcPr>
          <w:p>
            <w:pPr>
              <w:spacing w:after="40" w:before="0" w:line="259" w:lineRule="auto"/>
            </w:pPr>
            <w:r>
              <w:rPr>
                <w:rFonts w:ascii="Calibri" w:hAnsi="Calibri"/>
                <w:b w:val="0"/>
                <w:i w:val="0"/>
                <w:color w:val="212121"/>
                <w:sz w:val="16"/>
              </w:rPr>
              <w:t>Central obesity indicates the underlying insulin resistance</w:t>
            </w:r>
          </w:p>
        </w:tc>
        <w:tc>
          <w:tcPr>
            <w:tcW w:type="dxa" w:w="1036"/>
            <w:vAlign w:val="top"/>
          </w:tcPr>
          <w:p>
            <w:pPr>
              <w:spacing w:after="40" w:before="0" w:line="259" w:lineRule="auto"/>
            </w:pPr>
            <w:r>
              <w:rPr>
                <w:rFonts w:ascii="Calibri" w:hAnsi="Calibri"/>
                <w:b w:val="0"/>
                <w:i w:val="0"/>
                <w:color w:val="212121"/>
                <w:sz w:val="16"/>
              </w:rPr>
              <w:t>Overweight, thin-fat, metabolic syndrome</w:t>
            </w:r>
          </w:p>
        </w:tc>
        <w:tc>
          <w:tcPr>
            <w:tcW w:type="dxa" w:w="720"/>
            <w:vAlign w:val="top"/>
          </w:tcPr>
          <w:p>
            <w:pPr>
              <w:spacing w:after="40" w:before="0" w:line="259" w:lineRule="auto"/>
            </w:pPr>
            <w:r>
              <w:rPr>
                <w:rFonts w:ascii="Calibri" w:hAnsi="Calibri"/>
                <w:b w:val="0"/>
                <w:i w:val="0"/>
                <w:color w:val="212121"/>
                <w:sz w:val="16"/>
              </w:rPr>
              <w:t>Physical activity; Food</w:t>
            </w:r>
          </w:p>
        </w:tc>
        <w:tc>
          <w:tcPr>
            <w:tcW w:type="dxa" w:w="720"/>
            <w:vAlign w:val="top"/>
          </w:tcPr>
          <w:p>
            <w:pPr>
              <w:spacing w:after="40" w:before="0" w:line="259" w:lineRule="auto"/>
            </w:pPr>
            <w:r>
              <w:rPr>
                <w:rFonts w:ascii="Calibri" w:hAnsi="Calibri"/>
                <w:b w:val="0"/>
                <w:i w:val="0"/>
                <w:color w:val="212121"/>
                <w:sz w:val="16"/>
              </w:rPr>
              <w:t>Screening</w:t>
            </w:r>
          </w:p>
        </w:tc>
        <w:tc>
          <w:tcPr>
            <w:tcW w:type="dxa" w:w="720"/>
            <w:vAlign w:val="top"/>
          </w:tcPr>
          <w:p>
            <w:pPr>
              <w:spacing w:after="40" w:before="0" w:line="259" w:lineRule="auto"/>
            </w:pPr>
            <w:r>
              <w:rPr>
                <w:rFonts w:ascii="Calibri" w:hAnsi="Calibri"/>
                <w:b w:val="0"/>
                <w:i w:val="0"/>
                <w:color w:val="212121"/>
                <w:sz w:val="16"/>
              </w:rPr>
              <w:t>Use Asian-Indian cut-offs</w:t>
            </w:r>
          </w:p>
        </w:tc>
      </w:tr>
      <w:tr>
        <w:trPr>
          <w:cantSplit/>
        </w:trPr>
        <w:tc>
          <w:tcPr>
            <w:tcW w:type="dxa" w:w="892"/>
            <w:vAlign w:val="top"/>
          </w:tcPr>
          <w:p>
            <w:pPr>
              <w:spacing w:after="40" w:before="0" w:line="259" w:lineRule="auto"/>
            </w:pPr>
            <w:r>
              <w:rPr>
                <w:rFonts w:ascii="Calibri" w:hAnsi="Calibri"/>
                <w:b w:val="0"/>
                <w:i w:val="0"/>
                <w:color w:val="212121"/>
                <w:sz w:val="16"/>
              </w:rPr>
              <w:t>Clinical Examination</w:t>
            </w:r>
          </w:p>
        </w:tc>
        <w:tc>
          <w:tcPr>
            <w:tcW w:type="dxa" w:w="835"/>
            <w:vAlign w:val="top"/>
          </w:tcPr>
          <w:p>
            <w:pPr>
              <w:spacing w:after="40" w:before="0" w:line="259" w:lineRule="auto"/>
            </w:pPr>
            <w:r>
              <w:rPr>
                <w:rFonts w:ascii="Calibri" w:hAnsi="Calibri"/>
                <w:b w:val="0"/>
                <w:i w:val="0"/>
                <w:color w:val="212121"/>
                <w:sz w:val="16"/>
              </w:rPr>
              <w:t>Physical Exam</w:t>
            </w:r>
          </w:p>
        </w:tc>
        <w:tc>
          <w:tcPr>
            <w:tcW w:type="dxa" w:w="950"/>
            <w:vAlign w:val="top"/>
          </w:tcPr>
          <w:p>
            <w:pPr>
              <w:spacing w:after="40" w:before="0" w:line="259" w:lineRule="auto"/>
            </w:pPr>
            <w:r>
              <w:rPr>
                <w:rFonts w:ascii="Calibri" w:hAnsi="Calibri"/>
                <w:b w:val="0"/>
                <w:i w:val="0"/>
                <w:color w:val="212121"/>
                <w:sz w:val="16"/>
              </w:rPr>
              <w:t>Skin markers</w:t>
            </w:r>
          </w:p>
        </w:tc>
        <w:tc>
          <w:tcPr>
            <w:tcW w:type="dxa" w:w="979"/>
            <w:vAlign w:val="top"/>
          </w:tcPr>
          <w:p>
            <w:pPr>
              <w:spacing w:after="40" w:before="0" w:line="259" w:lineRule="auto"/>
            </w:pPr>
            <w:r>
              <w:rPr>
                <w:rFonts w:ascii="Calibri" w:hAnsi="Calibri"/>
                <w:b w:val="0"/>
                <w:i w:val="0"/>
                <w:color w:val="212121"/>
                <w:sz w:val="16"/>
              </w:rPr>
              <w:t>Acanthosis nigricans, skin tags</w:t>
            </w:r>
          </w:p>
        </w:tc>
        <w:tc>
          <w:tcPr>
            <w:tcW w:type="dxa" w:w="950"/>
            <w:vAlign w:val="top"/>
          </w:tcPr>
          <w:p>
            <w:pPr>
              <w:spacing w:after="40" w:before="0" w:line="259" w:lineRule="auto"/>
            </w:pPr>
            <w:r>
              <w:rPr>
                <w:rFonts w:ascii="Calibri" w:hAnsi="Calibri"/>
                <w:b w:val="0"/>
                <w:i w:val="0"/>
                <w:color w:val="212121"/>
                <w:sz w:val="16"/>
              </w:rPr>
              <w:t>Absent</w:t>
            </w:r>
          </w:p>
        </w:tc>
        <w:tc>
          <w:tcPr>
            <w:tcW w:type="dxa" w:w="950"/>
            <w:vAlign w:val="top"/>
          </w:tcPr>
          <w:p>
            <w:pPr>
              <w:spacing w:after="40" w:before="0" w:line="259" w:lineRule="auto"/>
            </w:pPr>
            <w:r>
              <w:rPr>
                <w:rFonts w:ascii="Calibri" w:hAnsi="Calibri"/>
                <w:b w:val="0"/>
                <w:i w:val="0"/>
                <w:color w:val="212121"/>
                <w:sz w:val="16"/>
              </w:rPr>
              <w:t>Present</w:t>
            </w:r>
          </w:p>
        </w:tc>
        <w:tc>
          <w:tcPr>
            <w:tcW w:type="dxa" w:w="1036"/>
            <w:vAlign w:val="top"/>
          </w:tcPr>
          <w:p>
            <w:pPr>
              <w:spacing w:after="40" w:before="0" w:line="259" w:lineRule="auto"/>
            </w:pPr>
            <w:r>
              <w:rPr>
                <w:rFonts w:ascii="Calibri" w:hAnsi="Calibri"/>
                <w:b w:val="0"/>
                <w:i w:val="0"/>
                <w:color w:val="212121"/>
                <w:sz w:val="16"/>
              </w:rPr>
              <w:t>Velvety neck/axillary pigmentation and skin tags signal insulin resistance</w:t>
            </w:r>
          </w:p>
        </w:tc>
        <w:tc>
          <w:tcPr>
            <w:tcW w:type="dxa" w:w="1036"/>
            <w:vAlign w:val="top"/>
          </w:tcPr>
          <w:p>
            <w:pPr>
              <w:spacing w:after="40" w:before="0" w:line="259" w:lineRule="auto"/>
            </w:pPr>
            <w:r>
              <w:rPr>
                <w:rFonts w:ascii="Calibri" w:hAnsi="Calibri"/>
                <w:b w:val="0"/>
                <w:i w:val="0"/>
                <w:color w:val="212121"/>
                <w:sz w:val="16"/>
              </w:rPr>
              <w:t>Obese youth, PCOS, thin-fat adults</w:t>
            </w:r>
          </w:p>
        </w:tc>
        <w:tc>
          <w:tcPr>
            <w:tcW w:type="dxa" w:w="720"/>
            <w:vAlign w:val="top"/>
          </w:tcPr>
          <w:p>
            <w:pPr>
              <w:spacing w:after="40" w:before="0" w:line="259" w:lineRule="auto"/>
            </w:pPr>
            <w:r>
              <w:rPr>
                <w:rFonts w:ascii="Calibri" w:hAnsi="Calibri"/>
                <w:b w:val="0"/>
                <w:i w:val="0"/>
                <w:color w:val="212121"/>
                <w:sz w:val="16"/>
              </w:rPr>
              <w:t>Provoking factors</w:t>
            </w:r>
          </w:p>
        </w:tc>
        <w:tc>
          <w:tcPr>
            <w:tcW w:type="dxa" w:w="720"/>
            <w:vAlign w:val="top"/>
          </w:tcPr>
          <w:p>
            <w:pPr>
              <w:spacing w:after="40" w:before="0" w:line="259" w:lineRule="auto"/>
            </w:pPr>
            <w:r>
              <w:rPr>
                <w:rFonts w:ascii="Calibri" w:hAnsi="Calibri"/>
                <w:b w:val="0"/>
                <w:i w:val="0"/>
                <w:color w:val="212121"/>
                <w:sz w:val="16"/>
              </w:rPr>
              <w:t>Diagnostic</w:t>
            </w:r>
          </w:p>
        </w:tc>
        <w:tc>
          <w:tcPr>
            <w:tcW w:type="dxa" w:w="720"/>
            <w:vAlign w:val="top"/>
          </w:tcPr>
          <w:p>
            <w:pPr>
              <w:spacing w:after="40" w:before="0" w:line="259" w:lineRule="auto"/>
            </w:pPr>
            <w:r>
              <w:rPr>
                <w:rFonts w:ascii="Calibri" w:hAnsi="Calibri"/>
                <w:b w:val="0"/>
                <w:i w:val="0"/>
                <w:color w:val="212121"/>
                <w:sz w:val="16"/>
              </w:rPr>
              <w:t>Useful bedside clue; frequent in Indians</w:t>
            </w:r>
          </w:p>
        </w:tc>
      </w:tr>
      <w:tr>
        <w:trPr>
          <w:cantSplit/>
        </w:trPr>
        <w:tc>
          <w:tcPr>
            <w:tcW w:type="dxa" w:w="892"/>
            <w:vAlign w:val="top"/>
          </w:tcPr>
          <w:p>
            <w:pPr>
              <w:spacing w:after="40" w:before="0" w:line="259" w:lineRule="auto"/>
            </w:pPr>
            <w:r>
              <w:rPr>
                <w:rFonts w:ascii="Calibri" w:hAnsi="Calibri"/>
                <w:b w:val="0"/>
                <w:i w:val="0"/>
                <w:color w:val="212121"/>
                <w:sz w:val="16"/>
              </w:rPr>
              <w:t>Clinical Examination</w:t>
            </w:r>
          </w:p>
        </w:tc>
        <w:tc>
          <w:tcPr>
            <w:tcW w:type="dxa" w:w="835"/>
            <w:vAlign w:val="top"/>
          </w:tcPr>
          <w:p>
            <w:pPr>
              <w:spacing w:after="40" w:before="0" w:line="259" w:lineRule="auto"/>
            </w:pPr>
            <w:r>
              <w:rPr>
                <w:rFonts w:ascii="Calibri" w:hAnsi="Calibri"/>
                <w:b w:val="0"/>
                <w:i w:val="0"/>
                <w:color w:val="212121"/>
                <w:sz w:val="16"/>
              </w:rPr>
              <w:t>Physical Exam</w:t>
            </w:r>
          </w:p>
        </w:tc>
        <w:tc>
          <w:tcPr>
            <w:tcW w:type="dxa" w:w="950"/>
            <w:vAlign w:val="top"/>
          </w:tcPr>
          <w:p>
            <w:pPr>
              <w:spacing w:after="40" w:before="0" w:line="259" w:lineRule="auto"/>
            </w:pPr>
            <w:r>
              <w:rPr>
                <w:rFonts w:ascii="Calibri" w:hAnsi="Calibri"/>
                <w:b w:val="0"/>
                <w:i w:val="0"/>
                <w:color w:val="212121"/>
                <w:sz w:val="16"/>
              </w:rPr>
              <w:t>Cardiometabolic exam</w:t>
            </w:r>
          </w:p>
        </w:tc>
        <w:tc>
          <w:tcPr>
            <w:tcW w:type="dxa" w:w="979"/>
            <w:vAlign w:val="top"/>
          </w:tcPr>
          <w:p>
            <w:pPr>
              <w:spacing w:after="40" w:before="0" w:line="259" w:lineRule="auto"/>
            </w:pPr>
            <w:r>
              <w:rPr>
                <w:rFonts w:ascii="Calibri" w:hAnsi="Calibri"/>
                <w:b w:val="0"/>
                <w:i w:val="0"/>
                <w:color w:val="212121"/>
                <w:sz w:val="16"/>
              </w:rPr>
              <w:t>Blood pressure, PCOS features, waist</w:t>
            </w:r>
          </w:p>
        </w:tc>
        <w:tc>
          <w:tcPr>
            <w:tcW w:type="dxa" w:w="950"/>
            <w:vAlign w:val="top"/>
          </w:tcPr>
          <w:p>
            <w:pPr>
              <w:spacing w:after="40" w:before="0" w:line="259" w:lineRule="auto"/>
            </w:pPr>
            <w:r>
              <w:rPr>
                <w:rFonts w:ascii="Calibri" w:hAnsi="Calibri"/>
                <w:b w:val="0"/>
                <w:i w:val="0"/>
                <w:color w:val="212121"/>
                <w:sz w:val="16"/>
              </w:rPr>
              <w:t>Normal BP; no hyperandrogenism</w:t>
            </w:r>
          </w:p>
        </w:tc>
        <w:tc>
          <w:tcPr>
            <w:tcW w:type="dxa" w:w="950"/>
            <w:vAlign w:val="top"/>
          </w:tcPr>
          <w:p>
            <w:pPr>
              <w:spacing w:after="40" w:before="0" w:line="259" w:lineRule="auto"/>
            </w:pPr>
            <w:r>
              <w:rPr>
                <w:rFonts w:ascii="Calibri" w:hAnsi="Calibri"/>
                <w:b w:val="0"/>
                <w:i w:val="0"/>
                <w:color w:val="212121"/>
                <w:sz w:val="16"/>
              </w:rPr>
              <w:t>Raised BP; hirsutism/acne; high waist</w:t>
            </w:r>
          </w:p>
        </w:tc>
        <w:tc>
          <w:tcPr>
            <w:tcW w:type="dxa" w:w="1036"/>
            <w:vAlign w:val="top"/>
          </w:tcPr>
          <w:p>
            <w:pPr>
              <w:spacing w:after="40" w:before="0" w:line="259" w:lineRule="auto"/>
            </w:pPr>
            <w:r>
              <w:rPr>
                <w:rFonts w:ascii="Calibri" w:hAnsi="Calibri"/>
                <w:b w:val="0"/>
                <w:i w:val="0"/>
                <w:color w:val="212121"/>
                <w:sz w:val="16"/>
              </w:rPr>
              <w:t>Detects clustering metabolic-syndrome components</w:t>
            </w:r>
          </w:p>
        </w:tc>
        <w:tc>
          <w:tcPr>
            <w:tcW w:type="dxa" w:w="1036"/>
            <w:vAlign w:val="top"/>
          </w:tcPr>
          <w:p>
            <w:pPr>
              <w:spacing w:after="40" w:before="0" w:line="259" w:lineRule="auto"/>
            </w:pPr>
            <w:r>
              <w:rPr>
                <w:rFonts w:ascii="Calibri" w:hAnsi="Calibri"/>
                <w:b w:val="0"/>
                <w:i w:val="0"/>
                <w:color w:val="212121"/>
                <w:sz w:val="16"/>
              </w:rPr>
              <w:t>Metabolic syndrome, PCOS, hypertensives</w:t>
            </w:r>
          </w:p>
        </w:tc>
        <w:tc>
          <w:tcPr>
            <w:tcW w:type="dxa" w:w="720"/>
            <w:vAlign w:val="top"/>
          </w:tcPr>
          <w:p>
            <w:pPr>
              <w:spacing w:after="40" w:before="0" w:line="259" w:lineRule="auto"/>
            </w:pPr>
            <w:r>
              <w:rPr>
                <w:rFonts w:ascii="Calibri" w:hAnsi="Calibri"/>
                <w:b w:val="0"/>
                <w:i w:val="0"/>
                <w:color w:val="212121"/>
                <w:sz w:val="16"/>
              </w:rPr>
              <w:t>Provoking factors</w:t>
            </w:r>
          </w:p>
        </w:tc>
        <w:tc>
          <w:tcPr>
            <w:tcW w:type="dxa" w:w="720"/>
            <w:vAlign w:val="top"/>
          </w:tcPr>
          <w:p>
            <w:pPr>
              <w:spacing w:after="40" w:before="0" w:line="259" w:lineRule="auto"/>
            </w:pPr>
            <w:r>
              <w:rPr>
                <w:rFonts w:ascii="Calibri" w:hAnsi="Calibri"/>
                <w:b w:val="0"/>
                <w:i w:val="0"/>
                <w:color w:val="212121"/>
                <w:sz w:val="16"/>
              </w:rPr>
              <w:t>Prognostic</w:t>
            </w:r>
          </w:p>
        </w:tc>
        <w:tc>
          <w:tcPr>
            <w:tcW w:type="dxa" w:w="720"/>
            <w:vAlign w:val="top"/>
          </w:tcPr>
          <w:p>
            <w:pPr>
              <w:spacing w:after="40" w:before="0" w:line="259" w:lineRule="auto"/>
            </w:pPr>
            <w:r>
              <w:rPr>
                <w:rFonts w:ascii="Calibri" w:hAnsi="Calibri"/>
                <w:b w:val="0"/>
                <w:i w:val="0"/>
                <w:color w:val="212121"/>
                <w:sz w:val="16"/>
              </w:rPr>
              <w:t>Quantify global cardiovascular risk</w:t>
            </w:r>
          </w:p>
        </w:tc>
      </w:tr>
    </w:tbl>
    <w:p>
      <w:pPr>
        <w:spacing w:before="200" w:after="120"/>
      </w:pPr>
      <w:r>
        <w:rPr>
          <w:rFonts w:ascii="Calibri" w:hAnsi="Calibri"/>
          <w:b/>
          <w:i w:val="0"/>
          <w:color w:val="212121"/>
          <w:sz w:val="25"/>
        </w:rPr>
        <w:t>Clinical features</w:t>
      </w:r>
    </w:p>
    <w:p>
      <w:pPr>
        <w:spacing w:before="160" w:after="120"/>
      </w:pPr>
      <w:r>
        <w:rPr>
          <w:rFonts w:ascii="Calibri" w:hAnsi="Calibri"/>
          <w:b/>
          <w:i w:val="0"/>
          <w:color w:val="212121"/>
          <w:sz w:val="22"/>
        </w:rPr>
        <w:t>Symptoms</w:t>
      </w:r>
    </w:p>
    <w:tbl>
      <w:tblPr>
        <w:tblW w:type="dxa" w:w="9604"/>
        <w:jc w:val="center"/>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Grid>
        <w:gridCol w:w="3202"/>
        <w:gridCol w:w="3202"/>
        <w:gridCol w:w="3202"/>
      </w:tblGrid>
      <w:tr>
        <w:trPr>
          <w:cantSplit/>
        </w:trPr>
        <w:tc>
          <w:tcPr>
            <w:tcW w:type="dxa" w:w="2304"/>
            <w:shd w:val="clear" w:color="auto" w:fill="F2F2F2"/>
            <w:vAlign w:val="center"/>
          </w:tcPr>
          <w:p>
            <w:pPr>
              <w:spacing w:after="40" w:before="0" w:line="259" w:lineRule="auto"/>
            </w:pPr>
            <w:r>
              <w:rPr>
                <w:rFonts w:ascii="Calibri" w:hAnsi="Calibri"/>
                <w:b/>
                <w:i w:val="0"/>
                <w:color w:val="212121"/>
                <w:sz w:val="19"/>
              </w:rPr>
              <w:t>Symptom</w:t>
            </w:r>
          </w:p>
        </w:tc>
        <w:tc>
          <w:tcPr>
            <w:tcW w:type="dxa" w:w="1584"/>
            <w:shd w:val="clear" w:color="auto" w:fill="F2F2F2"/>
            <w:vAlign w:val="center"/>
          </w:tcPr>
          <w:p>
            <w:pPr>
              <w:spacing w:after="40" w:before="0" w:line="259" w:lineRule="auto"/>
            </w:pPr>
            <w:r>
              <w:rPr>
                <w:rFonts w:ascii="Calibri" w:hAnsi="Calibri"/>
                <w:b/>
                <w:i w:val="0"/>
                <w:color w:val="212121"/>
                <w:sz w:val="19"/>
              </w:rPr>
              <w:t>Type</w:t>
            </w:r>
          </w:p>
        </w:tc>
        <w:tc>
          <w:tcPr>
            <w:tcW w:type="dxa" w:w="5716"/>
            <w:shd w:val="clear" w:color="auto" w:fill="F2F2F2"/>
            <w:vAlign w:val="center"/>
          </w:tcPr>
          <w:p>
            <w:pPr>
              <w:spacing w:after="40" w:before="0" w:line="259" w:lineRule="auto"/>
            </w:pPr>
            <w:r>
              <w:rPr>
                <w:rFonts w:ascii="Calibri" w:hAnsi="Calibri"/>
                <w:b/>
                <w:i w:val="0"/>
                <w:color w:val="212121"/>
                <w:sz w:val="19"/>
              </w:rPr>
              <w:t>Note</w:t>
            </w:r>
          </w:p>
        </w:tc>
      </w:tr>
      <w:tr>
        <w:trPr>
          <w:cantSplit/>
        </w:trPr>
        <w:tc>
          <w:tcPr>
            <w:tcW w:type="dxa" w:w="2304"/>
            <w:vAlign w:val="top"/>
          </w:tcPr>
          <w:p>
            <w:pPr>
              <w:spacing w:after="40" w:before="0" w:line="259" w:lineRule="auto"/>
            </w:pPr>
            <w:r>
              <w:rPr>
                <w:rFonts w:ascii="Calibri" w:hAnsi="Calibri"/>
                <w:b/>
                <w:i w:val="0"/>
                <w:color w:val="212121"/>
                <w:sz w:val="19"/>
              </w:rPr>
              <w:t>Asymptomatic (silent)</w:t>
            </w:r>
          </w:p>
        </w:tc>
        <w:tc>
          <w:tcPr>
            <w:tcW w:type="dxa" w:w="1584"/>
            <w:vAlign w:val="top"/>
          </w:tcPr>
          <w:p>
            <w:pPr>
              <w:spacing w:after="40" w:before="0" w:line="259" w:lineRule="auto"/>
            </w:pPr>
            <w:r>
              <w:rPr>
                <w:rFonts w:ascii="Calibri" w:hAnsi="Calibri"/>
                <w:b w:val="0"/>
                <w:i w:val="0"/>
                <w:color w:val="212121"/>
                <w:sz w:val="19"/>
              </w:rPr>
              <w:t>Common</w:t>
            </w:r>
          </w:p>
        </w:tc>
        <w:tc>
          <w:tcPr>
            <w:tcW w:type="dxa" w:w="5716"/>
            <w:vAlign w:val="top"/>
          </w:tcPr>
          <w:p>
            <w:pPr>
              <w:spacing w:after="40" w:before="0" w:line="259" w:lineRule="auto"/>
            </w:pPr>
            <w:r>
              <w:rPr>
                <w:rFonts w:ascii="Calibri" w:hAnsi="Calibri"/>
                <w:b w:val="0"/>
                <w:i w:val="0"/>
                <w:color w:val="212121"/>
                <w:sz w:val="19"/>
              </w:rPr>
              <w:t>The great majority of people with prediabetes have no symptoms at all; it is detected only on screening blood tests. This is why opportunistic screening of at-risk Indians is essential.</w:t>
            </w:r>
          </w:p>
        </w:tc>
      </w:tr>
      <w:tr>
        <w:trPr>
          <w:cantSplit/>
        </w:trPr>
        <w:tc>
          <w:tcPr>
            <w:tcW w:type="dxa" w:w="2304"/>
            <w:vAlign w:val="top"/>
          </w:tcPr>
          <w:p>
            <w:pPr>
              <w:spacing w:after="40" w:before="0" w:line="259" w:lineRule="auto"/>
            </w:pPr>
            <w:r>
              <w:rPr>
                <w:rFonts w:ascii="Calibri" w:hAnsi="Calibri"/>
                <w:b/>
                <w:i w:val="0"/>
                <w:color w:val="212121"/>
                <w:sz w:val="19"/>
              </w:rPr>
              <w:t>Fatigue / low energy</w:t>
            </w:r>
          </w:p>
        </w:tc>
        <w:tc>
          <w:tcPr>
            <w:tcW w:type="dxa" w:w="1584"/>
            <w:vAlign w:val="top"/>
          </w:tcPr>
          <w:p>
            <w:pPr>
              <w:spacing w:after="40" w:before="0" w:line="259" w:lineRule="auto"/>
            </w:pPr>
            <w:r>
              <w:rPr>
                <w:rFonts w:ascii="Calibri" w:hAnsi="Calibri"/>
                <w:b w:val="0"/>
                <w:i w:val="0"/>
                <w:color w:val="212121"/>
                <w:sz w:val="19"/>
              </w:rPr>
              <w:t>Less common</w:t>
            </w:r>
          </w:p>
        </w:tc>
        <w:tc>
          <w:tcPr>
            <w:tcW w:type="dxa" w:w="5716"/>
            <w:vAlign w:val="top"/>
          </w:tcPr>
          <w:p>
            <w:pPr>
              <w:spacing w:after="40" w:before="0" w:line="259" w:lineRule="auto"/>
            </w:pPr>
            <w:r>
              <w:rPr>
                <w:rFonts w:ascii="Calibri" w:hAnsi="Calibri"/>
                <w:b w:val="0"/>
                <w:i w:val="0"/>
                <w:color w:val="212121"/>
                <w:sz w:val="19"/>
              </w:rPr>
              <w:t>Mild, non-specific tiredness from early impaired glucose handling; easily missed or attributed to other causes.</w:t>
            </w:r>
          </w:p>
        </w:tc>
      </w:tr>
      <w:tr>
        <w:trPr>
          <w:cantSplit/>
        </w:trPr>
        <w:tc>
          <w:tcPr>
            <w:tcW w:type="dxa" w:w="2304"/>
            <w:vAlign w:val="top"/>
          </w:tcPr>
          <w:p>
            <w:pPr>
              <w:spacing w:after="40" w:before="0" w:line="259" w:lineRule="auto"/>
            </w:pPr>
            <w:r>
              <w:rPr>
                <w:rFonts w:ascii="Calibri" w:hAnsi="Calibri"/>
                <w:b/>
                <w:i w:val="0"/>
                <w:color w:val="212121"/>
                <w:sz w:val="19"/>
              </w:rPr>
              <w:t>Increased hunger / carbohydrate cravings</w:t>
            </w:r>
          </w:p>
        </w:tc>
        <w:tc>
          <w:tcPr>
            <w:tcW w:type="dxa" w:w="1584"/>
            <w:vAlign w:val="top"/>
          </w:tcPr>
          <w:p>
            <w:pPr>
              <w:spacing w:after="40" w:before="0" w:line="259" w:lineRule="auto"/>
            </w:pPr>
            <w:r>
              <w:rPr>
                <w:rFonts w:ascii="Calibri" w:hAnsi="Calibri"/>
                <w:b w:val="0"/>
                <w:i w:val="0"/>
                <w:color w:val="212121"/>
                <w:sz w:val="19"/>
              </w:rPr>
              <w:t>Less common</w:t>
            </w:r>
          </w:p>
        </w:tc>
        <w:tc>
          <w:tcPr>
            <w:tcW w:type="dxa" w:w="5716"/>
            <w:vAlign w:val="top"/>
          </w:tcPr>
          <w:p>
            <w:pPr>
              <w:spacing w:after="40" w:before="0" w:line="259" w:lineRule="auto"/>
            </w:pPr>
            <w:r>
              <w:rPr>
                <w:rFonts w:ascii="Calibri" w:hAnsi="Calibri"/>
                <w:b w:val="0"/>
                <w:i w:val="0"/>
                <w:color w:val="212121"/>
                <w:sz w:val="19"/>
              </w:rPr>
              <w:t>Compensatory hyperinsulinaemia and glucose swings can increase appetite and cravings.</w:t>
            </w:r>
          </w:p>
        </w:tc>
      </w:tr>
      <w:tr>
        <w:trPr>
          <w:cantSplit/>
        </w:trPr>
        <w:tc>
          <w:tcPr>
            <w:tcW w:type="dxa" w:w="2304"/>
            <w:vAlign w:val="top"/>
          </w:tcPr>
          <w:p>
            <w:pPr>
              <w:spacing w:after="40" w:before="0" w:line="259" w:lineRule="auto"/>
            </w:pPr>
            <w:r>
              <w:rPr>
                <w:rFonts w:ascii="Calibri" w:hAnsi="Calibri"/>
                <w:b/>
                <w:i w:val="0"/>
                <w:color w:val="212121"/>
                <w:sz w:val="19"/>
              </w:rPr>
              <w:t>Weight gain (central/abdominal)</w:t>
            </w:r>
          </w:p>
        </w:tc>
        <w:tc>
          <w:tcPr>
            <w:tcW w:type="dxa" w:w="1584"/>
            <w:vAlign w:val="top"/>
          </w:tcPr>
          <w:p>
            <w:pPr>
              <w:spacing w:after="40" w:before="0" w:line="259" w:lineRule="auto"/>
            </w:pPr>
            <w:r>
              <w:rPr>
                <w:rFonts w:ascii="Calibri" w:hAnsi="Calibri"/>
                <w:b w:val="0"/>
                <w:i w:val="0"/>
                <w:color w:val="212121"/>
                <w:sz w:val="19"/>
              </w:rPr>
              <w:t>Less common</w:t>
            </w:r>
          </w:p>
        </w:tc>
        <w:tc>
          <w:tcPr>
            <w:tcW w:type="dxa" w:w="5716"/>
            <w:vAlign w:val="top"/>
          </w:tcPr>
          <w:p>
            <w:pPr>
              <w:spacing w:after="40" w:before="0" w:line="259" w:lineRule="auto"/>
            </w:pPr>
            <w:r>
              <w:rPr>
                <w:rFonts w:ascii="Calibri" w:hAnsi="Calibri"/>
                <w:b w:val="0"/>
                <w:i w:val="0"/>
                <w:color w:val="212121"/>
                <w:sz w:val="19"/>
              </w:rPr>
              <w:t>Accumulating visceral fat both causes and reflects the underlying insulin resistance.</w:t>
            </w:r>
          </w:p>
        </w:tc>
      </w:tr>
      <w:tr>
        <w:trPr>
          <w:cantSplit/>
        </w:trPr>
        <w:tc>
          <w:tcPr>
            <w:tcW w:type="dxa" w:w="2304"/>
            <w:vAlign w:val="top"/>
          </w:tcPr>
          <w:p>
            <w:pPr>
              <w:spacing w:after="40" w:before="0" w:line="259" w:lineRule="auto"/>
            </w:pPr>
            <w:r>
              <w:rPr>
                <w:rFonts w:ascii="Calibri" w:hAnsi="Calibri"/>
                <w:b/>
                <w:i w:val="0"/>
                <w:color w:val="212121"/>
                <w:sz w:val="19"/>
              </w:rPr>
              <w:t>Mild increased thirst</w:t>
            </w:r>
          </w:p>
        </w:tc>
        <w:tc>
          <w:tcPr>
            <w:tcW w:type="dxa" w:w="1584"/>
            <w:vAlign w:val="top"/>
          </w:tcPr>
          <w:p>
            <w:pPr>
              <w:spacing w:after="40" w:before="0" w:line="259" w:lineRule="auto"/>
            </w:pPr>
            <w:r>
              <w:rPr>
                <w:rFonts w:ascii="Calibri" w:hAnsi="Calibri"/>
                <w:b w:val="0"/>
                <w:i w:val="0"/>
                <w:color w:val="212121"/>
                <w:sz w:val="19"/>
              </w:rPr>
              <w:t>Less common</w:t>
            </w:r>
          </w:p>
        </w:tc>
        <w:tc>
          <w:tcPr>
            <w:tcW w:type="dxa" w:w="5716"/>
            <w:vAlign w:val="top"/>
          </w:tcPr>
          <w:p>
            <w:pPr>
              <w:spacing w:after="40" w:before="0" w:line="259" w:lineRule="auto"/>
            </w:pPr>
            <w:r>
              <w:rPr>
                <w:rFonts w:ascii="Calibri" w:hAnsi="Calibri"/>
                <w:b w:val="0"/>
                <w:i w:val="0"/>
                <w:color w:val="212121"/>
                <w:sz w:val="19"/>
              </w:rPr>
              <w:t>Usually only as glucose approaches the diabetes range; frank polydipsia suggests progression to diabetes.</w:t>
            </w:r>
          </w:p>
        </w:tc>
      </w:tr>
      <w:tr>
        <w:trPr>
          <w:cantSplit/>
        </w:trPr>
        <w:tc>
          <w:tcPr>
            <w:tcW w:type="dxa" w:w="2304"/>
            <w:vAlign w:val="top"/>
          </w:tcPr>
          <w:p>
            <w:pPr>
              <w:spacing w:after="40" w:before="0" w:line="259" w:lineRule="auto"/>
            </w:pPr>
            <w:r>
              <w:rPr>
                <w:rFonts w:ascii="Calibri" w:hAnsi="Calibri"/>
                <w:b/>
                <w:i w:val="0"/>
                <w:color w:val="212121"/>
                <w:sz w:val="19"/>
              </w:rPr>
              <w:t>Mild or night-time increased urination</w:t>
            </w:r>
          </w:p>
        </w:tc>
        <w:tc>
          <w:tcPr>
            <w:tcW w:type="dxa" w:w="1584"/>
            <w:vAlign w:val="top"/>
          </w:tcPr>
          <w:p>
            <w:pPr>
              <w:spacing w:after="40" w:before="0" w:line="259" w:lineRule="auto"/>
            </w:pPr>
            <w:r>
              <w:rPr>
                <w:rFonts w:ascii="Calibri" w:hAnsi="Calibri"/>
                <w:b w:val="0"/>
                <w:i w:val="0"/>
                <w:color w:val="212121"/>
                <w:sz w:val="19"/>
              </w:rPr>
              <w:t>Less common</w:t>
            </w:r>
          </w:p>
        </w:tc>
        <w:tc>
          <w:tcPr>
            <w:tcW w:type="dxa" w:w="5716"/>
            <w:vAlign w:val="top"/>
          </w:tcPr>
          <w:p>
            <w:pPr>
              <w:spacing w:after="40" w:before="0" w:line="259" w:lineRule="auto"/>
            </w:pPr>
            <w:r>
              <w:rPr>
                <w:rFonts w:ascii="Calibri" w:hAnsi="Calibri"/>
                <w:b w:val="0"/>
                <w:i w:val="0"/>
                <w:color w:val="212121"/>
                <w:sz w:val="19"/>
              </w:rPr>
              <w:t>Subtle osmotic effect near the upper glucose range; marked polyuria indicates diabetes.</w:t>
            </w:r>
          </w:p>
        </w:tc>
      </w:tr>
      <w:tr>
        <w:trPr>
          <w:cantSplit/>
        </w:trPr>
        <w:tc>
          <w:tcPr>
            <w:tcW w:type="dxa" w:w="2304"/>
            <w:vAlign w:val="top"/>
          </w:tcPr>
          <w:p>
            <w:pPr>
              <w:spacing w:after="40" w:before="0" w:line="259" w:lineRule="auto"/>
            </w:pPr>
            <w:r>
              <w:rPr>
                <w:rFonts w:ascii="Calibri" w:hAnsi="Calibri"/>
                <w:b/>
                <w:i w:val="0"/>
                <w:color w:val="212121"/>
                <w:sz w:val="19"/>
              </w:rPr>
              <w:t>Post-meal drowsiness or shakiness</w:t>
            </w:r>
          </w:p>
        </w:tc>
        <w:tc>
          <w:tcPr>
            <w:tcW w:type="dxa" w:w="1584"/>
            <w:vAlign w:val="top"/>
          </w:tcPr>
          <w:p>
            <w:pPr>
              <w:spacing w:after="40" w:before="0" w:line="259" w:lineRule="auto"/>
            </w:pPr>
            <w:r>
              <w:rPr>
                <w:rFonts w:ascii="Calibri" w:hAnsi="Calibri"/>
                <w:b w:val="0"/>
                <w:i w:val="0"/>
                <w:color w:val="212121"/>
                <w:sz w:val="19"/>
              </w:rPr>
              <w:t>Less common</w:t>
            </w:r>
          </w:p>
        </w:tc>
        <w:tc>
          <w:tcPr>
            <w:tcW w:type="dxa" w:w="5716"/>
            <w:vAlign w:val="top"/>
          </w:tcPr>
          <w:p>
            <w:pPr>
              <w:spacing w:after="40" w:before="0" w:line="259" w:lineRule="auto"/>
            </w:pPr>
            <w:r>
              <w:rPr>
                <w:rFonts w:ascii="Calibri" w:hAnsi="Calibri"/>
                <w:b w:val="0"/>
                <w:i w:val="0"/>
                <w:color w:val="212121"/>
                <w:sz w:val="19"/>
              </w:rPr>
              <w:t>An exaggerated post-load insulin response can cause post-prandial dips (reactive hypoglycaemia-type symptoms).</w:t>
            </w:r>
          </w:p>
        </w:tc>
      </w:tr>
      <w:tr>
        <w:trPr>
          <w:cantSplit/>
        </w:trPr>
        <w:tc>
          <w:tcPr>
            <w:tcW w:type="dxa" w:w="2304"/>
            <w:vAlign w:val="top"/>
          </w:tcPr>
          <w:p>
            <w:pPr>
              <w:spacing w:after="40" w:before="0" w:line="259" w:lineRule="auto"/>
            </w:pPr>
            <w:r>
              <w:rPr>
                <w:rFonts w:ascii="Calibri" w:hAnsi="Calibri"/>
                <w:b/>
                <w:i w:val="0"/>
                <w:color w:val="212121"/>
                <w:sz w:val="19"/>
              </w:rPr>
              <w:t>Patient-noticed darkening of skin folds</w:t>
            </w:r>
          </w:p>
        </w:tc>
        <w:tc>
          <w:tcPr>
            <w:tcW w:type="dxa" w:w="1584"/>
            <w:vAlign w:val="top"/>
          </w:tcPr>
          <w:p>
            <w:pPr>
              <w:spacing w:after="40" w:before="0" w:line="259" w:lineRule="auto"/>
            </w:pPr>
            <w:r>
              <w:rPr>
                <w:rFonts w:ascii="Calibri" w:hAnsi="Calibri"/>
                <w:b w:val="0"/>
                <w:i w:val="0"/>
                <w:color w:val="212121"/>
                <w:sz w:val="19"/>
              </w:rPr>
              <w:t>Less common</w:t>
            </w:r>
          </w:p>
        </w:tc>
        <w:tc>
          <w:tcPr>
            <w:tcW w:type="dxa" w:w="5716"/>
            <w:vAlign w:val="top"/>
          </w:tcPr>
          <w:p>
            <w:pPr>
              <w:spacing w:after="40" w:before="0" w:line="259" w:lineRule="auto"/>
            </w:pPr>
            <w:r>
              <w:rPr>
                <w:rFonts w:ascii="Calibri" w:hAnsi="Calibri"/>
                <w:b w:val="0"/>
                <w:i w:val="0"/>
                <w:color w:val="212121"/>
                <w:sz w:val="19"/>
              </w:rPr>
              <w:t>Velvety darkening at the neck/axillae (acanthosis nigricans) - a visible marker of insulin resistance.</w:t>
            </w:r>
          </w:p>
        </w:tc>
      </w:tr>
      <w:tr>
        <w:trPr>
          <w:cantSplit/>
        </w:trPr>
        <w:tc>
          <w:tcPr>
            <w:tcW w:type="dxa" w:w="2304"/>
            <w:vAlign w:val="top"/>
          </w:tcPr>
          <w:p>
            <w:pPr>
              <w:spacing w:after="40" w:before="0" w:line="259" w:lineRule="auto"/>
            </w:pPr>
            <w:r>
              <w:rPr>
                <w:rFonts w:ascii="Calibri" w:hAnsi="Calibri"/>
                <w:b/>
                <w:i w:val="0"/>
                <w:color w:val="212121"/>
                <w:sz w:val="19"/>
              </w:rPr>
              <w:t>Intermittent blurred vision</w:t>
            </w:r>
          </w:p>
        </w:tc>
        <w:tc>
          <w:tcPr>
            <w:tcW w:type="dxa" w:w="1584"/>
            <w:vAlign w:val="top"/>
          </w:tcPr>
          <w:p>
            <w:pPr>
              <w:spacing w:after="40" w:before="0" w:line="259" w:lineRule="auto"/>
            </w:pPr>
            <w:r>
              <w:rPr>
                <w:rFonts w:ascii="Calibri" w:hAnsi="Calibri"/>
                <w:b w:val="0"/>
                <w:i w:val="0"/>
                <w:color w:val="212121"/>
                <w:sz w:val="19"/>
              </w:rPr>
              <w:t>Rare</w:t>
            </w:r>
          </w:p>
        </w:tc>
        <w:tc>
          <w:tcPr>
            <w:tcW w:type="dxa" w:w="5716"/>
            <w:vAlign w:val="top"/>
          </w:tcPr>
          <w:p>
            <w:pPr>
              <w:spacing w:after="40" w:before="0" w:line="259" w:lineRule="auto"/>
            </w:pPr>
            <w:r>
              <w:rPr>
                <w:rFonts w:ascii="Calibri" w:hAnsi="Calibri"/>
                <w:b w:val="0"/>
                <w:i w:val="0"/>
                <w:color w:val="212121"/>
                <w:sz w:val="19"/>
              </w:rPr>
              <w:t>Transient refractive change with glucose fluctuations; persistent blurring suggests diabetes.</w:t>
            </w:r>
          </w:p>
        </w:tc>
      </w:tr>
      <w:tr>
        <w:trPr>
          <w:cantSplit/>
        </w:trPr>
        <w:tc>
          <w:tcPr>
            <w:tcW w:type="dxa" w:w="2304"/>
            <w:vAlign w:val="top"/>
          </w:tcPr>
          <w:p>
            <w:pPr>
              <w:spacing w:after="40" w:before="0" w:line="259" w:lineRule="auto"/>
            </w:pPr>
            <w:r>
              <w:rPr>
                <w:rFonts w:ascii="Calibri" w:hAnsi="Calibri"/>
                <w:b/>
                <w:i w:val="0"/>
                <w:color w:val="212121"/>
                <w:sz w:val="19"/>
              </w:rPr>
              <w:t>Tingling in the feet</w:t>
            </w:r>
          </w:p>
        </w:tc>
        <w:tc>
          <w:tcPr>
            <w:tcW w:type="dxa" w:w="1584"/>
            <w:vAlign w:val="top"/>
          </w:tcPr>
          <w:p>
            <w:pPr>
              <w:spacing w:after="40" w:before="0" w:line="259" w:lineRule="auto"/>
            </w:pPr>
            <w:r>
              <w:rPr>
                <w:rFonts w:ascii="Calibri" w:hAnsi="Calibri"/>
                <w:b w:val="0"/>
                <w:i w:val="0"/>
                <w:color w:val="212121"/>
                <w:sz w:val="19"/>
              </w:rPr>
              <w:t>Rare</w:t>
            </w:r>
          </w:p>
        </w:tc>
        <w:tc>
          <w:tcPr>
            <w:tcW w:type="dxa" w:w="5716"/>
            <w:vAlign w:val="top"/>
          </w:tcPr>
          <w:p>
            <w:pPr>
              <w:spacing w:after="40" w:before="0" w:line="259" w:lineRule="auto"/>
            </w:pPr>
            <w:r>
              <w:rPr>
                <w:rFonts w:ascii="Calibri" w:hAnsi="Calibri"/>
                <w:b w:val="0"/>
                <w:i w:val="0"/>
                <w:color w:val="212121"/>
                <w:sz w:val="19"/>
              </w:rPr>
              <w:t>Occasional early sensory symptoms; emerging evidence links prediabetes to early neuropathy, but this usually signals approaching or early diabetes.</w:t>
            </w:r>
          </w:p>
        </w:tc>
      </w:tr>
    </w:tbl>
    <w:p>
      <w:pPr>
        <w:spacing w:before="160" w:after="120"/>
      </w:pPr>
      <w:r>
        <w:rPr>
          <w:rFonts w:ascii="Calibri" w:hAnsi="Calibri"/>
          <w:b/>
          <w:i w:val="0"/>
          <w:color w:val="212121"/>
          <w:sz w:val="22"/>
        </w:rPr>
        <w:t>Signs</w:t>
      </w:r>
    </w:p>
    <w:tbl>
      <w:tblPr>
        <w:tblW w:type="dxa" w:w="9604"/>
        <w:jc w:val="center"/>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Grid>
        <w:gridCol w:w="3202"/>
        <w:gridCol w:w="3202"/>
        <w:gridCol w:w="3202"/>
      </w:tblGrid>
      <w:tr>
        <w:trPr>
          <w:cantSplit/>
        </w:trPr>
        <w:tc>
          <w:tcPr>
            <w:tcW w:type="dxa" w:w="3456"/>
            <w:shd w:val="clear" w:color="auto" w:fill="F2F2F2"/>
            <w:vAlign w:val="center"/>
          </w:tcPr>
          <w:p>
            <w:pPr>
              <w:spacing w:after="40" w:before="0" w:line="259" w:lineRule="auto"/>
            </w:pPr>
            <w:r>
              <w:rPr>
                <w:rFonts w:ascii="Calibri" w:hAnsi="Calibri"/>
                <w:b/>
                <w:i w:val="0"/>
                <w:color w:val="212121"/>
                <w:sz w:val="19"/>
              </w:rPr>
              <w:t>Sign</w:t>
            </w:r>
          </w:p>
        </w:tc>
        <w:tc>
          <w:tcPr>
            <w:tcW w:type="dxa" w:w="1728"/>
            <w:shd w:val="clear" w:color="auto" w:fill="F2F2F2"/>
            <w:vAlign w:val="center"/>
          </w:tcPr>
          <w:p>
            <w:pPr>
              <w:spacing w:after="40" w:before="0" w:line="259" w:lineRule="auto"/>
            </w:pPr>
            <w:r>
              <w:rPr>
                <w:rFonts w:ascii="Calibri" w:hAnsi="Calibri"/>
                <w:b/>
                <w:i w:val="0"/>
                <w:color w:val="212121"/>
                <w:sz w:val="19"/>
              </w:rPr>
              <w:t>Type</w:t>
            </w:r>
          </w:p>
        </w:tc>
        <w:tc>
          <w:tcPr>
            <w:tcW w:type="dxa" w:w="4420"/>
            <w:shd w:val="clear" w:color="auto" w:fill="F2F2F2"/>
            <w:vAlign w:val="center"/>
          </w:tcPr>
          <w:p>
            <w:pPr>
              <w:spacing w:after="40" w:before="0" w:line="259" w:lineRule="auto"/>
            </w:pPr>
            <w:r>
              <w:rPr>
                <w:rFonts w:ascii="Calibri" w:hAnsi="Calibri"/>
                <w:b/>
                <w:i w:val="0"/>
                <w:color w:val="212121"/>
                <w:sz w:val="19"/>
              </w:rPr>
              <w:t>Note</w:t>
            </w:r>
          </w:p>
        </w:tc>
      </w:tr>
      <w:tr>
        <w:trPr>
          <w:cantSplit/>
        </w:trPr>
        <w:tc>
          <w:tcPr>
            <w:tcW w:type="dxa" w:w="3456"/>
            <w:vAlign w:val="top"/>
          </w:tcPr>
          <w:p>
            <w:pPr>
              <w:spacing w:after="40" w:before="0" w:line="259" w:lineRule="auto"/>
            </w:pPr>
            <w:r>
              <w:rPr>
                <w:rFonts w:ascii="Calibri" w:hAnsi="Calibri"/>
                <w:b/>
                <w:i w:val="0"/>
                <w:color w:val="212121"/>
                <w:sz w:val="19"/>
              </w:rPr>
              <w:t>Normal physical examination</w:t>
            </w:r>
          </w:p>
        </w:tc>
        <w:tc>
          <w:tcPr>
            <w:tcW w:type="dxa" w:w="1728"/>
            <w:vAlign w:val="top"/>
          </w:tcPr>
          <w:p>
            <w:pPr>
              <w:spacing w:after="40" w:before="0" w:line="259" w:lineRule="auto"/>
            </w:pPr>
            <w:r>
              <w:rPr>
                <w:rFonts w:ascii="Calibri" w:hAnsi="Calibri"/>
                <w:b w:val="0"/>
                <w:i w:val="0"/>
                <w:color w:val="212121"/>
                <w:sz w:val="19"/>
              </w:rPr>
              <w:t>Common</w:t>
            </w:r>
          </w:p>
        </w:tc>
        <w:tc>
          <w:tcPr>
            <w:tcW w:type="dxa" w:w="4420"/>
            <w:vAlign w:val="top"/>
          </w:tcPr>
          <w:p>
            <w:pPr>
              <w:spacing w:after="40" w:before="0" w:line="259" w:lineRule="auto"/>
            </w:pPr>
            <w:r>
              <w:rPr>
                <w:rFonts w:ascii="Calibri" w:hAnsi="Calibri"/>
                <w:b w:val="0"/>
                <w:i w:val="0"/>
                <w:color w:val="212121"/>
                <w:sz w:val="19"/>
              </w:rPr>
              <w:t>Most prediabetic individuals have an entirely normal examination; the diagnosis rests on laboratory testing.</w:t>
            </w:r>
          </w:p>
        </w:tc>
      </w:tr>
      <w:tr>
        <w:trPr>
          <w:cantSplit/>
        </w:trPr>
        <w:tc>
          <w:tcPr>
            <w:tcW w:type="dxa" w:w="3456"/>
            <w:vAlign w:val="top"/>
          </w:tcPr>
          <w:p>
            <w:pPr>
              <w:spacing w:after="40" w:before="0" w:line="259" w:lineRule="auto"/>
            </w:pPr>
            <w:r>
              <w:rPr>
                <w:rFonts w:ascii="Calibri" w:hAnsi="Calibri"/>
                <w:b/>
                <w:i w:val="0"/>
                <w:color w:val="212121"/>
                <w:sz w:val="19"/>
              </w:rPr>
              <w:t>Increased waist circumference / central obesity</w:t>
            </w:r>
          </w:p>
        </w:tc>
        <w:tc>
          <w:tcPr>
            <w:tcW w:type="dxa" w:w="1728"/>
            <w:vAlign w:val="top"/>
          </w:tcPr>
          <w:p>
            <w:pPr>
              <w:spacing w:after="40" w:before="0" w:line="259" w:lineRule="auto"/>
            </w:pPr>
            <w:r>
              <w:rPr>
                <w:rFonts w:ascii="Calibri" w:hAnsi="Calibri"/>
                <w:b w:val="0"/>
                <w:i w:val="0"/>
                <w:color w:val="212121"/>
                <w:sz w:val="19"/>
              </w:rPr>
              <w:t>Common</w:t>
            </w:r>
          </w:p>
        </w:tc>
        <w:tc>
          <w:tcPr>
            <w:tcW w:type="dxa" w:w="4420"/>
            <w:vAlign w:val="top"/>
          </w:tcPr>
          <w:p>
            <w:pPr>
              <w:spacing w:after="40" w:before="0" w:line="259" w:lineRule="auto"/>
            </w:pPr>
            <w:r>
              <w:rPr>
                <w:rFonts w:ascii="Calibri" w:hAnsi="Calibri"/>
                <w:b w:val="0"/>
                <w:i w:val="0"/>
                <w:color w:val="212121"/>
                <w:sz w:val="19"/>
              </w:rPr>
              <w:t>Marker of visceral adiposity driving insulin resistance (Asian-Indian waist M &gt;= 90, F &gt;= 80 cm).</w:t>
            </w:r>
          </w:p>
        </w:tc>
      </w:tr>
      <w:tr>
        <w:trPr>
          <w:cantSplit/>
        </w:trPr>
        <w:tc>
          <w:tcPr>
            <w:tcW w:type="dxa" w:w="3456"/>
            <w:vAlign w:val="top"/>
          </w:tcPr>
          <w:p>
            <w:pPr>
              <w:spacing w:after="40" w:before="0" w:line="259" w:lineRule="auto"/>
            </w:pPr>
            <w:r>
              <w:rPr>
                <w:rFonts w:ascii="Calibri" w:hAnsi="Calibri"/>
                <w:b/>
                <w:i w:val="0"/>
                <w:color w:val="212121"/>
                <w:sz w:val="19"/>
              </w:rPr>
              <w:t>Overweight / raised BMI (Asian-Indian &gt;= 23)</w:t>
            </w:r>
          </w:p>
        </w:tc>
        <w:tc>
          <w:tcPr>
            <w:tcW w:type="dxa" w:w="1728"/>
            <w:vAlign w:val="top"/>
          </w:tcPr>
          <w:p>
            <w:pPr>
              <w:spacing w:after="40" w:before="0" w:line="259" w:lineRule="auto"/>
            </w:pPr>
            <w:r>
              <w:rPr>
                <w:rFonts w:ascii="Calibri" w:hAnsi="Calibri"/>
                <w:b w:val="0"/>
                <w:i w:val="0"/>
                <w:color w:val="212121"/>
                <w:sz w:val="19"/>
              </w:rPr>
              <w:t>Common</w:t>
            </w:r>
          </w:p>
        </w:tc>
        <w:tc>
          <w:tcPr>
            <w:tcW w:type="dxa" w:w="4420"/>
            <w:vAlign w:val="top"/>
          </w:tcPr>
          <w:p>
            <w:pPr>
              <w:spacing w:after="40" w:before="0" w:line="259" w:lineRule="auto"/>
            </w:pPr>
            <w:r>
              <w:rPr>
                <w:rFonts w:ascii="Calibri" w:hAnsi="Calibri"/>
                <w:b w:val="0"/>
                <w:i w:val="0"/>
                <w:color w:val="212121"/>
                <w:sz w:val="19"/>
              </w:rPr>
              <w:t>Excess adiposity even at a 'normal' Western BMI in the thin-fat phenotype.</w:t>
            </w:r>
          </w:p>
        </w:tc>
      </w:tr>
      <w:tr>
        <w:trPr>
          <w:cantSplit/>
        </w:trPr>
        <w:tc>
          <w:tcPr>
            <w:tcW w:type="dxa" w:w="3456"/>
            <w:vAlign w:val="top"/>
          </w:tcPr>
          <w:p>
            <w:pPr>
              <w:spacing w:after="40" w:before="0" w:line="259" w:lineRule="auto"/>
            </w:pPr>
            <w:r>
              <w:rPr>
                <w:rFonts w:ascii="Calibri" w:hAnsi="Calibri"/>
                <w:b/>
                <w:i w:val="0"/>
                <w:color w:val="212121"/>
                <w:sz w:val="19"/>
              </w:rPr>
              <w:t>Acanthosis nigricans</w:t>
            </w:r>
          </w:p>
        </w:tc>
        <w:tc>
          <w:tcPr>
            <w:tcW w:type="dxa" w:w="1728"/>
            <w:vAlign w:val="top"/>
          </w:tcPr>
          <w:p>
            <w:pPr>
              <w:spacing w:after="40" w:before="0" w:line="259" w:lineRule="auto"/>
            </w:pPr>
            <w:r>
              <w:rPr>
                <w:rFonts w:ascii="Calibri" w:hAnsi="Calibri"/>
                <w:b w:val="0"/>
                <w:i w:val="0"/>
                <w:color w:val="212121"/>
                <w:sz w:val="19"/>
              </w:rPr>
              <w:t>Common</w:t>
            </w:r>
          </w:p>
        </w:tc>
        <w:tc>
          <w:tcPr>
            <w:tcW w:type="dxa" w:w="4420"/>
            <w:vAlign w:val="top"/>
          </w:tcPr>
          <w:p>
            <w:pPr>
              <w:spacing w:after="40" w:before="0" w:line="259" w:lineRule="auto"/>
            </w:pPr>
            <w:r>
              <w:rPr>
                <w:rFonts w:ascii="Calibri" w:hAnsi="Calibri"/>
                <w:b w:val="0"/>
                <w:i w:val="0"/>
                <w:color w:val="212121"/>
                <w:sz w:val="19"/>
              </w:rPr>
              <w:t>Velvety hyperpigmented plaques at the neck/axillae - a clinical marker of insulin resistance, frequent in Indians.</w:t>
            </w:r>
          </w:p>
        </w:tc>
      </w:tr>
      <w:tr>
        <w:trPr>
          <w:cantSplit/>
        </w:trPr>
        <w:tc>
          <w:tcPr>
            <w:tcW w:type="dxa" w:w="3456"/>
            <w:vAlign w:val="top"/>
          </w:tcPr>
          <w:p>
            <w:pPr>
              <w:spacing w:after="40" w:before="0" w:line="259" w:lineRule="auto"/>
            </w:pPr>
            <w:r>
              <w:rPr>
                <w:rFonts w:ascii="Calibri" w:hAnsi="Calibri"/>
                <w:b/>
                <w:i w:val="0"/>
                <w:color w:val="212121"/>
                <w:sz w:val="19"/>
              </w:rPr>
              <w:t>Skin tags (acrochordons)</w:t>
            </w:r>
          </w:p>
        </w:tc>
        <w:tc>
          <w:tcPr>
            <w:tcW w:type="dxa" w:w="1728"/>
            <w:vAlign w:val="top"/>
          </w:tcPr>
          <w:p>
            <w:pPr>
              <w:spacing w:after="40" w:before="0" w:line="259" w:lineRule="auto"/>
            </w:pPr>
            <w:r>
              <w:rPr>
                <w:rFonts w:ascii="Calibri" w:hAnsi="Calibri"/>
                <w:b w:val="0"/>
                <w:i w:val="0"/>
                <w:color w:val="212121"/>
                <w:sz w:val="19"/>
              </w:rPr>
              <w:t>Less common</w:t>
            </w:r>
          </w:p>
        </w:tc>
        <w:tc>
          <w:tcPr>
            <w:tcW w:type="dxa" w:w="4420"/>
            <w:vAlign w:val="top"/>
          </w:tcPr>
          <w:p>
            <w:pPr>
              <w:spacing w:after="40" w:before="0" w:line="259" w:lineRule="auto"/>
            </w:pPr>
            <w:r>
              <w:rPr>
                <w:rFonts w:ascii="Calibri" w:hAnsi="Calibri"/>
                <w:b w:val="0"/>
                <w:i w:val="0"/>
                <w:color w:val="212121"/>
                <w:sz w:val="19"/>
              </w:rPr>
              <w:t>Multiple skin tags are associated with insulin resistance and dysglycaemia.</w:t>
            </w:r>
          </w:p>
        </w:tc>
      </w:tr>
      <w:tr>
        <w:trPr>
          <w:cantSplit/>
        </w:trPr>
        <w:tc>
          <w:tcPr>
            <w:tcW w:type="dxa" w:w="3456"/>
            <w:vAlign w:val="top"/>
          </w:tcPr>
          <w:p>
            <w:pPr>
              <w:spacing w:after="40" w:before="0" w:line="259" w:lineRule="auto"/>
            </w:pPr>
            <w:r>
              <w:rPr>
                <w:rFonts w:ascii="Calibri" w:hAnsi="Calibri"/>
                <w:b/>
                <w:i w:val="0"/>
                <w:color w:val="212121"/>
                <w:sz w:val="19"/>
              </w:rPr>
              <w:t>Raised blood pressure</w:t>
            </w:r>
          </w:p>
        </w:tc>
        <w:tc>
          <w:tcPr>
            <w:tcW w:type="dxa" w:w="1728"/>
            <w:vAlign w:val="top"/>
          </w:tcPr>
          <w:p>
            <w:pPr>
              <w:spacing w:after="40" w:before="0" w:line="259" w:lineRule="auto"/>
            </w:pPr>
            <w:r>
              <w:rPr>
                <w:rFonts w:ascii="Calibri" w:hAnsi="Calibri"/>
                <w:b w:val="0"/>
                <w:i w:val="0"/>
                <w:color w:val="212121"/>
                <w:sz w:val="19"/>
              </w:rPr>
              <w:t>Less common</w:t>
            </w:r>
          </w:p>
        </w:tc>
        <w:tc>
          <w:tcPr>
            <w:tcW w:type="dxa" w:w="4420"/>
            <w:vAlign w:val="top"/>
          </w:tcPr>
          <w:p>
            <w:pPr>
              <w:spacing w:after="40" w:before="0" w:line="259" w:lineRule="auto"/>
            </w:pPr>
            <w:r>
              <w:rPr>
                <w:rFonts w:ascii="Calibri" w:hAnsi="Calibri"/>
                <w:b w:val="0"/>
                <w:i w:val="0"/>
                <w:color w:val="212121"/>
                <w:sz w:val="19"/>
              </w:rPr>
              <w:t>Hypertension commonly clusters with prediabetes as part of the metabolic syndrome.</w:t>
            </w:r>
          </w:p>
        </w:tc>
      </w:tr>
      <w:tr>
        <w:trPr>
          <w:cantSplit/>
        </w:trPr>
        <w:tc>
          <w:tcPr>
            <w:tcW w:type="dxa" w:w="3456"/>
            <w:vAlign w:val="top"/>
          </w:tcPr>
          <w:p>
            <w:pPr>
              <w:spacing w:after="40" w:before="0" w:line="259" w:lineRule="auto"/>
            </w:pPr>
            <w:r>
              <w:rPr>
                <w:rFonts w:ascii="Calibri" w:hAnsi="Calibri"/>
                <w:b/>
                <w:i w:val="0"/>
                <w:color w:val="212121"/>
                <w:sz w:val="19"/>
              </w:rPr>
              <w:t>Features of PCOS (hirsutism, acne)</w:t>
            </w:r>
          </w:p>
        </w:tc>
        <w:tc>
          <w:tcPr>
            <w:tcW w:type="dxa" w:w="1728"/>
            <w:vAlign w:val="top"/>
          </w:tcPr>
          <w:p>
            <w:pPr>
              <w:spacing w:after="40" w:before="0" w:line="259" w:lineRule="auto"/>
            </w:pPr>
            <w:r>
              <w:rPr>
                <w:rFonts w:ascii="Calibri" w:hAnsi="Calibri"/>
                <w:b w:val="0"/>
                <w:i w:val="0"/>
                <w:color w:val="212121"/>
                <w:sz w:val="19"/>
              </w:rPr>
              <w:t>Less common</w:t>
            </w:r>
          </w:p>
        </w:tc>
        <w:tc>
          <w:tcPr>
            <w:tcW w:type="dxa" w:w="4420"/>
            <w:vAlign w:val="top"/>
          </w:tcPr>
          <w:p>
            <w:pPr>
              <w:spacing w:after="40" w:before="0" w:line="259" w:lineRule="auto"/>
            </w:pPr>
            <w:r>
              <w:rPr>
                <w:rFonts w:ascii="Calibri" w:hAnsi="Calibri"/>
                <w:b w:val="0"/>
                <w:i w:val="0"/>
                <w:color w:val="212121"/>
                <w:sz w:val="19"/>
              </w:rPr>
              <w:t>In young women, signals the insulin-resistant PCOS phenotype.</w:t>
            </w:r>
          </w:p>
        </w:tc>
      </w:tr>
      <w:tr>
        <w:trPr>
          <w:cantSplit/>
        </w:trPr>
        <w:tc>
          <w:tcPr>
            <w:tcW w:type="dxa" w:w="3456"/>
            <w:vAlign w:val="top"/>
          </w:tcPr>
          <w:p>
            <w:pPr>
              <w:spacing w:after="40" w:before="0" w:line="259" w:lineRule="auto"/>
            </w:pPr>
            <w:r>
              <w:rPr>
                <w:rFonts w:ascii="Calibri" w:hAnsi="Calibri"/>
                <w:b/>
                <w:i w:val="0"/>
                <w:color w:val="212121"/>
                <w:sz w:val="19"/>
              </w:rPr>
              <w:t>Hepatomegaly / fatty liver on imaging</w:t>
            </w:r>
          </w:p>
        </w:tc>
        <w:tc>
          <w:tcPr>
            <w:tcW w:type="dxa" w:w="1728"/>
            <w:vAlign w:val="top"/>
          </w:tcPr>
          <w:p>
            <w:pPr>
              <w:spacing w:after="40" w:before="0" w:line="259" w:lineRule="auto"/>
            </w:pPr>
            <w:r>
              <w:rPr>
                <w:rFonts w:ascii="Calibri" w:hAnsi="Calibri"/>
                <w:b w:val="0"/>
                <w:i w:val="0"/>
                <w:color w:val="212121"/>
                <w:sz w:val="19"/>
              </w:rPr>
              <w:t>Less common</w:t>
            </w:r>
          </w:p>
        </w:tc>
        <w:tc>
          <w:tcPr>
            <w:tcW w:type="dxa" w:w="4420"/>
            <w:vAlign w:val="top"/>
          </w:tcPr>
          <w:p>
            <w:pPr>
              <w:spacing w:after="40" w:before="0" w:line="259" w:lineRule="auto"/>
            </w:pPr>
            <w:r>
              <w:rPr>
                <w:rFonts w:ascii="Calibri" w:hAnsi="Calibri"/>
                <w:b w:val="0"/>
                <w:i w:val="0"/>
                <w:color w:val="212121"/>
                <w:sz w:val="19"/>
              </w:rPr>
              <w:t>Reflects non-alcoholic fatty liver disease from hepatic insulin resistance.</w:t>
            </w:r>
          </w:p>
        </w:tc>
      </w:tr>
      <w:tr>
        <w:trPr>
          <w:cantSplit/>
        </w:trPr>
        <w:tc>
          <w:tcPr>
            <w:tcW w:type="dxa" w:w="3456"/>
            <w:vAlign w:val="top"/>
          </w:tcPr>
          <w:p>
            <w:pPr>
              <w:spacing w:after="40" w:before="0" w:line="259" w:lineRule="auto"/>
            </w:pPr>
            <w:r>
              <w:rPr>
                <w:rFonts w:ascii="Calibri" w:hAnsi="Calibri"/>
                <w:b/>
                <w:i w:val="0"/>
                <w:color w:val="212121"/>
                <w:sz w:val="19"/>
              </w:rPr>
              <w:t>Early loss of monofilament/vibration sensation</w:t>
            </w:r>
          </w:p>
        </w:tc>
        <w:tc>
          <w:tcPr>
            <w:tcW w:type="dxa" w:w="1728"/>
            <w:vAlign w:val="top"/>
          </w:tcPr>
          <w:p>
            <w:pPr>
              <w:spacing w:after="40" w:before="0" w:line="259" w:lineRule="auto"/>
            </w:pPr>
            <w:r>
              <w:rPr>
                <w:rFonts w:ascii="Calibri" w:hAnsi="Calibri"/>
                <w:b w:val="0"/>
                <w:i w:val="0"/>
                <w:color w:val="212121"/>
                <w:sz w:val="19"/>
              </w:rPr>
              <w:t>Rare</w:t>
            </w:r>
          </w:p>
        </w:tc>
        <w:tc>
          <w:tcPr>
            <w:tcW w:type="dxa" w:w="4420"/>
            <w:vAlign w:val="top"/>
          </w:tcPr>
          <w:p>
            <w:pPr>
              <w:spacing w:after="40" w:before="0" w:line="259" w:lineRule="auto"/>
            </w:pPr>
            <w:r>
              <w:rPr>
                <w:rFonts w:ascii="Calibri" w:hAnsi="Calibri"/>
                <w:b w:val="0"/>
                <w:i w:val="0"/>
                <w:color w:val="212121"/>
                <w:sz w:val="19"/>
              </w:rPr>
              <w:t>Subclinical peripheral neuropathy is occasionally detectable, usually near the transition to diabetes.</w:t>
            </w:r>
          </w:p>
        </w:tc>
      </w:tr>
    </w:tbl>
    <w:p>
      <w:pPr>
        <w:spacing w:before="200" w:after="120"/>
      </w:pPr>
      <w:r>
        <w:rPr>
          <w:rFonts w:ascii="Calibri" w:hAnsi="Calibri"/>
          <w:b/>
          <w:i w:val="0"/>
          <w:color w:val="212121"/>
          <w:sz w:val="25"/>
        </w:rPr>
        <w:t>Concomitant conditions</w:t>
      </w:r>
    </w:p>
    <w:p>
      <w:pPr>
        <w:spacing w:before="160" w:after="120"/>
      </w:pPr>
      <w:r>
        <w:rPr>
          <w:rFonts w:ascii="Calibri" w:hAnsi="Calibri"/>
          <w:b/>
          <w:i w:val="0"/>
          <w:color w:val="212121"/>
          <w:sz w:val="22"/>
        </w:rPr>
        <w:t>Relationship Types (classification key)</w:t>
      </w:r>
    </w:p>
    <w:tbl>
      <w:tblPr>
        <w:tblW w:type="dxa" w:w="9604"/>
        <w:jc w:val="center"/>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Grid>
        <w:gridCol w:w="4802"/>
        <w:gridCol w:w="4802"/>
      </w:tblGrid>
      <w:tr>
        <w:trPr>
          <w:cantSplit/>
        </w:trPr>
        <w:tc>
          <w:tcPr>
            <w:tcW w:type="dxa" w:w="2808"/>
            <w:shd w:val="clear" w:color="auto" w:fill="F2F2F2"/>
            <w:vAlign w:val="center"/>
          </w:tcPr>
          <w:p>
            <w:pPr>
              <w:spacing w:after="40" w:before="0" w:line="259" w:lineRule="auto"/>
            </w:pPr>
            <w:r>
              <w:rPr>
                <w:rFonts w:ascii="Calibri" w:hAnsi="Calibri"/>
                <w:b/>
                <w:i w:val="0"/>
                <w:color w:val="212121"/>
                <w:sz w:val="19"/>
              </w:rPr>
              <w:t>Relationship type</w:t>
            </w:r>
          </w:p>
        </w:tc>
        <w:tc>
          <w:tcPr>
            <w:tcW w:type="dxa" w:w="6796"/>
            <w:shd w:val="clear" w:color="auto" w:fill="F2F2F2"/>
            <w:vAlign w:val="center"/>
          </w:tcPr>
          <w:p>
            <w:pPr>
              <w:spacing w:after="40" w:before="0" w:line="259" w:lineRule="auto"/>
            </w:pPr>
            <w:r>
              <w:rPr>
                <w:rFonts w:ascii="Calibri" w:hAnsi="Calibri"/>
                <w:b/>
                <w:i w:val="0"/>
                <w:color w:val="212121"/>
                <w:sz w:val="19"/>
              </w:rPr>
              <w:t>Definition</w:t>
            </w:r>
          </w:p>
        </w:tc>
      </w:tr>
      <w:tr>
        <w:trPr>
          <w:cantSplit/>
        </w:trPr>
        <w:tc>
          <w:tcPr>
            <w:tcW w:type="dxa" w:w="2808"/>
            <w:vAlign w:val="top"/>
          </w:tcPr>
          <w:p>
            <w:pPr>
              <w:spacing w:after="40" w:before="0" w:line="259" w:lineRule="auto"/>
            </w:pPr>
            <w:r>
              <w:rPr>
                <w:rFonts w:ascii="Calibri" w:hAnsi="Calibri"/>
                <w:b/>
                <w:i w:val="0"/>
                <w:color w:val="212121"/>
                <w:sz w:val="19"/>
              </w:rPr>
              <w:t>Predisposes To</w:t>
            </w:r>
          </w:p>
        </w:tc>
        <w:tc>
          <w:tcPr>
            <w:tcW w:type="dxa" w:w="6796"/>
            <w:vAlign w:val="top"/>
          </w:tcPr>
          <w:p>
            <w:pPr>
              <w:spacing w:after="40" w:before="0" w:line="259" w:lineRule="auto"/>
            </w:pPr>
            <w:r>
              <w:rPr>
                <w:rFonts w:ascii="Calibri" w:hAnsi="Calibri"/>
                <w:b w:val="0"/>
                <w:i w:val="0"/>
                <w:color w:val="212121"/>
                <w:sz w:val="19"/>
              </w:rPr>
              <w:t>One condition increases the likelihood of developing another.</w:t>
            </w:r>
          </w:p>
        </w:tc>
      </w:tr>
      <w:tr>
        <w:trPr>
          <w:cantSplit/>
        </w:trPr>
        <w:tc>
          <w:tcPr>
            <w:tcW w:type="dxa" w:w="2808"/>
            <w:vAlign w:val="top"/>
          </w:tcPr>
          <w:p>
            <w:pPr>
              <w:spacing w:after="40" w:before="0" w:line="259" w:lineRule="auto"/>
            </w:pPr>
            <w:r>
              <w:rPr>
                <w:rFonts w:ascii="Calibri" w:hAnsi="Calibri"/>
                <w:b/>
                <w:i w:val="0"/>
                <w:color w:val="212121"/>
                <w:sz w:val="19"/>
              </w:rPr>
              <w:t>Bidirectional Association</w:t>
            </w:r>
          </w:p>
        </w:tc>
        <w:tc>
          <w:tcPr>
            <w:tcW w:type="dxa" w:w="6796"/>
            <w:vAlign w:val="top"/>
          </w:tcPr>
          <w:p>
            <w:pPr>
              <w:spacing w:after="40" w:before="0" w:line="259" w:lineRule="auto"/>
            </w:pPr>
            <w:r>
              <w:rPr>
                <w:rFonts w:ascii="Calibri" w:hAnsi="Calibri"/>
                <w:b w:val="0"/>
                <w:i w:val="0"/>
                <w:color w:val="212121"/>
                <w:sz w:val="19"/>
              </w:rPr>
              <w:t>Both conditions influence each other.</w:t>
            </w:r>
          </w:p>
        </w:tc>
      </w:tr>
      <w:tr>
        <w:trPr>
          <w:cantSplit/>
        </w:trPr>
        <w:tc>
          <w:tcPr>
            <w:tcW w:type="dxa" w:w="2808"/>
            <w:vAlign w:val="top"/>
          </w:tcPr>
          <w:p>
            <w:pPr>
              <w:spacing w:after="40" w:before="0" w:line="259" w:lineRule="auto"/>
            </w:pPr>
            <w:r>
              <w:rPr>
                <w:rFonts w:ascii="Calibri" w:hAnsi="Calibri"/>
                <w:b/>
                <w:i w:val="0"/>
                <w:color w:val="212121"/>
                <w:sz w:val="19"/>
              </w:rPr>
              <w:t>Shared Pathophysiology</w:t>
            </w:r>
          </w:p>
        </w:tc>
        <w:tc>
          <w:tcPr>
            <w:tcW w:type="dxa" w:w="6796"/>
            <w:vAlign w:val="top"/>
          </w:tcPr>
          <w:p>
            <w:pPr>
              <w:spacing w:after="40" w:before="0" w:line="259" w:lineRule="auto"/>
            </w:pPr>
            <w:r>
              <w:rPr>
                <w:rFonts w:ascii="Calibri" w:hAnsi="Calibri"/>
                <w:b w:val="0"/>
                <w:i w:val="0"/>
                <w:color w:val="212121"/>
                <w:sz w:val="19"/>
              </w:rPr>
              <w:t>Common biological mechanisms and shared etiologies.</w:t>
            </w:r>
          </w:p>
        </w:tc>
      </w:tr>
      <w:tr>
        <w:trPr>
          <w:cantSplit/>
        </w:trPr>
        <w:tc>
          <w:tcPr>
            <w:tcW w:type="dxa" w:w="2808"/>
            <w:vAlign w:val="top"/>
          </w:tcPr>
          <w:p>
            <w:pPr>
              <w:spacing w:after="40" w:before="0" w:line="259" w:lineRule="auto"/>
            </w:pPr>
            <w:r>
              <w:rPr>
                <w:rFonts w:ascii="Calibri" w:hAnsi="Calibri"/>
                <w:b/>
                <w:i w:val="0"/>
                <w:color w:val="212121"/>
                <w:sz w:val="19"/>
              </w:rPr>
              <w:t>Complication Of</w:t>
            </w:r>
          </w:p>
        </w:tc>
        <w:tc>
          <w:tcPr>
            <w:tcW w:type="dxa" w:w="6796"/>
            <w:vAlign w:val="top"/>
          </w:tcPr>
          <w:p>
            <w:pPr>
              <w:spacing w:after="40" w:before="0" w:line="259" w:lineRule="auto"/>
            </w:pPr>
            <w:r>
              <w:rPr>
                <w:rFonts w:ascii="Calibri" w:hAnsi="Calibri"/>
                <w:b w:val="0"/>
                <w:i w:val="0"/>
                <w:color w:val="212121"/>
                <w:sz w:val="19"/>
              </w:rPr>
              <w:t>One condition develops as a consequence of the other.</w:t>
            </w:r>
          </w:p>
        </w:tc>
      </w:tr>
      <w:tr>
        <w:trPr>
          <w:cantSplit/>
        </w:trPr>
        <w:tc>
          <w:tcPr>
            <w:tcW w:type="dxa" w:w="2808"/>
            <w:vAlign w:val="top"/>
          </w:tcPr>
          <w:p>
            <w:pPr>
              <w:spacing w:after="40" w:before="0" w:line="259" w:lineRule="auto"/>
            </w:pPr>
            <w:r>
              <w:rPr>
                <w:rFonts w:ascii="Calibri" w:hAnsi="Calibri"/>
                <w:b/>
                <w:i w:val="0"/>
                <w:color w:val="212121"/>
                <w:sz w:val="19"/>
              </w:rPr>
              <w:t>Treatment Interaction</w:t>
            </w:r>
          </w:p>
        </w:tc>
        <w:tc>
          <w:tcPr>
            <w:tcW w:type="dxa" w:w="6796"/>
            <w:vAlign w:val="top"/>
          </w:tcPr>
          <w:p>
            <w:pPr>
              <w:spacing w:after="40" w:before="0" w:line="259" w:lineRule="auto"/>
            </w:pPr>
            <w:r>
              <w:rPr>
                <w:rFonts w:ascii="Calibri" w:hAnsi="Calibri"/>
                <w:b w:val="0"/>
                <w:i w:val="0"/>
                <w:color w:val="212121"/>
                <w:sz w:val="19"/>
              </w:rPr>
              <w:t>Treatment of one condition affects the other.</w:t>
            </w:r>
          </w:p>
        </w:tc>
      </w:tr>
      <w:tr>
        <w:trPr>
          <w:cantSplit/>
        </w:trPr>
        <w:tc>
          <w:tcPr>
            <w:tcW w:type="dxa" w:w="2808"/>
            <w:vAlign w:val="top"/>
          </w:tcPr>
          <w:p>
            <w:pPr>
              <w:spacing w:after="40" w:before="0" w:line="259" w:lineRule="auto"/>
            </w:pPr>
            <w:r>
              <w:rPr>
                <w:rFonts w:ascii="Calibri" w:hAnsi="Calibri"/>
                <w:b/>
                <w:i w:val="0"/>
                <w:color w:val="212121"/>
                <w:sz w:val="19"/>
              </w:rPr>
              <w:t>Clinical Management Impact</w:t>
            </w:r>
          </w:p>
        </w:tc>
        <w:tc>
          <w:tcPr>
            <w:tcW w:type="dxa" w:w="6796"/>
            <w:vAlign w:val="top"/>
          </w:tcPr>
          <w:p>
            <w:pPr>
              <w:spacing w:after="40" w:before="0" w:line="259" w:lineRule="auto"/>
            </w:pPr>
            <w:r>
              <w:rPr>
                <w:rFonts w:ascii="Calibri" w:hAnsi="Calibri"/>
                <w:b w:val="0"/>
                <w:i w:val="0"/>
                <w:color w:val="212121"/>
                <w:sz w:val="19"/>
              </w:rPr>
              <w:t>Coexistence alters diagnosis, monitoring, prognosis, or treatment planning.</w:t>
            </w:r>
          </w:p>
        </w:tc>
      </w:tr>
    </w:tbl>
    <w:p>
      <w:pPr>
        <w:spacing w:before="160" w:after="120"/>
      </w:pPr>
      <w:r>
        <w:rPr>
          <w:rFonts w:ascii="Calibri" w:hAnsi="Calibri"/>
          <w:b/>
          <w:i w:val="0"/>
          <w:color w:val="212121"/>
          <w:sz w:val="22"/>
        </w:rPr>
        <w:t>Complications</w:t>
      </w:r>
    </w:p>
    <w:tbl>
      <w:tblPr>
        <w:tblW w:type="dxa" w:w="9604"/>
        <w:jc w:val="center"/>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Grid>
        <w:gridCol w:w="3202"/>
        <w:gridCol w:w="3202"/>
        <w:gridCol w:w="3202"/>
      </w:tblGrid>
      <w:tr>
        <w:trPr>
          <w:cantSplit/>
        </w:trPr>
        <w:tc>
          <w:tcPr>
            <w:tcW w:type="dxa" w:w="1728"/>
            <w:shd w:val="clear" w:color="auto" w:fill="F2F2F2"/>
            <w:vAlign w:val="center"/>
          </w:tcPr>
          <w:p>
            <w:pPr>
              <w:spacing w:after="40" w:before="0" w:line="259" w:lineRule="auto"/>
            </w:pPr>
            <w:r>
              <w:rPr>
                <w:rFonts w:ascii="Calibri" w:hAnsi="Calibri"/>
                <w:b/>
                <w:i w:val="0"/>
                <w:color w:val="212121"/>
                <w:sz w:val="19"/>
              </w:rPr>
              <w:t>Type</w:t>
            </w:r>
          </w:p>
        </w:tc>
        <w:tc>
          <w:tcPr>
            <w:tcW w:type="dxa" w:w="4896"/>
            <w:shd w:val="clear" w:color="auto" w:fill="F2F2F2"/>
            <w:vAlign w:val="center"/>
          </w:tcPr>
          <w:p>
            <w:pPr>
              <w:spacing w:after="40" w:before="0" w:line="259" w:lineRule="auto"/>
            </w:pPr>
            <w:r>
              <w:rPr>
                <w:rFonts w:ascii="Calibri" w:hAnsi="Calibri"/>
                <w:b/>
                <w:i w:val="0"/>
                <w:color w:val="212121"/>
                <w:sz w:val="19"/>
              </w:rPr>
              <w:t>Complications</w:t>
            </w:r>
          </w:p>
        </w:tc>
        <w:tc>
          <w:tcPr>
            <w:tcW w:type="dxa" w:w="2980"/>
            <w:shd w:val="clear" w:color="auto" w:fill="F2F2F2"/>
            <w:vAlign w:val="center"/>
          </w:tcPr>
          <w:p>
            <w:pPr>
              <w:spacing w:after="40" w:before="0" w:line="259" w:lineRule="auto"/>
            </w:pPr>
            <w:r>
              <w:rPr>
                <w:rFonts w:ascii="Calibri" w:hAnsi="Calibri"/>
                <w:b/>
                <w:i w:val="0"/>
                <w:color w:val="212121"/>
                <w:sz w:val="19"/>
              </w:rPr>
              <w:t>Note</w:t>
            </w:r>
          </w:p>
        </w:tc>
      </w:tr>
      <w:tr>
        <w:trPr>
          <w:cantSplit/>
        </w:trPr>
        <w:tc>
          <w:tcPr>
            <w:tcW w:type="dxa" w:w="1728"/>
            <w:vAlign w:val="top"/>
          </w:tcPr>
          <w:p>
            <w:pPr>
              <w:spacing w:after="40" w:before="0" w:line="259" w:lineRule="auto"/>
            </w:pPr>
            <w:r>
              <w:rPr>
                <w:rFonts w:ascii="Calibri" w:hAnsi="Calibri"/>
                <w:b/>
                <w:i w:val="0"/>
                <w:color w:val="212121"/>
                <w:sz w:val="19"/>
              </w:rPr>
              <w:t>Primary</w:t>
            </w:r>
          </w:p>
        </w:tc>
        <w:tc>
          <w:tcPr>
            <w:tcW w:type="dxa" w:w="4896"/>
            <w:vAlign w:val="top"/>
          </w:tcPr>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Progression to type 2 diabetes mellitus (up to ~70% over time; Asian Indians convert especially fast)</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Persistent and worsening insulin resistance with progressive beta-cell decline</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Evolution into the full metabolic syndrome</w:t>
            </w:r>
          </w:p>
        </w:tc>
        <w:tc>
          <w:tcPr>
            <w:tcW w:type="dxa" w:w="2980"/>
            <w:vAlign w:val="top"/>
          </w:tcPr>
          <w:p>
            <w:pPr>
              <w:spacing w:after="40" w:before="0" w:line="259" w:lineRule="auto"/>
            </w:pPr>
            <w:r>
              <w:rPr>
                <w:rFonts w:ascii="Calibri" w:hAnsi="Calibri"/>
                <w:b w:val="0"/>
                <w:i w:val="0"/>
                <w:color w:val="212121"/>
                <w:sz w:val="19"/>
              </w:rPr>
              <w:t>Direct consequences of sustained intermediate hyperglycaemia when it is not reversed</w:t>
            </w:r>
          </w:p>
        </w:tc>
      </w:tr>
      <w:tr>
        <w:trPr>
          <w:cantSplit/>
        </w:trPr>
        <w:tc>
          <w:tcPr>
            <w:tcW w:type="dxa" w:w="1728"/>
            <w:vAlign w:val="top"/>
          </w:tcPr>
          <w:p>
            <w:pPr>
              <w:spacing w:after="40" w:before="0" w:line="259" w:lineRule="auto"/>
            </w:pPr>
            <w:r>
              <w:rPr>
                <w:rFonts w:ascii="Calibri" w:hAnsi="Calibri"/>
                <w:b/>
                <w:i w:val="0"/>
                <w:color w:val="212121"/>
                <w:sz w:val="19"/>
              </w:rPr>
              <w:t>Secondary</w:t>
            </w:r>
          </w:p>
        </w:tc>
        <w:tc>
          <w:tcPr>
            <w:tcW w:type="dxa" w:w="4896"/>
            <w:vAlign w:val="top"/>
          </w:tcPr>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Increased cardiovascular disease and stroke risk (present even before diabetes onset)</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Atherogenic dyslipidaemia (high triglycerides, low HDL) and hypertension</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Non-alcoholic fatty liver disease</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Early microvascular changes - microalbuminuria and emerging (early) retinopathy and peripheral neuropathy</w:t>
            </w:r>
          </w:p>
        </w:tc>
        <w:tc>
          <w:tcPr>
            <w:tcW w:type="dxa" w:w="2980"/>
            <w:vAlign w:val="top"/>
          </w:tcPr>
          <w:p>
            <w:pPr>
              <w:spacing w:after="40" w:before="0" w:line="259" w:lineRule="auto"/>
            </w:pPr>
            <w:r>
              <w:rPr>
                <w:rFonts w:ascii="Calibri" w:hAnsi="Calibri"/>
                <w:b w:val="0"/>
                <w:i w:val="0"/>
                <w:color w:val="212121"/>
                <w:sz w:val="19"/>
              </w:rPr>
              <w:t>Cardiometabolic and early end-organ effects that can begin within the prediabetic window</w:t>
            </w:r>
          </w:p>
        </w:tc>
      </w:tr>
      <w:tr>
        <w:trPr>
          <w:cantSplit/>
        </w:trPr>
        <w:tc>
          <w:tcPr>
            <w:tcW w:type="dxa" w:w="1728"/>
            <w:vAlign w:val="top"/>
          </w:tcPr>
          <w:p>
            <w:pPr>
              <w:spacing w:after="40" w:before="0" w:line="259" w:lineRule="auto"/>
            </w:pPr>
            <w:r>
              <w:rPr>
                <w:rFonts w:ascii="Calibri" w:hAnsi="Calibri"/>
                <w:b/>
                <w:i w:val="0"/>
                <w:color w:val="212121"/>
                <w:sz w:val="19"/>
              </w:rPr>
              <w:t>Tertiary</w:t>
            </w:r>
          </w:p>
        </w:tc>
        <w:tc>
          <w:tcPr>
            <w:tcW w:type="dxa" w:w="4896"/>
            <w:vAlign w:val="top"/>
          </w:tcPr>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Retinopathy and vision loss</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Diabetic nephropathy and end-stage renal disease</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Peripheral neuropathy and diabetic foot disease</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Macrovascular events - myocardial infarction and stroke</w:t>
            </w:r>
          </w:p>
        </w:tc>
        <w:tc>
          <w:tcPr>
            <w:tcW w:type="dxa" w:w="2980"/>
            <w:vAlign w:val="top"/>
          </w:tcPr>
          <w:p>
            <w:pPr>
              <w:spacing w:after="40" w:before="0" w:line="259" w:lineRule="auto"/>
            </w:pPr>
            <w:r>
              <w:rPr>
                <w:rFonts w:ascii="Calibri" w:hAnsi="Calibri"/>
                <w:b w:val="0"/>
                <w:i w:val="0"/>
                <w:color w:val="212121"/>
                <w:sz w:val="19"/>
              </w:rPr>
              <w:t>Largely preventable downstream outcomes that follow only if prediabetes is allowed to progress to established diabetes - not features of prediabetes itself</w:t>
            </w:r>
          </w:p>
        </w:tc>
      </w:tr>
    </w:tbl>
    <w:p>
      <w:pPr>
        <w:spacing w:before="160" w:after="120"/>
      </w:pPr>
      <w:r>
        <w:rPr>
          <w:rFonts w:ascii="Calibri" w:hAnsi="Calibri"/>
          <w:b/>
          <w:i w:val="0"/>
          <w:color w:val="212121"/>
          <w:sz w:val="22"/>
        </w:rPr>
        <w:t>Associated Medical Conditions</w:t>
      </w:r>
    </w:p>
    <w:tbl>
      <w:tblPr>
        <w:tblW w:type="dxa" w:w="9604"/>
        <w:jc w:val="center"/>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Grid>
        <w:gridCol w:w="3202"/>
        <w:gridCol w:w="3202"/>
        <w:gridCol w:w="3202"/>
      </w:tblGrid>
      <w:tr>
        <w:trPr>
          <w:cantSplit/>
        </w:trPr>
        <w:tc>
          <w:tcPr>
            <w:tcW w:type="dxa" w:w="2232"/>
            <w:shd w:val="clear" w:color="auto" w:fill="F2F2F2"/>
            <w:vAlign w:val="center"/>
          </w:tcPr>
          <w:p>
            <w:pPr>
              <w:spacing w:after="40" w:before="0" w:line="259" w:lineRule="auto"/>
            </w:pPr>
            <w:r>
              <w:rPr>
                <w:rFonts w:ascii="Calibri" w:hAnsi="Calibri"/>
                <w:b/>
                <w:i w:val="0"/>
                <w:color w:val="212121"/>
                <w:sz w:val="19"/>
              </w:rPr>
              <w:t>AMC</w:t>
            </w:r>
          </w:p>
        </w:tc>
        <w:tc>
          <w:tcPr>
            <w:tcW w:type="dxa" w:w="2520"/>
            <w:shd w:val="clear" w:color="auto" w:fill="F2F2F2"/>
            <w:vAlign w:val="center"/>
          </w:tcPr>
          <w:p>
            <w:pPr>
              <w:spacing w:after="40" w:before="0" w:line="259" w:lineRule="auto"/>
            </w:pPr>
            <w:r>
              <w:rPr>
                <w:rFonts w:ascii="Calibri" w:hAnsi="Calibri"/>
                <w:b/>
                <w:i w:val="0"/>
                <w:color w:val="212121"/>
                <w:sz w:val="19"/>
              </w:rPr>
              <w:t>Relationship</w:t>
            </w:r>
          </w:p>
        </w:tc>
        <w:tc>
          <w:tcPr>
            <w:tcW w:type="dxa" w:w="4852"/>
            <w:shd w:val="clear" w:color="auto" w:fill="F2F2F2"/>
            <w:vAlign w:val="center"/>
          </w:tcPr>
          <w:p>
            <w:pPr>
              <w:spacing w:after="40" w:before="0" w:line="259" w:lineRule="auto"/>
            </w:pPr>
            <w:r>
              <w:rPr>
                <w:rFonts w:ascii="Calibri" w:hAnsi="Calibri"/>
                <w:b/>
                <w:i w:val="0"/>
                <w:color w:val="212121"/>
                <w:sz w:val="19"/>
              </w:rPr>
              <w:t>Note</w:t>
            </w:r>
          </w:p>
        </w:tc>
      </w:tr>
      <w:tr>
        <w:trPr>
          <w:cantSplit/>
        </w:trPr>
        <w:tc>
          <w:tcPr>
            <w:tcW w:type="dxa" w:w="2232"/>
            <w:vAlign w:val="top"/>
          </w:tcPr>
          <w:p>
            <w:pPr>
              <w:spacing w:after="40" w:before="0" w:line="259" w:lineRule="auto"/>
            </w:pPr>
            <w:r>
              <w:rPr>
                <w:rFonts w:ascii="Calibri" w:hAnsi="Calibri"/>
                <w:b/>
                <w:i w:val="0"/>
                <w:color w:val="212121"/>
                <w:sz w:val="19"/>
              </w:rPr>
              <w:t>Overweight / abdominal obesity</w:t>
            </w:r>
          </w:p>
        </w:tc>
        <w:tc>
          <w:tcPr>
            <w:tcW w:type="dxa" w:w="2520"/>
            <w:vAlign w:val="top"/>
          </w:tcPr>
          <w:p>
            <w:pPr>
              <w:spacing w:after="40" w:before="0" w:line="259" w:lineRule="auto"/>
            </w:pPr>
            <w:r>
              <w:rPr>
                <w:rFonts w:ascii="Calibri" w:hAnsi="Calibri"/>
                <w:b w:val="0"/>
                <w:i w:val="0"/>
                <w:color w:val="212121"/>
                <w:sz w:val="18"/>
              </w:rPr>
              <w:t>Shared Pathophysiology</w:t>
            </w:r>
          </w:p>
        </w:tc>
        <w:tc>
          <w:tcPr>
            <w:tcW w:type="dxa" w:w="4852"/>
            <w:vAlign w:val="top"/>
          </w:tcPr>
          <w:p>
            <w:pPr>
              <w:spacing w:after="40" w:before="0" w:line="259" w:lineRule="auto"/>
            </w:pPr>
            <w:r>
              <w:rPr>
                <w:rFonts w:ascii="Calibri" w:hAnsi="Calibri"/>
                <w:b w:val="0"/>
                <w:i w:val="0"/>
                <w:color w:val="212121"/>
                <w:sz w:val="19"/>
              </w:rPr>
              <w:t>Central adiposity is the principal driver of insulin resistance; India has an estimated 254 million adults with generalised and 351 million with abdominal obesity.</w:t>
            </w:r>
          </w:p>
        </w:tc>
      </w:tr>
      <w:tr>
        <w:trPr>
          <w:cantSplit/>
        </w:trPr>
        <w:tc>
          <w:tcPr>
            <w:tcW w:type="dxa" w:w="2232"/>
            <w:vAlign w:val="top"/>
          </w:tcPr>
          <w:p>
            <w:pPr>
              <w:spacing w:after="40" w:before="0" w:line="259" w:lineRule="auto"/>
            </w:pPr>
            <w:r>
              <w:rPr>
                <w:rFonts w:ascii="Calibri" w:hAnsi="Calibri"/>
                <w:b/>
                <w:i w:val="0"/>
                <w:color w:val="212121"/>
                <w:sz w:val="19"/>
              </w:rPr>
              <w:t>Metabolic syndrome</w:t>
            </w:r>
          </w:p>
        </w:tc>
        <w:tc>
          <w:tcPr>
            <w:tcW w:type="dxa" w:w="2520"/>
            <w:vAlign w:val="top"/>
          </w:tcPr>
          <w:p>
            <w:pPr>
              <w:spacing w:after="40" w:before="0" w:line="259" w:lineRule="auto"/>
            </w:pPr>
            <w:r>
              <w:rPr>
                <w:rFonts w:ascii="Calibri" w:hAnsi="Calibri"/>
                <w:b w:val="0"/>
                <w:i w:val="0"/>
                <w:color w:val="212121"/>
                <w:sz w:val="18"/>
              </w:rPr>
              <w:t>Shared Pathophysiology</w:t>
            </w:r>
          </w:p>
        </w:tc>
        <w:tc>
          <w:tcPr>
            <w:tcW w:type="dxa" w:w="4852"/>
            <w:vAlign w:val="top"/>
          </w:tcPr>
          <w:p>
            <w:pPr>
              <w:spacing w:after="40" w:before="0" w:line="259" w:lineRule="auto"/>
            </w:pPr>
            <w:r>
              <w:rPr>
                <w:rFonts w:ascii="Calibri" w:hAnsi="Calibri"/>
                <w:b w:val="0"/>
                <w:i w:val="0"/>
                <w:color w:val="212121"/>
                <w:sz w:val="19"/>
              </w:rPr>
              <w:t>Prediabetes is a core defining component, clustering with central obesity, low HDL, high triglycerides and raised blood pressure through shared insulin resistance.</w:t>
            </w:r>
          </w:p>
        </w:tc>
      </w:tr>
      <w:tr>
        <w:trPr>
          <w:cantSplit/>
        </w:trPr>
        <w:tc>
          <w:tcPr>
            <w:tcW w:type="dxa" w:w="2232"/>
            <w:vAlign w:val="top"/>
          </w:tcPr>
          <w:p>
            <w:pPr>
              <w:spacing w:after="40" w:before="0" w:line="259" w:lineRule="auto"/>
            </w:pPr>
            <w:r>
              <w:rPr>
                <w:rFonts w:ascii="Calibri" w:hAnsi="Calibri"/>
                <w:b/>
                <w:i w:val="0"/>
                <w:color w:val="212121"/>
                <w:sz w:val="19"/>
              </w:rPr>
              <w:t>Hypertension</w:t>
            </w:r>
          </w:p>
        </w:tc>
        <w:tc>
          <w:tcPr>
            <w:tcW w:type="dxa" w:w="2520"/>
            <w:vAlign w:val="top"/>
          </w:tcPr>
          <w:p>
            <w:pPr>
              <w:spacing w:after="40" w:before="0" w:line="259" w:lineRule="auto"/>
            </w:pPr>
            <w:r>
              <w:rPr>
                <w:rFonts w:ascii="Calibri" w:hAnsi="Calibri"/>
                <w:b w:val="0"/>
                <w:i w:val="0"/>
                <w:color w:val="212121"/>
                <w:sz w:val="18"/>
              </w:rPr>
              <w:t>Clinical Management Impact</w:t>
            </w:r>
          </w:p>
        </w:tc>
        <w:tc>
          <w:tcPr>
            <w:tcW w:type="dxa" w:w="4852"/>
            <w:vAlign w:val="top"/>
          </w:tcPr>
          <w:p>
            <w:pPr>
              <w:spacing w:after="40" w:before="0" w:line="259" w:lineRule="auto"/>
            </w:pPr>
            <w:r>
              <w:rPr>
                <w:rFonts w:ascii="Calibri" w:hAnsi="Calibri"/>
                <w:b w:val="0"/>
                <w:i w:val="0"/>
                <w:color w:val="212121"/>
                <w:sz w:val="19"/>
              </w:rPr>
              <w:t>Frequently coexists and multiplies cardiovascular risk; national adult prevalence is about 35.5% (around 315 million).</w:t>
            </w:r>
          </w:p>
        </w:tc>
      </w:tr>
      <w:tr>
        <w:trPr>
          <w:cantSplit/>
        </w:trPr>
        <w:tc>
          <w:tcPr>
            <w:tcW w:type="dxa" w:w="2232"/>
            <w:vAlign w:val="top"/>
          </w:tcPr>
          <w:p>
            <w:pPr>
              <w:spacing w:after="40" w:before="0" w:line="259" w:lineRule="auto"/>
            </w:pPr>
            <w:r>
              <w:rPr>
                <w:rFonts w:ascii="Calibri" w:hAnsi="Calibri"/>
                <w:b/>
                <w:i w:val="0"/>
                <w:color w:val="212121"/>
                <w:sz w:val="19"/>
              </w:rPr>
              <w:t>Atherogenic dyslipidaemia</w:t>
            </w:r>
          </w:p>
        </w:tc>
        <w:tc>
          <w:tcPr>
            <w:tcW w:type="dxa" w:w="2520"/>
            <w:vAlign w:val="top"/>
          </w:tcPr>
          <w:p>
            <w:pPr>
              <w:spacing w:after="40" w:before="0" w:line="259" w:lineRule="auto"/>
            </w:pPr>
            <w:r>
              <w:rPr>
                <w:rFonts w:ascii="Calibri" w:hAnsi="Calibri"/>
                <w:b w:val="0"/>
                <w:i w:val="0"/>
                <w:color w:val="212121"/>
                <w:sz w:val="18"/>
              </w:rPr>
              <w:t>Shared Pathophysiology</w:t>
            </w:r>
          </w:p>
        </w:tc>
        <w:tc>
          <w:tcPr>
            <w:tcW w:type="dxa" w:w="4852"/>
            <w:vAlign w:val="top"/>
          </w:tcPr>
          <w:p>
            <w:pPr>
              <w:spacing w:after="40" w:before="0" w:line="259" w:lineRule="auto"/>
            </w:pPr>
            <w:r>
              <w:rPr>
                <w:rFonts w:ascii="Calibri" w:hAnsi="Calibri"/>
                <w:b w:val="0"/>
                <w:i w:val="0"/>
                <w:color w:val="212121"/>
                <w:sz w:val="19"/>
              </w:rPr>
              <w:t>High triglycerides and low HDL arising from insulin resistance; national hypercholesterolaemia prevalence is about 24%.</w:t>
            </w:r>
          </w:p>
        </w:tc>
      </w:tr>
      <w:tr>
        <w:trPr>
          <w:cantSplit/>
        </w:trPr>
        <w:tc>
          <w:tcPr>
            <w:tcW w:type="dxa" w:w="2232"/>
            <w:vAlign w:val="top"/>
          </w:tcPr>
          <w:p>
            <w:pPr>
              <w:spacing w:after="40" w:before="0" w:line="259" w:lineRule="auto"/>
            </w:pPr>
            <w:r>
              <w:rPr>
                <w:rFonts w:ascii="Calibri" w:hAnsi="Calibri"/>
                <w:b/>
                <w:i w:val="0"/>
                <w:color w:val="212121"/>
                <w:sz w:val="19"/>
              </w:rPr>
              <w:t>Non-alcoholic fatty liver disease (NAFLD)</w:t>
            </w:r>
          </w:p>
        </w:tc>
        <w:tc>
          <w:tcPr>
            <w:tcW w:type="dxa" w:w="2520"/>
            <w:vAlign w:val="top"/>
          </w:tcPr>
          <w:p>
            <w:pPr>
              <w:spacing w:after="40" w:before="0" w:line="259" w:lineRule="auto"/>
            </w:pPr>
            <w:r>
              <w:rPr>
                <w:rFonts w:ascii="Calibri" w:hAnsi="Calibri"/>
                <w:b w:val="0"/>
                <w:i w:val="0"/>
                <w:color w:val="212121"/>
                <w:sz w:val="18"/>
              </w:rPr>
              <w:t>Shared Pathophysiology</w:t>
            </w:r>
          </w:p>
        </w:tc>
        <w:tc>
          <w:tcPr>
            <w:tcW w:type="dxa" w:w="4852"/>
            <w:vAlign w:val="top"/>
          </w:tcPr>
          <w:p>
            <w:pPr>
              <w:spacing w:after="40" w:before="0" w:line="259" w:lineRule="auto"/>
            </w:pPr>
            <w:r>
              <w:rPr>
                <w:rFonts w:ascii="Calibri" w:hAnsi="Calibri"/>
                <w:b w:val="0"/>
                <w:i w:val="0"/>
                <w:color w:val="212121"/>
                <w:sz w:val="19"/>
              </w:rPr>
              <w:t>The hepatic manifestation of insulin resistance; very common with prediabetes in Indians and predicts progression.</w:t>
            </w:r>
          </w:p>
        </w:tc>
      </w:tr>
      <w:tr>
        <w:trPr>
          <w:cantSplit/>
        </w:trPr>
        <w:tc>
          <w:tcPr>
            <w:tcW w:type="dxa" w:w="2232"/>
            <w:vAlign w:val="top"/>
          </w:tcPr>
          <w:p>
            <w:pPr>
              <w:spacing w:after="40" w:before="0" w:line="259" w:lineRule="auto"/>
            </w:pPr>
            <w:r>
              <w:rPr>
                <w:rFonts w:ascii="Calibri" w:hAnsi="Calibri"/>
                <w:b/>
                <w:i w:val="0"/>
                <w:color w:val="212121"/>
                <w:sz w:val="19"/>
              </w:rPr>
              <w:t>Polycystic ovary syndrome (PCOS)</w:t>
            </w:r>
          </w:p>
        </w:tc>
        <w:tc>
          <w:tcPr>
            <w:tcW w:type="dxa" w:w="2520"/>
            <w:vAlign w:val="top"/>
          </w:tcPr>
          <w:p>
            <w:pPr>
              <w:spacing w:after="40" w:before="0" w:line="259" w:lineRule="auto"/>
            </w:pPr>
            <w:r>
              <w:rPr>
                <w:rFonts w:ascii="Calibri" w:hAnsi="Calibri"/>
                <w:b w:val="0"/>
                <w:i w:val="0"/>
                <w:color w:val="212121"/>
                <w:sz w:val="18"/>
              </w:rPr>
              <w:t>Shared Pathophysiology</w:t>
            </w:r>
          </w:p>
        </w:tc>
        <w:tc>
          <w:tcPr>
            <w:tcW w:type="dxa" w:w="4852"/>
            <w:vAlign w:val="top"/>
          </w:tcPr>
          <w:p>
            <w:pPr>
              <w:spacing w:after="40" w:before="0" w:line="259" w:lineRule="auto"/>
            </w:pPr>
            <w:r>
              <w:rPr>
                <w:rFonts w:ascii="Calibri" w:hAnsi="Calibri"/>
                <w:b w:val="0"/>
                <w:i w:val="0"/>
                <w:color w:val="212121"/>
                <w:sz w:val="19"/>
              </w:rPr>
              <w:t>Insulin resistance links PCOS with a high prevalence of prediabetes/IGT in reproductive-age women.</w:t>
            </w:r>
          </w:p>
        </w:tc>
      </w:tr>
      <w:tr>
        <w:trPr>
          <w:cantSplit/>
        </w:trPr>
        <w:tc>
          <w:tcPr>
            <w:tcW w:type="dxa" w:w="2232"/>
            <w:vAlign w:val="top"/>
          </w:tcPr>
          <w:p>
            <w:pPr>
              <w:spacing w:after="40" w:before="0" w:line="259" w:lineRule="auto"/>
            </w:pPr>
            <w:r>
              <w:rPr>
                <w:rFonts w:ascii="Calibri" w:hAnsi="Calibri"/>
                <w:b/>
                <w:i w:val="0"/>
                <w:color w:val="212121"/>
                <w:sz w:val="19"/>
              </w:rPr>
              <w:t>Obstructive sleep apnoea (OSA)</w:t>
            </w:r>
          </w:p>
        </w:tc>
        <w:tc>
          <w:tcPr>
            <w:tcW w:type="dxa" w:w="2520"/>
            <w:vAlign w:val="top"/>
          </w:tcPr>
          <w:p>
            <w:pPr>
              <w:spacing w:after="40" w:before="0" w:line="259" w:lineRule="auto"/>
            </w:pPr>
            <w:r>
              <w:rPr>
                <w:rFonts w:ascii="Calibri" w:hAnsi="Calibri"/>
                <w:b w:val="0"/>
                <w:i w:val="0"/>
                <w:color w:val="212121"/>
                <w:sz w:val="18"/>
              </w:rPr>
              <w:t>Clinical Management Impact</w:t>
            </w:r>
          </w:p>
        </w:tc>
        <w:tc>
          <w:tcPr>
            <w:tcW w:type="dxa" w:w="4852"/>
            <w:vAlign w:val="top"/>
          </w:tcPr>
          <w:p>
            <w:pPr>
              <w:spacing w:after="40" w:before="0" w:line="259" w:lineRule="auto"/>
            </w:pPr>
            <w:r>
              <w:rPr>
                <w:rFonts w:ascii="Calibri" w:hAnsi="Calibri"/>
                <w:b w:val="0"/>
                <w:i w:val="0"/>
                <w:color w:val="212121"/>
                <w:sz w:val="19"/>
              </w:rPr>
              <w:t>Intermittent hypoxia worsens insulin sensitivity and accelerates progression to diabetes.</w:t>
            </w:r>
          </w:p>
        </w:tc>
      </w:tr>
      <w:tr>
        <w:trPr>
          <w:cantSplit/>
        </w:trPr>
        <w:tc>
          <w:tcPr>
            <w:tcW w:type="dxa" w:w="2232"/>
            <w:vAlign w:val="top"/>
          </w:tcPr>
          <w:p>
            <w:pPr>
              <w:spacing w:after="40" w:before="0" w:line="259" w:lineRule="auto"/>
            </w:pPr>
            <w:r>
              <w:rPr>
                <w:rFonts w:ascii="Calibri" w:hAnsi="Calibri"/>
                <w:b/>
                <w:i w:val="0"/>
                <w:color w:val="212121"/>
                <w:sz w:val="19"/>
              </w:rPr>
              <w:t>Prior gestational diabetes (GDM)</w:t>
            </w:r>
          </w:p>
        </w:tc>
        <w:tc>
          <w:tcPr>
            <w:tcW w:type="dxa" w:w="2520"/>
            <w:vAlign w:val="top"/>
          </w:tcPr>
          <w:p>
            <w:pPr>
              <w:spacing w:after="40" w:before="0" w:line="259" w:lineRule="auto"/>
            </w:pPr>
            <w:r>
              <w:rPr>
                <w:rFonts w:ascii="Calibri" w:hAnsi="Calibri"/>
                <w:b w:val="0"/>
                <w:i w:val="0"/>
                <w:color w:val="212121"/>
                <w:sz w:val="18"/>
              </w:rPr>
              <w:t>Clinical Management Impact</w:t>
            </w:r>
          </w:p>
        </w:tc>
        <w:tc>
          <w:tcPr>
            <w:tcW w:type="dxa" w:w="4852"/>
            <w:vAlign w:val="top"/>
          </w:tcPr>
          <w:p>
            <w:pPr>
              <w:spacing w:after="40" w:before="0" w:line="259" w:lineRule="auto"/>
            </w:pPr>
            <w:r>
              <w:rPr>
                <w:rFonts w:ascii="Calibri" w:hAnsi="Calibri"/>
                <w:b w:val="0"/>
                <w:i w:val="0"/>
                <w:color w:val="212121"/>
                <w:sz w:val="19"/>
              </w:rPr>
              <w:t>Confers a high future risk of prediabetes and type 2 diabetes; warrants periodic post-partum screening.</w:t>
            </w:r>
          </w:p>
        </w:tc>
      </w:tr>
      <w:tr>
        <w:trPr>
          <w:cantSplit/>
        </w:trPr>
        <w:tc>
          <w:tcPr>
            <w:tcW w:type="dxa" w:w="2232"/>
            <w:vAlign w:val="top"/>
          </w:tcPr>
          <w:p>
            <w:pPr>
              <w:spacing w:after="40" w:before="0" w:line="259" w:lineRule="auto"/>
            </w:pPr>
            <w:r>
              <w:rPr>
                <w:rFonts w:ascii="Calibri" w:hAnsi="Calibri"/>
                <w:b/>
                <w:i w:val="0"/>
                <w:color w:val="212121"/>
                <w:sz w:val="19"/>
              </w:rPr>
              <w:t>Cardiovascular disease</w:t>
            </w:r>
          </w:p>
        </w:tc>
        <w:tc>
          <w:tcPr>
            <w:tcW w:type="dxa" w:w="2520"/>
            <w:vAlign w:val="top"/>
          </w:tcPr>
          <w:p>
            <w:pPr>
              <w:spacing w:after="40" w:before="0" w:line="259" w:lineRule="auto"/>
            </w:pPr>
            <w:r>
              <w:rPr>
                <w:rFonts w:ascii="Calibri" w:hAnsi="Calibri"/>
                <w:b w:val="0"/>
                <w:i w:val="0"/>
                <w:color w:val="212121"/>
                <w:sz w:val="18"/>
              </w:rPr>
              <w:t>Predisposes To</w:t>
            </w:r>
          </w:p>
        </w:tc>
        <w:tc>
          <w:tcPr>
            <w:tcW w:type="dxa" w:w="4852"/>
            <w:vAlign w:val="top"/>
          </w:tcPr>
          <w:p>
            <w:pPr>
              <w:spacing w:after="40" w:before="0" w:line="259" w:lineRule="auto"/>
            </w:pPr>
            <w:r>
              <w:rPr>
                <w:rFonts w:ascii="Calibri" w:hAnsi="Calibri"/>
                <w:b w:val="0"/>
                <w:i w:val="0"/>
                <w:color w:val="212121"/>
                <w:sz w:val="19"/>
              </w:rPr>
              <w:t>Prediabetes is an independent risk factor for coronary heart disease and stroke, even before diabetes develops.</w:t>
            </w:r>
          </w:p>
        </w:tc>
      </w:tr>
    </w:tbl>
    <w:p>
      <w:pPr>
        <w:spacing w:before="200" w:after="120"/>
      </w:pPr>
      <w:r>
        <w:rPr>
          <w:rFonts w:ascii="Calibri" w:hAnsi="Calibri"/>
          <w:b/>
          <w:i w:val="0"/>
          <w:color w:val="212121"/>
          <w:sz w:val="25"/>
        </w:rPr>
        <w:t>Suggestions</w:t>
      </w:r>
    </w:p>
    <w:tbl>
      <w:tblPr>
        <w:tblW w:type="dxa" w:w="9604"/>
        <w:jc w:val="center"/>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Grid>
        <w:gridCol w:w="1921"/>
        <w:gridCol w:w="1921"/>
        <w:gridCol w:w="1921"/>
        <w:gridCol w:w="1921"/>
        <w:gridCol w:w="1921"/>
      </w:tblGrid>
      <w:tr>
        <w:trPr>
          <w:cantSplit/>
        </w:trPr>
        <w:tc>
          <w:tcPr>
            <w:tcW w:type="dxa" w:w="1224"/>
            <w:shd w:val="clear" w:color="auto" w:fill="F2F2F2"/>
            <w:vAlign w:val="center"/>
          </w:tcPr>
          <w:p>
            <w:pPr>
              <w:spacing w:after="40" w:before="0" w:line="259" w:lineRule="auto"/>
            </w:pPr>
            <w:r>
              <w:rPr>
                <w:rFonts w:ascii="Calibri" w:hAnsi="Calibri"/>
                <w:b/>
                <w:i w:val="0"/>
                <w:color w:val="212121"/>
                <w:sz w:val="19"/>
              </w:rPr>
              <w:t>LHP</w:t>
            </w:r>
          </w:p>
        </w:tc>
        <w:tc>
          <w:tcPr>
            <w:tcW w:type="dxa" w:w="1224"/>
            <w:shd w:val="clear" w:color="auto" w:fill="F2F2F2"/>
            <w:vAlign w:val="center"/>
          </w:tcPr>
          <w:p>
            <w:pPr>
              <w:spacing w:after="40" w:before="0" w:line="259" w:lineRule="auto"/>
            </w:pPr>
            <w:r>
              <w:rPr>
                <w:rFonts w:ascii="Calibri" w:hAnsi="Calibri"/>
                <w:b/>
                <w:i w:val="0"/>
                <w:color w:val="212121"/>
                <w:sz w:val="19"/>
              </w:rPr>
              <w:t>Type</w:t>
            </w:r>
          </w:p>
        </w:tc>
        <w:tc>
          <w:tcPr>
            <w:tcW w:type="dxa" w:w="4176"/>
            <w:shd w:val="clear" w:color="auto" w:fill="F2F2F2"/>
            <w:vAlign w:val="center"/>
          </w:tcPr>
          <w:p>
            <w:pPr>
              <w:spacing w:after="40" w:before="0" w:line="259" w:lineRule="auto"/>
            </w:pPr>
            <w:r>
              <w:rPr>
                <w:rFonts w:ascii="Calibri" w:hAnsi="Calibri"/>
                <w:b/>
                <w:i w:val="0"/>
                <w:color w:val="212121"/>
                <w:sz w:val="19"/>
              </w:rPr>
              <w:t>Suggestion</w:t>
            </w:r>
          </w:p>
        </w:tc>
        <w:tc>
          <w:tcPr>
            <w:tcW w:type="dxa" w:w="1944"/>
            <w:shd w:val="clear" w:color="auto" w:fill="F2F2F2"/>
            <w:vAlign w:val="center"/>
          </w:tcPr>
          <w:p>
            <w:pPr>
              <w:spacing w:after="40" w:before="0" w:line="259" w:lineRule="auto"/>
            </w:pPr>
            <w:r>
              <w:rPr>
                <w:rFonts w:ascii="Calibri" w:hAnsi="Calibri"/>
                <w:b/>
                <w:i w:val="0"/>
                <w:color w:val="212121"/>
                <w:sz w:val="19"/>
              </w:rPr>
              <w:t>Profile</w:t>
            </w:r>
          </w:p>
        </w:tc>
        <w:tc>
          <w:tcPr>
            <w:tcW w:type="dxa" w:w="1036"/>
            <w:shd w:val="clear" w:color="auto" w:fill="F2F2F2"/>
            <w:vAlign w:val="center"/>
          </w:tcPr>
          <w:p>
            <w:pPr>
              <w:spacing w:after="40" w:before="0" w:line="259" w:lineRule="auto"/>
            </w:pPr>
            <w:r>
              <w:rPr>
                <w:rFonts w:ascii="Calibri" w:hAnsi="Calibri"/>
                <w:b/>
                <w:i w:val="0"/>
                <w:color w:val="212121"/>
                <w:sz w:val="19"/>
              </w:rPr>
              <w:t>Importance</w:t>
            </w:r>
          </w:p>
        </w:tc>
      </w:tr>
      <w:tr>
        <w:trPr>
          <w:cantSplit/>
        </w:trPr>
        <w:tc>
          <w:tcPr>
            <w:tcW w:type="dxa" w:w="1224"/>
            <w:vAlign w:val="center"/>
          </w:tcPr>
          <w:p>
            <w:pPr>
              <w:spacing w:after="40"/>
            </w:pPr>
            <w:r>
              <w:rPr>
                <w:rFonts w:ascii="Calibri" w:hAnsi="Calibri"/>
                <w:b w:val="0"/>
                <w:i w:val="0"/>
                <w:color w:val="212121"/>
                <w:sz w:val="19"/>
              </w:rPr>
              <w:t>Education</w:t>
            </w:r>
          </w:p>
        </w:tc>
        <w:tc>
          <w:tcPr>
            <w:tcW w:type="dxa" w:w="1224"/>
            <w:vAlign w:val="top"/>
          </w:tcPr>
          <w:p>
            <w:pPr>
              <w:spacing w:after="40" w:before="0" w:line="259" w:lineRule="auto"/>
            </w:pPr>
            <w:r>
              <w:rPr>
                <w:rFonts w:ascii="Calibri" w:hAnsi="Calibri"/>
                <w:b w:val="0"/>
                <w:i w:val="0"/>
                <w:color w:val="212121"/>
                <w:sz w:val="19"/>
              </w:rPr>
              <w:t>Preventive</w:t>
            </w:r>
          </w:p>
        </w:tc>
        <w:tc>
          <w:tcPr>
            <w:tcW w:type="dxa" w:w="4176"/>
            <w:vAlign w:val="top"/>
          </w:tcPr>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Understand that prediabetes is usually silent - get a fasting glucose or HbA1c test from about age 30, and earlier with a family history, overweight/obesity, or prior gestational diabetes.</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Know that prediabetes is a warning, not a diagnosis of diabetes, and is often reversible: structured lifestyle change reverted about 47% of Indian prediabetics to normal glucose in one programme.</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Learn the three tests (fasting glucose, 2-hour OGTT, HbA1c) and that Asian Indians progress faster - so act promptly.</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Recognise clustering conditions (obesity, high blood pressure, high triglycerides, fatty liver, PCOS) and have them assessed together.</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Set concrete goals of 5-7% body-weight loss and at least 150 minutes/week of activity - the targets shown to cut progression to diabetes by up to 58%.</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Attend at least yearly re-testing to catch progression early or to confirm regression to normal glucose.</w:t>
            </w:r>
          </w:p>
        </w:tc>
        <w:tc>
          <w:tcPr>
            <w:tcW w:type="dxa" w:w="1944"/>
            <w:vAlign w:val="top"/>
          </w:tcPr>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All adults 30+</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Family history of diabetes</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Overweight/obese adults</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Women with prior GDM</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Urban office workers</w:t>
            </w:r>
          </w:p>
        </w:tc>
        <w:tc>
          <w:tcPr>
            <w:tcW w:type="dxa" w:w="1036"/>
            <w:vAlign w:val="top"/>
          </w:tcPr>
          <w:p>
            <w:pPr>
              <w:spacing w:after="40" w:before="0" w:line="259" w:lineRule="auto"/>
            </w:pPr>
            <w:r>
              <w:rPr>
                <w:rFonts w:ascii="Calibri" w:hAnsi="Calibri"/>
                <w:b w:val="0"/>
                <w:i w:val="0"/>
                <w:color w:val="212121"/>
                <w:sz w:val="19"/>
              </w:rPr>
              <w:t>NA</w:t>
            </w:r>
          </w:p>
        </w:tc>
      </w:tr>
      <w:tr>
        <w:trPr>
          <w:cantSplit/>
        </w:trPr>
        <w:tc>
          <w:tcPr>
            <w:tcW w:type="dxa" w:w="1224"/>
            <w:vAlign w:val="center"/>
          </w:tcPr>
          <w:p>
            <w:pPr>
              <w:spacing w:after="40"/>
            </w:pPr>
            <w:r>
              <w:rPr>
                <w:rFonts w:ascii="Calibri" w:hAnsi="Calibri"/>
                <w:b w:val="0"/>
                <w:i w:val="0"/>
                <w:color w:val="212121"/>
                <w:sz w:val="19"/>
              </w:rPr>
              <w:t>Physical Activity</w:t>
            </w:r>
          </w:p>
        </w:tc>
        <w:tc>
          <w:tcPr>
            <w:tcW w:type="dxa" w:w="1224"/>
            <w:vAlign w:val="top"/>
          </w:tcPr>
          <w:p>
            <w:pPr>
              <w:spacing w:after="40" w:before="0" w:line="259" w:lineRule="auto"/>
            </w:pPr>
            <w:r>
              <w:rPr>
                <w:rFonts w:ascii="Calibri" w:hAnsi="Calibri"/>
                <w:b w:val="0"/>
                <w:i w:val="0"/>
                <w:color w:val="212121"/>
                <w:sz w:val="19"/>
              </w:rPr>
              <w:t>Therapeutic</w:t>
            </w:r>
          </w:p>
        </w:tc>
        <w:tc>
          <w:tcPr>
            <w:tcW w:type="dxa" w:w="4176"/>
            <w:vAlign w:val="top"/>
          </w:tcPr>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Do at least 150 minutes/week of moderate aerobic activity (brisk walking, cycling, swimming), spread across most days.</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Add resistance/strength training 2-3 days/week to build muscle and improve insulin sensitivity.</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Take a 10-15 minute walk after meals to blunt post-prandial glucose spikes.</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Break up prolonged sitting with short movement every 30-60 minutes.</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Aim for gradual 5-7% weight loss and a smaller waist - the level shown to prevent progression to diabetes.</w:t>
            </w:r>
          </w:p>
        </w:tc>
        <w:tc>
          <w:tcPr>
            <w:tcW w:type="dxa" w:w="1944"/>
            <w:vAlign w:val="top"/>
          </w:tcPr>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Sedentary workers</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Overweight and obese adults</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Thin-fat/metabolically obese normal-weight</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People with IGT</w:t>
            </w:r>
          </w:p>
        </w:tc>
        <w:tc>
          <w:tcPr>
            <w:tcW w:type="dxa" w:w="1036"/>
            <w:vAlign w:val="top"/>
          </w:tcPr>
          <w:p>
            <w:pPr>
              <w:spacing w:after="40" w:before="0" w:line="259" w:lineRule="auto"/>
            </w:pPr>
            <w:r>
              <w:rPr>
                <w:rFonts w:ascii="Calibri" w:hAnsi="Calibri"/>
                <w:b w:val="0"/>
                <w:i w:val="0"/>
                <w:color w:val="212121"/>
                <w:sz w:val="19"/>
              </w:rPr>
              <w:t>High</w:t>
            </w:r>
          </w:p>
        </w:tc>
      </w:tr>
      <w:tr>
        <w:trPr>
          <w:cantSplit/>
        </w:trPr>
        <w:tc>
          <w:tcPr>
            <w:tcW w:type="dxa" w:w="1224"/>
            <w:vAlign w:val="center"/>
          </w:tcPr>
          <w:p>
            <w:pPr>
              <w:spacing w:after="40"/>
            </w:pPr>
            <w:r>
              <w:rPr>
                <w:rFonts w:ascii="Calibri" w:hAnsi="Calibri"/>
                <w:b w:val="0"/>
                <w:i w:val="0"/>
                <w:color w:val="212121"/>
                <w:sz w:val="19"/>
              </w:rPr>
              <w:t>Food</w:t>
            </w:r>
          </w:p>
        </w:tc>
        <w:tc>
          <w:tcPr>
            <w:tcW w:type="dxa" w:w="1224"/>
            <w:vAlign w:val="top"/>
          </w:tcPr>
          <w:p>
            <w:pPr>
              <w:spacing w:after="40" w:before="0" w:line="259" w:lineRule="auto"/>
            </w:pPr>
            <w:r>
              <w:rPr>
                <w:rFonts w:ascii="Calibri" w:hAnsi="Calibri"/>
                <w:b w:val="0"/>
                <w:i w:val="0"/>
                <w:color w:val="212121"/>
                <w:sz w:val="19"/>
              </w:rPr>
              <w:t>Preventive</w:t>
            </w:r>
          </w:p>
        </w:tc>
        <w:tc>
          <w:tcPr>
            <w:tcW w:type="dxa" w:w="4176"/>
            <w:vAlign w:val="top"/>
          </w:tcPr>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Replace refined, high-glycaemic carbohydrates (polished white rice, refined wheat/maida, sugar) with whole grains and millets (ragi, jowar, bajra) and pulses.</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Fill half the plate with non-starchy vegetables; choose whole fruit over juices and avoid sugar-sweetened beverages.</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Target 25-40 g/day of fibre and spread carbohydrates evenly across meals to reduce glucose spikes.</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Cut ultra-processed foods, bakery items, fried snacks and trans fats; prefer home-cooked low-oil meals.</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Use portion control and a modest calorie deficit where weight loss is needed.</w:t>
            </w:r>
          </w:p>
        </w:tc>
        <w:tc>
          <w:tcPr>
            <w:tcW w:type="dxa" w:w="1944"/>
            <w:vAlign w:val="top"/>
          </w:tcPr>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High refined-carb diets</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Urban adults</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Overweight prediabetics</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Metabolic syndrome</w:t>
            </w:r>
          </w:p>
        </w:tc>
        <w:tc>
          <w:tcPr>
            <w:tcW w:type="dxa" w:w="1036"/>
            <w:vAlign w:val="top"/>
          </w:tcPr>
          <w:p>
            <w:pPr>
              <w:spacing w:after="40" w:before="0" w:line="259" w:lineRule="auto"/>
            </w:pPr>
            <w:r>
              <w:rPr>
                <w:rFonts w:ascii="Calibri" w:hAnsi="Calibri"/>
                <w:b w:val="0"/>
                <w:i w:val="0"/>
                <w:color w:val="212121"/>
                <w:sz w:val="19"/>
              </w:rPr>
              <w:t>High</w:t>
            </w:r>
          </w:p>
        </w:tc>
      </w:tr>
      <w:tr>
        <w:trPr>
          <w:cantSplit/>
        </w:trPr>
        <w:tc>
          <w:tcPr>
            <w:tcW w:type="dxa" w:w="1224"/>
            <w:vAlign w:val="center"/>
          </w:tcPr>
          <w:p>
            <w:pPr>
              <w:spacing w:after="40"/>
            </w:pPr>
            <w:r>
              <w:rPr>
                <w:rFonts w:ascii="Calibri" w:hAnsi="Calibri"/>
                <w:b w:val="0"/>
                <w:i w:val="0"/>
                <w:color w:val="212121"/>
                <w:sz w:val="19"/>
              </w:rPr>
              <w:t>Sleep</w:t>
            </w:r>
          </w:p>
        </w:tc>
        <w:tc>
          <w:tcPr>
            <w:tcW w:type="dxa" w:w="1224"/>
            <w:vAlign w:val="top"/>
          </w:tcPr>
          <w:p>
            <w:pPr>
              <w:spacing w:after="40" w:before="0" w:line="259" w:lineRule="auto"/>
            </w:pPr>
            <w:r>
              <w:rPr>
                <w:rFonts w:ascii="Calibri" w:hAnsi="Calibri"/>
                <w:b w:val="0"/>
                <w:i w:val="0"/>
                <w:color w:val="212121"/>
                <w:sz w:val="19"/>
              </w:rPr>
              <w:t>Preventive</w:t>
            </w:r>
          </w:p>
        </w:tc>
        <w:tc>
          <w:tcPr>
            <w:tcW w:type="dxa" w:w="4176"/>
            <w:vAlign w:val="top"/>
          </w:tcPr>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Aim for 7-9 hours of good-quality sleep on a consistent schedule.</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Screen for and treat obstructive sleep apnoea, especially in obese individuals and loud snorers.</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Avoid late-night heavy meals and limit screen time before bed.</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Manage shift-work sleep disruption, which worsens glucose control.</w:t>
            </w:r>
          </w:p>
        </w:tc>
        <w:tc>
          <w:tcPr>
            <w:tcW w:type="dxa" w:w="1944"/>
            <w:vAlign w:val="top"/>
          </w:tcPr>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Obese adults</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Snorers / suspected OSA</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Shift workers</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Adults with poor sleep</w:t>
            </w:r>
          </w:p>
        </w:tc>
        <w:tc>
          <w:tcPr>
            <w:tcW w:type="dxa" w:w="1036"/>
            <w:vAlign w:val="top"/>
          </w:tcPr>
          <w:p>
            <w:pPr>
              <w:spacing w:after="40" w:before="0" w:line="259" w:lineRule="auto"/>
            </w:pPr>
            <w:r>
              <w:rPr>
                <w:rFonts w:ascii="Calibri" w:hAnsi="Calibri"/>
                <w:b w:val="0"/>
                <w:i w:val="0"/>
                <w:color w:val="212121"/>
                <w:sz w:val="19"/>
              </w:rPr>
              <w:t>Medium</w:t>
            </w:r>
          </w:p>
        </w:tc>
      </w:tr>
      <w:tr>
        <w:trPr>
          <w:cantSplit/>
        </w:trPr>
        <w:tc>
          <w:tcPr>
            <w:tcW w:type="dxa" w:w="1224"/>
            <w:vAlign w:val="center"/>
          </w:tcPr>
          <w:p>
            <w:pPr>
              <w:spacing w:after="40"/>
            </w:pPr>
            <w:r>
              <w:rPr>
                <w:rFonts w:ascii="Calibri" w:hAnsi="Calibri"/>
                <w:b w:val="0"/>
                <w:i w:val="0"/>
                <w:color w:val="212121"/>
                <w:sz w:val="19"/>
              </w:rPr>
              <w:t>Smoking</w:t>
            </w:r>
          </w:p>
        </w:tc>
        <w:tc>
          <w:tcPr>
            <w:tcW w:type="dxa" w:w="1224"/>
            <w:vAlign w:val="top"/>
          </w:tcPr>
          <w:p>
            <w:pPr>
              <w:spacing w:after="40" w:before="0" w:line="259" w:lineRule="auto"/>
            </w:pPr>
            <w:r>
              <w:rPr>
                <w:rFonts w:ascii="Calibri" w:hAnsi="Calibri"/>
                <w:b w:val="0"/>
                <w:i w:val="0"/>
                <w:color w:val="212121"/>
                <w:sz w:val="19"/>
              </w:rPr>
              <w:t>Therapeutic</w:t>
            </w:r>
          </w:p>
        </w:tc>
        <w:tc>
          <w:tcPr>
            <w:tcW w:type="dxa" w:w="4176"/>
            <w:vAlign w:val="top"/>
          </w:tcPr>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Stop all tobacco (cigarettes, bidis, smokeless), which independently raises the risk of progression to diabetes.</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Use behavioural support and pharmacotherapy (nicotine replacement, approved medications) to quit.</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Avoid second-hand smoke, which also worsens insulin resistance.</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Combine cessation with diet and activity to manage any post-quit weight gain.</w:t>
            </w:r>
          </w:p>
        </w:tc>
        <w:tc>
          <w:tcPr>
            <w:tcW w:type="dxa" w:w="1944"/>
            <w:vAlign w:val="top"/>
          </w:tcPr>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Smokers</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Tobacco users</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Prediabetics with cardiovascular risk</w:t>
            </w:r>
          </w:p>
        </w:tc>
        <w:tc>
          <w:tcPr>
            <w:tcW w:type="dxa" w:w="1036"/>
            <w:vAlign w:val="top"/>
          </w:tcPr>
          <w:p>
            <w:pPr>
              <w:spacing w:after="40" w:before="0" w:line="259" w:lineRule="auto"/>
            </w:pPr>
            <w:r>
              <w:rPr>
                <w:rFonts w:ascii="Calibri" w:hAnsi="Calibri"/>
                <w:b w:val="0"/>
                <w:i w:val="0"/>
                <w:color w:val="212121"/>
                <w:sz w:val="19"/>
              </w:rPr>
              <w:t>Medium</w:t>
            </w:r>
          </w:p>
        </w:tc>
      </w:tr>
      <w:tr>
        <w:trPr>
          <w:cantSplit/>
        </w:trPr>
        <w:tc>
          <w:tcPr>
            <w:tcW w:type="dxa" w:w="1224"/>
            <w:vAlign w:val="center"/>
          </w:tcPr>
          <w:p>
            <w:pPr>
              <w:spacing w:after="40"/>
            </w:pPr>
            <w:r>
              <w:rPr>
                <w:rFonts w:ascii="Calibri" w:hAnsi="Calibri"/>
                <w:b w:val="0"/>
                <w:i w:val="0"/>
                <w:color w:val="212121"/>
                <w:sz w:val="19"/>
              </w:rPr>
              <w:t>Alcohol</w:t>
            </w:r>
          </w:p>
        </w:tc>
        <w:tc>
          <w:tcPr>
            <w:tcW w:type="dxa" w:w="1224"/>
            <w:vAlign w:val="top"/>
          </w:tcPr>
          <w:p>
            <w:pPr>
              <w:spacing w:after="40" w:before="0" w:line="259" w:lineRule="auto"/>
            </w:pPr>
            <w:r>
              <w:rPr>
                <w:rFonts w:ascii="Calibri" w:hAnsi="Calibri"/>
                <w:b w:val="0"/>
                <w:i w:val="0"/>
                <w:color w:val="212121"/>
                <w:sz w:val="19"/>
              </w:rPr>
              <w:t>Preventive</w:t>
            </w:r>
          </w:p>
        </w:tc>
        <w:tc>
          <w:tcPr>
            <w:tcW w:type="dxa" w:w="4176"/>
            <w:vAlign w:val="top"/>
          </w:tcPr>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Limit or avoid alcohol; it adds empty calories, promotes central fat and raises blood pressure.</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Avoid sugary mixers and regular or heavy drinking patterns.</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If drinking, keep intake low and never on an empty stomach.</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Do not use any presumed benefit of alcohol as a reason to drink.</w:t>
            </w:r>
          </w:p>
        </w:tc>
        <w:tc>
          <w:tcPr>
            <w:tcW w:type="dxa" w:w="1944"/>
            <w:vAlign w:val="top"/>
          </w:tcPr>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Regular drinkers</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Overweight prediabetics</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Hypertensive individuals</w:t>
            </w:r>
          </w:p>
        </w:tc>
        <w:tc>
          <w:tcPr>
            <w:tcW w:type="dxa" w:w="1036"/>
            <w:vAlign w:val="top"/>
          </w:tcPr>
          <w:p>
            <w:pPr>
              <w:spacing w:after="40" w:before="0" w:line="259" w:lineRule="auto"/>
            </w:pPr>
            <w:r>
              <w:rPr>
                <w:rFonts w:ascii="Calibri" w:hAnsi="Calibri"/>
                <w:b w:val="0"/>
                <w:i w:val="0"/>
                <w:color w:val="212121"/>
                <w:sz w:val="19"/>
              </w:rPr>
              <w:t>Medium</w:t>
            </w:r>
          </w:p>
        </w:tc>
      </w:tr>
      <w:tr>
        <w:trPr>
          <w:cantSplit/>
        </w:trPr>
        <w:tc>
          <w:tcPr>
            <w:tcW w:type="dxa" w:w="1224"/>
            <w:vAlign w:val="center"/>
          </w:tcPr>
          <w:p>
            <w:pPr>
              <w:spacing w:after="40"/>
            </w:pPr>
            <w:r>
              <w:rPr>
                <w:rFonts w:ascii="Calibri" w:hAnsi="Calibri"/>
                <w:b w:val="0"/>
                <w:i w:val="0"/>
                <w:color w:val="212121"/>
                <w:sz w:val="19"/>
              </w:rPr>
              <w:t>Mental health</w:t>
            </w:r>
          </w:p>
        </w:tc>
        <w:tc>
          <w:tcPr>
            <w:tcW w:type="dxa" w:w="1224"/>
            <w:vAlign w:val="top"/>
          </w:tcPr>
          <w:p>
            <w:pPr>
              <w:spacing w:after="40" w:before="0" w:line="259" w:lineRule="auto"/>
            </w:pPr>
            <w:r>
              <w:rPr>
                <w:rFonts w:ascii="Calibri" w:hAnsi="Calibri"/>
                <w:b w:val="0"/>
                <w:i w:val="0"/>
                <w:color w:val="212121"/>
                <w:sz w:val="19"/>
              </w:rPr>
              <w:t>Preventive</w:t>
            </w:r>
          </w:p>
        </w:tc>
        <w:tc>
          <w:tcPr>
            <w:tcW w:type="dxa" w:w="4176"/>
            <w:vAlign w:val="top"/>
          </w:tcPr>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Manage chronic stress with yoga, breathing exercises, mindfulness or counselling to limit cortisol-driven glucose rises.</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Screen for and treat depression, which is linked to inactivity, poor diet and higher diabetes risk.</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Build sustainable routines and social or peer support rather than short-term crash diets.</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Prioritise sleep and work-life balance to support metabolic health.</w:t>
            </w:r>
          </w:p>
        </w:tc>
        <w:tc>
          <w:tcPr>
            <w:tcW w:type="dxa" w:w="1944"/>
            <w:vAlign w:val="top"/>
          </w:tcPr>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High-stress professionals</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Adults with depression</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Anyone starting lifestyle change</w:t>
            </w:r>
          </w:p>
        </w:tc>
        <w:tc>
          <w:tcPr>
            <w:tcW w:type="dxa" w:w="1036"/>
            <w:vAlign w:val="top"/>
          </w:tcPr>
          <w:p>
            <w:pPr>
              <w:spacing w:after="40" w:before="0" w:line="259" w:lineRule="auto"/>
            </w:pPr>
            <w:r>
              <w:rPr>
                <w:rFonts w:ascii="Calibri" w:hAnsi="Calibri"/>
                <w:b w:val="0"/>
                <w:i w:val="0"/>
                <w:color w:val="212121"/>
                <w:sz w:val="19"/>
              </w:rPr>
              <w:t>Medium</w:t>
            </w:r>
          </w:p>
        </w:tc>
      </w:tr>
    </w:tbl>
    <w:sectPr w:rsidR="00FC693F" w:rsidRPr="0006063C" w:rsidSect="00034616">
      <w:pgSz w:w="11909" w:h="16834"/>
      <w:pgMar w:top="1152" w:right="1152" w:bottom="1152"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before="0" w:line="269" w:lineRule="auto"/>
    </w:pPr>
    <w:rPr>
      <w:rFonts w:ascii="Calibri" w:hAnsi="Calibri" w:cs="Calibri"/>
      <w:color w:val="212121"/>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yperlink" Target="https://nmji.in/lessons-learnt-from-the-icmrindiab-study/" TargetMode="External"/><Relationship Id="rId10" Type="http://schemas.openxmlformats.org/officeDocument/2006/relationships/hyperlink" Target="https://pmc.ncbi.nlm.nih.gov/articles/PMC10586560" TargetMode="External"/><Relationship Id="rId11" Type="http://schemas.openxmlformats.org/officeDocument/2006/relationships/hyperlink" Target="https://www.frontiersin.org/journals/endocrinology/articles/10.3389/fendo.2023.1118848/full" TargetMode="External"/><Relationship Id="rId12" Type="http://schemas.openxmlformats.org/officeDocument/2006/relationships/hyperlink" Target="https://ijmr.org.in/high-prevalence-of-metabolic-obesity-in-india-the-icmr-indiab-national-study-icmr-indiab-23/" TargetMode="External"/><Relationship Id="rId13" Type="http://schemas.openxmlformats.org/officeDocument/2006/relationships/hyperlink" Target="https://pmc.ncbi.nlm.nih.gov/articles/PMC12367371/" TargetMode="External"/><Relationship Id="rId14" Type="http://schemas.openxmlformats.org/officeDocument/2006/relationships/hyperlink" Target="https://diabetesjournals.org/care/article/48/Supplement_1/S27/157566/2-Diagnosis-and-Classification-of-Diabetes"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