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Abdominal / Central Obesity</w:t>
      </w:r>
    </w:p>
    <w:p>
      <w:pPr>
        <w:spacing w:before="0" w:after="160"/>
      </w:pPr>
      <w:r>
        <w:rPr>
          <w:rFonts w:ascii="Calibri" w:hAnsi="Calibri"/>
          <w:b/>
          <w:i w:val="0"/>
          <w:color w:val="212121"/>
          <w:sz w:val="22"/>
        </w:rPr>
        <w:t xml:space="preserve">AKA </w:t>
      </w:r>
      <w:r>
        <w:rPr>
          <w:rFonts w:ascii="Calibri" w:hAnsi="Calibri"/>
          <w:b w:val="0"/>
          <w:i w:val="0"/>
          <w:color w:val="212121"/>
          <w:sz w:val="22"/>
        </w:rPr>
        <w:t>i.e., Central obesity, Visceral obesity, Truncal / android obesity, Apple-shaped obesity, ‘Pot belly’ / ‘Belly fat’, Metabolically-obese-normal-weight (‘thin-fat’) phenotype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Abdominal (central) obesity is the excess accumulation of fat within and around the abdominal cavity — in particular metabolically active visceral adipose tissue surrounding the intra-abdominal organs — producing an ‘apple-shaped’ (android) body habitus. Unlike generalized obesity, which is captured by the body mass index (BMI), it is defined by waist circumference, waist-to-hip ratio (WHR) or waist-to-height ratio (WHtR), and is a substantially stronger predictor of type 2 diabetes, dyslipidaemia, hypertension and cardiovascular disease. In Asian Indians it is the key adverse metabolic phenotype and frequently occurs even at a ‘normal’ BMI (the ‘thin-fat’ or metabolically-obese-normal-weight pattern), driven by a limited subcutaneous fat-storage capacity that forces fat to spill over into visceral and ectopic depots.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Abdominal obesity is more common than generalized obesity in India. The nationally representative ICMR-INDIAB study estimated an abdominal-obesity prevalence of 39.5% — about 351 million adults — compared with 28.6% for generalized obesity, with wide interstate variation from roughly 18.4% in Jharkhand to 61.2% in Puducherry. NFHS-5 (2019–21), which measured waist circumference nationally for the first time, found abdominal obesity in about 40% of women and 12% of men, with 5–6 of every 10 women aged 30–49 years affected.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Abdominal obesity is a clinical, anthropometry-based diagnosis. Using ethnicity-specific (Asian-Indian) cut-offs, it is identified by one or more of the following, ideally with generalized-obesity and metabolic assessment: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Waist circumference (measured at the midpoint between the lowest rib and the iliac crest): ≥ 90 cm in men and ≥ 80 cm in women (Asian-Indian / South-Asian cut-offs — lower than the ≥ 102 cm / ≥ 88 cm used for Europeans);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Waist-to-hip ratio (WHR): ≥ 0.90 in men and ≥ 0.85 in women (WHO); the Asian-Indian consensus uses ≥ 0.88 in men and ≥ 0.80 in women;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Waist-to-height ratio (WHtR) ≥ 0.5 — a simple screen summarised as ‘keep your waist to less than half your height’, applicable across sexes and ethnicities;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generalized measures: Asian-Indian BMI ≥ 23 kg/m² (overweight) and ≥ 25 kg/m² (obesity), and body-fat percentage ≥ 20.6% (men) / ≥ 33.4% (women) identifying ‘thin-fat’ individuals with normal BMI;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Confirmatory / research imaging when needed: ultrasound, DXA, or CT/MRI quantification of visceral adipose tissue distinguishes visceral from subcutaneous fat and refines cardiometabolic risk.</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Central obesity is described by fat distribution, by the underlying body-composition phenotype, and by the coexistence of generalized obesity and metabolic risk:</w:t>
      </w:r>
    </w:p>
    <w:p>
      <w:pPr>
        <w:spacing w:before="0" w:after="80"/>
      </w:pPr>
      <w:r>
        <w:rPr>
          <w:rFonts w:ascii="Calibri" w:hAnsi="Calibri"/>
          <w:b w:val="0"/>
          <w:i w:val="0"/>
          <w:color w:val="212121"/>
          <w:sz w:val="21"/>
        </w:rPr>
        <w:t>(1) By fat depot — Visceral (intra-abdominal) obesity, the metabolically hazardous fat surrounding the viscera and draining via the portal vein to the liver, versus Subcutaneous abdominal obesity, which is less strongly linked to metabolic disease; central obesity risk is driven chiefly by the visceral component.</w:t>
      </w:r>
    </w:p>
    <w:p>
      <w:pPr>
        <w:spacing w:before="0" w:after="80"/>
      </w:pPr>
      <w:r>
        <w:rPr>
          <w:rFonts w:ascii="Calibri" w:hAnsi="Calibri"/>
          <w:b w:val="0"/>
          <w:i w:val="0"/>
          <w:color w:val="212121"/>
          <w:sz w:val="21"/>
        </w:rPr>
        <w:t>(2) By body shape — Android (‘apple-shaped’, upper-body/truncal) fat distribution, typical of men and post-menopausal women and strongly cardiometabolic, versus Gynoid (‘pear-shaped’, gluteo-femoral) distribution, which is comparatively protective.</w:t>
      </w:r>
    </w:p>
    <w:p>
      <w:pPr>
        <w:spacing w:before="0" w:after="80"/>
      </w:pPr>
      <w:r>
        <w:rPr>
          <w:rFonts w:ascii="Calibri" w:hAnsi="Calibri"/>
          <w:b w:val="0"/>
          <w:i w:val="0"/>
          <w:color w:val="212121"/>
          <w:sz w:val="21"/>
        </w:rPr>
        <w:t>(3) By BMI–metabolic phenotype — Metabolically-obese-obese (MOO: high BMI with central obesity and metabolic risk), and the Asian-Indian-characteristic Metabolically-obese-normal-weight / ‘thin-fat’ pattern (MONO: normal or near-normal BMI but high waist circumference, high body-fat percentage and metabolic abnormalities). In the ICMR-INDIAB-23 analysis, metabolically-obese-non-obese individuals made up about 43.3% of adults versus 28.3% who were metabolically-obese-obese.</w:t>
      </w:r>
    </w:p>
    <w:p>
      <w:pPr>
        <w:spacing w:before="0" w:after="80"/>
      </w:pPr>
      <w:r>
        <w:rPr>
          <w:rFonts w:ascii="Calibri" w:hAnsi="Calibri"/>
          <w:b w:val="0"/>
          <w:i w:val="0"/>
          <w:color w:val="212121"/>
          <w:sz w:val="21"/>
        </w:rPr>
        <w:t>(4) By severity / action level — Asian-Indian guidance defines an early ‘monitor and prevent’ action level (waist ≈ 78 cm men / 72 cm women) and a higher ‘seek evaluation’ action level (≥ 90 cm men / ≥ 80 cm women), the latter also serving as the abdominal-obesity component of the metabolic syndrome.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Positive energy balance &amp; sedentary living: Chronic excess calorie intake with low physical activity drives fat storage; when subcutaneous stores are saturated, surplus energy is deposited as visceral and ectopic (liver, pancreas, muscle) fat.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Asian-Indian ‘thin-fat’ body composition: A genetically and developmentally programmed low capacity for subcutaneous fat storage causes ‘fat overflow’ into the visceral compartment, so South Asians accumulate abdominal fat and insulin resistance at a lower BMI than other populations.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High-glycaemic, refined-carbohydrate diet: Diets dominated by white rice, refined wheat, added sugar and ultra-processed foods raise insulin and promote preferential visceral-fat deposition; ICMR-INDIAB-21 found Indian diets derive about 62% of energy from carbohydrate.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Hormonal &amp; life-stage factors: Falling oestrogen at menopause shifts fat from gluteo-femoral to visceral depots in women; ageing brings muscle loss with relative visceral-fat gain (sarcopenic central obesity); Cushingoid / hypercortisolism and hypothyroidism promote truncal fat.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stress &amp; disturbed sleep: Sustained HPA-axis activation and elevated cortisol favour visceral-fat accumulation, and short or poor-quality sleep independently raises central-obesity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Fetal / developmental programming: Low birth weight and maternal undernutrition (the ‘thrifty phenotype’) followed by later calorie abundance predispose to central adiposity and insulin resistance in adulthood.</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Behavioural exposures: Tobacco smoking and heavy alcohol intake both increase central and visceral fat despite little or no effect on — or even lowering of — overall body weight.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(30–54 years)</w:t>
            </w:r>
          </w:p>
        </w:tc>
        <w:tc>
          <w:tcPr>
            <w:tcW w:type="dxa" w:w="4276"/>
            <w:vAlign w:val="top"/>
          </w:tcPr>
          <w:p>
            <w:pPr>
              <w:spacing w:after="60" w:line="259" w:lineRule="auto"/>
            </w:pPr>
            <w:r>
              <w:rPr>
                <w:rFonts w:ascii="Calibri" w:hAnsi="Calibri"/>
                <w:b w:val="0"/>
                <w:i w:val="0"/>
                <w:color w:val="212121"/>
                <w:sz w:val="19"/>
              </w:rPr>
              <w:t>Cumulative dietary excess, falling physical activity and a declining resting metabolic rate promote steady central-fat accumulation through mid-adult life. In Indians, added weight translates disproportionately into visceral fat, so waistlines and cardiometabolic risk rise even with only modest BMI change.</w:t>
            </w:r>
          </w:p>
          <w:p>
            <w:pPr>
              <w:spacing w:after="40" w:before="60" w:line="259" w:lineRule="auto"/>
            </w:pPr>
            <w:r>
              <w:rPr>
                <w:rFonts w:ascii="Calibri" w:hAnsi="Calibri"/>
                <w:b w:val="0"/>
                <w:i w:val="0"/>
                <w:color w:val="212121"/>
                <w:sz w:val="19"/>
              </w:rPr>
              <w:t>National abdominal-obesity prevalence is 39.5% (about 351 million adults) and climbs steeply with age; metabolic syndrome prevalence rises from about 13% at 18–29 years to about 50% at 50–59 years.</w:t>
            </w:r>
          </w:p>
          <w:p>
            <w:pPr>
              <w:spacing w:after="40" w:line="252" w:lineRule="auto"/>
            </w:pPr>
            <w:hyperlink r:id="rId9">
              <w:r>
                <w:rPr>
                  <w:rFonts w:ascii="Calibri" w:hAnsi="Calibri" w:cs="Calibri"/>
                  <w:sz w:val="18"/>
                  <w:color w:val="1155CC"/>
                  <w:u w:val="single"/>
                </w:rPr>
                <w:t xml:space="preserve">nmji.in — lessons learnt from ICMR-INDIAB</w:t>
              </w:r>
            </w:hyperlink>
          </w:p>
          <w:p>
            <w:pPr>
              <w:spacing w:before="60" w:after="40"/>
            </w:pPr>
            <w:r>
              <w:rPr>
                <w:rFonts w:ascii="Calibri" w:hAnsi="Calibri"/>
                <w:b w:val="0"/>
                <w:i w:val="0"/>
                <w:color w:val="5A5A5A"/>
                <w:sz w:val="18"/>
              </w:rPr>
              <w:t>#visceralfat  #thinfat  #midlife  #waistline  #cardiometabolic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Ageing brings loss of skeletal muscle (sarcopenia) with a relative and absolute increase in visceral fat, producing ‘sarcopenic central obesity’ even when body weight is stable. Redistribution of fat to the abdomen amplifies insulin resistance, frailty and cardiovascular risk in older adults.</w:t>
            </w:r>
          </w:p>
          <w:p>
            <w:pPr>
              <w:spacing w:after="40" w:before="60" w:line="259" w:lineRule="auto"/>
            </w:pPr>
            <w:r>
              <w:rPr>
                <w:rFonts w:ascii="Calibri" w:hAnsi="Calibri"/>
                <w:b w:val="0"/>
                <w:i w:val="0"/>
                <w:color w:val="212121"/>
                <w:sz w:val="19"/>
              </w:rPr>
              <w:t>Waist circumference and metabolic-syndrome prevalence peak in the 50–59-year band (≈ 50%) in Indian pooled data, remaining high thereafter.</w:t>
            </w:r>
          </w:p>
          <w:p>
            <w:pPr>
              <w:spacing w:after="40" w:line="252" w:lineRule="auto"/>
            </w:pPr>
            <w:hyperlink r:id="rId10">
              <w:r>
                <w:rPr>
                  <w:rFonts w:ascii="Calibri" w:hAnsi="Calibri" w:cs="Calibri"/>
                  <w:sz w:val="18"/>
                  <w:color w:val="1155CC"/>
                  <w:u w:val="single"/>
                </w:rPr>
                <w:t xml:space="preserve">plosone — metabolic syndrome in India (meta-analysis)</w:t>
              </w:r>
            </w:hyperlink>
          </w:p>
          <w:p>
            <w:pPr>
              <w:spacing w:before="60" w:after="40"/>
            </w:pPr>
            <w:r>
              <w:rPr>
                <w:rFonts w:ascii="Calibri" w:hAnsi="Calibri"/>
                <w:b w:val="0"/>
                <w:i w:val="0"/>
                <w:color w:val="5A5A5A"/>
                <w:sz w:val="18"/>
              </w:rPr>
              <w:t>#sarcopenia  #ageing  #visceralfat  #frailty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(especially peri-/post-menopausal)</w:t>
            </w:r>
          </w:p>
        </w:tc>
        <w:tc>
          <w:tcPr>
            <w:tcW w:type="dxa" w:w="4276"/>
            <w:vAlign w:val="top"/>
          </w:tcPr>
          <w:p>
            <w:pPr>
              <w:spacing w:after="60" w:line="259" w:lineRule="auto"/>
            </w:pPr>
            <w:r>
              <w:rPr>
                <w:rFonts w:ascii="Calibri" w:hAnsi="Calibri"/>
                <w:b w:val="0"/>
                <w:i w:val="0"/>
                <w:color w:val="212121"/>
                <w:sz w:val="19"/>
              </w:rPr>
              <w:t>Indian women carry higher rates of abdominal obesity than men, partly because of a lower waist cut-off (≥ 80 cm) and because falling oestrogen at menopause redirects fat from hips/thighs to the visceral abdomen. Repeated pregnancies, homemaker sedentism and gynoid-to-android transition all contribute.</w:t>
            </w:r>
          </w:p>
          <w:p>
            <w:pPr>
              <w:spacing w:after="40" w:before="60" w:line="259" w:lineRule="auto"/>
            </w:pPr>
            <w:r>
              <w:rPr>
                <w:rFonts w:ascii="Calibri" w:hAnsi="Calibri"/>
                <w:b w:val="0"/>
                <w:i w:val="0"/>
                <w:color w:val="212121"/>
                <w:sz w:val="19"/>
              </w:rPr>
              <w:t>NFHS-5 found abdominal obesity in about 40% of women versus 12% of men, with 5–6 of every 10 women aged 30–49 years affected; visceral fat rises measurably across the menopausal transition.</w:t>
            </w:r>
          </w:p>
          <w:p>
            <w:pPr>
              <w:spacing w:after="40" w:line="252" w:lineRule="auto"/>
            </w:pPr>
            <w:hyperlink r:id="rId11">
              <w:r>
                <w:rPr>
                  <w:rFonts w:ascii="Calibri" w:hAnsi="Calibri" w:cs="Calibri"/>
                  <w:sz w:val="18"/>
                  <w:color w:val="1155CC"/>
                  <w:u w:val="single"/>
                </w:rPr>
                <w:t xml:space="preserve">Lancet Reg Health SEA — abdominal obesity NFHS-5</w:t>
              </w:r>
            </w:hyperlink>
          </w:p>
          <w:p>
            <w:pPr>
              <w:spacing w:before="60" w:after="40"/>
            </w:pPr>
            <w:r>
              <w:rPr>
                <w:rFonts w:ascii="Calibri" w:hAnsi="Calibri"/>
                <w:b w:val="0"/>
                <w:i w:val="0"/>
                <w:color w:val="5A5A5A"/>
                <w:sz w:val="18"/>
              </w:rPr>
              <w:t>#menopause  #oestrogen  #womenshealth  #androidfat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Men (android / visceral distribution)</w:t>
            </w:r>
          </w:p>
        </w:tc>
        <w:tc>
          <w:tcPr>
            <w:tcW w:type="dxa" w:w="4276"/>
            <w:vAlign w:val="top"/>
          </w:tcPr>
          <w:p>
            <w:pPr>
              <w:spacing w:after="60" w:line="259" w:lineRule="auto"/>
            </w:pPr>
            <w:r>
              <w:rPr>
                <w:rFonts w:ascii="Calibri" w:hAnsi="Calibri"/>
                <w:b w:val="0"/>
                <w:i w:val="0"/>
                <w:color w:val="212121"/>
                <w:sz w:val="19"/>
              </w:rPr>
              <w:t>Men preferentially deposit fat in the visceral, upper-body (android) compartment, so at any given BMI they carry more metabolically active abdominal fat than women. This underlies the strong link between male waistlines, insulin resistance and premature coronary disease.</w:t>
            </w:r>
          </w:p>
          <w:p>
            <w:pPr>
              <w:spacing w:after="40" w:before="60" w:line="259" w:lineRule="auto"/>
            </w:pPr>
            <w:r>
              <w:rPr>
                <w:rFonts w:ascii="Calibri" w:hAnsi="Calibri"/>
                <w:b w:val="0"/>
                <w:i w:val="0"/>
                <w:color w:val="212121"/>
                <w:sz w:val="19"/>
              </w:rPr>
              <w:t>In the INTERHEART study, waist-to-hip ratio (top vs bottom quintile) carried an odds ratio of 2.52 for myocardial infarction and accounted for a 24.3% population-attributable risk — far exceeding BMI (7.7%).</w:t>
            </w:r>
          </w:p>
          <w:p>
            <w:pPr>
              <w:spacing w:after="40" w:line="252" w:lineRule="auto"/>
            </w:pPr>
            <w:hyperlink r:id="rId12">
              <w:r>
                <w:rPr>
                  <w:rFonts w:ascii="Calibri" w:hAnsi="Calibri" w:cs="Calibri"/>
                  <w:sz w:val="18"/>
                  <w:color w:val="1155CC"/>
                  <w:u w:val="single"/>
                </w:rPr>
                <w:t xml:space="preserve">pubmed 16271645 — INTERHEART obesity &amp; MI</w:t>
              </w:r>
            </w:hyperlink>
          </w:p>
          <w:p>
            <w:pPr>
              <w:spacing w:before="60" w:after="40"/>
            </w:pPr>
            <w:r>
              <w:rPr>
                <w:rFonts w:ascii="Calibri" w:hAnsi="Calibri"/>
                <w:b w:val="0"/>
                <w:i w:val="0"/>
                <w:color w:val="5A5A5A"/>
                <w:sz w:val="18"/>
              </w:rPr>
              <w:t>#androidfat  #visceralfat  #heartrisk  #waisthipratio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Affluent &amp; urban high-income groups</w:t>
            </w:r>
          </w:p>
        </w:tc>
        <w:tc>
          <w:tcPr>
            <w:tcW w:type="dxa" w:w="4276"/>
            <w:vAlign w:val="top"/>
          </w:tcPr>
          <w:p>
            <w:pPr>
              <w:spacing w:after="60" w:line="259" w:lineRule="auto"/>
            </w:pPr>
            <w:r>
              <w:rPr>
                <w:rFonts w:ascii="Calibri" w:hAnsi="Calibri"/>
                <w:b w:val="0"/>
                <w:i w:val="0"/>
                <w:color w:val="212121"/>
                <w:sz w:val="19"/>
              </w:rPr>
              <w:t>Rising income in India tracks with calorie-dense diets, motorised transport, desk-based work and domestic help, all of which promote central-fat gain — the reverse of the pattern in high-income Western countries. Abdominal obesity is now also spreading into middle and lower socioeconomic strata.</w:t>
            </w:r>
          </w:p>
          <w:p>
            <w:pPr>
              <w:spacing w:after="40" w:before="60" w:line="259" w:lineRule="auto"/>
            </w:pPr>
            <w:r>
              <w:rPr>
                <w:rFonts w:ascii="Calibri" w:hAnsi="Calibri"/>
                <w:b w:val="0"/>
                <w:i w:val="0"/>
                <w:color w:val="212121"/>
                <w:sz w:val="19"/>
              </w:rPr>
              <w:t>By NFHS-5, abdominal obesity in women rose across wealth quintiles from about 55.4% (poorest) to 60.7% (richest), and in men from 44.3% to 55.4% (WHR-based estimates).</w:t>
            </w:r>
          </w:p>
          <w:p>
            <w:pPr>
              <w:spacing w:after="40" w:line="252" w:lineRule="auto"/>
            </w:pPr>
            <w:hyperlink r:id="rId13">
              <w:r>
                <w:rPr>
                  <w:rFonts w:ascii="Calibri" w:hAnsi="Calibri" w:cs="Calibri"/>
                  <w:sz w:val="18"/>
                  <w:color w:val="1155CC"/>
                  <w:u w:val="single"/>
                </w:rPr>
                <w:t xml:space="preserve">Sci Rep — sex-stratified abdominal obesity, 707 districts</w:t>
              </w:r>
            </w:hyperlink>
          </w:p>
          <w:p>
            <w:pPr>
              <w:spacing w:before="60" w:after="40"/>
            </w:pPr>
            <w:r>
              <w:rPr>
                <w:rFonts w:ascii="Calibri" w:hAnsi="Calibri"/>
                <w:b w:val="0"/>
                <w:i w:val="0"/>
                <w:color w:val="5A5A5A"/>
                <w:sz w:val="18"/>
              </w:rPr>
              <w:t>#urbanisation  #affluence  #nutritiontransition  #sedentary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 South Asian (‘thin-fat’ phenotype)</w:t>
            </w:r>
          </w:p>
        </w:tc>
        <w:tc>
          <w:tcPr>
            <w:tcW w:type="dxa" w:w="4276"/>
            <w:vAlign w:val="top"/>
          </w:tcPr>
          <w:p>
            <w:pPr>
              <w:spacing w:after="60" w:line="259" w:lineRule="auto"/>
            </w:pPr>
            <w:r>
              <w:rPr>
                <w:rFonts w:ascii="Calibri" w:hAnsi="Calibri"/>
                <w:b w:val="0"/>
                <w:i w:val="0"/>
                <w:color w:val="212121"/>
                <w:sz w:val="19"/>
              </w:rPr>
              <w:t>South Asians have a limited subcutaneous fat-storage capacity; when energy intake is high the excess ‘overflows’ into visceral, hepatic and pancreatic depots, producing high abdominal and body fat even at a normal BMI. This ‘thin-fat’ / Asian-Indian phenotype explains the population’s early insulin resistance and diabetes.</w:t>
            </w:r>
          </w:p>
          <w:p>
            <w:pPr>
              <w:spacing w:after="40" w:before="60" w:line="259" w:lineRule="auto"/>
            </w:pPr>
            <w:r>
              <w:rPr>
                <w:rFonts w:ascii="Calibri" w:hAnsi="Calibri"/>
                <w:b w:val="0"/>
                <w:i w:val="0"/>
                <w:color w:val="212121"/>
                <w:sz w:val="19"/>
              </w:rPr>
              <w:t>South-Asian body-fat thresholds are low (men ≥ 20.6%, women ≥ 33.4%); about two-thirds of non-obese-BMI Indians actually have a high body-fat percentage, and thin-fat individuals carry roughly 2.7× higher odds of type 2 diabetes.</w:t>
            </w:r>
          </w:p>
          <w:p>
            <w:pPr>
              <w:spacing w:after="40" w:line="252" w:lineRule="auto"/>
            </w:pPr>
            <w:hyperlink r:id="rId14">
              <w:r>
                <w:rPr>
                  <w:rFonts w:ascii="Calibri" w:hAnsi="Calibri" w:cs="Calibri"/>
                  <w:sz w:val="18"/>
                  <w:color w:val="1155CC"/>
                  <w:u w:val="single"/>
                </w:rPr>
                <w:t xml:space="preserve">Endotext — Thin-Fat Obesity</w:t>
              </w:r>
            </w:hyperlink>
          </w:p>
          <w:p>
            <w:pPr>
              <w:spacing w:before="60" w:after="40"/>
            </w:pPr>
            <w:r>
              <w:rPr>
                <w:rFonts w:ascii="Calibri" w:hAnsi="Calibri"/>
                <w:b w:val="0"/>
                <w:i w:val="0"/>
                <w:color w:val="5A5A5A"/>
                <w:sz w:val="18"/>
              </w:rPr>
              <w:t>#thinfat  #fatoverflow  #asianindian  #ectopicfat  #normalweightobesity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&amp; high-prevalence belts (Punjab, Haryana, Delhi, Chandigarh, Puducherry)</w:t>
            </w:r>
          </w:p>
        </w:tc>
        <w:tc>
          <w:tcPr>
            <w:tcW w:type="dxa" w:w="4276"/>
            <w:vAlign w:val="top"/>
          </w:tcPr>
          <w:p>
            <w:pPr>
              <w:spacing w:after="60" w:line="259" w:lineRule="auto"/>
            </w:pPr>
            <w:r>
              <w:rPr>
                <w:rFonts w:ascii="Calibri" w:hAnsi="Calibri"/>
                <w:b w:val="0"/>
                <w:i w:val="0"/>
                <w:color w:val="212121"/>
                <w:sz w:val="19"/>
              </w:rPr>
              <w:t>Northern and some southern/union-territory populations show the highest abdominal-obesity rates, reflecting wheat- and ghee-rich or refined-carbohydrate diets, greater affluence and urbanisation, and lower occupational activity.</w:t>
            </w:r>
          </w:p>
          <w:p>
            <w:pPr>
              <w:spacing w:after="40" w:before="60" w:line="259" w:lineRule="auto"/>
            </w:pPr>
            <w:r>
              <w:rPr>
                <w:rFonts w:ascii="Calibri" w:hAnsi="Calibri"/>
                <w:b w:val="0"/>
                <w:i w:val="0"/>
                <w:color w:val="212121"/>
                <w:sz w:val="19"/>
              </w:rPr>
              <w:t>ICMR-INDIAB Phase-I abdominal-obesity prevalence was 36.1% in Chandigarh versus 16.9% in Jharkhand; nationally the range spans about 18.4% (Jharkhand) to 61.2% (Puducherry).</w:t>
            </w:r>
          </w:p>
          <w:p>
            <w:pPr>
              <w:spacing w:after="40" w:line="252" w:lineRule="auto"/>
            </w:pPr>
            <w:hyperlink r:id="rId15">
              <w:r>
                <w:rPr>
                  <w:rFonts w:ascii="Calibri" w:hAnsi="Calibri" w:cs="Calibri"/>
                  <w:sz w:val="18"/>
                  <w:color w:val="1155CC"/>
                  <w:u w:val="single"/>
                </w:rPr>
                <w:t xml:space="preserve">IJMR — ICMR-INDIAB-3 obesity prevalence</w:t>
              </w:r>
            </w:hyperlink>
          </w:p>
          <w:p>
            <w:pPr>
              <w:spacing w:before="60" w:after="40"/>
            </w:pPr>
            <w:r>
              <w:rPr>
                <w:rFonts w:ascii="Calibri" w:hAnsi="Calibri"/>
                <w:b w:val="0"/>
                <w:i w:val="0"/>
                <w:color w:val="5A5A5A"/>
                <w:sz w:val="18"/>
              </w:rPr>
              <w:t>#northindia  #regionalvariation  #urbanisation  #dietpattern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 &amp; peri-urban residents</w:t>
            </w:r>
          </w:p>
        </w:tc>
        <w:tc>
          <w:tcPr>
            <w:tcW w:type="dxa" w:w="4276"/>
            <w:vAlign w:val="top"/>
          </w:tcPr>
          <w:p>
            <w:pPr>
              <w:spacing w:after="60" w:line="259" w:lineRule="auto"/>
            </w:pPr>
            <w:r>
              <w:rPr>
                <w:rFonts w:ascii="Calibri" w:hAnsi="Calibri"/>
                <w:b w:val="0"/>
                <w:i w:val="0"/>
                <w:color w:val="212121"/>
                <w:sz w:val="19"/>
              </w:rPr>
              <w:t>Urban living concentrates the drivers of central adiposity — sedentary jobs, screen time, motorised commuting, ultra-processed food access and disrupted sleep — so abdominal obesity is consistently higher in cities, though rural rates are rising fast.</w:t>
            </w:r>
          </w:p>
          <w:p>
            <w:pPr>
              <w:spacing w:after="40" w:before="60" w:line="259" w:lineRule="auto"/>
            </w:pPr>
            <w:r>
              <w:rPr>
                <w:rFonts w:ascii="Calibri" w:hAnsi="Calibri"/>
                <w:b w:val="0"/>
                <w:i w:val="0"/>
                <w:color w:val="212121"/>
                <w:sz w:val="19"/>
              </w:rPr>
              <w:t>In ICMR-INDIAB, generalized, central and abdominal obesity were all significantly higher among urban than rural residents across every region studied.</w:t>
            </w:r>
          </w:p>
          <w:p>
            <w:pPr>
              <w:spacing w:after="40" w:line="252" w:lineRule="auto"/>
            </w:pPr>
            <w:hyperlink r:id="rId15">
              <w:r>
                <w:rPr>
                  <w:rFonts w:ascii="Calibri" w:hAnsi="Calibri" w:cs="Calibri"/>
                  <w:sz w:val="18"/>
                  <w:color w:val="1155CC"/>
                  <w:u w:val="single"/>
                </w:rPr>
                <w:t xml:space="preserve">IJMR — ICMR-INDIAB-3 urban vs rural</w:t>
              </w:r>
            </w:hyperlink>
          </w:p>
          <w:p>
            <w:pPr>
              <w:spacing w:before="60" w:after="40"/>
            </w:pPr>
            <w:r>
              <w:rPr>
                <w:rFonts w:ascii="Calibri" w:hAnsi="Calibri"/>
                <w:b w:val="0"/>
                <w:i w:val="0"/>
                <w:color w:val="5A5A5A"/>
                <w:sz w:val="18"/>
              </w:rPr>
              <w:t>#urban  #sedentary  #screentime  #ultraprocessed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IT / office workers, drivers, homemakers, elderly</w:t>
            </w:r>
          </w:p>
        </w:tc>
        <w:tc>
          <w:tcPr>
            <w:tcW w:type="dxa" w:w="4276"/>
            <w:vAlign w:val="top"/>
          </w:tcPr>
          <w:p>
            <w:pPr>
              <w:spacing w:after="60" w:line="259" w:lineRule="auto"/>
            </w:pPr>
            <w:r>
              <w:rPr>
                <w:rFonts w:ascii="Calibri" w:hAnsi="Calibri"/>
                <w:b w:val="0"/>
                <w:i w:val="0"/>
                <w:color w:val="212121"/>
                <w:sz w:val="19"/>
              </w:rPr>
              <w:t>Prolonged sitting and low daily movement reduce muscle glucose and fat uptake and lower energy expenditure, favouring deposition of visceral fat. Physical inactivity is one of the strongest modifiable drivers of central obesity.</w:t>
            </w:r>
          </w:p>
          <w:p>
            <w:pPr>
              <w:spacing w:after="40" w:before="60" w:line="259" w:lineRule="auto"/>
            </w:pPr>
            <w:r>
              <w:rPr>
                <w:rFonts w:ascii="Calibri" w:hAnsi="Calibri"/>
                <w:b w:val="0"/>
                <w:i w:val="0"/>
                <w:color w:val="212121"/>
                <w:sz w:val="19"/>
              </w:rPr>
              <w:t>Nearly half of Indian adults (about 49.4%) are insufficiently physically active, a figure projected to reach about 59.9% by 2030.</w:t>
            </w:r>
          </w:p>
          <w:p>
            <w:pPr>
              <w:spacing w:after="40" w:line="252" w:lineRule="auto"/>
            </w:pPr>
            <w:hyperlink r:id="rId16">
              <w:r>
                <w:rPr>
                  <w:rFonts w:ascii="Calibri" w:hAnsi="Calibri" w:cs="Calibri"/>
                  <w:sz w:val="18"/>
                  <w:color w:val="1155CC"/>
                  <w:u w:val="single"/>
                </w:rPr>
                <w:t xml:space="preserve">Business Standard — Lancet Global Health inactivity data</w:t>
              </w:r>
            </w:hyperlink>
          </w:p>
          <w:p>
            <w:pPr>
              <w:spacing w:before="60" w:after="40"/>
            </w:pPr>
            <w:r>
              <w:rPr>
                <w:rFonts w:ascii="Calibri" w:hAnsi="Calibri"/>
                <w:b w:val="0"/>
                <w:i w:val="0"/>
                <w:color w:val="5A5A5A"/>
                <w:sz w:val="18"/>
              </w:rPr>
              <w:t>#sedentary  #inactivity  #deskjob  #sittingtime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(incl. bidi) &amp; smokeless-tobacco users</w:t>
            </w:r>
          </w:p>
        </w:tc>
        <w:tc>
          <w:tcPr>
            <w:tcW w:type="dxa" w:w="4276"/>
            <w:vAlign w:val="top"/>
          </w:tcPr>
          <w:p>
            <w:pPr>
              <w:spacing w:after="60" w:line="259" w:lineRule="auto"/>
            </w:pPr>
            <w:r>
              <w:rPr>
                <w:rFonts w:ascii="Calibri" w:hAnsi="Calibri"/>
                <w:b w:val="0"/>
                <w:i w:val="0"/>
                <w:color w:val="212121"/>
                <w:sz w:val="19"/>
              </w:rPr>
              <w:t>Although smokers often have a lower BMI, nicotine shifts fat distribution toward the abdomen and increases visceral adiposity and insulin resistance in a dose-dependent way. Central fat gain is a key pathway linking tobacco to diabetes and heart disease.</w:t>
            </w:r>
          </w:p>
          <w:p>
            <w:pPr>
              <w:spacing w:after="40" w:before="60" w:line="259" w:lineRule="auto"/>
            </w:pPr>
            <w:r>
              <w:rPr>
                <w:rFonts w:ascii="Calibri" w:hAnsi="Calibri"/>
                <w:b w:val="0"/>
                <w:i w:val="0"/>
                <w:color w:val="212121"/>
                <w:sz w:val="19"/>
              </w:rPr>
              <w:t>Observational and Mendelian-randomisation studies show cigarette smoking increases abdominal and visceral fat without increasing overall fatness.</w:t>
            </w:r>
          </w:p>
          <w:p>
            <w:pPr>
              <w:spacing w:after="40" w:line="252" w:lineRule="auto"/>
            </w:pPr>
            <w:hyperlink r:id="rId17">
              <w:r>
                <w:rPr>
                  <w:rFonts w:ascii="Calibri" w:hAnsi="Calibri" w:cs="Calibri"/>
                  <w:sz w:val="18"/>
                  <w:color w:val="1155CC"/>
                  <w:u w:val="single"/>
                </w:rPr>
                <w:t xml:space="preserve">PLOS ONE — smoking increases abdominal &amp; visceral obesity</w:t>
              </w:r>
            </w:hyperlink>
          </w:p>
          <w:p>
            <w:pPr>
              <w:spacing w:before="60" w:after="40"/>
            </w:pPr>
            <w:r>
              <w:rPr>
                <w:rFonts w:ascii="Calibri" w:hAnsi="Calibri"/>
                <w:b w:val="0"/>
                <w:i w:val="0"/>
                <w:color w:val="5A5A5A"/>
                <w:sz w:val="18"/>
              </w:rPr>
              <w:t>#smoking  #nicotine  #visceralfat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frequent drinkers</w:t>
            </w:r>
          </w:p>
        </w:tc>
        <w:tc>
          <w:tcPr>
            <w:tcW w:type="dxa" w:w="4276"/>
            <w:vAlign w:val="top"/>
          </w:tcPr>
          <w:p>
            <w:pPr>
              <w:spacing w:after="60" w:line="259" w:lineRule="auto"/>
            </w:pPr>
            <w:r>
              <w:rPr>
                <w:rFonts w:ascii="Calibri" w:hAnsi="Calibri"/>
                <w:b w:val="0"/>
                <w:i w:val="0"/>
                <w:color w:val="212121"/>
                <w:sz w:val="19"/>
              </w:rPr>
              <w:t>Alcohol is energy-dense, promotes hepatic fat, and is preferentially associated with truncal/visceral fat deposition (the ‘beer belly’). Higher intake tracks with larger waist circumference and fatty liver independent of overall obesity.</w:t>
            </w:r>
          </w:p>
          <w:p>
            <w:pPr>
              <w:spacing w:after="40" w:before="60" w:line="259" w:lineRule="auto"/>
            </w:pPr>
            <w:r>
              <w:rPr>
                <w:rFonts w:ascii="Calibri" w:hAnsi="Calibri"/>
                <w:b w:val="0"/>
                <w:i w:val="0"/>
                <w:color w:val="212121"/>
                <w:sz w:val="19"/>
              </w:rPr>
              <w:t>Large cohort and imaging studies link heavy alcohol consumption to greater visceral-fat accumulation and abdominal obesity.</w:t>
            </w:r>
          </w:p>
          <w:p>
            <w:pPr>
              <w:spacing w:after="40" w:line="252" w:lineRule="auto"/>
            </w:pPr>
            <w:hyperlink r:id="rId18">
              <w:r>
                <w:rPr>
                  <w:rFonts w:ascii="Calibri" w:hAnsi="Calibri" w:cs="Calibri"/>
                  <w:sz w:val="18"/>
                  <w:color w:val="1155CC"/>
                  <w:u w:val="single"/>
                </w:rPr>
                <w:t xml:space="preserve">Int J Obesity — alcohol &amp; visceral fat</w:t>
              </w:r>
            </w:hyperlink>
          </w:p>
          <w:p>
            <w:pPr>
              <w:spacing w:before="60" w:after="40"/>
            </w:pPr>
            <w:r>
              <w:rPr>
                <w:rFonts w:ascii="Calibri" w:hAnsi="Calibri"/>
                <w:b w:val="0"/>
                <w:i w:val="0"/>
                <w:color w:val="5A5A5A"/>
                <w:sz w:val="18"/>
              </w:rPr>
              <w:t>#alcohol  #beerbelly  #fattyliver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Short sleepers &amp; shift / night workers</w:t>
            </w:r>
          </w:p>
        </w:tc>
        <w:tc>
          <w:tcPr>
            <w:tcW w:type="dxa" w:w="4276"/>
            <w:vAlign w:val="top"/>
          </w:tcPr>
          <w:p>
            <w:pPr>
              <w:spacing w:after="60" w:line="259" w:lineRule="auto"/>
            </w:pPr>
            <w:r>
              <w:rPr>
                <w:rFonts w:ascii="Calibri" w:hAnsi="Calibri"/>
                <w:b w:val="0"/>
                <w:i w:val="0"/>
                <w:color w:val="212121"/>
                <w:sz w:val="19"/>
              </w:rPr>
              <w:t>Short and poor-quality sleep disrupt appetite hormones (higher ghrelin, lower leptin) and raise evening cortisol, favouring calorie intake and visceral-fat storage. Central obesity and short sleep reinforce each other, including via obstructive sleep apnoea.</w:t>
            </w:r>
          </w:p>
          <w:p>
            <w:pPr>
              <w:spacing w:after="40" w:before="60" w:line="259" w:lineRule="auto"/>
            </w:pPr>
            <w:r>
              <w:rPr>
                <w:rFonts w:ascii="Calibri" w:hAnsi="Calibri"/>
                <w:b w:val="0"/>
                <w:i w:val="0"/>
                <w:color w:val="212121"/>
                <w:sz w:val="19"/>
              </w:rPr>
              <w:t>A meta-analysis of prospective cohorts found short sleep duration is associated with a significantly higher risk of central obesity in adults.</w:t>
            </w:r>
          </w:p>
          <w:p>
            <w:pPr>
              <w:spacing w:after="40" w:line="252" w:lineRule="auto"/>
            </w:pPr>
            <w:hyperlink r:id="rId19">
              <w:r>
                <w:rPr>
                  <w:rFonts w:ascii="Calibri" w:hAnsi="Calibri" w:cs="Calibri"/>
                  <w:sz w:val="18"/>
                  <w:color w:val="1155CC"/>
                  <w:u w:val="single"/>
                </w:rPr>
                <w:t xml:space="preserve">Obesity Sci Pract — short sleep &amp; central obesity meta-analysis</w:t>
              </w:r>
            </w:hyperlink>
          </w:p>
          <w:p>
            <w:pPr>
              <w:spacing w:before="60" w:after="40"/>
            </w:pPr>
            <w:r>
              <w:rPr>
                <w:rFonts w:ascii="Calibri" w:hAnsi="Calibri"/>
                <w:b w:val="0"/>
                <w:i w:val="0"/>
                <w:color w:val="5A5A5A"/>
                <w:sz w:val="18"/>
              </w:rPr>
              <w:t>#sleep  #shiftwork  #cortisol  #appetitehormones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Indians (BMI 23–24.9 kg/m², Asian cut-off)</w:t>
            </w:r>
          </w:p>
        </w:tc>
        <w:tc>
          <w:tcPr>
            <w:tcW w:type="dxa" w:w="4276"/>
            <w:vAlign w:val="top"/>
          </w:tcPr>
          <w:p>
            <w:pPr>
              <w:spacing w:after="60" w:line="259" w:lineRule="auto"/>
            </w:pPr>
            <w:r>
              <w:rPr>
                <w:rFonts w:ascii="Calibri" w:hAnsi="Calibri"/>
                <w:b w:val="0"/>
                <w:i w:val="0"/>
                <w:color w:val="212121"/>
                <w:sz w:val="19"/>
              </w:rPr>
              <w:t>Because Indians store little fat subcutaneously, even ‘overweight’ (by Asian cut-offs) or apparently normal-weight individuals commonly carry a high waist circumference and visceral fat, qualifying as metabolically-obese-normal-weight (‘thin-fat’).</w:t>
            </w:r>
          </w:p>
          <w:p>
            <w:pPr>
              <w:spacing w:after="40" w:before="60" w:line="259" w:lineRule="auto"/>
            </w:pPr>
            <w:r>
              <w:rPr>
                <w:rFonts w:ascii="Calibri" w:hAnsi="Calibri"/>
                <w:b w:val="0"/>
                <w:i w:val="0"/>
                <w:color w:val="212121"/>
                <w:sz w:val="19"/>
              </w:rPr>
              <w:t>In ICMR-INDIAB-23, about 43.3% of adults were metabolically-obese but non-obese by BMI, underscoring central obesity beyond generalized obesity.</w:t>
            </w:r>
          </w:p>
          <w:p>
            <w:pPr>
              <w:spacing w:after="40" w:line="252" w:lineRule="auto"/>
            </w:pPr>
            <w:hyperlink r:id="rId20">
              <w:r>
                <w:rPr>
                  <w:rFonts w:ascii="Calibri" w:hAnsi="Calibri" w:cs="Calibri"/>
                  <w:sz w:val="18"/>
                  <w:color w:val="1155CC"/>
                  <w:u w:val="single"/>
                </w:rPr>
                <w:t xml:space="preserve">IJMR — ICMR-INDIAB-23 metabolic obesity</w:t>
              </w:r>
            </w:hyperlink>
          </w:p>
          <w:p>
            <w:pPr>
              <w:spacing w:before="60" w:after="40"/>
            </w:pPr>
            <w:r>
              <w:rPr>
                <w:rFonts w:ascii="Calibri" w:hAnsi="Calibri"/>
                <w:b w:val="0"/>
                <w:i w:val="0"/>
                <w:color w:val="5A5A5A"/>
                <w:sz w:val="18"/>
              </w:rPr>
              <w:t>#thinfat  #MONO  #asianbmi  #normalweightobesity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Generalized-obese adults (BMI ≥ 25 kg/m²) with central fat</w:t>
            </w:r>
          </w:p>
        </w:tc>
        <w:tc>
          <w:tcPr>
            <w:tcW w:type="dxa" w:w="4276"/>
            <w:vAlign w:val="top"/>
          </w:tcPr>
          <w:p>
            <w:pPr>
              <w:spacing w:after="60" w:line="259" w:lineRule="auto"/>
            </w:pPr>
            <w:r>
              <w:rPr>
                <w:rFonts w:ascii="Calibri" w:hAnsi="Calibri"/>
                <w:b w:val="0"/>
                <w:i w:val="0"/>
                <w:color w:val="212121"/>
                <w:sz w:val="19"/>
              </w:rPr>
              <w:t>When generalized obesity coexists with a high waist circumference (metabolically-obese-obese), visceral fat and metabolic risk are highest. Central fat, rather than BMI alone, best predicts diabetes and cardiovascular events in these patients.</w:t>
            </w:r>
          </w:p>
          <w:p>
            <w:pPr>
              <w:spacing w:after="40" w:before="60" w:line="259" w:lineRule="auto"/>
            </w:pPr>
            <w:r>
              <w:rPr>
                <w:rFonts w:ascii="Calibri" w:hAnsi="Calibri"/>
                <w:b w:val="0"/>
                <w:i w:val="0"/>
                <w:color w:val="212121"/>
                <w:sz w:val="19"/>
              </w:rPr>
              <w:t>About 28.3% of Indian adults are metabolically-obese-obese; generalized obesity affects 28.6% (≈ 254 million) nationally.</w:t>
            </w:r>
          </w:p>
          <w:p>
            <w:pPr>
              <w:spacing w:after="40" w:line="252" w:lineRule="auto"/>
            </w:pPr>
            <w:hyperlink r:id="rId20">
              <w:r>
                <w:rPr>
                  <w:rFonts w:ascii="Calibri" w:hAnsi="Calibri" w:cs="Calibri"/>
                  <w:sz w:val="18"/>
                  <w:color w:val="1155CC"/>
                  <w:u w:val="single"/>
                </w:rPr>
                <w:t xml:space="preserve">IJMR — ICMR-INDIAB-23 metabolic obesity</w:t>
              </w:r>
            </w:hyperlink>
          </w:p>
          <w:p>
            <w:pPr>
              <w:spacing w:before="60" w:after="40"/>
            </w:pPr>
            <w:r>
              <w:rPr>
                <w:rFonts w:ascii="Calibri" w:hAnsi="Calibri"/>
                <w:b w:val="0"/>
                <w:i w:val="0"/>
                <w:color w:val="5A5A5A"/>
                <w:sz w:val="18"/>
              </w:rPr>
              <w:t>#MOO  #visceralfat  #metabolicsyndrome  #obesity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refined-carbohydrate / high-glycaemic diets (white rice, refined wheat)</w:t>
            </w:r>
          </w:p>
        </w:tc>
        <w:tc>
          <w:tcPr>
            <w:tcW w:type="dxa" w:w="4276"/>
            <w:vAlign w:val="top"/>
          </w:tcPr>
          <w:p>
            <w:pPr>
              <w:spacing w:after="60" w:line="259" w:lineRule="auto"/>
            </w:pPr>
            <w:r>
              <w:rPr>
                <w:rFonts w:ascii="Calibri" w:hAnsi="Calibri"/>
                <w:b w:val="0"/>
                <w:i w:val="0"/>
                <w:color w:val="212121"/>
                <w:sz w:val="19"/>
              </w:rPr>
              <w:t>Diets dominated by polished rice, refined wheat and low protein cause repeated glucose–insulin spikes that drive preferential visceral-fat storage and fatty liver. Even switching grains helps little if total refined-carbohydrate load stays high.</w:t>
            </w:r>
          </w:p>
          <w:p>
            <w:pPr>
              <w:spacing w:after="40" w:before="60" w:line="259" w:lineRule="auto"/>
            </w:pPr>
            <w:r>
              <w:rPr>
                <w:rFonts w:ascii="Calibri" w:hAnsi="Calibri"/>
                <w:b w:val="0"/>
                <w:i w:val="0"/>
                <w:color w:val="212121"/>
                <w:sz w:val="19"/>
              </w:rPr>
              <w:t>ICMR-INDIAB-21 found about 62% of Indian dietary energy comes from carbohydrate (protein only ≈ 12%); high carbohydrate intake was linked to a 15–30% higher risk of diabetes, prediabetes, generalized and abdominal obesity.</w:t>
            </w:r>
          </w:p>
          <w:p>
            <w:pPr>
              <w:spacing w:after="40" w:line="252" w:lineRule="auto"/>
            </w:pPr>
            <w:hyperlink r:id="rId21">
              <w:r>
                <w:rPr>
                  <w:rFonts w:ascii="Calibri" w:hAnsi="Calibri" w:cs="Calibri"/>
                  <w:sz w:val="18"/>
                  <w:color w:val="1155CC"/>
                  <w:u w:val="single"/>
                </w:rPr>
                <w:t xml:space="preserve">Business Standard — ICMR-INDIAB-21 diet study</w:t>
              </w:r>
            </w:hyperlink>
          </w:p>
          <w:p>
            <w:pPr>
              <w:spacing w:before="60" w:after="40"/>
            </w:pPr>
            <w:r>
              <w:rPr>
                <w:rFonts w:ascii="Calibri" w:hAnsi="Calibri"/>
                <w:b w:val="0"/>
                <w:i w:val="0"/>
                <w:color w:val="5A5A5A"/>
                <w:sz w:val="18"/>
              </w:rPr>
              <w:t>#refinedcarbs  #highGI  #whiterice  #lowprotein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Added sugar, sugar-sweetened beverages &amp; ultra-processed foods</w:t>
            </w:r>
          </w:p>
        </w:tc>
        <w:tc>
          <w:tcPr>
            <w:tcW w:type="dxa" w:w="4276"/>
            <w:vAlign w:val="top"/>
          </w:tcPr>
          <w:p>
            <w:pPr>
              <w:spacing w:after="60" w:line="259" w:lineRule="auto"/>
            </w:pPr>
            <w:r>
              <w:rPr>
                <w:rFonts w:ascii="Calibri" w:hAnsi="Calibri"/>
                <w:b w:val="0"/>
                <w:i w:val="0"/>
                <w:color w:val="212121"/>
                <w:sz w:val="19"/>
              </w:rPr>
              <w:t>Sugar-sweetened drinks and ultra-processed snacks deliver rapidly absorbed calories and fructose that promote hepatic and visceral fat with weak satiety, expanding the waistline. Their consumption is rising sharply in urban India.</w:t>
            </w:r>
          </w:p>
          <w:p>
            <w:pPr>
              <w:spacing w:after="40" w:before="60" w:line="259" w:lineRule="auto"/>
            </w:pPr>
            <w:r>
              <w:rPr>
                <w:rFonts w:ascii="Calibri" w:hAnsi="Calibri"/>
                <w:b w:val="0"/>
                <w:i w:val="0"/>
                <w:color w:val="212121"/>
                <w:sz w:val="19"/>
              </w:rPr>
              <w:t>ICMR-INDIAB-21 reported added-sugar intake exceeding safe limits in 19 states and union territories.</w:t>
            </w:r>
          </w:p>
          <w:p>
            <w:pPr>
              <w:spacing w:after="40" w:line="252" w:lineRule="auto"/>
            </w:pPr>
            <w:hyperlink r:id="rId22">
              <w:r>
                <w:rPr>
                  <w:rFonts w:ascii="Calibri" w:hAnsi="Calibri" w:cs="Calibri"/>
                  <w:sz w:val="18"/>
                  <w:color w:val="1155CC"/>
                  <w:u w:val="single"/>
                </w:rPr>
                <w:t xml:space="preserve">Nature Medicine — ICMR-INDIAB-21 dietary profiles</w:t>
              </w:r>
            </w:hyperlink>
          </w:p>
          <w:p>
            <w:pPr>
              <w:spacing w:before="60" w:after="40"/>
            </w:pPr>
            <w:r>
              <w:rPr>
                <w:rFonts w:ascii="Calibri" w:hAnsi="Calibri"/>
                <w:b w:val="0"/>
                <w:i w:val="0"/>
                <w:color w:val="5A5A5A"/>
                <w:sz w:val="18"/>
              </w:rPr>
              <w:t>#sugar  #SSB  #ultraprocessed  #fructose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central obesity / type 2 diabetes</w:t>
            </w:r>
          </w:p>
        </w:tc>
        <w:tc>
          <w:tcPr>
            <w:tcW w:type="dxa" w:w="4276"/>
            <w:vAlign w:val="top"/>
          </w:tcPr>
          <w:p>
            <w:pPr>
              <w:spacing w:after="60" w:line="259" w:lineRule="auto"/>
            </w:pPr>
            <w:r>
              <w:rPr>
                <w:rFonts w:ascii="Calibri" w:hAnsi="Calibri"/>
                <w:b w:val="0"/>
                <w:i w:val="0"/>
                <w:color w:val="212121"/>
                <w:sz w:val="19"/>
              </w:rPr>
              <w:t>Central-fat distribution and insulin resistance cluster strongly in families through shared polygenic susceptibility and household diet/activity patterns, so a family history of abdominal obesity or diabetes markedly raises individual risk.</w:t>
            </w:r>
          </w:p>
          <w:p>
            <w:pPr>
              <w:spacing w:after="40" w:before="60" w:line="259" w:lineRule="auto"/>
            </w:pPr>
            <w:r>
              <w:rPr>
                <w:rFonts w:ascii="Calibri" w:hAnsi="Calibri"/>
                <w:b w:val="0"/>
                <w:i w:val="0"/>
                <w:color w:val="212121"/>
                <w:sz w:val="19"/>
              </w:rPr>
              <w:t>Body-fat distribution is highly heritable, and the Asian-Indian ‘thin-fat’ pattern is evident from birth in Indian babies compared with European babies.</w:t>
            </w:r>
          </w:p>
          <w:p>
            <w:pPr>
              <w:spacing w:before="60" w:after="40"/>
            </w:pPr>
            <w:r>
              <w:rPr>
                <w:rFonts w:ascii="Calibri" w:hAnsi="Calibri"/>
                <w:b w:val="0"/>
                <w:i w:val="0"/>
                <w:color w:val="5A5A5A"/>
                <w:sz w:val="18"/>
              </w:rPr>
              <w:t>#familyhistory  #heritability  #insulinresistance  #polygenic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Fetal programming</w:t>
            </w:r>
          </w:p>
        </w:tc>
        <w:tc>
          <w:tcPr>
            <w:tcW w:type="dxa" w:w="2160"/>
            <w:vAlign w:val="top"/>
          </w:tcPr>
          <w:p>
            <w:pPr>
              <w:spacing w:after="40" w:before="0" w:line="259" w:lineRule="auto"/>
            </w:pPr>
            <w:r>
              <w:rPr>
                <w:rFonts w:ascii="Calibri" w:hAnsi="Calibri"/>
                <w:b w:val="0"/>
                <w:i w:val="0"/>
                <w:color w:val="212121"/>
                <w:sz w:val="19"/>
              </w:rPr>
              <w:t>Low-birth-weight adults (‘thrifty phenotype’)</w:t>
            </w:r>
          </w:p>
        </w:tc>
        <w:tc>
          <w:tcPr>
            <w:tcW w:type="dxa" w:w="4276"/>
            <w:vAlign w:val="top"/>
          </w:tcPr>
          <w:p>
            <w:pPr>
              <w:spacing w:after="60" w:line="259" w:lineRule="auto"/>
            </w:pPr>
            <w:r>
              <w:rPr>
                <w:rFonts w:ascii="Calibri" w:hAnsi="Calibri"/>
                <w:b w:val="0"/>
                <w:i w:val="0"/>
                <w:color w:val="212121"/>
                <w:sz w:val="19"/>
              </w:rPr>
              <w:t>Maternal undernutrition and low birth weight programme a fat-preserving, muscle-sparing metabolism; when such individuals later meet calorie abundance, they preferentially lay down abdominal/visceral fat and develop insulin resistance.</w:t>
            </w:r>
          </w:p>
          <w:p>
            <w:pPr>
              <w:spacing w:after="40" w:before="60" w:line="259" w:lineRule="auto"/>
            </w:pPr>
            <w:r>
              <w:rPr>
                <w:rFonts w:ascii="Calibri" w:hAnsi="Calibri"/>
                <w:b w:val="0"/>
                <w:i w:val="0"/>
                <w:color w:val="212121"/>
                <w:sz w:val="19"/>
              </w:rPr>
              <w:t>Indian newborns are characteristically small yet relatively adipose (‘thin-fat’), a body-composition pattern that tracks into adult central obesity and diabetes risk.</w:t>
            </w:r>
          </w:p>
          <w:p>
            <w:pPr>
              <w:spacing w:after="40" w:line="252" w:lineRule="auto"/>
            </w:pPr>
            <w:hyperlink r:id="rId14">
              <w:r>
                <w:rPr>
                  <w:rFonts w:ascii="Calibri" w:hAnsi="Calibri" w:cs="Calibri"/>
                  <w:sz w:val="18"/>
                  <w:color w:val="1155CC"/>
                  <w:u w:val="single"/>
                </w:rPr>
                <w:t xml:space="preserve">Endotext — Thin-Fat Obesity (developmental origins)</w:t>
              </w:r>
            </w:hyperlink>
          </w:p>
          <w:p>
            <w:pPr>
              <w:spacing w:before="60" w:after="40"/>
            </w:pPr>
            <w:r>
              <w:rPr>
                <w:rFonts w:ascii="Calibri" w:hAnsi="Calibri"/>
                <w:b w:val="0"/>
                <w:i w:val="0"/>
                <w:color w:val="5A5A5A"/>
                <w:sz w:val="18"/>
              </w:rPr>
              <w:t>#thriftyphenotype  #DOHaD  #lowbirthweight  #fetalprogramming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PCOS</w:t>
            </w:r>
          </w:p>
        </w:tc>
        <w:tc>
          <w:tcPr>
            <w:tcW w:type="dxa" w:w="2160"/>
            <w:vAlign w:val="top"/>
          </w:tcPr>
          <w:p>
            <w:pPr>
              <w:spacing w:after="40" w:before="0" w:line="259" w:lineRule="auto"/>
            </w:pPr>
            <w:r>
              <w:rPr>
                <w:rFonts w:ascii="Calibri" w:hAnsi="Calibri"/>
                <w:b w:val="0"/>
                <w:i w:val="0"/>
                <w:color w:val="212121"/>
                <w:sz w:val="19"/>
              </w:rPr>
              <w:t>Women with polycystic ovary syndrome</w:t>
            </w:r>
          </w:p>
        </w:tc>
        <w:tc>
          <w:tcPr>
            <w:tcW w:type="dxa" w:w="4276"/>
            <w:vAlign w:val="top"/>
          </w:tcPr>
          <w:p>
            <w:pPr>
              <w:spacing w:after="60" w:line="259" w:lineRule="auto"/>
            </w:pPr>
            <w:r>
              <w:rPr>
                <w:rFonts w:ascii="Calibri" w:hAnsi="Calibri"/>
                <w:b w:val="0"/>
                <w:i w:val="0"/>
                <w:color w:val="212121"/>
                <w:sz w:val="19"/>
              </w:rPr>
              <w:t>PCOS features insulin resistance and hyperandrogenism that promote central/visceral fat, while abdominal obesity in turn worsens insulin resistance and ovulatory dysfunction — a self-reinforcing loop especially prominent in Indian women.</w:t>
            </w:r>
          </w:p>
          <w:p>
            <w:pPr>
              <w:spacing w:after="40" w:before="60" w:line="259" w:lineRule="auto"/>
            </w:pPr>
            <w:r>
              <w:rPr>
                <w:rFonts w:ascii="Calibri" w:hAnsi="Calibri"/>
                <w:b w:val="0"/>
                <w:i w:val="0"/>
                <w:color w:val="212121"/>
                <w:sz w:val="19"/>
              </w:rPr>
              <w:t>Indian women with PCOS show higher visceral and central adiposity and waist-to-hip ratios than controls even at similar BMI.</w:t>
            </w:r>
          </w:p>
          <w:p>
            <w:pPr>
              <w:spacing w:after="40" w:line="252" w:lineRule="auto"/>
            </w:pPr>
            <w:hyperlink r:id="rId23">
              <w:r>
                <w:rPr>
                  <w:rFonts w:ascii="Calibri" w:hAnsi="Calibri" w:cs="Calibri"/>
                  <w:sz w:val="18"/>
                  <w:color w:val="1155CC"/>
                  <w:u w:val="single"/>
                </w:rPr>
                <w:t xml:space="preserve">pubmed 37672315 — obesity/hypertension in Indian PCOS task-force study</w:t>
              </w:r>
            </w:hyperlink>
          </w:p>
          <w:p>
            <w:pPr>
              <w:spacing w:before="60" w:after="40"/>
            </w:pPr>
            <w:r>
              <w:rPr>
                <w:rFonts w:ascii="Calibri" w:hAnsi="Calibri"/>
                <w:b w:val="0"/>
                <w:i w:val="0"/>
                <w:color w:val="5A5A5A"/>
                <w:sz w:val="18"/>
              </w:rPr>
              <w:t>#PCOS  #hyperandrogenism  #insulinresistance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 metabolic syndrome</w:t>
            </w:r>
          </w:p>
        </w:tc>
        <w:tc>
          <w:tcPr>
            <w:tcW w:type="dxa" w:w="2160"/>
            <w:vAlign w:val="top"/>
          </w:tcPr>
          <w:p>
            <w:pPr>
              <w:spacing w:after="40" w:before="0" w:line="259" w:lineRule="auto"/>
            </w:pPr>
            <w:r>
              <w:rPr>
                <w:rFonts w:ascii="Calibri" w:hAnsi="Calibri"/>
                <w:b w:val="0"/>
                <w:i w:val="0"/>
                <w:color w:val="212121"/>
                <w:sz w:val="19"/>
              </w:rPr>
              <w:t>Adults with dysglycaemia or the metabolic syndrome</w:t>
            </w:r>
          </w:p>
        </w:tc>
        <w:tc>
          <w:tcPr>
            <w:tcW w:type="dxa" w:w="4276"/>
            <w:vAlign w:val="top"/>
          </w:tcPr>
          <w:p>
            <w:pPr>
              <w:spacing w:after="60" w:line="259" w:lineRule="auto"/>
            </w:pPr>
            <w:r>
              <w:rPr>
                <w:rFonts w:ascii="Calibri" w:hAnsi="Calibri"/>
                <w:b w:val="0"/>
                <w:i w:val="0"/>
                <w:color w:val="212121"/>
                <w:sz w:val="19"/>
              </w:rPr>
              <w:t>Abdominal obesity is the central, often obligatory, component of the metabolic syndrome and the strongest anthropometric predictor of type 2 diabetes; visceral fat delivers free fatty acids and inflammatory adipokines to the liver, driving insulin resistance.</w:t>
            </w:r>
          </w:p>
          <w:p>
            <w:pPr>
              <w:spacing w:after="40" w:before="60" w:line="259" w:lineRule="auto"/>
            </w:pPr>
            <w:r>
              <w:rPr>
                <w:rFonts w:ascii="Calibri" w:hAnsi="Calibri"/>
                <w:b w:val="0"/>
                <w:i w:val="0"/>
                <w:color w:val="212121"/>
                <w:sz w:val="19"/>
              </w:rPr>
              <w:t>Metabolic syndrome affects about 30% of Indian adults (35% of women, 26% of men; 32% urban), with high waist circumference as its most prevalent component.</w:t>
            </w:r>
          </w:p>
          <w:p>
            <w:pPr>
              <w:spacing w:after="40" w:line="252" w:lineRule="auto"/>
            </w:pPr>
            <w:hyperlink r:id="rId10">
              <w:r>
                <w:rPr>
                  <w:rFonts w:ascii="Calibri" w:hAnsi="Calibri" w:cs="Calibri"/>
                  <w:sz w:val="18"/>
                  <w:color w:val="1155CC"/>
                  <w:u w:val="single"/>
                </w:rPr>
                <w:t xml:space="preserve">PLOS ONE — metabolic syndrome in India (meta-analysis)</w:t>
              </w:r>
            </w:hyperlink>
          </w:p>
          <w:p>
            <w:pPr>
              <w:spacing w:before="60" w:after="40"/>
            </w:pPr>
            <w:r>
              <w:rPr>
                <w:rFonts w:ascii="Calibri" w:hAnsi="Calibri"/>
                <w:b w:val="0"/>
                <w:i w:val="0"/>
                <w:color w:val="5A5A5A"/>
                <w:sz w:val="18"/>
              </w:rPr>
              <w:t>#metabolicsyndrome  #type2diabetes  #insulinresistance  #waistcircumference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is a leading modifiable driver of visceral-fat accumulation; nearly half of Indian adults (≈ 49.4%) are insufficiently active. Regular aerobic plus resistance activity preferentially reduces visceral fat and waist circumference even without large weight loss.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refined-carbohydrate, high-glycaemic and low-protein diets promote visceral-fat storage; ICMR-INDIAB-21 links high carbohydrate intake to 15–30% higher odds of abdominal obesity and diabetes.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Short (&lt;7 h) and poor-quality sleep raise the risk of central obesity via appetite-hormone and cortisol disruption, in a bidirectional relationship with obstructive sleep apnoea.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lowers overall body weight but shifts fat to the abdomen, increasing visceral adiposity and insulin resistance dose-dependently; central fat mediates much of tobacco’s cardiometabolic harm.</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intake adds dense calories and promotes truncal/visceral and hepatic fat (‘beer belly’), enlarging waist circumference and fatty-liver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stress and depression activate the HPA axis; sustained cortisol favours visceral-fat deposition, and depression is consistently associated with higher waist circumference and visceral adiposity.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water and replacing sugar-sweetened beverages with water modestly support weight and waist control, but direct effects on visceral fat are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Unsweetened coffee/tea shows small, inconsistent associations with lower adiposity; benefit is negated when consumed with sugar, cream or as sweetened milk-tea.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in fat distribution; central obesity does increase intertriginous skin infections, candidiasis and poor wound healing where hygiene matters.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(Asian-Indian cut-off)</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Primary defining measure of abdominal obesity; measure midway between lowest rib and iliac crest</w:t>
            </w:r>
          </w:p>
          <w:p>
            <w:pPr>
              <w:spacing w:after="40" w:line="252" w:lineRule="auto"/>
            </w:pPr>
            <w:hyperlink r:id="rId24">
              <w:r>
                <w:rPr>
                  <w:rFonts w:ascii="Calibri" w:hAnsi="Calibri" w:cs="Calibri"/>
                  <w:sz w:val="18"/>
                  <w:color w:val="1155CC"/>
                  <w:u w:val="single"/>
                </w:rPr>
                <w:t xml:space="preserve">http://kemdiabetes.org/Paper/125%20Consensus%20Statement%20for%20Diagnosis%20of%20Obesity,%20Abdominal%20Obesity%20and%20the%20Metabolic%20Syndrome%20for%20Asian%20Indians.pdf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Waist-to-hip ratio (WHR)</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0.90; F &lt; 0.85</w:t>
            </w:r>
          </w:p>
        </w:tc>
        <w:tc>
          <w:tcPr>
            <w:tcW w:type="dxa" w:w="1512"/>
            <w:vAlign w:val="top"/>
          </w:tcPr>
          <w:p>
            <w:pPr>
              <w:spacing w:after="40" w:before="0" w:line="259" w:lineRule="auto"/>
            </w:pPr>
            <w:r>
              <w:rPr>
                <w:rFonts w:ascii="Calibri" w:hAnsi="Calibri"/>
                <w:b w:val="0"/>
                <w:i w:val="0"/>
                <w:color w:val="212121"/>
                <w:sz w:val="19"/>
              </w:rPr>
              <w:t>M ≥ 0.90; F ≥ 0.85</w:t>
            </w:r>
          </w:p>
        </w:tc>
        <w:tc>
          <w:tcPr>
            <w:tcW w:type="dxa" w:w="1468"/>
            <w:vAlign w:val="top"/>
          </w:tcPr>
          <w:p>
            <w:pPr>
              <w:spacing w:after="60" w:line="259" w:lineRule="auto"/>
            </w:pPr>
            <w:r>
              <w:rPr>
                <w:rFonts w:ascii="Calibri" w:hAnsi="Calibri"/>
                <w:b w:val="0"/>
                <w:i w:val="0"/>
                <w:color w:val="212121"/>
                <w:sz w:val="19"/>
              </w:rPr>
              <w:t>Reflects android fat distribution; strong predictor of myocardial infarction (INTERHEART)</w:t>
            </w:r>
          </w:p>
          <w:p>
            <w:pPr>
              <w:spacing w:after="40" w:line="252" w:lineRule="auto"/>
            </w:pPr>
            <w:hyperlink r:id="rId12">
              <w:r>
                <w:rPr>
                  <w:rFonts w:ascii="Calibri" w:hAnsi="Calibri" w:cs="Calibri"/>
                  <w:sz w:val="18"/>
                  <w:color w:val="1155CC"/>
                  <w:u w:val="single"/>
                </w:rPr>
                <w:t xml:space="preserve">https://pubmed.ncbi.nlm.nih.gov/16271645/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Waist-to-height ratio (WHtR)</w:t>
            </w:r>
          </w:p>
        </w:tc>
        <w:tc>
          <w:tcPr>
            <w:tcW w:type="dxa" w:w="1655"/>
            <w:vAlign w:val="top"/>
          </w:tcPr>
          <w:p>
            <w:pPr>
              <w:spacing w:after="40" w:before="0" w:line="259" w:lineRule="auto"/>
            </w:pPr>
            <w:r>
              <w:rPr>
                <w:rFonts w:ascii="Calibri" w:hAnsi="Calibri"/>
                <w:b w:val="0"/>
                <w:i w:val="0"/>
                <w:color w:val="212121"/>
                <w:sz w:val="19"/>
              </w:rPr>
              <w:t>All adults &amp; children</w:t>
            </w:r>
          </w:p>
        </w:tc>
        <w:tc>
          <w:tcPr>
            <w:tcW w:type="dxa" w:w="1512"/>
            <w:vAlign w:val="top"/>
          </w:tcPr>
          <w:p>
            <w:pPr>
              <w:spacing w:after="40" w:before="0" w:line="259" w:lineRule="auto"/>
            </w:pPr>
            <w:r>
              <w:rPr>
                <w:rFonts w:ascii="Calibri" w:hAnsi="Calibri"/>
                <w:b w:val="0"/>
                <w:i w:val="0"/>
                <w:color w:val="212121"/>
                <w:sz w:val="19"/>
              </w:rPr>
              <w:t>&lt; 0.5</w:t>
            </w:r>
          </w:p>
        </w:tc>
        <w:tc>
          <w:tcPr>
            <w:tcW w:type="dxa" w:w="1512"/>
            <w:vAlign w:val="top"/>
          </w:tcPr>
          <w:p>
            <w:pPr>
              <w:spacing w:after="40" w:before="0" w:line="259" w:lineRule="auto"/>
            </w:pPr>
            <w:r>
              <w:rPr>
                <w:rFonts w:ascii="Calibri" w:hAnsi="Calibri"/>
                <w:b w:val="0"/>
                <w:i w:val="0"/>
                <w:color w:val="212121"/>
                <w:sz w:val="19"/>
              </w:rPr>
              <w:t>≥ 0.5</w:t>
            </w:r>
          </w:p>
        </w:tc>
        <w:tc>
          <w:tcPr>
            <w:tcW w:type="dxa" w:w="1468"/>
            <w:vAlign w:val="top"/>
          </w:tcPr>
          <w:p>
            <w:pPr>
              <w:spacing w:after="60" w:line="259" w:lineRule="auto"/>
            </w:pPr>
            <w:r>
              <w:rPr>
                <w:rFonts w:ascii="Calibri" w:hAnsi="Calibri"/>
                <w:b w:val="0"/>
                <w:i w:val="0"/>
                <w:color w:val="212121"/>
                <w:sz w:val="19"/>
              </w:rPr>
              <w:t>Simple sex/ethnicity-independent screen — ‘keep waist to less than half your height’</w:t>
            </w:r>
          </w:p>
          <w:p>
            <w:pPr>
              <w:spacing w:after="40" w:line="252" w:lineRule="auto"/>
            </w:pPr>
            <w:hyperlink r:id="rId25">
              <w:r>
                <w:rPr>
                  <w:rFonts w:ascii="Calibri" w:hAnsi="Calibri" w:cs="Calibri"/>
                  <w:sz w:val="18"/>
                  <w:color w:val="1155CC"/>
                  <w:u w:val="single"/>
                </w:rPr>
                <w:t xml:space="preserve">https://www.bristolbrc.nihr.ac.uk/research/research-projects/waist-to-height-ratio-as-a-tool-for-predicting-metabolic-risk</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23 (overweight); ≥ 25 (obesity)</w:t>
            </w:r>
          </w:p>
        </w:tc>
        <w:tc>
          <w:tcPr>
            <w:tcW w:type="dxa" w:w="1468"/>
            <w:vAlign w:val="top"/>
          </w:tcPr>
          <w:p>
            <w:pPr>
              <w:spacing w:after="60" w:line="259" w:lineRule="auto"/>
            </w:pPr>
            <w:r>
              <w:rPr>
                <w:rFonts w:ascii="Calibri" w:hAnsi="Calibri"/>
                <w:b w:val="0"/>
                <w:i w:val="0"/>
                <w:color w:val="212121"/>
                <w:sz w:val="19"/>
              </w:rPr>
              <w:t>Supports diagnosis; central obesity can be present at normal BMI (thin-fat)</w:t>
            </w:r>
          </w:p>
          <w:p>
            <w:pPr>
              <w:spacing w:after="40" w:line="252" w:lineRule="auto"/>
            </w:pPr>
            <w:hyperlink r:id="rId14">
              <w:r>
                <w:rPr>
                  <w:rFonts w:ascii="Calibri" w:hAnsi="Calibri" w:cs="Calibri"/>
                  <w:sz w:val="18"/>
                  <w:color w:val="1155CC"/>
                  <w:u w:val="single"/>
                </w:rPr>
                <w:t xml:space="preserve">https://www.ncbi.nlm.nih.gov/books/NBK568563/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150–300 min/week + resistance 2–3 d/wk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Aerobic plus resistance training preferentially lowers visceral fat</w:t>
            </w:r>
          </w:p>
          <w:p>
            <w:pPr>
              <w:spacing w:after="40" w:line="252" w:lineRule="auto"/>
            </w:pPr>
            <w:hyperlink r:id="rId26">
              <w:r>
                <w:rPr>
                  <w:rFonts w:ascii="Calibri" w:hAnsi="Calibri" w:cs="Calibri"/>
                  <w:sz w:val="18"/>
                  <w:color w:val="1155CC"/>
                  <w:u w:val="single"/>
                </w:rPr>
                <w:t xml:space="preserve">https://www.who.int/news/item/26-06-2024-nearly-1.8-billion-adults-at-risk-of-disease-from-not-doing-enough-physical-activity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Body-fat percentage (South-Asian)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20.6%; F &lt; 33.4%</w:t>
            </w:r>
          </w:p>
        </w:tc>
        <w:tc>
          <w:tcPr>
            <w:tcW w:type="dxa" w:w="1512"/>
            <w:vAlign w:val="top"/>
          </w:tcPr>
          <w:p>
            <w:pPr>
              <w:spacing w:after="40" w:before="0" w:line="259" w:lineRule="auto"/>
            </w:pPr>
            <w:r>
              <w:rPr>
                <w:rFonts w:ascii="Calibri" w:hAnsi="Calibri"/>
                <w:b w:val="0"/>
                <w:i w:val="0"/>
                <w:color w:val="212121"/>
                <w:sz w:val="19"/>
              </w:rPr>
              <w:t>M ≥ 20.6%; F ≥ 33.4%</w:t>
            </w:r>
          </w:p>
        </w:tc>
        <w:tc>
          <w:tcPr>
            <w:tcW w:type="dxa" w:w="1468"/>
            <w:vAlign w:val="top"/>
          </w:tcPr>
          <w:p>
            <w:pPr>
              <w:spacing w:after="60" w:line="259" w:lineRule="auto"/>
            </w:pPr>
            <w:r>
              <w:rPr>
                <w:rFonts w:ascii="Calibri" w:hAnsi="Calibri"/>
                <w:b w:val="0"/>
                <w:i w:val="0"/>
                <w:color w:val="212121"/>
                <w:sz w:val="19"/>
              </w:rPr>
              <w:t>Identifies ‘thin-fat’ high-fat individuals with normal BMI</w:t>
            </w:r>
          </w:p>
          <w:p>
            <w:pPr>
              <w:spacing w:after="40" w:line="252" w:lineRule="auto"/>
            </w:pPr>
            <w:hyperlink r:id="rId14">
              <w:r>
                <w:rPr>
                  <w:rFonts w:ascii="Calibri" w:hAnsi="Calibri" w:cs="Calibri"/>
                  <w:sz w:val="18"/>
                  <w:color w:val="1155CC"/>
                  <w:u w:val="single"/>
                </w:rPr>
                <w:t xml:space="preserve">https://www.ncbi.nlm.nih.gov/books/NBK568563/</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Carbohydrate share of energy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50–55% of energy, mostly unrefined</w:t>
            </w:r>
          </w:p>
        </w:tc>
        <w:tc>
          <w:tcPr>
            <w:tcW w:type="dxa" w:w="1512"/>
            <w:vAlign w:val="top"/>
          </w:tcPr>
          <w:p>
            <w:pPr>
              <w:spacing w:after="40" w:before="0" w:line="259" w:lineRule="auto"/>
            </w:pPr>
            <w:r>
              <w:rPr>
                <w:rFonts w:ascii="Calibri" w:hAnsi="Calibri"/>
                <w:b w:val="0"/>
                <w:i w:val="0"/>
                <w:color w:val="212121"/>
                <w:sz w:val="19"/>
              </w:rPr>
              <w:t>&gt; 60% of energy, refined-carb dominant</w:t>
            </w:r>
          </w:p>
        </w:tc>
        <w:tc>
          <w:tcPr>
            <w:tcW w:type="dxa" w:w="1468"/>
            <w:vAlign w:val="top"/>
          </w:tcPr>
          <w:p>
            <w:pPr>
              <w:spacing w:after="60" w:line="259" w:lineRule="auto"/>
            </w:pPr>
            <w:r>
              <w:rPr>
                <w:rFonts w:ascii="Calibri" w:hAnsi="Calibri"/>
                <w:b w:val="0"/>
                <w:i w:val="0"/>
                <w:color w:val="212121"/>
                <w:sz w:val="19"/>
              </w:rPr>
              <w:t>High refined-carb load drives visceral fat; ICMR-INDIAB-21 mean ≈ 62%</w:t>
            </w:r>
          </w:p>
          <w:p>
            <w:pPr>
              <w:spacing w:after="40" w:line="252" w:lineRule="auto"/>
            </w:pPr>
            <w:hyperlink r:id="rId21">
              <w:r>
                <w:rPr>
                  <w:rFonts w:ascii="Calibri" w:hAnsi="Calibri" w:cs="Calibri"/>
                  <w:sz w:val="18"/>
                  <w:color w:val="1155CC"/>
                  <w:u w:val="single"/>
                </w:rPr>
                <w:t xml:space="preserve">https://www.business-standard.com/health/icmr-study-indian-diet-carbs-protein-diabetes-obesity-125100100657_1.html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Added sugar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25 g/day (WHO free sugars &lt; 5% energy)</w:t>
            </w:r>
          </w:p>
        </w:tc>
        <w:tc>
          <w:tcPr>
            <w:tcW w:type="dxa" w:w="1512"/>
            <w:vAlign w:val="top"/>
          </w:tcPr>
          <w:p>
            <w:pPr>
              <w:spacing w:after="40" w:before="0" w:line="259" w:lineRule="auto"/>
            </w:pPr>
            <w:r>
              <w:rPr>
                <w:rFonts w:ascii="Calibri" w:hAnsi="Calibri"/>
                <w:b w:val="0"/>
                <w:i w:val="0"/>
                <w:color w:val="212121"/>
                <w:sz w:val="19"/>
              </w:rPr>
              <w:t>Habitual sugary drinks / sweets</w:t>
            </w:r>
          </w:p>
        </w:tc>
        <w:tc>
          <w:tcPr>
            <w:tcW w:type="dxa" w:w="1468"/>
            <w:vAlign w:val="top"/>
          </w:tcPr>
          <w:p>
            <w:pPr>
              <w:spacing w:after="60" w:line="259" w:lineRule="auto"/>
            </w:pPr>
            <w:r>
              <w:rPr>
                <w:rFonts w:ascii="Calibri" w:hAnsi="Calibri"/>
                <w:b w:val="0"/>
                <w:i w:val="0"/>
                <w:color w:val="212121"/>
                <w:sz w:val="19"/>
              </w:rPr>
              <w:t>Added sugar and SSBs promote hepatic and visceral fat</w:t>
            </w:r>
          </w:p>
          <w:p>
            <w:pPr>
              <w:spacing w:after="40" w:line="252" w:lineRule="auto"/>
            </w:pPr>
            <w:hyperlink r:id="rId22">
              <w:r>
                <w:rPr>
                  <w:rFonts w:ascii="Calibri" w:hAnsi="Calibri" w:cs="Calibri"/>
                  <w:sz w:val="18"/>
                  <w:color w:val="1155CC"/>
                  <w:u w:val="single"/>
                </w:rPr>
                <w:t xml:space="preserve">https://www.nature.com/articles/s41591-025-03949-4</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7 h (or highly irregular/shift)</w:t>
            </w:r>
          </w:p>
        </w:tc>
        <w:tc>
          <w:tcPr>
            <w:tcW w:type="dxa" w:w="1468"/>
            <w:vAlign w:val="top"/>
          </w:tcPr>
          <w:p>
            <w:pPr>
              <w:spacing w:after="60" w:line="259" w:lineRule="auto"/>
            </w:pPr>
            <w:r>
              <w:rPr>
                <w:rFonts w:ascii="Calibri" w:hAnsi="Calibri"/>
                <w:b w:val="0"/>
                <w:i w:val="0"/>
                <w:color w:val="212121"/>
                <w:sz w:val="19"/>
              </w:rPr>
              <w:t>Short sleep independently raises central-obesity risk</w:t>
            </w:r>
          </w:p>
          <w:p>
            <w:pPr>
              <w:spacing w:after="40" w:line="252" w:lineRule="auto"/>
            </w:pPr>
            <w:hyperlink r:id="rId19">
              <w:r>
                <w:rPr>
                  <w:rFonts w:ascii="Calibri" w:hAnsi="Calibri" w:cs="Calibri"/>
                  <w:sz w:val="18"/>
                  <w:color w:val="1155CC"/>
                  <w:u w:val="single"/>
                </w:rPr>
                <w:t xml:space="preserve">https://onlinelibrary.wiley.com/doi/10.1002/osp4.772</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Any current smoking / smokeless tobacco</w:t>
            </w:r>
          </w:p>
        </w:tc>
        <w:tc>
          <w:tcPr>
            <w:tcW w:type="dxa" w:w="1468"/>
            <w:vAlign w:val="top"/>
          </w:tcPr>
          <w:p>
            <w:pPr>
              <w:spacing w:after="60" w:line="259" w:lineRule="auto"/>
            </w:pPr>
            <w:r>
              <w:rPr>
                <w:rFonts w:ascii="Calibri" w:hAnsi="Calibri"/>
                <w:b w:val="0"/>
                <w:i w:val="0"/>
                <w:color w:val="212121"/>
                <w:sz w:val="19"/>
              </w:rPr>
              <w:t>Increases visceral fat and insulin resistance despite lower BMI</w:t>
            </w:r>
          </w:p>
          <w:p>
            <w:pPr>
              <w:spacing w:after="40" w:line="252" w:lineRule="auto"/>
            </w:pPr>
            <w:hyperlink r:id="rId17">
              <w:r>
                <w:rPr>
                  <w:rFonts w:ascii="Calibri" w:hAnsi="Calibri" w:cs="Calibri"/>
                  <w:sz w:val="18"/>
                  <w:color w:val="1155CC"/>
                  <w:u w:val="single"/>
                </w:rPr>
                <w:t xml:space="preserve">https://journals.plos.org/plosone/article?id=10.1371%2Fjournal.pone.0045815</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Nil to minimal</w:t>
            </w:r>
          </w:p>
        </w:tc>
        <w:tc>
          <w:tcPr>
            <w:tcW w:type="dxa" w:w="1512"/>
            <w:vAlign w:val="top"/>
          </w:tcPr>
          <w:p>
            <w:pPr>
              <w:spacing w:after="40" w:before="0" w:line="259" w:lineRule="auto"/>
            </w:pPr>
            <w:r>
              <w:rPr>
                <w:rFonts w:ascii="Calibri" w:hAnsi="Calibri"/>
                <w:b w:val="0"/>
                <w:i w:val="0"/>
                <w:color w:val="212121"/>
                <w:sz w:val="19"/>
              </w:rPr>
              <w:t>Heavy / frequent intake</w:t>
            </w:r>
          </w:p>
        </w:tc>
        <w:tc>
          <w:tcPr>
            <w:tcW w:type="dxa" w:w="1468"/>
            <w:vAlign w:val="top"/>
          </w:tcPr>
          <w:p>
            <w:pPr>
              <w:spacing w:after="60" w:line="259" w:lineRule="auto"/>
            </w:pPr>
            <w:r>
              <w:rPr>
                <w:rFonts w:ascii="Calibri" w:hAnsi="Calibri"/>
                <w:b w:val="0"/>
                <w:i w:val="0"/>
                <w:color w:val="212121"/>
                <w:sz w:val="19"/>
              </w:rPr>
              <w:t>Dense calories plus preferential truncal/visceral and hepatic fat</w:t>
            </w:r>
          </w:p>
          <w:p>
            <w:pPr>
              <w:spacing w:after="40" w:line="252" w:lineRule="auto"/>
            </w:pPr>
            <w:hyperlink r:id="rId18">
              <w:r>
                <w:rPr>
                  <w:rFonts w:ascii="Calibri" w:hAnsi="Calibri" w:cs="Calibri"/>
                  <w:sz w:val="18"/>
                  <w:color w:val="1155CC"/>
                  <w:u w:val="single"/>
                </w:rPr>
                <w:t xml:space="preserve">https://www.nature.com/articles/s41366-026-02030-5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plasma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100–125 (impaired); ≥ 126 (diabetes)</w:t>
            </w:r>
          </w:p>
        </w:tc>
        <w:tc>
          <w:tcPr>
            <w:tcW w:type="dxa" w:w="1036"/>
            <w:vAlign w:val="top"/>
          </w:tcPr>
          <w:p>
            <w:pPr>
              <w:spacing w:after="40" w:before="0" w:line="259" w:lineRule="auto"/>
            </w:pPr>
            <w:r>
              <w:rPr>
                <w:rFonts w:ascii="Calibri" w:hAnsi="Calibri"/>
                <w:b w:val="0"/>
                <w:i w:val="0"/>
                <w:color w:val="212121"/>
                <w:sz w:val="16"/>
              </w:rPr>
              <w:t>Screens for the dysglycaemia driven by visceral fat / insulin resistance</w:t>
            </w:r>
          </w:p>
        </w:tc>
        <w:tc>
          <w:tcPr>
            <w:tcW w:type="dxa" w:w="1036"/>
            <w:vAlign w:val="top"/>
          </w:tcPr>
          <w:p>
            <w:pPr>
              <w:spacing w:after="40" w:before="0" w:line="259" w:lineRule="auto"/>
            </w:pPr>
            <w:r>
              <w:rPr>
                <w:rFonts w:ascii="Calibri" w:hAnsi="Calibri"/>
                <w:b w:val="0"/>
                <w:i w:val="0"/>
                <w:color w:val="212121"/>
                <w:sz w:val="16"/>
              </w:rPr>
              <w:t>Central-obese adults, thin-fat individuals, family history of DM</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8-hour fast; confirm abnormal values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w:t>
            </w:r>
          </w:p>
        </w:tc>
        <w:tc>
          <w:tcPr>
            <w:tcW w:type="dxa" w:w="950"/>
            <w:vAlign w:val="top"/>
          </w:tcPr>
          <w:p>
            <w:pPr>
              <w:spacing w:after="40" w:before="0" w:line="259" w:lineRule="auto"/>
            </w:pPr>
            <w:r>
              <w:rPr>
                <w:rFonts w:ascii="Calibri" w:hAnsi="Calibri"/>
                <w:b w:val="0"/>
                <w:i w:val="0"/>
                <w:color w:val="212121"/>
                <w:sz w:val="16"/>
              </w:rPr>
              <w:t>5.7–6.4% (prediabetes); ≥ 6.5% (diabetes)</w:t>
            </w:r>
          </w:p>
        </w:tc>
        <w:tc>
          <w:tcPr>
            <w:tcW w:type="dxa" w:w="1036"/>
            <w:vAlign w:val="top"/>
          </w:tcPr>
          <w:p>
            <w:pPr>
              <w:spacing w:after="40" w:before="0" w:line="259" w:lineRule="auto"/>
            </w:pPr>
            <w:r>
              <w:rPr>
                <w:rFonts w:ascii="Calibri" w:hAnsi="Calibri"/>
                <w:b w:val="0"/>
                <w:i w:val="0"/>
                <w:color w:val="212121"/>
                <w:sz w:val="16"/>
              </w:rPr>
              <w:t>Reflects 2–3-month glycaemia; central obesity strongly predicts progression</w:t>
            </w:r>
          </w:p>
        </w:tc>
        <w:tc>
          <w:tcPr>
            <w:tcW w:type="dxa" w:w="1036"/>
            <w:vAlign w:val="top"/>
          </w:tcPr>
          <w:p>
            <w:pPr>
              <w:spacing w:after="40" w:before="0" w:line="259" w:lineRule="auto"/>
            </w:pPr>
            <w:r>
              <w:rPr>
                <w:rFonts w:ascii="Calibri" w:hAnsi="Calibri"/>
                <w:b w:val="0"/>
                <w:i w:val="0"/>
                <w:color w:val="212121"/>
                <w:sz w:val="16"/>
              </w:rPr>
              <w:t>Central-obese, metabolic-syndrome, PCOS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Affected by anaemia/haemoglobinopathies common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 (TG, HDL-C)</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TG &lt; 150 mg/dL; HDL M ≥ 40, F ≥ 50 mg/dL</w:t>
            </w:r>
          </w:p>
        </w:tc>
        <w:tc>
          <w:tcPr>
            <w:tcW w:type="dxa" w:w="950"/>
            <w:vAlign w:val="top"/>
          </w:tcPr>
          <w:p>
            <w:pPr>
              <w:spacing w:after="40" w:before="0" w:line="259" w:lineRule="auto"/>
            </w:pPr>
            <w:r>
              <w:rPr>
                <w:rFonts w:ascii="Calibri" w:hAnsi="Calibri"/>
                <w:b w:val="0"/>
                <w:i w:val="0"/>
                <w:color w:val="212121"/>
                <w:sz w:val="16"/>
              </w:rPr>
              <w:t>TG ≥ 150; HDL M &lt; 40, F &lt; 50 mg/dL</w:t>
            </w:r>
          </w:p>
        </w:tc>
        <w:tc>
          <w:tcPr>
            <w:tcW w:type="dxa" w:w="1036"/>
            <w:vAlign w:val="top"/>
          </w:tcPr>
          <w:p>
            <w:pPr>
              <w:spacing w:after="40" w:before="0" w:line="259" w:lineRule="auto"/>
            </w:pPr>
            <w:r>
              <w:rPr>
                <w:rFonts w:ascii="Calibri" w:hAnsi="Calibri"/>
                <w:b w:val="0"/>
                <w:i w:val="0"/>
                <w:color w:val="212121"/>
                <w:sz w:val="16"/>
              </w:rPr>
              <w:t>High-TG/low-HDL ‘atherogenic dyslipidaemia’ is typical of visceral obesity</w:t>
            </w:r>
          </w:p>
        </w:tc>
        <w:tc>
          <w:tcPr>
            <w:tcW w:type="dxa" w:w="1036"/>
            <w:vAlign w:val="top"/>
          </w:tcPr>
          <w:p>
            <w:pPr>
              <w:spacing w:after="40" w:before="0" w:line="259" w:lineRule="auto"/>
            </w:pPr>
            <w:r>
              <w:rPr>
                <w:rFonts w:ascii="Calibri" w:hAnsi="Calibri"/>
                <w:b w:val="0"/>
                <w:i w:val="0"/>
                <w:color w:val="212121"/>
                <w:sz w:val="16"/>
              </w:rPr>
              <w:t>Central-obese adults, metabolic syndrome</w:t>
            </w:r>
          </w:p>
        </w:tc>
        <w:tc>
          <w:tcPr>
            <w:tcW w:type="dxa" w:w="720"/>
            <w:vAlign w:val="top"/>
          </w:tcPr>
          <w:p>
            <w:pPr>
              <w:spacing w:after="40" w:before="0" w:line="259" w:lineRule="auto"/>
            </w:pPr>
            <w:r>
              <w:rPr>
                <w:rFonts w:ascii="Calibri" w:hAnsi="Calibri"/>
                <w:b w:val="0"/>
                <w:i w:val="0"/>
                <w:color w:val="212121"/>
                <w:sz w:val="16"/>
              </w:rPr>
              <w:t>Food; Physical activity; Alcohol</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Part of metabolic-syndrome criteria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insulin / HOMA-IR</w:t>
            </w:r>
          </w:p>
        </w:tc>
        <w:tc>
          <w:tcPr>
            <w:tcW w:type="dxa" w:w="892"/>
            <w:vAlign w:val="top"/>
          </w:tcPr>
          <w:p>
            <w:pPr>
              <w:spacing w:after="40" w:before="0" w:line="259" w:lineRule="auto"/>
            </w:pPr>
            <w:r>
              <w:rPr>
                <w:rFonts w:ascii="Calibri" w:hAnsi="Calibri"/>
                <w:b w:val="0"/>
                <w:i w:val="0"/>
                <w:color w:val="212121"/>
                <w:sz w:val="16"/>
              </w:rPr>
              <w:t>Insulin resistance index</w:t>
            </w:r>
          </w:p>
        </w:tc>
        <w:tc>
          <w:tcPr>
            <w:tcW w:type="dxa" w:w="950"/>
            <w:vAlign w:val="top"/>
          </w:tcPr>
          <w:p>
            <w:pPr>
              <w:spacing w:after="40" w:before="0" w:line="259" w:lineRule="auto"/>
            </w:pPr>
            <w:r>
              <w:rPr>
                <w:rFonts w:ascii="Calibri" w:hAnsi="Calibri"/>
                <w:b w:val="0"/>
                <w:i w:val="0"/>
                <w:color w:val="212121"/>
                <w:sz w:val="16"/>
              </w:rPr>
              <w:t>HOMA-IR broadly &lt; 2–2.5</w:t>
            </w:r>
          </w:p>
        </w:tc>
        <w:tc>
          <w:tcPr>
            <w:tcW w:type="dxa" w:w="950"/>
            <w:vAlign w:val="top"/>
          </w:tcPr>
          <w:p>
            <w:pPr>
              <w:spacing w:after="40" w:before="0" w:line="259" w:lineRule="auto"/>
            </w:pPr>
            <w:r>
              <w:rPr>
                <w:rFonts w:ascii="Calibri" w:hAnsi="Calibri"/>
                <w:b w:val="0"/>
                <w:i w:val="0"/>
                <w:color w:val="212121"/>
                <w:sz w:val="16"/>
              </w:rPr>
              <w:t>Elevated HOMA-IR</w:t>
            </w:r>
          </w:p>
        </w:tc>
        <w:tc>
          <w:tcPr>
            <w:tcW w:type="dxa" w:w="1036"/>
            <w:vAlign w:val="top"/>
          </w:tcPr>
          <w:p>
            <w:pPr>
              <w:spacing w:after="40" w:before="0" w:line="259" w:lineRule="auto"/>
            </w:pPr>
            <w:r>
              <w:rPr>
                <w:rFonts w:ascii="Calibri" w:hAnsi="Calibri"/>
                <w:b w:val="0"/>
                <w:i w:val="0"/>
                <w:color w:val="212121"/>
                <w:sz w:val="16"/>
              </w:rPr>
              <w:t>Quantifies insulin resistance, the core mechanism linking visceral fat to disease</w:t>
            </w:r>
          </w:p>
        </w:tc>
        <w:tc>
          <w:tcPr>
            <w:tcW w:type="dxa" w:w="1036"/>
            <w:vAlign w:val="top"/>
          </w:tcPr>
          <w:p>
            <w:pPr>
              <w:spacing w:after="40" w:before="0" w:line="259" w:lineRule="auto"/>
            </w:pPr>
            <w:r>
              <w:rPr>
                <w:rFonts w:ascii="Calibri" w:hAnsi="Calibri"/>
                <w:b w:val="0"/>
                <w:i w:val="0"/>
                <w:color w:val="212121"/>
                <w:sz w:val="16"/>
              </w:rPr>
              <w:t>Thin-fat, PCOS, prediabetes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Mainly research/specialist use; no universal cut-off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enzymes (ALT/AST) + ultrasound</w:t>
            </w:r>
          </w:p>
        </w:tc>
        <w:tc>
          <w:tcPr>
            <w:tcW w:type="dxa" w:w="892"/>
            <w:vAlign w:val="top"/>
          </w:tcPr>
          <w:p>
            <w:pPr>
              <w:spacing w:after="40" w:before="0" w:line="259" w:lineRule="auto"/>
            </w:pPr>
            <w:r>
              <w:rPr>
                <w:rFonts w:ascii="Calibri" w:hAnsi="Calibri"/>
                <w:b w:val="0"/>
                <w:i w:val="0"/>
                <w:color w:val="212121"/>
                <w:sz w:val="16"/>
              </w:rPr>
              <w:t>LFTs &amp; abdominal USG</w:t>
            </w:r>
          </w:p>
        </w:tc>
        <w:tc>
          <w:tcPr>
            <w:tcW w:type="dxa" w:w="950"/>
            <w:vAlign w:val="top"/>
          </w:tcPr>
          <w:p>
            <w:pPr>
              <w:spacing w:after="40" w:before="0" w:line="259" w:lineRule="auto"/>
            </w:pPr>
            <w:r>
              <w:rPr>
                <w:rFonts w:ascii="Calibri" w:hAnsi="Calibri"/>
                <w:b w:val="0"/>
                <w:i w:val="0"/>
                <w:color w:val="212121"/>
                <w:sz w:val="16"/>
              </w:rPr>
              <w:t>ALT/AST within lab range; no steatosis</w:t>
            </w:r>
          </w:p>
        </w:tc>
        <w:tc>
          <w:tcPr>
            <w:tcW w:type="dxa" w:w="950"/>
            <w:vAlign w:val="top"/>
          </w:tcPr>
          <w:p>
            <w:pPr>
              <w:spacing w:after="40" w:before="0" w:line="259" w:lineRule="auto"/>
            </w:pPr>
            <w:r>
              <w:rPr>
                <w:rFonts w:ascii="Calibri" w:hAnsi="Calibri"/>
                <w:b w:val="0"/>
                <w:i w:val="0"/>
                <w:color w:val="212121"/>
                <w:sz w:val="16"/>
              </w:rPr>
              <w:t>Raised ALT; fatty liver on USG</w:t>
            </w:r>
          </w:p>
        </w:tc>
        <w:tc>
          <w:tcPr>
            <w:tcW w:type="dxa" w:w="1036"/>
            <w:vAlign w:val="top"/>
          </w:tcPr>
          <w:p>
            <w:pPr>
              <w:spacing w:after="40" w:before="0" w:line="259" w:lineRule="auto"/>
            </w:pPr>
            <w:r>
              <w:rPr>
                <w:rFonts w:ascii="Calibri" w:hAnsi="Calibri"/>
                <w:b w:val="0"/>
                <w:i w:val="0"/>
                <w:color w:val="212121"/>
                <w:sz w:val="16"/>
              </w:rPr>
              <w:t>Detects NAFLD/MASLD, the hepatic manifestation of visceral obesity</w:t>
            </w:r>
          </w:p>
        </w:tc>
        <w:tc>
          <w:tcPr>
            <w:tcW w:type="dxa" w:w="1036"/>
            <w:vAlign w:val="top"/>
          </w:tcPr>
          <w:p>
            <w:pPr>
              <w:spacing w:after="40" w:before="0" w:line="259" w:lineRule="auto"/>
            </w:pPr>
            <w:r>
              <w:rPr>
                <w:rFonts w:ascii="Calibri" w:hAnsi="Calibri"/>
                <w:b w:val="0"/>
                <w:i w:val="0"/>
                <w:color w:val="212121"/>
                <w:sz w:val="16"/>
              </w:rPr>
              <w:t>Central-obese, diabetic, dyslipidaemic</w:t>
            </w:r>
          </w:p>
        </w:tc>
        <w:tc>
          <w:tcPr>
            <w:tcW w:type="dxa" w:w="720"/>
            <w:vAlign w:val="top"/>
          </w:tcPr>
          <w:p>
            <w:pPr>
              <w:spacing w:after="40" w:before="0" w:line="259" w:lineRule="auto"/>
            </w:pPr>
            <w:r>
              <w:rPr>
                <w:rFonts w:ascii="Calibri" w:hAnsi="Calibri"/>
                <w:b w:val="0"/>
                <w:i w:val="0"/>
                <w:color w:val="212121"/>
                <w:sz w:val="16"/>
              </w:rPr>
              <w:t>Food; Alcohol;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Central obesity predicts fatty liver better than BMI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TSH</w:t>
            </w:r>
          </w:p>
        </w:tc>
        <w:tc>
          <w:tcPr>
            <w:tcW w:type="dxa" w:w="892"/>
            <w:vAlign w:val="top"/>
          </w:tcPr>
          <w:p>
            <w:pPr>
              <w:spacing w:after="40" w:before="0" w:line="259" w:lineRule="auto"/>
            </w:pPr>
            <w:r>
              <w:rPr>
                <w:rFonts w:ascii="Calibri" w:hAnsi="Calibri"/>
                <w:b w:val="0"/>
                <w:i w:val="0"/>
                <w:color w:val="212121"/>
                <w:sz w:val="16"/>
              </w:rPr>
              <w:t>Thyroid function</w:t>
            </w:r>
          </w:p>
        </w:tc>
        <w:tc>
          <w:tcPr>
            <w:tcW w:type="dxa" w:w="950"/>
            <w:vAlign w:val="top"/>
          </w:tcPr>
          <w:p>
            <w:pPr>
              <w:spacing w:after="40" w:before="0" w:line="259" w:lineRule="auto"/>
            </w:pPr>
            <w:r>
              <w:rPr>
                <w:rFonts w:ascii="Calibri" w:hAnsi="Calibri"/>
                <w:b w:val="0"/>
                <w:i w:val="0"/>
                <w:color w:val="212121"/>
                <w:sz w:val="16"/>
              </w:rPr>
              <w:t>≈ 0.4–4.0 mIU/L</w:t>
            </w:r>
          </w:p>
        </w:tc>
        <w:tc>
          <w:tcPr>
            <w:tcW w:type="dxa" w:w="950"/>
            <w:vAlign w:val="top"/>
          </w:tcPr>
          <w:p>
            <w:pPr>
              <w:spacing w:after="40" w:before="0" w:line="259" w:lineRule="auto"/>
            </w:pPr>
            <w:r>
              <w:rPr>
                <w:rFonts w:ascii="Calibri" w:hAnsi="Calibri"/>
                <w:b w:val="0"/>
                <w:i w:val="0"/>
                <w:color w:val="212121"/>
                <w:sz w:val="16"/>
              </w:rPr>
              <w:t>Elevated TSH (hypothyroidism)</w:t>
            </w:r>
          </w:p>
        </w:tc>
        <w:tc>
          <w:tcPr>
            <w:tcW w:type="dxa" w:w="1036"/>
            <w:vAlign w:val="top"/>
          </w:tcPr>
          <w:p>
            <w:pPr>
              <w:spacing w:after="40" w:before="0" w:line="259" w:lineRule="auto"/>
            </w:pPr>
            <w:r>
              <w:rPr>
                <w:rFonts w:ascii="Calibri" w:hAnsi="Calibri"/>
                <w:b w:val="0"/>
                <w:i w:val="0"/>
                <w:color w:val="212121"/>
                <w:sz w:val="16"/>
              </w:rPr>
              <w:t>Excludes hypothyroidism contributing to weight/truncal fat gain</w:t>
            </w:r>
          </w:p>
        </w:tc>
        <w:tc>
          <w:tcPr>
            <w:tcW w:type="dxa" w:w="1036"/>
            <w:vAlign w:val="top"/>
          </w:tcPr>
          <w:p>
            <w:pPr>
              <w:spacing w:after="40" w:before="0" w:line="259" w:lineRule="auto"/>
            </w:pPr>
            <w:r>
              <w:rPr>
                <w:rFonts w:ascii="Calibri" w:hAnsi="Calibri"/>
                <w:b w:val="0"/>
                <w:i w:val="0"/>
                <w:color w:val="212121"/>
                <w:sz w:val="16"/>
              </w:rPr>
              <w:t>Adults with recent weight gain, fatigue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Common and treatable secondary contributor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Visceral adipose tissue (DXA / CT / MRI)</w:t>
            </w:r>
          </w:p>
        </w:tc>
        <w:tc>
          <w:tcPr>
            <w:tcW w:type="dxa" w:w="892"/>
            <w:vAlign w:val="top"/>
          </w:tcPr>
          <w:p>
            <w:pPr>
              <w:spacing w:after="40" w:before="0" w:line="259" w:lineRule="auto"/>
            </w:pPr>
            <w:r>
              <w:rPr>
                <w:rFonts w:ascii="Calibri" w:hAnsi="Calibri"/>
                <w:b w:val="0"/>
                <w:i w:val="0"/>
                <w:color w:val="212121"/>
                <w:sz w:val="16"/>
              </w:rPr>
              <w:t>Body-composition imaging</w:t>
            </w:r>
          </w:p>
        </w:tc>
        <w:tc>
          <w:tcPr>
            <w:tcW w:type="dxa" w:w="950"/>
            <w:vAlign w:val="top"/>
          </w:tcPr>
          <w:p>
            <w:pPr>
              <w:spacing w:after="40" w:before="0" w:line="259" w:lineRule="auto"/>
            </w:pPr>
            <w:r>
              <w:rPr>
                <w:rFonts w:ascii="Calibri" w:hAnsi="Calibri"/>
                <w:b w:val="0"/>
                <w:i w:val="0"/>
                <w:color w:val="212121"/>
                <w:sz w:val="16"/>
              </w:rPr>
              <w:t>Low visceral-fat area</w:t>
            </w:r>
          </w:p>
        </w:tc>
        <w:tc>
          <w:tcPr>
            <w:tcW w:type="dxa" w:w="950"/>
            <w:vAlign w:val="top"/>
          </w:tcPr>
          <w:p>
            <w:pPr>
              <w:spacing w:after="40" w:before="0" w:line="259" w:lineRule="auto"/>
            </w:pPr>
            <w:r>
              <w:rPr>
                <w:rFonts w:ascii="Calibri" w:hAnsi="Calibri"/>
                <w:b w:val="0"/>
                <w:i w:val="0"/>
                <w:color w:val="212121"/>
                <w:sz w:val="16"/>
              </w:rPr>
              <w:t>High visceral-fat area / VAT</w:t>
            </w:r>
          </w:p>
        </w:tc>
        <w:tc>
          <w:tcPr>
            <w:tcW w:type="dxa" w:w="1036"/>
            <w:vAlign w:val="top"/>
          </w:tcPr>
          <w:p>
            <w:pPr>
              <w:spacing w:after="40" w:before="0" w:line="259" w:lineRule="auto"/>
            </w:pPr>
            <w:r>
              <w:rPr>
                <w:rFonts w:ascii="Calibri" w:hAnsi="Calibri"/>
                <w:b w:val="0"/>
                <w:i w:val="0"/>
                <w:color w:val="212121"/>
                <w:sz w:val="16"/>
              </w:rPr>
              <w:t>Gold-standard separation of visceral from subcutaneous fat and risk stratification</w:t>
            </w:r>
          </w:p>
        </w:tc>
        <w:tc>
          <w:tcPr>
            <w:tcW w:type="dxa" w:w="1036"/>
            <w:vAlign w:val="top"/>
          </w:tcPr>
          <w:p>
            <w:pPr>
              <w:spacing w:after="40" w:before="0" w:line="259" w:lineRule="auto"/>
            </w:pPr>
            <w:r>
              <w:rPr>
                <w:rFonts w:ascii="Calibri" w:hAnsi="Calibri"/>
                <w:b w:val="0"/>
                <w:i w:val="0"/>
                <w:color w:val="212121"/>
                <w:sz w:val="16"/>
              </w:rPr>
              <w:t>Research, complex or discordant cases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CT/MRI reference standard; DXA and USG are practical surrogates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Waist circumference</w:t>
            </w:r>
          </w:p>
        </w:tc>
        <w:tc>
          <w:tcPr>
            <w:tcW w:type="dxa" w:w="979"/>
            <w:vAlign w:val="top"/>
          </w:tcPr>
          <w:p>
            <w:pPr>
              <w:spacing w:after="40" w:before="0" w:line="259" w:lineRule="auto"/>
            </w:pPr>
            <w:r>
              <w:rPr>
                <w:rFonts w:ascii="Calibri" w:hAnsi="Calibri"/>
                <w:b w:val="0"/>
                <w:i w:val="0"/>
                <w:color w:val="212121"/>
                <w:sz w:val="16"/>
              </w:rPr>
              <w:t>Abdominal girth vs Asian-Indian cut-off</w:t>
            </w:r>
          </w:p>
        </w:tc>
        <w:tc>
          <w:tcPr>
            <w:tcW w:type="dxa" w:w="950"/>
            <w:vAlign w:val="top"/>
          </w:tcPr>
          <w:p>
            <w:pPr>
              <w:spacing w:after="40" w:before="0" w:line="259" w:lineRule="auto"/>
            </w:pPr>
            <w:r>
              <w:rPr>
                <w:rFonts w:ascii="Calibri" w:hAnsi="Calibri"/>
                <w:b w:val="0"/>
                <w:i w:val="0"/>
                <w:color w:val="212121"/>
                <w:sz w:val="16"/>
              </w:rPr>
              <w:t>M &lt; 90 cm; F &lt; 80 cm</w:t>
            </w:r>
          </w:p>
        </w:tc>
        <w:tc>
          <w:tcPr>
            <w:tcW w:type="dxa" w:w="950"/>
            <w:vAlign w:val="top"/>
          </w:tcPr>
          <w:p>
            <w:pPr>
              <w:spacing w:after="40" w:before="0" w:line="259" w:lineRule="auto"/>
            </w:pPr>
            <w:r>
              <w:rPr>
                <w:rFonts w:ascii="Calibri" w:hAnsi="Calibri"/>
                <w:b w:val="0"/>
                <w:i w:val="0"/>
                <w:color w:val="212121"/>
                <w:sz w:val="16"/>
              </w:rPr>
              <w:t>M ≥ 90 cm; F ≥ 80 cm</w:t>
            </w:r>
          </w:p>
        </w:tc>
        <w:tc>
          <w:tcPr>
            <w:tcW w:type="dxa" w:w="1036"/>
            <w:vAlign w:val="top"/>
          </w:tcPr>
          <w:p>
            <w:pPr>
              <w:spacing w:after="40" w:before="0" w:line="259" w:lineRule="auto"/>
            </w:pPr>
            <w:r>
              <w:rPr>
                <w:rFonts w:ascii="Calibri" w:hAnsi="Calibri"/>
                <w:b w:val="0"/>
                <w:i w:val="0"/>
                <w:color w:val="212121"/>
                <w:sz w:val="16"/>
              </w:rPr>
              <w:t>Defining bedside measure of abdominal obesity</w:t>
            </w:r>
          </w:p>
        </w:tc>
        <w:tc>
          <w:tcPr>
            <w:tcW w:type="dxa" w:w="1036"/>
            <w:vAlign w:val="top"/>
          </w:tcPr>
          <w:p>
            <w:pPr>
              <w:spacing w:after="40" w:before="0" w:line="259" w:lineRule="auto"/>
            </w:pPr>
            <w:r>
              <w:rPr>
                <w:rFonts w:ascii="Calibri" w:hAnsi="Calibri"/>
                <w:b w:val="0"/>
                <w:i w:val="0"/>
                <w:color w:val="212121"/>
                <w:sz w:val="16"/>
              </w:rPr>
              <w:t>All adults, especially normal-BMI thin-fat individuals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non-stretch tape midway between lowest rib and iliac crest, end-expiration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Waist-to-hip &amp; waist-to-height ratio</w:t>
            </w:r>
          </w:p>
        </w:tc>
        <w:tc>
          <w:tcPr>
            <w:tcW w:type="dxa" w:w="979"/>
            <w:vAlign w:val="top"/>
          </w:tcPr>
          <w:p>
            <w:pPr>
              <w:spacing w:after="40" w:before="0" w:line="259" w:lineRule="auto"/>
            </w:pPr>
            <w:r>
              <w:rPr>
                <w:rFonts w:ascii="Calibri" w:hAnsi="Calibri"/>
                <w:b w:val="0"/>
                <w:i w:val="0"/>
                <w:color w:val="212121"/>
                <w:sz w:val="16"/>
              </w:rPr>
              <w:t>WHR and WHtR</w:t>
            </w:r>
          </w:p>
        </w:tc>
        <w:tc>
          <w:tcPr>
            <w:tcW w:type="dxa" w:w="950"/>
            <w:vAlign w:val="top"/>
          </w:tcPr>
          <w:p>
            <w:pPr>
              <w:spacing w:after="40" w:before="0" w:line="259" w:lineRule="auto"/>
            </w:pPr>
            <w:r>
              <w:rPr>
                <w:rFonts w:ascii="Calibri" w:hAnsi="Calibri"/>
                <w:b w:val="0"/>
                <w:i w:val="0"/>
                <w:color w:val="212121"/>
                <w:sz w:val="16"/>
              </w:rPr>
              <w:t>WHR M &lt; 0.90 / F &lt; 0.85; WHtR &lt; 0.5</w:t>
            </w:r>
          </w:p>
        </w:tc>
        <w:tc>
          <w:tcPr>
            <w:tcW w:type="dxa" w:w="950"/>
            <w:vAlign w:val="top"/>
          </w:tcPr>
          <w:p>
            <w:pPr>
              <w:spacing w:after="40" w:before="0" w:line="259" w:lineRule="auto"/>
            </w:pPr>
            <w:r>
              <w:rPr>
                <w:rFonts w:ascii="Calibri" w:hAnsi="Calibri"/>
                <w:b w:val="0"/>
                <w:i w:val="0"/>
                <w:color w:val="212121"/>
                <w:sz w:val="16"/>
              </w:rPr>
              <w:t>WHR M ≥ 0.90 / F ≥ 0.85; WHtR ≥ 0.5</w:t>
            </w:r>
          </w:p>
        </w:tc>
        <w:tc>
          <w:tcPr>
            <w:tcW w:type="dxa" w:w="1036"/>
            <w:vAlign w:val="top"/>
          </w:tcPr>
          <w:p>
            <w:pPr>
              <w:spacing w:after="40" w:before="0" w:line="259" w:lineRule="auto"/>
            </w:pPr>
            <w:r>
              <w:rPr>
                <w:rFonts w:ascii="Calibri" w:hAnsi="Calibri"/>
                <w:b w:val="0"/>
                <w:i w:val="0"/>
                <w:color w:val="212121"/>
                <w:sz w:val="16"/>
              </w:rPr>
              <w:t>Capture android fat distribution and cardiometabolic risk</w:t>
            </w:r>
          </w:p>
        </w:tc>
        <w:tc>
          <w:tcPr>
            <w:tcW w:type="dxa" w:w="1036"/>
            <w:vAlign w:val="top"/>
          </w:tcPr>
          <w:p>
            <w:pPr>
              <w:spacing w:after="40" w:before="0" w:line="259" w:lineRule="auto"/>
            </w:pPr>
            <w:r>
              <w:rPr>
                <w:rFonts w:ascii="Calibri" w:hAnsi="Calibri"/>
                <w:b w:val="0"/>
                <w:i w:val="0"/>
                <w:color w:val="212121"/>
                <w:sz w:val="16"/>
              </w:rPr>
              <w:t>All adults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WHtR needs only waist and height; easy self-screen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Body habitus &amp; vitals</w:t>
            </w:r>
          </w:p>
        </w:tc>
        <w:tc>
          <w:tcPr>
            <w:tcW w:type="dxa" w:w="979"/>
            <w:vAlign w:val="top"/>
          </w:tcPr>
          <w:p>
            <w:pPr>
              <w:spacing w:after="40" w:before="0" w:line="259" w:lineRule="auto"/>
            </w:pPr>
            <w:r>
              <w:rPr>
                <w:rFonts w:ascii="Calibri" w:hAnsi="Calibri"/>
                <w:b w:val="0"/>
                <w:i w:val="0"/>
                <w:color w:val="212121"/>
                <w:sz w:val="16"/>
              </w:rPr>
              <w:t>Apple-shaped habitus, blood pressure</w:t>
            </w:r>
          </w:p>
        </w:tc>
        <w:tc>
          <w:tcPr>
            <w:tcW w:type="dxa" w:w="950"/>
            <w:vAlign w:val="top"/>
          </w:tcPr>
          <w:p>
            <w:pPr>
              <w:spacing w:after="40" w:before="0" w:line="259" w:lineRule="auto"/>
            </w:pPr>
            <w:r>
              <w:rPr>
                <w:rFonts w:ascii="Calibri" w:hAnsi="Calibri"/>
                <w:b w:val="0"/>
                <w:i w:val="0"/>
                <w:color w:val="212121"/>
                <w:sz w:val="16"/>
              </w:rPr>
              <w:t>Gynoid/normal habitus; BP &lt; 130/85</w:t>
            </w:r>
          </w:p>
        </w:tc>
        <w:tc>
          <w:tcPr>
            <w:tcW w:type="dxa" w:w="950"/>
            <w:vAlign w:val="top"/>
          </w:tcPr>
          <w:p>
            <w:pPr>
              <w:spacing w:after="40" w:before="0" w:line="259" w:lineRule="auto"/>
            </w:pPr>
            <w:r>
              <w:rPr>
                <w:rFonts w:ascii="Calibri" w:hAnsi="Calibri"/>
                <w:b w:val="0"/>
                <w:i w:val="0"/>
                <w:color w:val="212121"/>
                <w:sz w:val="16"/>
              </w:rPr>
              <w:t>Android ‘pot-belly’ habitus; BP ≥ 130/85</w:t>
            </w:r>
          </w:p>
        </w:tc>
        <w:tc>
          <w:tcPr>
            <w:tcW w:type="dxa" w:w="1036"/>
            <w:vAlign w:val="top"/>
          </w:tcPr>
          <w:p>
            <w:pPr>
              <w:spacing w:after="40" w:before="0" w:line="259" w:lineRule="auto"/>
            </w:pPr>
            <w:r>
              <w:rPr>
                <w:rFonts w:ascii="Calibri" w:hAnsi="Calibri"/>
                <w:b w:val="0"/>
                <w:i w:val="0"/>
                <w:color w:val="212121"/>
                <w:sz w:val="16"/>
              </w:rPr>
              <w:t>Visual truncal adiposity with raised BP signals metabolic syndrome</w:t>
            </w:r>
          </w:p>
        </w:tc>
        <w:tc>
          <w:tcPr>
            <w:tcW w:type="dxa" w:w="1036"/>
            <w:vAlign w:val="top"/>
          </w:tcPr>
          <w:p>
            <w:pPr>
              <w:spacing w:after="40" w:before="0" w:line="259" w:lineRule="auto"/>
            </w:pPr>
            <w:r>
              <w:rPr>
                <w:rFonts w:ascii="Calibri" w:hAnsi="Calibri"/>
                <w:b w:val="0"/>
                <w:i w:val="0"/>
                <w:color w:val="212121"/>
                <w:sz w:val="16"/>
              </w:rPr>
              <w:t>Central-obese adults</w:t>
            </w:r>
          </w:p>
        </w:tc>
        <w:tc>
          <w:tcPr>
            <w:tcW w:type="dxa" w:w="720"/>
            <w:vAlign w:val="top"/>
          </w:tcPr>
          <w:p>
            <w:pPr>
              <w:spacing w:after="40" w:before="0" w:line="259" w:lineRule="auto"/>
            </w:pPr>
            <w:r>
              <w:rPr>
                <w:rFonts w:ascii="Calibri" w:hAnsi="Calibri"/>
                <w:b w:val="0"/>
                <w:i w:val="0"/>
                <w:color w:val="212121"/>
                <w:sz w:val="16"/>
              </w:rPr>
              <w:t>Physical activity; 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correctly sized cuff; recheck elevated readings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Skin examination</w:t>
            </w:r>
          </w:p>
        </w:tc>
        <w:tc>
          <w:tcPr>
            <w:tcW w:type="dxa" w:w="950"/>
            <w:vAlign w:val="top"/>
          </w:tcPr>
          <w:p>
            <w:pPr>
              <w:spacing w:after="40" w:before="0" w:line="259" w:lineRule="auto"/>
            </w:pPr>
            <w:r>
              <w:rPr>
                <w:rFonts w:ascii="Calibri" w:hAnsi="Calibri"/>
                <w:b w:val="0"/>
                <w:i w:val="0"/>
                <w:color w:val="212121"/>
                <w:sz w:val="16"/>
              </w:rPr>
              <w:t>Insulin-resistance signs</w:t>
            </w:r>
          </w:p>
        </w:tc>
        <w:tc>
          <w:tcPr>
            <w:tcW w:type="dxa" w:w="979"/>
            <w:vAlign w:val="top"/>
          </w:tcPr>
          <w:p>
            <w:pPr>
              <w:spacing w:after="40" w:before="0" w:line="259" w:lineRule="auto"/>
            </w:pPr>
            <w:r>
              <w:rPr>
                <w:rFonts w:ascii="Calibri" w:hAnsi="Calibri"/>
                <w:b w:val="0"/>
                <w:i w:val="0"/>
                <w:color w:val="212121"/>
                <w:sz w:val="16"/>
              </w:rPr>
              <w:t>Acanthosis nigricans, skin tags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Velvety neck/axillary pigmentation; multiple skin tags</w:t>
            </w:r>
          </w:p>
        </w:tc>
        <w:tc>
          <w:tcPr>
            <w:tcW w:type="dxa" w:w="1036"/>
            <w:vAlign w:val="top"/>
          </w:tcPr>
          <w:p>
            <w:pPr>
              <w:spacing w:after="40" w:before="0" w:line="259" w:lineRule="auto"/>
            </w:pPr>
            <w:r>
              <w:rPr>
                <w:rFonts w:ascii="Calibri" w:hAnsi="Calibri"/>
                <w:b w:val="0"/>
                <w:i w:val="0"/>
                <w:color w:val="212121"/>
                <w:sz w:val="16"/>
              </w:rPr>
              <w:t>Cutaneous markers of hyperinsulinaemia accompanying central obesity</w:t>
            </w:r>
          </w:p>
        </w:tc>
        <w:tc>
          <w:tcPr>
            <w:tcW w:type="dxa" w:w="1036"/>
            <w:vAlign w:val="top"/>
          </w:tcPr>
          <w:p>
            <w:pPr>
              <w:spacing w:after="40" w:before="0" w:line="259" w:lineRule="auto"/>
            </w:pPr>
            <w:r>
              <w:rPr>
                <w:rFonts w:ascii="Calibri" w:hAnsi="Calibri"/>
                <w:b w:val="0"/>
                <w:i w:val="0"/>
                <w:color w:val="212121"/>
                <w:sz w:val="16"/>
              </w:rPr>
              <w:t>Thin-fat, PCOS, prediabetic</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Prompts formal dysglycaemia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 &amp; lifestyle history</w:t>
            </w:r>
          </w:p>
        </w:tc>
        <w:tc>
          <w:tcPr>
            <w:tcW w:type="dxa" w:w="979"/>
            <w:vAlign w:val="top"/>
          </w:tcPr>
          <w:p>
            <w:pPr>
              <w:spacing w:after="40" w:before="0" w:line="259" w:lineRule="auto"/>
            </w:pPr>
            <w:r>
              <w:rPr>
                <w:rFonts w:ascii="Calibri" w:hAnsi="Calibri"/>
                <w:b w:val="0"/>
                <w:i w:val="0"/>
                <w:color w:val="212121"/>
                <w:sz w:val="16"/>
              </w:rPr>
              <w:t>Refined-carb intake, activity, sleep, tobacco, alcohol</w:t>
            </w:r>
          </w:p>
        </w:tc>
        <w:tc>
          <w:tcPr>
            <w:tcW w:type="dxa" w:w="950"/>
            <w:vAlign w:val="top"/>
          </w:tcPr>
          <w:p>
            <w:pPr>
              <w:spacing w:after="40" w:before="0" w:line="259" w:lineRule="auto"/>
            </w:pPr>
            <w:r>
              <w:rPr>
                <w:rFonts w:ascii="Calibri" w:hAnsi="Calibri"/>
                <w:b w:val="0"/>
                <w:i w:val="0"/>
                <w:color w:val="212121"/>
                <w:sz w:val="16"/>
              </w:rPr>
              <w:t>Balanced diet, active, adequate sleep, no tobacco</w:t>
            </w:r>
          </w:p>
        </w:tc>
        <w:tc>
          <w:tcPr>
            <w:tcW w:type="dxa" w:w="950"/>
            <w:vAlign w:val="top"/>
          </w:tcPr>
          <w:p>
            <w:pPr>
              <w:spacing w:after="40" w:before="0" w:line="259" w:lineRule="auto"/>
            </w:pPr>
            <w:r>
              <w:rPr>
                <w:rFonts w:ascii="Calibri" w:hAnsi="Calibri"/>
                <w:b w:val="0"/>
                <w:i w:val="0"/>
                <w:color w:val="212121"/>
                <w:sz w:val="16"/>
              </w:rPr>
              <w:t>High refined-carb/SSB, sedentary, short sleep, tobacco/alcohol</w:t>
            </w:r>
          </w:p>
        </w:tc>
        <w:tc>
          <w:tcPr>
            <w:tcW w:type="dxa" w:w="1036"/>
            <w:vAlign w:val="top"/>
          </w:tcPr>
          <w:p>
            <w:pPr>
              <w:spacing w:after="40" w:before="0" w:line="259" w:lineRule="auto"/>
            </w:pPr>
            <w:r>
              <w:rPr>
                <w:rFonts w:ascii="Calibri" w:hAnsi="Calibri"/>
                <w:b w:val="0"/>
                <w:i w:val="0"/>
                <w:color w:val="212121"/>
                <w:sz w:val="16"/>
              </w:rPr>
              <w:t>Identifies modifiable behavioural drivers of visceral fat</w:t>
            </w:r>
          </w:p>
        </w:tc>
        <w:tc>
          <w:tcPr>
            <w:tcW w:type="dxa" w:w="1036"/>
            <w:vAlign w:val="top"/>
          </w:tcPr>
          <w:p>
            <w:pPr>
              <w:spacing w:after="40" w:before="0" w:line="259" w:lineRule="auto"/>
            </w:pPr>
            <w:r>
              <w:rPr>
                <w:rFonts w:ascii="Calibri" w:hAnsi="Calibri"/>
                <w:b w:val="0"/>
                <w:i w:val="0"/>
                <w:color w:val="212121"/>
                <w:sz w:val="16"/>
              </w:rPr>
              <w:t>All at-risk adults</w:t>
            </w:r>
          </w:p>
        </w:tc>
        <w:tc>
          <w:tcPr>
            <w:tcW w:type="dxa" w:w="720"/>
            <w:vAlign w:val="top"/>
          </w:tcPr>
          <w:p>
            <w:pPr>
              <w:spacing w:after="40" w:before="0" w:line="259" w:lineRule="auto"/>
            </w:pPr>
            <w:r>
              <w:rPr>
                <w:rFonts w:ascii="Calibri" w:hAnsi="Calibri"/>
                <w:b w:val="0"/>
                <w:i w:val="0"/>
                <w:color w:val="212121"/>
                <w:sz w:val="16"/>
              </w:rPr>
              <w:t>Food; Physical activity; Sleep; Smoking; Alcohol</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Anchors individualised lifestyle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&amp; family history</w:t>
            </w:r>
          </w:p>
        </w:tc>
        <w:tc>
          <w:tcPr>
            <w:tcW w:type="dxa" w:w="979"/>
            <w:vAlign w:val="top"/>
          </w:tcPr>
          <w:p>
            <w:pPr>
              <w:spacing w:after="40" w:before="0" w:line="259" w:lineRule="auto"/>
            </w:pPr>
            <w:r>
              <w:rPr>
                <w:rFonts w:ascii="Calibri" w:hAnsi="Calibri"/>
                <w:b w:val="0"/>
                <w:i w:val="0"/>
                <w:color w:val="212121"/>
                <w:sz w:val="16"/>
              </w:rPr>
              <w:t>Menstrual pattern/menopause, birth weight, family DM/obesity</w:t>
            </w:r>
          </w:p>
        </w:tc>
        <w:tc>
          <w:tcPr>
            <w:tcW w:type="dxa" w:w="950"/>
            <w:vAlign w:val="top"/>
          </w:tcPr>
          <w:p>
            <w:pPr>
              <w:spacing w:after="40" w:before="0" w:line="259" w:lineRule="auto"/>
            </w:pPr>
            <w:r>
              <w:rPr>
                <w:rFonts w:ascii="Calibri" w:hAnsi="Calibri"/>
                <w:b w:val="0"/>
                <w:i w:val="0"/>
                <w:color w:val="212121"/>
                <w:sz w:val="16"/>
              </w:rPr>
              <w:t>Regular cycles, no strong family history</w:t>
            </w:r>
          </w:p>
        </w:tc>
        <w:tc>
          <w:tcPr>
            <w:tcW w:type="dxa" w:w="950"/>
            <w:vAlign w:val="top"/>
          </w:tcPr>
          <w:p>
            <w:pPr>
              <w:spacing w:after="40" w:before="0" w:line="259" w:lineRule="auto"/>
            </w:pPr>
            <w:r>
              <w:rPr>
                <w:rFonts w:ascii="Calibri" w:hAnsi="Calibri"/>
                <w:b w:val="0"/>
                <w:i w:val="0"/>
                <w:color w:val="212121"/>
                <w:sz w:val="16"/>
              </w:rPr>
              <w:t>Oligomenorrhoea/PCOS, low birth weight, first-degree DM/obesity</w:t>
            </w:r>
          </w:p>
        </w:tc>
        <w:tc>
          <w:tcPr>
            <w:tcW w:type="dxa" w:w="1036"/>
            <w:vAlign w:val="top"/>
          </w:tcPr>
          <w:p>
            <w:pPr>
              <w:spacing w:after="40" w:before="0" w:line="259" w:lineRule="auto"/>
            </w:pPr>
            <w:r>
              <w:rPr>
                <w:rFonts w:ascii="Calibri" w:hAnsi="Calibri"/>
                <w:b w:val="0"/>
                <w:i w:val="0"/>
                <w:color w:val="212121"/>
                <w:sz w:val="16"/>
              </w:rPr>
              <w:t>Flags hormonal, developmental and genetic predisposition</w:t>
            </w:r>
          </w:p>
        </w:tc>
        <w:tc>
          <w:tcPr>
            <w:tcW w:type="dxa" w:w="1036"/>
            <w:vAlign w:val="top"/>
          </w:tcPr>
          <w:p>
            <w:pPr>
              <w:spacing w:after="40" w:before="0" w:line="259" w:lineRule="auto"/>
            </w:pPr>
            <w:r>
              <w:rPr>
                <w:rFonts w:ascii="Calibri" w:hAnsi="Calibri"/>
                <w:b w:val="0"/>
                <w:i w:val="0"/>
                <w:color w:val="212121"/>
                <w:sz w:val="16"/>
              </w:rPr>
              <w:t>Women with PCOS, low-birth-weight adults, familial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Records menopause status and age at relatives’ diagnosis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Increasing waistline / clothes fitting tighter around the abdomen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direct manifestation — progressive truncal girth even when overall weight seems stable.</w:t>
            </w:r>
          </w:p>
        </w:tc>
      </w:tr>
      <w:tr>
        <w:trPr>
          <w:cantSplit/>
        </w:trPr>
        <w:tc>
          <w:tcPr>
            <w:tcW w:type="dxa" w:w="2304"/>
            <w:vAlign w:val="top"/>
          </w:tcPr>
          <w:p>
            <w:pPr>
              <w:spacing w:after="40" w:before="0" w:line="259" w:lineRule="auto"/>
            </w:pPr>
            <w:r>
              <w:rPr>
                <w:rFonts w:ascii="Calibri" w:hAnsi="Calibri"/>
                <w:b/>
                <w:i w:val="0"/>
                <w:color w:val="212121"/>
                <w:sz w:val="19"/>
              </w:rPr>
              <w:t>Often asymptomatic /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obesity itself frequently causes no symptoms and is detected on measurement or screening.</w:t>
            </w:r>
          </w:p>
        </w:tc>
      </w:tr>
      <w:tr>
        <w:trPr>
          <w:cantSplit/>
        </w:trPr>
        <w:tc>
          <w:tcPr>
            <w:tcW w:type="dxa" w:w="2304"/>
            <w:vAlign w:val="top"/>
          </w:tcPr>
          <w:p>
            <w:pPr>
              <w:spacing w:after="40" w:before="0" w:line="259" w:lineRule="auto"/>
            </w:pPr>
            <w:r>
              <w:rPr>
                <w:rFonts w:ascii="Calibri" w:hAnsi="Calibri"/>
                <w:b/>
                <w:i w:val="0"/>
                <w:color w:val="212121"/>
                <w:sz w:val="19"/>
              </w:rPr>
              <w:t>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Insulin resistance and poor metabolic efficiency, often with disturbed sleep, cause daytime tiredness.</w:t>
            </w:r>
          </w:p>
        </w:tc>
      </w:tr>
      <w:tr>
        <w:trPr>
          <w:cantSplit/>
        </w:trPr>
        <w:tc>
          <w:tcPr>
            <w:tcW w:type="dxa" w:w="2304"/>
            <w:vAlign w:val="top"/>
          </w:tcPr>
          <w:p>
            <w:pPr>
              <w:spacing w:after="40" w:before="0" w:line="259" w:lineRule="auto"/>
            </w:pPr>
            <w:r>
              <w:rPr>
                <w:rFonts w:ascii="Calibri" w:hAnsi="Calibri"/>
                <w:b/>
                <w:i w:val="0"/>
                <w:color w:val="212121"/>
                <w:sz w:val="19"/>
              </w:rPr>
              <w:t>Breathlessness on exertion /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Abdominal fat restricts diaphragm movement and adds cardiorespiratory load.</w:t>
            </w:r>
          </w:p>
        </w:tc>
      </w:tr>
      <w:tr>
        <w:trPr>
          <w:cantSplit/>
        </w:trPr>
        <w:tc>
          <w:tcPr>
            <w:tcW w:type="dxa" w:w="2304"/>
            <w:vAlign w:val="top"/>
          </w:tcPr>
          <w:p>
            <w:pPr>
              <w:spacing w:after="40" w:before="0" w:line="259" w:lineRule="auto"/>
            </w:pPr>
            <w:r>
              <w:rPr>
                <w:rFonts w:ascii="Calibri" w:hAnsi="Calibri"/>
                <w:b/>
                <w:i w:val="0"/>
                <w:color w:val="212121"/>
                <w:sz w:val="19"/>
              </w:rPr>
              <w:t>Loud snoring and daytime sleepiness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and neck fat predispose to obstructive sleep apnoea.</w:t>
            </w:r>
          </w:p>
        </w:tc>
      </w:tr>
      <w:tr>
        <w:trPr>
          <w:cantSplit/>
        </w:trPr>
        <w:tc>
          <w:tcPr>
            <w:tcW w:type="dxa" w:w="2304"/>
            <w:vAlign w:val="top"/>
          </w:tcPr>
          <w:p>
            <w:pPr>
              <w:spacing w:after="40" w:before="0" w:line="259" w:lineRule="auto"/>
            </w:pPr>
            <w:r>
              <w:rPr>
                <w:rFonts w:ascii="Calibri" w:hAnsi="Calibri"/>
                <w:b/>
                <w:i w:val="0"/>
                <w:color w:val="212121"/>
                <w:sz w:val="19"/>
              </w:rPr>
              <w:t>Heartburn / acid reflux (GERD)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Raised intra-abdominal pressure promotes gastro-oesophageal reflux.</w:t>
            </w:r>
          </w:p>
        </w:tc>
      </w:tr>
      <w:tr>
        <w:trPr>
          <w:cantSplit/>
        </w:trPr>
        <w:tc>
          <w:tcPr>
            <w:tcW w:type="dxa" w:w="2304"/>
            <w:vAlign w:val="top"/>
          </w:tcPr>
          <w:p>
            <w:pPr>
              <w:spacing w:after="40" w:before="0" w:line="259" w:lineRule="auto"/>
            </w:pPr>
            <w:r>
              <w:rPr>
                <w:rFonts w:ascii="Calibri" w:hAnsi="Calibri"/>
                <w:b/>
                <w:i w:val="0"/>
                <w:color w:val="212121"/>
                <w:sz w:val="19"/>
              </w:rPr>
              <w:t>Low-back and knee/joint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Truncal load increases lumbar and weight-bearing-joint stress.</w:t>
            </w:r>
          </w:p>
        </w:tc>
      </w:tr>
      <w:tr>
        <w:trPr>
          <w:cantSplit/>
        </w:trPr>
        <w:tc>
          <w:tcPr>
            <w:tcW w:type="dxa" w:w="2304"/>
            <w:vAlign w:val="top"/>
          </w:tcPr>
          <w:p>
            <w:pPr>
              <w:spacing w:after="40" w:before="0" w:line="259" w:lineRule="auto"/>
            </w:pPr>
            <w:r>
              <w:rPr>
                <w:rFonts w:ascii="Calibri" w:hAnsi="Calibri"/>
                <w:b/>
                <w:i w:val="0"/>
                <w:color w:val="212121"/>
                <w:sz w:val="19"/>
              </w:rPr>
              <w:t>Increased hunger and carbohydrate cravings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Insulin resistance and leptin dysregulation alter appetite signalling.</w:t>
            </w:r>
          </w:p>
        </w:tc>
      </w:tr>
      <w:tr>
        <w:trPr>
          <w:cantSplit/>
        </w:trPr>
        <w:tc>
          <w:tcPr>
            <w:tcW w:type="dxa" w:w="2304"/>
            <w:vAlign w:val="top"/>
          </w:tcPr>
          <w:p>
            <w:pPr>
              <w:spacing w:after="40" w:before="0" w:line="259" w:lineRule="auto"/>
            </w:pPr>
            <w:r>
              <w:rPr>
                <w:rFonts w:ascii="Calibri" w:hAnsi="Calibri"/>
                <w:b/>
                <w:i w:val="0"/>
                <w:color w:val="212121"/>
                <w:sz w:val="19"/>
              </w:rPr>
              <w:t>Low mood, anxiety or poor body image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Bidirectional link between visceral fat, stress hormones and depression.</w:t>
            </w:r>
          </w:p>
        </w:tc>
      </w:tr>
      <w:tr>
        <w:trPr>
          <w:cantSplit/>
        </w:trPr>
        <w:tc>
          <w:tcPr>
            <w:tcW w:type="dxa" w:w="2304"/>
            <w:vAlign w:val="top"/>
          </w:tcPr>
          <w:p>
            <w:pPr>
              <w:spacing w:after="40" w:before="0" w:line="259" w:lineRule="auto"/>
            </w:pPr>
            <w:r>
              <w:rPr>
                <w:rFonts w:ascii="Calibri" w:hAnsi="Calibri"/>
                <w:b/>
                <w:i w:val="0"/>
                <w:color w:val="212121"/>
                <w:sz w:val="19"/>
              </w:rPr>
              <w:t>Menstrual irregularity / subfertility (women)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Central adiposity and insulin resistance disturb ovulation, often via PCOS.</w:t>
            </w:r>
          </w:p>
        </w:tc>
      </w:tr>
      <w:tr>
        <w:trPr>
          <w:cantSplit/>
        </w:trPr>
        <w:tc>
          <w:tcPr>
            <w:tcW w:type="dxa" w:w="2304"/>
            <w:vAlign w:val="top"/>
          </w:tcPr>
          <w:p>
            <w:pPr>
              <w:spacing w:after="40" w:before="0" w:line="259" w:lineRule="auto"/>
            </w:pPr>
            <w:r>
              <w:rPr>
                <w:rFonts w:ascii="Calibri" w:hAnsi="Calibri"/>
                <w:b/>
                <w:i w:val="0"/>
                <w:color w:val="212121"/>
                <w:sz w:val="19"/>
              </w:rPr>
              <w:t>Reduced libido / erectile dysfunction (men)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Visceral obesity lowers testosterone and impairs vascular function.</w:t>
            </w:r>
          </w:p>
        </w:tc>
      </w:tr>
      <w:tr>
        <w:trPr>
          <w:cantSplit/>
        </w:trPr>
        <w:tc>
          <w:tcPr>
            <w:tcW w:type="dxa" w:w="2304"/>
            <w:vAlign w:val="top"/>
          </w:tcPr>
          <w:p>
            <w:pPr>
              <w:spacing w:after="40" w:before="0" w:line="259" w:lineRule="auto"/>
            </w:pPr>
            <w:r>
              <w:rPr>
                <w:rFonts w:ascii="Calibri" w:hAnsi="Calibri"/>
                <w:b/>
                <w:i w:val="0"/>
                <w:color w:val="212121"/>
                <w:sz w:val="19"/>
              </w:rPr>
              <w:t>Excessive daytime sweating / heat intolerance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Greater metabolic and mechanical load; non-specific.</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Increased waist circumference (≥ 90 cm men / ≥ 80 cm women)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defining sign of abdominal obesity using Asian-Indian cut-offs.</w:t>
            </w:r>
          </w:p>
        </w:tc>
      </w:tr>
      <w:tr>
        <w:trPr>
          <w:cantSplit/>
        </w:trPr>
        <w:tc>
          <w:tcPr>
            <w:tcW w:type="dxa" w:w="3456"/>
            <w:vAlign w:val="top"/>
          </w:tcPr>
          <w:p>
            <w:pPr>
              <w:spacing w:after="40" w:before="0" w:line="259" w:lineRule="auto"/>
            </w:pPr>
            <w:r>
              <w:rPr>
                <w:rFonts w:ascii="Calibri" w:hAnsi="Calibri"/>
                <w:b/>
                <w:i w:val="0"/>
                <w:color w:val="212121"/>
                <w:sz w:val="19"/>
              </w:rPr>
              <w:t>Raised waist-to-hip and waist-to-height ratio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WHR ≥ 0.90 (M)/0.85 (F) and WHtR ≥ 0.5 confirm android fat distribution.</w:t>
            </w:r>
          </w:p>
        </w:tc>
      </w:tr>
      <w:tr>
        <w:trPr>
          <w:cantSplit/>
        </w:trPr>
        <w:tc>
          <w:tcPr>
            <w:tcW w:type="dxa" w:w="3456"/>
            <w:vAlign w:val="top"/>
          </w:tcPr>
          <w:p>
            <w:pPr>
              <w:spacing w:after="40" w:before="0" w:line="259" w:lineRule="auto"/>
            </w:pPr>
            <w:r>
              <w:rPr>
                <w:rFonts w:ascii="Calibri" w:hAnsi="Calibri"/>
                <w:b/>
                <w:i w:val="0"/>
                <w:color w:val="212121"/>
                <w:sz w:val="19"/>
              </w:rPr>
              <w:t>Android ‘apple-shaped’ / ‘pot-belly’ habitus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upper-body/truncal fat predominance.</w:t>
            </w:r>
          </w:p>
        </w:tc>
      </w:tr>
      <w:tr>
        <w:trPr>
          <w:cantSplit/>
        </w:trPr>
        <w:tc>
          <w:tcPr>
            <w:tcW w:type="dxa" w:w="3456"/>
            <w:vAlign w:val="top"/>
          </w:tcPr>
          <w:p>
            <w:pPr>
              <w:spacing w:after="40" w:before="0" w:line="259" w:lineRule="auto"/>
            </w:pPr>
            <w:r>
              <w:rPr>
                <w:rFonts w:ascii="Calibri" w:hAnsi="Calibri"/>
                <w:b/>
                <w:i w:val="0"/>
                <w:color w:val="212121"/>
                <w:sz w:val="19"/>
              </w:rPr>
              <w:t>Elevated BMI by Asian cut-off (≥ 23 kg/m²) — may be normal in thin-fat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Supports diagnosis but can be normal despite high waist (thin-fat phenotype).</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hyperpigmentation of neck/axillae — marker of hyperinsulinaemia.</w:t>
            </w:r>
          </w:p>
        </w:tc>
      </w:tr>
      <w:tr>
        <w:trPr>
          <w:cantSplit/>
        </w:trPr>
        <w:tc>
          <w:tcPr>
            <w:tcW w:type="dxa" w:w="3456"/>
            <w:vAlign w:val="top"/>
          </w:tcPr>
          <w:p>
            <w:pPr>
              <w:spacing w:after="40" w:before="0" w:line="259" w:lineRule="auto"/>
            </w:pPr>
            <w:r>
              <w:rPr>
                <w:rFonts w:ascii="Calibri" w:hAnsi="Calibri"/>
                <w:b/>
                <w:i w:val="0"/>
                <w:color w:val="212121"/>
                <w:sz w:val="19"/>
              </w:rPr>
              <w:t>Skin tags (acrochordons)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Multiple skin tags accompany insulin resistance and central obesity.</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 130/85 mmHg is part of the visceral-obesity/metabolic-syndrome cluster.</w:t>
            </w:r>
          </w:p>
        </w:tc>
      </w:tr>
      <w:tr>
        <w:trPr>
          <w:cantSplit/>
        </w:trPr>
        <w:tc>
          <w:tcPr>
            <w:tcW w:type="dxa" w:w="3456"/>
            <w:vAlign w:val="top"/>
          </w:tcPr>
          <w:p>
            <w:pPr>
              <w:spacing w:after="40" w:before="0" w:line="259" w:lineRule="auto"/>
            </w:pPr>
            <w:r>
              <w:rPr>
                <w:rFonts w:ascii="Calibri" w:hAnsi="Calibri"/>
                <w:b/>
                <w:i w:val="0"/>
                <w:color w:val="212121"/>
                <w:sz w:val="19"/>
              </w:rPr>
              <w:t>Hepatomegaly / fatty liver on ultrasound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Hepatic steatosis (NAFLD/MASLD) reflects visceral-fat spillover to the liver.</w:t>
            </w:r>
          </w:p>
        </w:tc>
      </w:tr>
      <w:tr>
        <w:trPr>
          <w:cantSplit/>
        </w:trPr>
        <w:tc>
          <w:tcPr>
            <w:tcW w:type="dxa" w:w="3456"/>
            <w:vAlign w:val="top"/>
          </w:tcPr>
          <w:p>
            <w:pPr>
              <w:spacing w:after="40" w:before="0" w:line="259" w:lineRule="auto"/>
            </w:pPr>
            <w:r>
              <w:rPr>
                <w:rFonts w:ascii="Calibri" w:hAnsi="Calibri"/>
                <w:b/>
                <w:i w:val="0"/>
                <w:color w:val="212121"/>
                <w:sz w:val="19"/>
              </w:rPr>
              <w:t>Abdominal striae (stretch marks)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rapid abdominal fat expansion; prominent/purple striae warrant excluding Cushing’s.</w:t>
            </w:r>
          </w:p>
        </w:tc>
      </w:tr>
      <w:tr>
        <w:trPr>
          <w:cantSplit/>
        </w:trPr>
        <w:tc>
          <w:tcPr>
            <w:tcW w:type="dxa" w:w="3456"/>
            <w:vAlign w:val="top"/>
          </w:tcPr>
          <w:p>
            <w:pPr>
              <w:spacing w:after="40" w:before="0" w:line="259" w:lineRule="auto"/>
            </w:pPr>
            <w:r>
              <w:rPr>
                <w:rFonts w:ascii="Calibri" w:hAnsi="Calibri"/>
                <w:b/>
                <w:i w:val="0"/>
                <w:color w:val="212121"/>
                <w:sz w:val="19"/>
              </w:rPr>
              <w:t>Atherogenic dyslipidaemia on labs (high TG, low HDL)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biochemical footprint of visceral adiposity.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 resistance and hyperinsulinaemia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fasting glucose / impaired glucose tolerance (prediabetes)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Atherogenic dyslipidaemia (high triglycerides, low HDL, small dense LDL)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Raised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 (central obesity as its core component)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fatty liver disease (NAFLD/MASLD)</w:t>
            </w:r>
          </w:p>
        </w:tc>
        <w:tc>
          <w:tcPr>
            <w:tcW w:type="dxa" w:w="2980"/>
            <w:vAlign w:val="top"/>
          </w:tcPr>
          <w:p>
            <w:pPr>
              <w:spacing w:after="40" w:before="0" w:line="259" w:lineRule="auto"/>
            </w:pPr>
            <w:r>
              <w:rPr>
                <w:rFonts w:ascii="Calibri" w:hAnsi="Calibri"/>
                <w:b w:val="0"/>
                <w:i w:val="0"/>
                <w:color w:val="212121"/>
                <w:sz w:val="19"/>
              </w:rPr>
              <w:t>Direct metabolic consequences of visceral fat delivering free fatty acids and pro-inflammatory adipokines (with low adiponectin) to the liver and circulation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diabetes mellitus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Coronary artery disease and myocardial infarction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Ischaemic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Polycystic ovary syndrome and subfertility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Gallstones and GERD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Osteoarthritis (knees, low back)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Obesity-related cancers (colorectal, breast, endometrial)</w:t>
            </w:r>
          </w:p>
        </w:tc>
        <w:tc>
          <w:tcPr>
            <w:tcW w:type="dxa" w:w="2980"/>
            <w:vAlign w:val="top"/>
          </w:tcPr>
          <w:p>
            <w:pPr>
              <w:spacing w:after="40" w:before="0" w:line="259" w:lineRule="auto"/>
            </w:pPr>
            <w:r>
              <w:rPr>
                <w:rFonts w:ascii="Calibri" w:hAnsi="Calibri"/>
                <w:b w:val="0"/>
                <w:i w:val="0"/>
                <w:color w:val="212121"/>
                <w:sz w:val="19"/>
              </w:rPr>
              <w:t>Chronic-disease outcomes of sustained insulin resistance, inflammation and dyslipidaemia driven by central adiposity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 failure and post-myocardial-infarction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and hepatocellular carcinoma from progressive NASH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requiring dialysis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vision loss, neuropathy and lower-limb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and all-cause mortality</w:t>
            </w:r>
          </w:p>
        </w:tc>
        <w:tc>
          <w:tcPr>
            <w:tcW w:type="dxa" w:w="2980"/>
            <w:vAlign w:val="top"/>
          </w:tcPr>
          <w:p>
            <w:pPr>
              <w:spacing w:after="40" w:before="0" w:line="259" w:lineRule="auto"/>
            </w:pPr>
            <w:r>
              <w:rPr>
                <w:rFonts w:ascii="Calibri" w:hAnsi="Calibri"/>
                <w:b w:val="0"/>
                <w:i w:val="0"/>
                <w:color w:val="212121"/>
                <w:sz w:val="19"/>
              </w:rPr>
              <w:t>Irreversible, disabling or fatal end-organ outcomes of longstanding central-obesity-related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 / prediabetes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Visceral fat is the strongest modifiable driver of insulin resistance; the thin-fat / metabolically-obese-normal-weight phenotype carries about 2.7× higher odds of type 2 diabetes.</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Central obesity is the core (often obligatory) component; high waist circumference is its most prevalent feature in India.</w:t>
            </w:r>
          </w:p>
          <w:p>
            <w:pPr>
              <w:spacing w:after="40" w:before="0" w:line="259" w:lineRule="auto"/>
            </w:pPr>
            <w:r>
              <w:rPr>
                <w:rFonts w:ascii="Calibri" w:hAnsi="Calibri"/>
                <w:b/>
                <w:i w:val="0"/>
                <w:color w:val="212121"/>
                <w:sz w:val="19"/>
              </w:rPr>
              <w:t>~30% of adults</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Visceral adiposity raises blood pressure via insulin resistance, sympathetic activation and RAAS overactivity.</w:t>
            </w:r>
          </w:p>
          <w:p>
            <w:pPr>
              <w:spacing w:after="40" w:before="0" w:line="259" w:lineRule="auto"/>
            </w:pPr>
            <w:r>
              <w:rPr>
                <w:rFonts w:ascii="Calibri" w:hAnsi="Calibri"/>
                <w:b/>
                <w:i w:val="0"/>
                <w:color w:val="212121"/>
                <w:sz w:val="19"/>
              </w:rPr>
              <w:t>~35.5% (national)</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(NAFLD/MASLD)</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Portal free-fatty-acid flux from visceral fat drives hepatic steatosis; central obesity predicts fatty liver better than BMI.</w:t>
            </w:r>
          </w:p>
          <w:p>
            <w:pPr>
              <w:spacing w:after="40" w:before="0" w:line="259" w:lineRule="auto"/>
            </w:pPr>
            <w:r>
              <w:rPr>
                <w:rFonts w:ascii="Calibri" w:hAnsi="Calibri"/>
                <w:b/>
                <w:i w:val="0"/>
                <w:color w:val="212121"/>
                <w:sz w:val="19"/>
              </w:rPr>
              <w:t>~34.8% (urban Indian cohort)</w:t>
            </w:r>
          </w:p>
        </w:tc>
      </w:tr>
      <w:tr>
        <w:trPr>
          <w:cantSplit/>
        </w:trPr>
        <w:tc>
          <w:tcPr>
            <w:tcW w:type="dxa" w:w="2232"/>
            <w:vAlign w:val="top"/>
          </w:tcPr>
          <w:p>
            <w:pPr>
              <w:spacing w:after="40" w:before="0" w:line="259" w:lineRule="auto"/>
            </w:pPr>
            <w:r>
              <w:rPr>
                <w:rFonts w:ascii="Calibri" w:hAnsi="Calibri"/>
                <w:b/>
                <w:i w:val="0"/>
                <w:color w:val="212121"/>
                <w:sz w:val="19"/>
              </w:rPr>
              <w:t>Atherogenic dyslipidaemia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triglycerides with low HDL and small dense LDL are typical of visceral obesity.</w:t>
            </w:r>
          </w:p>
          <w:p>
            <w:pPr>
              <w:spacing w:after="40" w:before="0" w:line="259" w:lineRule="auto"/>
            </w:pPr>
            <w:r>
              <w:rPr>
                <w:rFonts w:ascii="Calibri" w:hAnsi="Calibri"/>
                <w:b/>
                <w:i w:val="0"/>
                <w:color w:val="212121"/>
                <w:sz w:val="19"/>
              </w:rPr>
              <w:t>~24% hypercholesterolaemia (national)</w:t>
            </w:r>
          </w:p>
        </w:tc>
      </w:tr>
      <w:tr>
        <w:trPr>
          <w:cantSplit/>
        </w:trPr>
        <w:tc>
          <w:tcPr>
            <w:tcW w:type="dxa" w:w="2232"/>
            <w:vAlign w:val="top"/>
          </w:tcPr>
          <w:p>
            <w:pPr>
              <w:spacing w:after="40" w:before="0" w:line="259" w:lineRule="auto"/>
            </w:pPr>
            <w:r>
              <w:rPr>
                <w:rFonts w:ascii="Calibri" w:hAnsi="Calibri"/>
                <w:b/>
                <w:i w:val="0"/>
                <w:color w:val="212121"/>
                <w:sz w:val="19"/>
              </w:rPr>
              <w:t>Coronary artery disease / 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Waist-to-hip ratio outperforms BMI for myocardial-infarction risk, contributing a 24.3% population-attributable risk in INTERHEART.</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Central and neck fat narrow the upper airway and worsen nocturnal hypoxia and insulin resistance.</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Central adiposity and insulin resistance amplify hyperandrogenism and anovulation in reproductive-age women.</w:t>
            </w:r>
          </w:p>
        </w:tc>
      </w:tr>
      <w:tr>
        <w:trPr>
          <w:cantSplit/>
        </w:trPr>
        <w:tc>
          <w:tcPr>
            <w:tcW w:type="dxa" w:w="2232"/>
            <w:vAlign w:val="top"/>
          </w:tcPr>
          <w:p>
            <w:pPr>
              <w:spacing w:after="40" w:before="0" w:line="259" w:lineRule="auto"/>
            </w:pPr>
            <w:r>
              <w:rPr>
                <w:rFonts w:ascii="Calibri" w:hAnsi="Calibri"/>
                <w:b/>
                <w:i w:val="0"/>
                <w:color w:val="212121"/>
                <w:sz w:val="19"/>
              </w:rPr>
              <w:t>Depression / chronic stress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Bidirectional: HPA-axis-driven cortisol promotes visceral fat, and central obesity is associated with higher rates of depression.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waist number: measure waist circumference and aim below 90 cm (men) / 80 cm (women); keep waist to less than half your height (WHtR &lt; 0.5).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‘normal’ weight or BMI does not exclude risk — Indians commonly carry harmful visceral fat while thin (‘thin-fat’ phenotype).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abdominal fat as an active driver of diabetes, fatty liver, high blood pressure and heart disease, not just a cosmetic issue.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refined carbohydrates (polished rice, refined wheat, sweets), sugary drinks and ultra-processed snacks that preferentially build belly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daily movement, adequate sleep (7–9 h) and stress control, and attend periodic screening for glucose, lipids, blood pressure and fatty liver.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Normal-weight (thin-fat)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&amp; 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history of diabetes/obesity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Peri-/post-menopausal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Accumulate at least 150–300 minutes/week of moderate aerobic activity (brisk walking, cycling, swimming) — shown to reduce visceral fat even without major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on 2–3 days/week to preserve muscle and lower waist circumference, particularly important in the elderly and thin-fat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movement every 30–60 minutes and take a 10–15-minute walk after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a gradual 5–10% reduction in body weight and waistline, focusing on central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incidental activity — stairs, walking commutes, standing work — to raise total daily energy expenditure.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 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Thin-fat normal-BMI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sarcopenic obesity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refined-carbohydrate load: cut down polished white rice and refined wheat (maida), and control total portion of grains rather than only switching grain 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 protein intake toward about 15% of energy with pulses, dals, low-fat dairy, eggs, fish or lean meat to protect muscle and improve satiety.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Fill half the plate with non-starchy vegetables and add adequate fibre (25–35 g/day) from vegetables, legumes and whole fruit (not juices).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sugar-sweetened beverages and limit added sugar (WHO free sugars &lt; 5% of energy); replace with water, unsweetened tea/coffee or buttermilk.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healthy fats (nuts, seeds, mustard/olive oil) and limit deep-fried, bakery and ultra-processed foods; keep alcohol minimal.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refined-carb / rice-based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Sugar-sweetened-beverage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PCOS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on a regular schedule to support appetite and cortisol 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 and wake times, including on weekends, to protect circadian rhythm.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screens, heavy meals, caffeine and alcohol close to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(loud snoring, witnessed apnoea, daytime sleepiness) in centrally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exposure with planned rest and light management where possible.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 sleepers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 night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urban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smokeless tobacco); smoking increases visceral fat and insulin resistance despite lower body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behavioural counselling and pharmacotherapy / nicotine replacement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quitting with a diet and activity plan to prevent compensatory weight gain and to reduce central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quitlines and clinic-based cessation services for sustained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Central-obese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 cardiovascular-risk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alcohol — it adds dense calories and preferentially deposits truncal/visceral and hepatic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consumed, keep intake low and infrequent and avoid binge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sugary and high-calorie mixers that add to the total energy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if fatty liver, raised triglycerides or diabetes are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dependence where relevant.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frequent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Hypertriglyceridaemia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Central-obese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regular stress-reduction (yoga, pranayama, mindfulness, physical activity) to lower cortisol-driven visceral-fat accumulation.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bidirectionally linked with abdominal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routines that improve sleep, movement and social support to break the stress–eating–fat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emotional and night-time eating through behavioural strategies or professional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sustainable waist- and habit-based goals to maintain motivation and self-efficacy.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 burnout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Emotional / night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Central-obese adults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mji.in/lessons-learnt-from-the-icmrindiab-study/" TargetMode="External"/><Relationship Id="rId10" Type="http://schemas.openxmlformats.org/officeDocument/2006/relationships/hyperlink" Target="https://journals.plos.org/plosone/article?id=10.1371%2Fjournal.pone.0240971" TargetMode="External"/><Relationship Id="rId11" Type="http://schemas.openxmlformats.org/officeDocument/2006/relationships/hyperlink" Target="https://www.thelancet.com/journals/lansea/article/PIIS2772-3682(23)00068-9/fulltext" TargetMode="External"/><Relationship Id="rId12" Type="http://schemas.openxmlformats.org/officeDocument/2006/relationships/hyperlink" Target="https://pubmed.ncbi.nlm.nih.gov/16271645/" TargetMode="External"/><Relationship Id="rId13" Type="http://schemas.openxmlformats.org/officeDocument/2006/relationships/hyperlink" Target="https://www.nature.com/articles/s41598-026-42458-3" TargetMode="External"/><Relationship Id="rId14" Type="http://schemas.openxmlformats.org/officeDocument/2006/relationships/hyperlink" Target="https://www.ncbi.nlm.nih.gov/books/NBK568563/" TargetMode="External"/><Relationship Id="rId15" Type="http://schemas.openxmlformats.org/officeDocument/2006/relationships/hyperlink" Target="https://ijmr.org.in/prevalence-of-generalized-abdominal-obesity-in-urban-rural-india-the-icmr-indiab-study-phase-i-icmr-indiab-3/" TargetMode="External"/><Relationship Id="rId16" Type="http://schemas.openxmlformats.org/officeDocument/2006/relationships/hyperlink" Target="https://www.business-standard.com/health/physical-inactivity-on-the-rise-in-india-what-it-means-for-your-health-124062600352_1.html" TargetMode="External"/><Relationship Id="rId17" Type="http://schemas.openxmlformats.org/officeDocument/2006/relationships/hyperlink" Target="https://journals.plos.org/plosone/article?id=10.1371%2Fjournal.pone.0045815" TargetMode="External"/><Relationship Id="rId18" Type="http://schemas.openxmlformats.org/officeDocument/2006/relationships/hyperlink" Target="https://www.nature.com/articles/s41366-026-02030-5" TargetMode="External"/><Relationship Id="rId19" Type="http://schemas.openxmlformats.org/officeDocument/2006/relationships/hyperlink" Target="https://onlinelibrary.wiley.com/doi/10.1002/osp4.772" TargetMode="External"/><Relationship Id="rId20" Type="http://schemas.openxmlformats.org/officeDocument/2006/relationships/hyperlink" Target="https://ijmr.org.in/high-prevalence-of-metabolic-obesity-in-india-the-icmr-indiab-national-study-icmr-indiab-23/" TargetMode="External"/><Relationship Id="rId21" Type="http://schemas.openxmlformats.org/officeDocument/2006/relationships/hyperlink" Target="https://www.business-standard.com/health/icmr-study-indian-diet-carbs-protein-diabetes-obesity-125100100657_1.html" TargetMode="External"/><Relationship Id="rId22" Type="http://schemas.openxmlformats.org/officeDocument/2006/relationships/hyperlink" Target="https://www.nature.com/articles/s41591-025-03949-4" TargetMode="External"/><Relationship Id="rId23" Type="http://schemas.openxmlformats.org/officeDocument/2006/relationships/hyperlink" Target="https://pubmed.ncbi.nlm.nih.gov/37672315/" TargetMode="External"/><Relationship Id="rId24" Type="http://schemas.openxmlformats.org/officeDocument/2006/relationships/hyperlink" Target="http://kemdiabetes.org/Paper/125%20Consensus%20Statement%20for%20Diagnosis%20of%20Obesity,%20Abdominal%20Obesity%20and%20the%20Metabolic%20Syndrome%20for%20Asian%20Indians.pdf" TargetMode="External"/><Relationship Id="rId25" Type="http://schemas.openxmlformats.org/officeDocument/2006/relationships/hyperlink" Target="https://www.bristolbrc.nihr.ac.uk/research/research-projects/waist-to-height-ratio-as-a-tool-for-predicting-metabolic-risk" TargetMode="External"/><Relationship Id="rId26" Type="http://schemas.openxmlformats.org/officeDocument/2006/relationships/hyperlink" Target="https://www.who.int/news/item/26-06-2024-nearly-1.8-billion-adults-at-risk-of-disease-from-not-doing-enough-physical-ac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