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Low HDL cholesterol</w:t>
      </w:r>
    </w:p>
    <w:p>
      <w:pPr>
        <w:spacing w:before="0" w:after="160"/>
      </w:pPr>
      <w:r>
        <w:rPr>
          <w:rFonts w:ascii="Calibri" w:hAnsi="Calibri"/>
          <w:b/>
          <w:i w:val="0"/>
          <w:color w:val="212121"/>
          <w:sz w:val="22"/>
        </w:rPr>
        <w:t xml:space="preserve">AKA </w:t>
      </w:r>
      <w:r>
        <w:rPr>
          <w:rFonts w:ascii="Calibri" w:hAnsi="Calibri"/>
          <w:b w:val="0"/>
          <w:i w:val="0"/>
          <w:color w:val="212121"/>
          <w:sz w:val="22"/>
        </w:rPr>
        <w:t>i.e., Hypoalphalipoproteinemia, Low HDL-C, Low good cholesterol, HDL deficiency, Low high-density lipoprotein cholesterol</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Low HDL cholesterol (hypoalphalipoproteinemia) is a lipid abnormality defined by a reduced serum concentration of high-density lipoprotein cholesterol — below 40 mg/dL in men and below 50 mg/dL in women. HDL particles carry out reverse cholesterol transport (returning cholesterol from artery walls and peripheral tissues to the liver) and have anti-inflammatory, antioxidant and endothelium-protective actions, so a low level removes a key layer of vascular protection and is an independent risk marker for atherosclerotic cardiovascular disease. In Asian Indians low HDL is the single most common lipid derangement, characteristically clustering with high triglycerides and small, dense LDL as part of the insulin-resistant 'atherogenic dyslipidemia', often at a normal body-mass index. Importantly, HDL is best read as a risk marker within an overall lipid and cardiovascular-risk assessment rather than a stand-alone treatment target, since drugs that raise HDL alone have not reduced cardiovascular events.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Low HDL-cholesterol is the dominant dyslipidemia in India. In the ICMR-INDIAB national study, 72.3% of adults had low HDL — roughly 7 in 10 — making it the commonest lipid abnormality in the country, and in 44.9% of people it was present as an isolated abnormality (as high as 61.7% in rural Jharkhand). Overall, about 79% of Indian adults had at least one lipid abnormality. Low HDL prevalence varied by region, from about 76.8% in Jharkhand to 68.9% in Tamil Nadu, and was significantly more frequent in women than in men.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Low HDL is identified on a lipid profile (fasting is not strictly required to measure HDL) and should be interpreted with the whole lipid panel and the person's global cardiovascular risk, not in isolation: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Low HDL-cholesterol: &lt; 40 mg/dL (&lt; 1.04 mmol/L) in men and &lt; 50 mg/dL (&lt; 1.3 mmol/L) in women (NCEP ATP III / metabolic-syndrome criteria);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Desirable / protective: HDL ≥ 60 mg/dL (≥ 1.55 mmol/L), which counts as a negative (protective) cardiovascular risk factor;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Very low HDL (roughly &lt; 20–25 mg/dL, or a near-undetectable level with low apolipoprotein A-I) should prompt a search for a monogenic disorder (Tangier disease, apoA-I or LCAT deficiency);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Confirm on a repeat sample and always read HDL alongside triglycerides, LDL/non-HDL cholesterol and the total-cholesterol/HDL ratio;</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Exclude secondary causes — high triglycerides/insulin resistance, uncontrolled diabetes, central obesity, smoking, physical inactivity, low-fat high-carbohydrate or trans-fat diets, drugs (anabolic steroids, progestins, beta-blockers), chronic inflammation and renal/liver disease — before labelling a primary/genetic form.</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Low HDL cholesterol can be classified by severity, by underlying cause (primary/genetic versus secondary) and by whether it is isolated or part of a mixed atherogenic pattern:</w:t>
      </w:r>
    </w:p>
    <w:p>
      <w:pPr>
        <w:spacing w:before="0" w:after="80"/>
      </w:pPr>
      <w:r>
        <w:rPr>
          <w:rFonts w:ascii="Calibri" w:hAnsi="Calibri"/>
          <w:b w:val="0"/>
          <w:i w:val="0"/>
          <w:color w:val="212121"/>
          <w:sz w:val="21"/>
        </w:rPr>
        <w:t>(1) By threshold/severity: borderline-low, low (men &lt; 40 mg/dL, women &lt; 50 mg/dL) and very low HDL (roughly &lt; 20 mg/dL), the last strongly suggesting an inherited defect; HDL ≥ 60 mg/dL is protective.</w:t>
      </w:r>
    </w:p>
    <w:p>
      <w:pPr>
        <w:spacing w:before="0" w:after="80"/>
      </w:pPr>
      <w:r>
        <w:rPr>
          <w:rFonts w:ascii="Calibri" w:hAnsi="Calibri"/>
          <w:b w:val="0"/>
          <w:i w:val="0"/>
          <w:color w:val="212121"/>
          <w:sz w:val="21"/>
        </w:rPr>
        <w:t>(2) Primary (genetic) hypoalphalipoproteinemias, including familial hypoalphalipoproteinemia, apolipoprotein A-I mutations/deficiency, Tangier disease (ABCA1 mutations, with cholesterol-laden enlarged orange tonsils, hepatosplenomegaly, corneal opacity and peripheral neuropathy), LCAT deficiency (classic LCAT deficiency and fish-eye disease, with corneal opacification, anaemia and renal disease) and CETP-related variants.</w:t>
      </w:r>
    </w:p>
    <w:p>
      <w:pPr>
        <w:spacing w:before="0" w:after="80"/>
      </w:pPr>
      <w:r>
        <w:rPr>
          <w:rFonts w:ascii="Calibri" w:hAnsi="Calibri"/>
          <w:b w:val="0"/>
          <w:i w:val="0"/>
          <w:color w:val="212121"/>
          <w:sz w:val="21"/>
        </w:rPr>
        <w:t>(3) Secondary low HDL, driven by insulin resistance and type 2 diabetes, central obesity/metabolic syndrome, hypertriglyceridemia, cigarette smoking, physical inactivity, low-fat high-carbohydrate and trans-fat diets, drugs (anabolic/androgenic steroids, progestins, non-selective beta-blockers), chronic inflammatory disease, sepsis and chronic kidney or liver disease.</w:t>
      </w:r>
    </w:p>
    <w:p>
      <w:pPr>
        <w:spacing w:before="0" w:after="80"/>
      </w:pPr>
      <w:r>
        <w:rPr>
          <w:rFonts w:ascii="Calibri" w:hAnsi="Calibri"/>
          <w:b w:val="0"/>
          <w:i w:val="0"/>
          <w:color w:val="212121"/>
          <w:sz w:val="21"/>
        </w:rPr>
        <w:t>(4) Isolated low HDL versus low HDL as part of mixed 'atherogenic dyslipidemia' (with high triglycerides ± raised LDL) — the pattern most typical of Asian Indians; isolated low HDL is also very common in India. A key clinical caveat is that HDL is a cardiovascular risk marker rather than a validated drug target: raising HDL pharmacologically (niacin, CETP inhibitors) has not lowered event rates, so management targets overall risk (LDL/non-HDL and lifestyle).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Insulin resistance &amp; central (visceral) obesity: The dominant driver in Asian Indians — the insulin-resistant 'thin-fat' phenotype increases triglyceride-rich lipoproteins that exchange core lipids with HDL via CETP, producing triglyceride-enriched HDL that is cleared faster, lowering HDL.</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Hypertriglyceridemia: HDL and triglycerides are reciprocally linked; high triglycerides drive CETP-mediated remodelling and hepatic-lipase clearance of HDL, so a high-triglyceride/low-HDL pair is the hallmark of atherogenic dyslipidemia.</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Physical inactivity: Sedentary behaviour lowers lipoprotein-lipase activity and apoA-I production; regular aerobic activity is one of the few effective ways to raise HDL.</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Cigarette smoking: Smoking lowers HDL and impairs its function through oxidative modification; cessation raises HDL within weeks.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Diet — low-fat/high-refined-carbohydrate and trans fats: Very high-carbohydrate, low-fat eating (including many Indian vegetarian diets) and industrial trans fats lower HDL, while monounsaturated fats and omega-3s raise it.</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Genetic predisposition: Monogenic defects (ABCA1/Tangier, APOA1, LCAT, CETP) and polygenic variants, plus a marked ethnic South Asian susceptibility, lower baseline HDL.</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Secondary medical &amp; drug causes: Type 2 diabetes, chronic inflammatory disease (rheumatoid arthritis, lupus), sepsis, chronic kidney/liver disease and drugs (anabolic steroids, progestins, non-selective beta-blockers) reduce HDL.</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HDL tends to fall through adult life as weight gain, desk-bound work and refined-carbohydrate intake drive insulin resistance and triglyceride rise, which in turn lower HDL through CETP-mediated remodelling.</w:t>
            </w:r>
          </w:p>
          <w:p>
            <w:pPr>
              <w:spacing w:after="40" w:before="60" w:line="259" w:lineRule="auto"/>
            </w:pPr>
            <w:r>
              <w:rPr>
                <w:rFonts w:ascii="Calibri" w:hAnsi="Calibri"/>
                <w:b w:val="0"/>
                <w:i w:val="0"/>
                <w:color w:val="212121"/>
                <w:sz w:val="19"/>
              </w:rPr>
              <w:t>In the ICMR-INDIAB national study, 72.3% of Indian adults had low HDL-cholesterol — the single most common lipid abnormality in the country.</w:t>
            </w:r>
          </w:p>
          <w:p>
            <w:pPr>
              <w:spacing w:after="40" w:line="252" w:lineRule="auto"/>
            </w:pPr>
            <w:hyperlink r:id="rId9">
              <w:r>
                <w:rPr>
                  <w:rFonts w:ascii="Calibri" w:hAnsi="Calibri" w:cs="Calibri"/>
                  <w:sz w:val="18"/>
                  <w:color w:val="1155CC"/>
                  <w:u w:val="single"/>
                </w:rPr>
                <w:t xml:space="preserve">journals.plos.org — ICMR-INDIAB dyslipidemia</w:t>
              </w:r>
            </w:hyperlink>
          </w:p>
          <w:p>
            <w:pPr>
              <w:spacing w:before="60" w:after="40"/>
            </w:pPr>
            <w:r>
              <w:rPr>
                <w:rFonts w:ascii="Calibri" w:hAnsi="Calibri"/>
                <w:b w:val="0"/>
                <w:i w:val="0"/>
                <w:color w:val="5A5A5A"/>
                <w:sz w:val="18"/>
              </w:rPr>
              <w:t>#lowHDL  #insulinresistance  #atherogenicdyslipidemia  #urbanlifestyle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In older adults low HDL persists alongside accumulated metabolic-syndrome features, falling physical activity and polypharmacy (beta-blockers, other drugs), sustaining low levels and high cardiovascular risk.</w:t>
            </w:r>
          </w:p>
          <w:p>
            <w:pPr>
              <w:spacing w:after="40" w:before="60" w:line="259" w:lineRule="auto"/>
            </w:pPr>
            <w:r>
              <w:rPr>
                <w:rFonts w:ascii="Calibri" w:hAnsi="Calibri"/>
                <w:b w:val="0"/>
                <w:i w:val="0"/>
                <w:color w:val="212121"/>
                <w:sz w:val="19"/>
              </w:rPr>
              <w:t>Low HDL is an independent predictor of coronary events; each 1 mg/dL fall in HDL is associated with roughly a 2–3% higher coronary-heart-disease risk in men and 3–4% in women.</w:t>
            </w:r>
          </w:p>
          <w:p>
            <w:pPr>
              <w:spacing w:after="40" w:line="252" w:lineRule="auto"/>
            </w:pPr>
            <w:hyperlink r:id="rId10">
              <w:r>
                <w:rPr>
                  <w:rFonts w:ascii="Calibri" w:hAnsi="Calibri" w:cs="Calibri"/>
                  <w:sz w:val="18"/>
                  <w:color w:val="1155CC"/>
                  <w:u w:val="single"/>
                </w:rPr>
                <w:t xml:space="preserve">ncbi.nlm.nih.gov — StatPearls Hypoalphalipoproteinemia</w:t>
              </w:r>
            </w:hyperlink>
          </w:p>
          <w:p>
            <w:pPr>
              <w:spacing w:before="60" w:after="40"/>
            </w:pPr>
            <w:r>
              <w:rPr>
                <w:rFonts w:ascii="Calibri" w:hAnsi="Calibri"/>
                <w:b w:val="0"/>
                <w:i w:val="0"/>
                <w:color w:val="5A5A5A"/>
                <w:sz w:val="18"/>
              </w:rPr>
              <w:t>#ageing  #coronaryrisk  #polypharmacy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(Indian)</w:t>
            </w:r>
          </w:p>
        </w:tc>
        <w:tc>
          <w:tcPr>
            <w:tcW w:type="dxa" w:w="4276"/>
            <w:vAlign w:val="top"/>
          </w:tcPr>
          <w:p>
            <w:pPr>
              <w:spacing w:after="60" w:line="259" w:lineRule="auto"/>
            </w:pPr>
            <w:r>
              <w:rPr>
                <w:rFonts w:ascii="Calibri" w:hAnsi="Calibri"/>
                <w:b w:val="0"/>
                <w:i w:val="0"/>
                <w:color w:val="212121"/>
                <w:sz w:val="19"/>
              </w:rPr>
              <w:t>Indian women show a higher prevalence of low HDL than men on population screening, reflecting the higher female cut-off (&lt; 50 mg/dL), high-carbohydrate diets, low physical-activity levels and post-menopausal metabolic shifts.</w:t>
            </w:r>
          </w:p>
          <w:p>
            <w:pPr>
              <w:spacing w:after="40" w:before="60" w:line="259" w:lineRule="auto"/>
            </w:pPr>
            <w:r>
              <w:rPr>
                <w:rFonts w:ascii="Calibri" w:hAnsi="Calibri"/>
                <w:b w:val="0"/>
                <w:i w:val="0"/>
                <w:color w:val="212121"/>
                <w:sz w:val="19"/>
              </w:rPr>
              <w:t>ICMR-INDIAB found significantly higher rates of lipid abnormalities, including low HDL, in women than in men, using cut-offs of &lt; 40 mg/dL for men and &lt; 50 mg/dL for women.</w:t>
            </w:r>
          </w:p>
          <w:p>
            <w:pPr>
              <w:spacing w:after="40" w:line="252" w:lineRule="auto"/>
            </w:pPr>
            <w:hyperlink r:id="rId9">
              <w:r>
                <w:rPr>
                  <w:rFonts w:ascii="Calibri" w:hAnsi="Calibri" w:cs="Calibri"/>
                  <w:sz w:val="18"/>
                  <w:color w:val="1155CC"/>
                  <w:u w:val="single"/>
                </w:rPr>
                <w:t xml:space="preserve">journals.plos.org — ICMR-INDIAB dyslipidemia</w:t>
              </w:r>
            </w:hyperlink>
          </w:p>
          <w:p>
            <w:pPr>
              <w:spacing w:before="60" w:after="40"/>
            </w:pPr>
            <w:r>
              <w:rPr>
                <w:rFonts w:ascii="Calibri" w:hAnsi="Calibri"/>
                <w:b w:val="0"/>
                <w:i w:val="0"/>
                <w:color w:val="5A5A5A"/>
                <w:sz w:val="18"/>
              </w:rPr>
              <w:t>#womenshealth  #menopause  #sexcutoff</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&amp; rural (nutrition transition)</w:t>
            </w:r>
          </w:p>
        </w:tc>
        <w:tc>
          <w:tcPr>
            <w:tcW w:type="dxa" w:w="4276"/>
            <w:vAlign w:val="top"/>
          </w:tcPr>
          <w:p>
            <w:pPr>
              <w:spacing w:after="60" w:line="259" w:lineRule="auto"/>
            </w:pPr>
            <w:r>
              <w:rPr>
                <w:rFonts w:ascii="Calibri" w:hAnsi="Calibri"/>
                <w:b w:val="0"/>
                <w:i w:val="0"/>
                <w:color w:val="212121"/>
                <w:sz w:val="19"/>
              </w:rPr>
              <w:t>Urbanisation, calorie-dense refined foods and sedentary work lower HDL, but low HDL is strikingly common in rural India too, where high-carbohydrate cereal-based diets predominate — so the burden spans socioeconomic groups.</w:t>
            </w:r>
          </w:p>
          <w:p>
            <w:pPr>
              <w:spacing w:after="40" w:before="60" w:line="259" w:lineRule="auto"/>
            </w:pPr>
            <w:r>
              <w:rPr>
                <w:rFonts w:ascii="Calibri" w:hAnsi="Calibri"/>
                <w:b w:val="0"/>
                <w:i w:val="0"/>
                <w:color w:val="212121"/>
                <w:sz w:val="19"/>
              </w:rPr>
              <w:t>Isolated low HDL was present in 44.9% of Indians overall and reached 61.7% in rural Jharkhand, versus 39.1% in urban areas of the state.</w:t>
            </w:r>
          </w:p>
          <w:p>
            <w:pPr>
              <w:spacing w:after="40" w:line="252" w:lineRule="auto"/>
            </w:pPr>
            <w:hyperlink r:id="rId9">
              <w:r>
                <w:rPr>
                  <w:rFonts w:ascii="Calibri" w:hAnsi="Calibri" w:cs="Calibri"/>
                  <w:sz w:val="18"/>
                  <w:color w:val="1155CC"/>
                  <w:u w:val="single"/>
                </w:rPr>
                <w:t xml:space="preserve">journals.plos.org — ICMR-INDIAB dyslipidemia</w:t>
              </w:r>
            </w:hyperlink>
          </w:p>
          <w:p>
            <w:pPr>
              <w:spacing w:before="60" w:after="40"/>
            </w:pPr>
            <w:r>
              <w:rPr>
                <w:rFonts w:ascii="Calibri" w:hAnsi="Calibri"/>
                <w:b w:val="0"/>
                <w:i w:val="0"/>
                <w:color w:val="5A5A5A"/>
                <w:sz w:val="18"/>
              </w:rPr>
              <w:t>#urbanrural  #nutritiontransition  #refinedcarbs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Asian Indian / South Asian</w:t>
            </w:r>
          </w:p>
        </w:tc>
        <w:tc>
          <w:tcPr>
            <w:tcW w:type="dxa" w:w="4276"/>
            <w:vAlign w:val="top"/>
          </w:tcPr>
          <w:p>
            <w:pPr>
              <w:spacing w:after="60" w:line="259" w:lineRule="auto"/>
            </w:pPr>
            <w:r>
              <w:rPr>
                <w:rFonts w:ascii="Calibri" w:hAnsi="Calibri"/>
                <w:b w:val="0"/>
                <w:i w:val="0"/>
                <w:color w:val="212121"/>
                <w:sz w:val="19"/>
              </w:rPr>
              <w:t>South Asians characteristically show low HDL with high triglycerides and small dense LDL — 'atherogenic dyslipidemia' — even at a normal BMI, linked to a high tendency to insulin resistance and excess truncal/visceral fat.</w:t>
            </w:r>
          </w:p>
          <w:p>
            <w:pPr>
              <w:spacing w:after="40" w:before="60" w:line="259" w:lineRule="auto"/>
            </w:pPr>
            <w:r>
              <w:rPr>
                <w:rFonts w:ascii="Calibri" w:hAnsi="Calibri"/>
                <w:b w:val="0"/>
                <w:i w:val="0"/>
                <w:color w:val="212121"/>
                <w:sz w:val="19"/>
              </w:rPr>
              <w:t>In Asian Indians, the combination of high triglycerides, low HDL and small dense LDL ('atherogenic dyslipidemia') is characteristic and is tied to a greater tendency to insulin resistance than other ethnic groups.</w:t>
            </w:r>
          </w:p>
          <w:p>
            <w:pPr>
              <w:spacing w:after="40" w:line="252" w:lineRule="auto"/>
            </w:pPr>
            <w:hyperlink r:id="rId11">
              <w:r>
                <w:rPr>
                  <w:rFonts w:ascii="Calibri" w:hAnsi="Calibri" w:cs="Calibri"/>
                  <w:sz w:val="18"/>
                  <w:color w:val="1155CC"/>
                  <w:u w:val="single"/>
                </w:rPr>
                <w:t xml:space="preserve">pubmed.ncbi.nlm.nih.gov/15656049 — dyslipidemia in Asian Indians</w:t>
              </w:r>
            </w:hyperlink>
          </w:p>
          <w:p>
            <w:pPr>
              <w:spacing w:before="60" w:after="40"/>
            </w:pPr>
            <w:r>
              <w:rPr>
                <w:rFonts w:ascii="Calibri" w:hAnsi="Calibri"/>
                <w:b w:val="0"/>
                <w:i w:val="0"/>
                <w:color w:val="5A5A5A"/>
                <w:sz w:val="18"/>
              </w:rPr>
              <w:t>#SouthAsian  #thinfat  #atherogenicdyslipidemia  #smalldenseLDL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Eastern &amp; northern India</w:t>
            </w:r>
          </w:p>
        </w:tc>
        <w:tc>
          <w:tcPr>
            <w:tcW w:type="dxa" w:w="4276"/>
            <w:vAlign w:val="top"/>
          </w:tcPr>
          <w:p>
            <w:pPr>
              <w:spacing w:after="60" w:line="259" w:lineRule="auto"/>
            </w:pPr>
            <w:r>
              <w:rPr>
                <w:rFonts w:ascii="Calibri" w:hAnsi="Calibri"/>
                <w:b w:val="0"/>
                <w:i w:val="0"/>
                <w:color w:val="212121"/>
                <w:sz w:val="19"/>
              </w:rPr>
              <w:t>Low HDL prevalence varies across Indian states with diet and lifestyle patterns, being highest in parts of the east and lower in the south, though it is very common everywhere.</w:t>
            </w:r>
          </w:p>
          <w:p>
            <w:pPr>
              <w:spacing w:after="40" w:before="60" w:line="259" w:lineRule="auto"/>
            </w:pPr>
            <w:r>
              <w:rPr>
                <w:rFonts w:ascii="Calibri" w:hAnsi="Calibri"/>
                <w:b w:val="0"/>
                <w:i w:val="0"/>
                <w:color w:val="212121"/>
                <w:sz w:val="19"/>
              </w:rPr>
              <w:t>Low HDL prevalence ranged from about 76.8% in Jharkhand (east) to 68.9% in Tamil Nadu (south) in the ICMR-INDIAB study.</w:t>
            </w:r>
          </w:p>
          <w:p>
            <w:pPr>
              <w:spacing w:after="40" w:line="252" w:lineRule="auto"/>
            </w:pPr>
            <w:hyperlink r:id="rId9">
              <w:r>
                <w:rPr>
                  <w:rFonts w:ascii="Calibri" w:hAnsi="Calibri" w:cs="Calibri"/>
                  <w:sz w:val="18"/>
                  <w:color w:val="1155CC"/>
                  <w:u w:val="single"/>
                </w:rPr>
                <w:t xml:space="preserve">journals.plos.org — ICMR-INDIAB dyslipidemia</w:t>
              </w:r>
            </w:hyperlink>
          </w:p>
          <w:p>
            <w:pPr>
              <w:spacing w:before="60" w:after="40"/>
            </w:pPr>
            <w:r>
              <w:rPr>
                <w:rFonts w:ascii="Calibri" w:hAnsi="Calibri"/>
                <w:b w:val="0"/>
                <w:i w:val="0"/>
                <w:color w:val="5A5A5A"/>
                <w:sz w:val="18"/>
              </w:rPr>
              <w:t>#regionalvariation  #Jharkhand  #TamilNadu</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Office / IT workers, homemakers, elderly</w:t>
            </w:r>
          </w:p>
        </w:tc>
        <w:tc>
          <w:tcPr>
            <w:tcW w:type="dxa" w:w="4276"/>
            <w:vAlign w:val="top"/>
          </w:tcPr>
          <w:p>
            <w:pPr>
              <w:spacing w:after="60" w:line="259" w:lineRule="auto"/>
            </w:pPr>
            <w:r>
              <w:rPr>
                <w:rFonts w:ascii="Calibri" w:hAnsi="Calibri"/>
                <w:b w:val="0"/>
                <w:i w:val="0"/>
                <w:color w:val="212121"/>
                <w:sz w:val="19"/>
              </w:rPr>
              <w:t>Physical inactivity lowers lipoprotein-lipase activity, apoA-I production and HDL; prolonged sitting compounds insulin resistance and the high-triglyceride/low-HDL pattern.</w:t>
            </w:r>
          </w:p>
          <w:p>
            <w:pPr>
              <w:spacing w:after="40" w:before="60" w:line="259" w:lineRule="auto"/>
            </w:pPr>
            <w:r>
              <w:rPr>
                <w:rFonts w:ascii="Calibri" w:hAnsi="Calibri"/>
                <w:b w:val="0"/>
                <w:i w:val="0"/>
                <w:color w:val="212121"/>
                <w:sz w:val="19"/>
              </w:rPr>
              <w:t>Aerobic exercise training raises HDL by about 2.1 mg/dL on average, with sessions longer than 30 minutes producing significant increases; inactivity forgoes this benefit.</w:t>
            </w:r>
          </w:p>
          <w:p>
            <w:pPr>
              <w:spacing w:after="40" w:line="252" w:lineRule="auto"/>
            </w:pPr>
            <w:hyperlink r:id="rId12">
              <w:r>
                <w:rPr>
                  <w:rFonts w:ascii="Calibri" w:hAnsi="Calibri" w:cs="Calibri"/>
                  <w:sz w:val="18"/>
                  <w:color w:val="1155CC"/>
                  <w:u w:val="single"/>
                </w:rPr>
                <w:t xml:space="preserve">pmc.ncbi.nlm.nih.gov — exercise &amp; blood lipids meta-analysis</w:t>
              </w:r>
            </w:hyperlink>
          </w:p>
          <w:p>
            <w:pPr>
              <w:spacing w:before="60" w:after="40"/>
            </w:pPr>
            <w:r>
              <w:rPr>
                <w:rFonts w:ascii="Calibri" w:hAnsi="Calibri"/>
                <w:b w:val="0"/>
                <w:i w:val="0"/>
                <w:color w:val="5A5A5A"/>
                <w:sz w:val="18"/>
              </w:rPr>
              <w:t>#sedentary  #deskjob  #lipoproteinlipase  #apoA1</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(incl. passive)</w:t>
            </w:r>
          </w:p>
        </w:tc>
        <w:tc>
          <w:tcPr>
            <w:tcW w:type="dxa" w:w="4276"/>
            <w:vAlign w:val="top"/>
          </w:tcPr>
          <w:p>
            <w:pPr>
              <w:spacing w:after="60" w:line="259" w:lineRule="auto"/>
            </w:pPr>
            <w:r>
              <w:rPr>
                <w:rFonts w:ascii="Calibri" w:hAnsi="Calibri"/>
                <w:b w:val="0"/>
                <w:i w:val="0"/>
                <w:color w:val="212121"/>
                <w:sz w:val="19"/>
              </w:rPr>
              <w:t>Smoking lowers HDL and oxidatively damages HDL particles, reducing their protective function; even passive (second-hand) smoke exposure reduces HDL.</w:t>
            </w:r>
          </w:p>
          <w:p>
            <w:pPr>
              <w:spacing w:after="40" w:before="60" w:line="259" w:lineRule="auto"/>
            </w:pPr>
            <w:r>
              <w:rPr>
                <w:rFonts w:ascii="Calibri" w:hAnsi="Calibri"/>
                <w:b w:val="0"/>
                <w:i w:val="0"/>
                <w:color w:val="212121"/>
                <w:sz w:val="19"/>
              </w:rPr>
              <w:t>Passive cigarette smoke exposure is associated with reduced HDL-cholesterol, and smoking cessation can raise HDL within about 30 days.</w:t>
            </w:r>
          </w:p>
          <w:p>
            <w:pPr>
              <w:spacing w:after="40" w:line="252" w:lineRule="auto"/>
            </w:pPr>
            <w:hyperlink r:id="rId10">
              <w:r>
                <w:rPr>
                  <w:rFonts w:ascii="Calibri" w:hAnsi="Calibri" w:cs="Calibri"/>
                  <w:sz w:val="18"/>
                  <w:color w:val="1155CC"/>
                  <w:u w:val="single"/>
                </w:rPr>
                <w:t xml:space="preserve">ncbi.nlm.nih.gov — StatPearls Hypoalphalipoproteinemia</w:t>
              </w:r>
            </w:hyperlink>
          </w:p>
          <w:p>
            <w:pPr>
              <w:spacing w:before="60" w:after="40"/>
            </w:pPr>
            <w:r>
              <w:rPr>
                <w:rFonts w:ascii="Calibri" w:hAnsi="Calibri"/>
                <w:b w:val="0"/>
                <w:i w:val="0"/>
                <w:color w:val="5A5A5A"/>
                <w:sz w:val="18"/>
              </w:rPr>
              <w:t>#smoking  #passivesmoke  #dysfunctionalHDL  #oxidation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binge drinkers</w:t>
            </w:r>
          </w:p>
        </w:tc>
        <w:tc>
          <w:tcPr>
            <w:tcW w:type="dxa" w:w="4276"/>
            <w:vAlign w:val="top"/>
          </w:tcPr>
          <w:p>
            <w:pPr>
              <w:spacing w:after="60" w:line="259" w:lineRule="auto"/>
            </w:pPr>
            <w:r>
              <w:rPr>
                <w:rFonts w:ascii="Calibri" w:hAnsi="Calibri"/>
                <w:b w:val="0"/>
                <w:i w:val="0"/>
                <w:color w:val="212121"/>
                <w:sz w:val="19"/>
              </w:rPr>
              <w:t>Although light-to-moderate alcohol raises HDL by increasing apoA-I/A-II transport, heavy and binge drinking raises triglycerides and produces dysfunctional HDL, worsening the overall atherogenic profile — and alcohol is never recommended as a way to raise HDL.</w:t>
            </w:r>
          </w:p>
          <w:p>
            <w:pPr>
              <w:spacing w:after="40" w:before="60" w:line="259" w:lineRule="auto"/>
            </w:pPr>
            <w:r>
              <w:rPr>
                <w:rFonts w:ascii="Calibri" w:hAnsi="Calibri"/>
                <w:b w:val="0"/>
                <w:i w:val="0"/>
                <w:color w:val="212121"/>
                <w:sz w:val="19"/>
              </w:rPr>
              <w:t>Moderate alcohol raises HDL by increasing the transport rate of apolipoproteins A-I and A-II, but this is not a recommended strategy because of alcohol's other harms.</w:t>
            </w:r>
          </w:p>
          <w:p>
            <w:pPr>
              <w:spacing w:after="40" w:line="252" w:lineRule="auto"/>
            </w:pPr>
            <w:hyperlink r:id="rId13">
              <w:r>
                <w:rPr>
                  <w:rFonts w:ascii="Calibri" w:hAnsi="Calibri" w:cs="Calibri"/>
                  <w:sz w:val="18"/>
                  <w:color w:val="1155CC"/>
                  <w:u w:val="single"/>
                </w:rPr>
                <w:t xml:space="preserve">ahajournals.org — alcohol raises HDL via apoA-I/A-II</w:t>
              </w:r>
            </w:hyperlink>
          </w:p>
          <w:p>
            <w:pPr>
              <w:spacing w:before="60" w:after="40"/>
            </w:pPr>
            <w:r>
              <w:rPr>
                <w:rFonts w:ascii="Calibri" w:hAnsi="Calibri"/>
                <w:b w:val="0"/>
                <w:i w:val="0"/>
                <w:color w:val="5A5A5A"/>
                <w:sz w:val="18"/>
              </w:rPr>
              <w:t>#alcohol  #apoA1  #notrecommended  #hypertriglyceridemia</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High-carbohydrate / low-fat vegetarian diets</w:t>
            </w:r>
          </w:p>
        </w:tc>
        <w:tc>
          <w:tcPr>
            <w:tcW w:type="dxa" w:w="4276"/>
            <w:vAlign w:val="top"/>
          </w:tcPr>
          <w:p>
            <w:pPr>
              <w:spacing w:after="60" w:line="259" w:lineRule="auto"/>
            </w:pPr>
            <w:r>
              <w:rPr>
                <w:rFonts w:ascii="Calibri" w:hAnsi="Calibri"/>
                <w:b w:val="0"/>
                <w:i w:val="0"/>
                <w:color w:val="212121"/>
                <w:sz w:val="19"/>
              </w:rPr>
              <w:t>Very high-carbohydrate, low-fat eating — common in Indian vegetarian diets built on polished rice and wheat — characteristically lowers HDL (the 'vegetarian paradox'), even when total and LDL cholesterol are favourable.</w:t>
            </w:r>
          </w:p>
          <w:p>
            <w:pPr>
              <w:spacing w:after="40" w:before="60" w:line="259" w:lineRule="auto"/>
            </w:pPr>
            <w:r>
              <w:rPr>
                <w:rFonts w:ascii="Calibri" w:hAnsi="Calibri"/>
                <w:b w:val="0"/>
                <w:i w:val="0"/>
                <w:color w:val="212121"/>
                <w:sz w:val="19"/>
              </w:rPr>
              <w:t>Low-fat, high-refined-carbohydrate diets lower HDL; replacing carbohydrate and trans fats with monounsaturated fats and omega-3s raises it.</w:t>
            </w:r>
          </w:p>
          <w:p>
            <w:pPr>
              <w:spacing w:after="40" w:line="252" w:lineRule="auto"/>
            </w:pPr>
            <w:hyperlink r:id="rId14">
              <w:r>
                <w:rPr>
                  <w:rFonts w:ascii="Calibri" w:hAnsi="Calibri" w:cs="Calibri"/>
                  <w:sz w:val="18"/>
                  <w:color w:val="1155CC"/>
                  <w:u w:val="single"/>
                </w:rPr>
                <w:t xml:space="preserve">medlineplus.gov — HDL: the good cholesterol</w:t>
              </w:r>
            </w:hyperlink>
          </w:p>
          <w:p>
            <w:pPr>
              <w:spacing w:before="60" w:after="40"/>
            </w:pPr>
            <w:r>
              <w:rPr>
                <w:rFonts w:ascii="Calibri" w:hAnsi="Calibri"/>
                <w:b w:val="0"/>
                <w:i w:val="0"/>
                <w:color w:val="5A5A5A"/>
                <w:sz w:val="18"/>
              </w:rPr>
              <w:t>#vegetarianparadox  #refinedcarbs  #riceandwheat  #lowfatdiet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Trans &amp; saturated fat</w:t>
            </w:r>
          </w:p>
        </w:tc>
        <w:tc>
          <w:tcPr>
            <w:tcW w:type="dxa" w:w="2160"/>
            <w:vAlign w:val="top"/>
          </w:tcPr>
          <w:p>
            <w:pPr>
              <w:spacing w:after="40" w:before="0" w:line="259" w:lineRule="auto"/>
            </w:pPr>
            <w:r>
              <w:rPr>
                <w:rFonts w:ascii="Calibri" w:hAnsi="Calibri"/>
                <w:b w:val="0"/>
                <w:i w:val="0"/>
                <w:color w:val="212121"/>
                <w:sz w:val="19"/>
              </w:rPr>
              <w:t>Trans-fat &amp; deep-fried-food consumers</w:t>
            </w:r>
          </w:p>
        </w:tc>
        <w:tc>
          <w:tcPr>
            <w:tcW w:type="dxa" w:w="4276"/>
            <w:vAlign w:val="top"/>
          </w:tcPr>
          <w:p>
            <w:pPr>
              <w:spacing w:after="60" w:line="259" w:lineRule="auto"/>
            </w:pPr>
            <w:r>
              <w:rPr>
                <w:rFonts w:ascii="Calibri" w:hAnsi="Calibri"/>
                <w:b w:val="0"/>
                <w:i w:val="0"/>
                <w:color w:val="212121"/>
                <w:sz w:val="19"/>
              </w:rPr>
              <w:t>Industrial trans fats (vanaspati, repeatedly heated oils, bakery and fried snacks) uniquely lower HDL while raising LDL, producing a doubly atherogenic profile.</w:t>
            </w:r>
          </w:p>
          <w:p>
            <w:pPr>
              <w:spacing w:after="40" w:before="60" w:line="259" w:lineRule="auto"/>
            </w:pPr>
            <w:r>
              <w:rPr>
                <w:rFonts w:ascii="Calibri" w:hAnsi="Calibri"/>
                <w:b w:val="0"/>
                <w:i w:val="0"/>
                <w:color w:val="212121"/>
                <w:sz w:val="19"/>
              </w:rPr>
              <w:t>Replacing saturated fat with trans fat lowers serum HDL-cholesterol and impairs endothelial function; WHO recommends trans fat below 1% of energy intake.</w:t>
            </w:r>
          </w:p>
          <w:p>
            <w:pPr>
              <w:spacing w:after="40" w:line="252" w:lineRule="auto"/>
            </w:pPr>
            <w:hyperlink r:id="rId15">
              <w:r>
                <w:rPr>
                  <w:rFonts w:ascii="Calibri" w:hAnsi="Calibri" w:cs="Calibri"/>
                  <w:sz w:val="18"/>
                  <w:color w:val="1155CC"/>
                  <w:u w:val="single"/>
                </w:rPr>
                <w:t xml:space="preserve">ahajournals.org — trans fat lowers HDL</w:t>
              </w:r>
            </w:hyperlink>
          </w:p>
          <w:p>
            <w:pPr>
              <w:spacing w:before="60" w:after="40"/>
            </w:pPr>
            <w:r>
              <w:rPr>
                <w:rFonts w:ascii="Calibri" w:hAnsi="Calibri"/>
                <w:b w:val="0"/>
                <w:i w:val="0"/>
                <w:color w:val="5A5A5A"/>
                <w:sz w:val="18"/>
              </w:rPr>
              <w:t>#transfat  #vanaspati  #friedfood  #endothelium</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adults (BMI ≥ 23, Asian cut-off)</w:t>
            </w:r>
          </w:p>
        </w:tc>
        <w:tc>
          <w:tcPr>
            <w:tcW w:type="dxa" w:w="4276"/>
            <w:vAlign w:val="top"/>
          </w:tcPr>
          <w:p>
            <w:pPr>
              <w:spacing w:after="60" w:line="259" w:lineRule="auto"/>
            </w:pPr>
            <w:r>
              <w:rPr>
                <w:rFonts w:ascii="Calibri" w:hAnsi="Calibri"/>
                <w:b w:val="0"/>
                <w:i w:val="0"/>
                <w:color w:val="212121"/>
                <w:sz w:val="19"/>
              </w:rPr>
              <w:t>Excess adiposity increases free-fatty-acid flux and triglyceride-rich lipoproteins, which lower HDL through CETP exchange; weight loss, especially around the waist, raises HDL.</w:t>
            </w:r>
          </w:p>
          <w:p>
            <w:pPr>
              <w:spacing w:after="40" w:before="60" w:line="259" w:lineRule="auto"/>
            </w:pPr>
            <w:r>
              <w:rPr>
                <w:rFonts w:ascii="Calibri" w:hAnsi="Calibri"/>
                <w:b w:val="0"/>
                <w:i w:val="0"/>
                <w:color w:val="212121"/>
                <w:sz w:val="19"/>
              </w:rPr>
              <w:t>Losing weight — particularly abdominal fat — can raise HDL levels.</w:t>
            </w:r>
          </w:p>
          <w:p>
            <w:pPr>
              <w:spacing w:after="40" w:line="252" w:lineRule="auto"/>
            </w:pPr>
            <w:hyperlink r:id="rId14">
              <w:r>
                <w:rPr>
                  <w:rFonts w:ascii="Calibri" w:hAnsi="Calibri" w:cs="Calibri"/>
                  <w:sz w:val="18"/>
                  <w:color w:val="1155CC"/>
                  <w:u w:val="single"/>
                </w:rPr>
                <w:t xml:space="preserve">medlineplus.gov — HDL: the good cholesterol</w:t>
              </w:r>
            </w:hyperlink>
          </w:p>
          <w:p>
            <w:pPr>
              <w:spacing w:before="60" w:after="40"/>
            </w:pPr>
            <w:r>
              <w:rPr>
                <w:rFonts w:ascii="Calibri" w:hAnsi="Calibri"/>
                <w:b w:val="0"/>
                <w:i w:val="0"/>
                <w:color w:val="5A5A5A"/>
                <w:sz w:val="18"/>
              </w:rPr>
              <w:t>#overweight  #BMIasian  #freefattyacids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Centrally obese adults (high waist circumference)</w:t>
            </w:r>
          </w:p>
        </w:tc>
        <w:tc>
          <w:tcPr>
            <w:tcW w:type="dxa" w:w="4276"/>
            <w:vAlign w:val="top"/>
          </w:tcPr>
          <w:p>
            <w:pPr>
              <w:spacing w:after="60" w:line="259" w:lineRule="auto"/>
            </w:pPr>
            <w:r>
              <w:rPr>
                <w:rFonts w:ascii="Calibri" w:hAnsi="Calibri"/>
                <w:b w:val="0"/>
                <w:i w:val="0"/>
                <w:color w:val="212121"/>
                <w:sz w:val="19"/>
              </w:rPr>
              <w:t>Central/visceral obesity is strongly tied to insulin resistance and the low-HDL/high-triglyceride pattern; in Indians, waist circumference predicts low HDL better than BMI alone.</w:t>
            </w:r>
          </w:p>
          <w:p>
            <w:pPr>
              <w:spacing w:after="40" w:before="60" w:line="259" w:lineRule="auto"/>
            </w:pPr>
            <w:r>
              <w:rPr>
                <w:rFonts w:ascii="Calibri" w:hAnsi="Calibri"/>
                <w:b w:val="0"/>
                <w:i w:val="0"/>
                <w:color w:val="212121"/>
                <w:sz w:val="19"/>
              </w:rPr>
              <w:t>Low HDL (&lt; 40 mg/dL men, &lt; 50 mg/dL women) together with central obesity is a defining feature of metabolic syndrome, which is common in South Asians despite lower overall obesity.</w:t>
            </w:r>
          </w:p>
          <w:p>
            <w:pPr>
              <w:spacing w:after="40" w:line="252" w:lineRule="auto"/>
            </w:pPr>
            <w:hyperlink r:id="rId16">
              <w:r>
                <w:rPr>
                  <w:rFonts w:ascii="Calibri" w:hAnsi="Calibri" w:cs="Calibri"/>
                  <w:sz w:val="18"/>
                  <w:color w:val="1155CC"/>
                  <w:u w:val="single"/>
                </w:rPr>
                <w:t xml:space="preserve">ncbi.nlm.nih.gov — StatPearls Metabolic Syndrome</w:t>
              </w:r>
            </w:hyperlink>
          </w:p>
          <w:p>
            <w:pPr>
              <w:spacing w:before="60" w:after="40"/>
            </w:pPr>
            <w:r>
              <w:rPr>
                <w:rFonts w:ascii="Calibri" w:hAnsi="Calibri"/>
                <w:b w:val="0"/>
                <w:i w:val="0"/>
                <w:color w:val="5A5A5A"/>
                <w:sz w:val="18"/>
              </w:rPr>
              <w:t>#centralobesity  #visceralfat  #waistcircumference</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Familial hypoalphalipoproteinemia / monogenic HDL disorders</w:t>
            </w:r>
          </w:p>
        </w:tc>
        <w:tc>
          <w:tcPr>
            <w:tcW w:type="dxa" w:w="4276"/>
            <w:vAlign w:val="top"/>
          </w:tcPr>
          <w:p>
            <w:pPr>
              <w:spacing w:after="60" w:line="259" w:lineRule="auto"/>
            </w:pPr>
            <w:r>
              <w:rPr>
                <w:rFonts w:ascii="Calibri" w:hAnsi="Calibri"/>
                <w:b w:val="0"/>
                <w:i w:val="0"/>
                <w:color w:val="212121"/>
                <w:sz w:val="19"/>
              </w:rPr>
              <w:t>Inherited defects in apoA-I, ABCA1 (Tangier disease) and LCAT, plus familial hypoalphalipoproteinemia and CETP variants, lower HDL from an early age; very low HDL with premature coronary disease or stroke in the family suggests a genetic cause.</w:t>
            </w:r>
          </w:p>
          <w:p>
            <w:pPr>
              <w:spacing w:after="40" w:before="60" w:line="259" w:lineRule="auto"/>
            </w:pPr>
            <w:r>
              <w:rPr>
                <w:rFonts w:ascii="Calibri" w:hAnsi="Calibri"/>
                <w:b w:val="0"/>
                <w:i w:val="0"/>
                <w:color w:val="212121"/>
                <w:sz w:val="19"/>
              </w:rPr>
              <w:t>Familial hypoalphalipoproteinemia is inherited in an autosomal dominant pattern and carries an increased risk of premature coronary disease and stroke; apoA-I deficiency can drive HDL below 5 mg/dL.</w:t>
            </w:r>
          </w:p>
          <w:p>
            <w:pPr>
              <w:spacing w:after="40" w:line="252" w:lineRule="auto"/>
            </w:pPr>
            <w:hyperlink r:id="rId10">
              <w:r>
                <w:rPr>
                  <w:rFonts w:ascii="Calibri" w:hAnsi="Calibri" w:cs="Calibri"/>
                  <w:sz w:val="18"/>
                  <w:color w:val="1155CC"/>
                  <w:u w:val="single"/>
                </w:rPr>
                <w:t xml:space="preserve">ncbi.nlm.nih.gov — StatPearls Hypoalphalipoproteinemia</w:t>
              </w:r>
            </w:hyperlink>
          </w:p>
          <w:p>
            <w:pPr>
              <w:spacing w:before="60" w:after="40"/>
            </w:pPr>
            <w:r>
              <w:rPr>
                <w:rFonts w:ascii="Calibri" w:hAnsi="Calibri"/>
                <w:b w:val="0"/>
                <w:i w:val="0"/>
                <w:color w:val="5A5A5A"/>
                <w:sz w:val="18"/>
              </w:rPr>
              <w:t>#familial  #ABCA1  #apoA1  #LCAT  #Tangier</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Type 2 diabetes</w:t>
            </w:r>
          </w:p>
        </w:tc>
        <w:tc>
          <w:tcPr>
            <w:tcW w:type="dxa" w:w="2160"/>
            <w:vAlign w:val="top"/>
          </w:tcPr>
          <w:p>
            <w:pPr>
              <w:spacing w:after="40" w:before="0" w:line="259" w:lineRule="auto"/>
            </w:pPr>
            <w:r>
              <w:rPr>
                <w:rFonts w:ascii="Calibri" w:hAnsi="Calibri"/>
                <w:b w:val="0"/>
                <w:i w:val="0"/>
                <w:color w:val="212121"/>
                <w:sz w:val="19"/>
              </w:rPr>
              <w:t>Patients with type 2 diabetes / insulin resistance</w:t>
            </w:r>
          </w:p>
        </w:tc>
        <w:tc>
          <w:tcPr>
            <w:tcW w:type="dxa" w:w="4276"/>
            <w:vAlign w:val="top"/>
          </w:tcPr>
          <w:p>
            <w:pPr>
              <w:spacing w:after="60" w:line="259" w:lineRule="auto"/>
            </w:pPr>
            <w:r>
              <w:rPr>
                <w:rFonts w:ascii="Calibri" w:hAnsi="Calibri"/>
                <w:b w:val="0"/>
                <w:i w:val="0"/>
                <w:color w:val="212121"/>
                <w:sz w:val="19"/>
              </w:rPr>
              <w:t>Insulin resistance raises triglyceride-rich lipoproteins that deplete HDL via CETP and hepatic lipase; diabetes itself lowers HDL, making low HDL a near-universal feature of diabetic dyslipidemia.</w:t>
            </w:r>
          </w:p>
          <w:p>
            <w:pPr>
              <w:spacing w:after="40" w:before="60" w:line="259" w:lineRule="auto"/>
            </w:pPr>
            <w:r>
              <w:rPr>
                <w:rFonts w:ascii="Calibri" w:hAnsi="Calibri"/>
                <w:b w:val="0"/>
                <w:i w:val="0"/>
                <w:color w:val="212121"/>
                <w:sz w:val="19"/>
              </w:rPr>
              <w:t>Diabetes lowers HDL-cholesterol, and low HDL is a core component of the atherogenic diabetic dyslipidemia.</w:t>
            </w:r>
          </w:p>
          <w:p>
            <w:pPr>
              <w:spacing w:after="40" w:line="252" w:lineRule="auto"/>
            </w:pPr>
            <w:hyperlink r:id="rId14">
              <w:r>
                <w:rPr>
                  <w:rFonts w:ascii="Calibri" w:hAnsi="Calibri" w:cs="Calibri"/>
                  <w:sz w:val="18"/>
                  <w:color w:val="1155CC"/>
                  <w:u w:val="single"/>
                </w:rPr>
                <w:t xml:space="preserve">medlineplus.gov — HDL: the good cholesterol</w:t>
              </w:r>
            </w:hyperlink>
          </w:p>
          <w:p>
            <w:pPr>
              <w:spacing w:before="60" w:after="40"/>
            </w:pPr>
            <w:r>
              <w:rPr>
                <w:rFonts w:ascii="Calibri" w:hAnsi="Calibri"/>
                <w:b w:val="0"/>
                <w:i w:val="0"/>
                <w:color w:val="5A5A5A"/>
                <w:sz w:val="18"/>
              </w:rPr>
              <w:t>#diabetes  #insulinresistance  #diabeticdyslipidemia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Metabolic syndrome</w:t>
            </w:r>
          </w:p>
        </w:tc>
        <w:tc>
          <w:tcPr>
            <w:tcW w:type="dxa" w:w="2160"/>
            <w:vAlign w:val="top"/>
          </w:tcPr>
          <w:p>
            <w:pPr>
              <w:spacing w:after="40" w:before="0" w:line="259" w:lineRule="auto"/>
            </w:pPr>
            <w:r>
              <w:rPr>
                <w:rFonts w:ascii="Calibri" w:hAnsi="Calibri"/>
                <w:b w:val="0"/>
                <w:i w:val="0"/>
                <w:color w:val="212121"/>
                <w:sz w:val="19"/>
              </w:rPr>
              <w:t>Adults with metabolic syndrome</w:t>
            </w:r>
          </w:p>
        </w:tc>
        <w:tc>
          <w:tcPr>
            <w:tcW w:type="dxa" w:w="4276"/>
            <w:vAlign w:val="top"/>
          </w:tcPr>
          <w:p>
            <w:pPr>
              <w:spacing w:after="60" w:line="259" w:lineRule="auto"/>
            </w:pPr>
            <w:r>
              <w:rPr>
                <w:rFonts w:ascii="Calibri" w:hAnsi="Calibri"/>
                <w:b w:val="0"/>
                <w:i w:val="0"/>
                <w:color w:val="212121"/>
                <w:sz w:val="19"/>
              </w:rPr>
              <w:t>Low HDL (&lt; 40 mg/dL men, &lt; 50 mg/dL women) is one of the five defining criteria of metabolic syndrome, clustering with central obesity, high triglycerides, hypertension and dysglycaemia.</w:t>
            </w:r>
          </w:p>
          <w:p>
            <w:pPr>
              <w:spacing w:after="40" w:before="60" w:line="259" w:lineRule="auto"/>
            </w:pPr>
            <w:r>
              <w:rPr>
                <w:rFonts w:ascii="Calibri" w:hAnsi="Calibri"/>
                <w:b w:val="0"/>
                <w:i w:val="0"/>
                <w:color w:val="212121"/>
                <w:sz w:val="19"/>
              </w:rPr>
              <w:t>Metabolic syndrome requires ≥ 3 of 5 criteria, one of which is low HDL (&lt; 40 mg/dL men, &lt; 50 mg/dL women); South Asians show high rates despite lower body weight.</w:t>
            </w:r>
          </w:p>
          <w:p>
            <w:pPr>
              <w:spacing w:after="40" w:line="252" w:lineRule="auto"/>
            </w:pPr>
            <w:hyperlink r:id="rId16">
              <w:r>
                <w:rPr>
                  <w:rFonts w:ascii="Calibri" w:hAnsi="Calibri" w:cs="Calibri"/>
                  <w:sz w:val="18"/>
                  <w:color w:val="1155CC"/>
                  <w:u w:val="single"/>
                </w:rPr>
                <w:t xml:space="preserve">ncbi.nlm.nih.gov — StatPearls Metabolic Syndrome</w:t>
              </w:r>
            </w:hyperlink>
          </w:p>
          <w:p>
            <w:pPr>
              <w:spacing w:before="60" w:after="40"/>
            </w:pPr>
            <w:r>
              <w:rPr>
                <w:rFonts w:ascii="Calibri" w:hAnsi="Calibri"/>
                <w:b w:val="0"/>
                <w:i w:val="0"/>
                <w:color w:val="5A5A5A"/>
                <w:sz w:val="18"/>
              </w:rPr>
              <w:t>#metabolicsyndrome  #SouthAsian  #clustering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Hypertriglyceridemia</w:t>
            </w:r>
          </w:p>
        </w:tc>
        <w:tc>
          <w:tcPr>
            <w:tcW w:type="dxa" w:w="2160"/>
            <w:vAlign w:val="top"/>
          </w:tcPr>
          <w:p>
            <w:pPr>
              <w:spacing w:after="40" w:before="0" w:line="259" w:lineRule="auto"/>
            </w:pPr>
            <w:r>
              <w:rPr>
                <w:rFonts w:ascii="Calibri" w:hAnsi="Calibri"/>
                <w:b w:val="0"/>
                <w:i w:val="0"/>
                <w:color w:val="212121"/>
                <w:sz w:val="19"/>
              </w:rPr>
              <w:t>Patients with high triglycerides</w:t>
            </w:r>
          </w:p>
        </w:tc>
        <w:tc>
          <w:tcPr>
            <w:tcW w:type="dxa" w:w="4276"/>
            <w:vAlign w:val="top"/>
          </w:tcPr>
          <w:p>
            <w:pPr>
              <w:spacing w:after="60" w:line="259" w:lineRule="auto"/>
            </w:pPr>
            <w:r>
              <w:rPr>
                <w:rFonts w:ascii="Calibri" w:hAnsi="Calibri"/>
                <w:b w:val="0"/>
                <w:i w:val="0"/>
                <w:color w:val="212121"/>
                <w:sz w:val="19"/>
              </w:rPr>
              <w:t>High triglycerides and low HDL are reciprocally linked: triglyceride-rich lipoproteins exchange core lipids with HDL via CETP, generating triglyceride-enriched HDL that is rapidly cleared, so the two almost always coexist.</w:t>
            </w:r>
          </w:p>
          <w:p>
            <w:pPr>
              <w:spacing w:after="40" w:before="60" w:line="259" w:lineRule="auto"/>
            </w:pPr>
            <w:r>
              <w:rPr>
                <w:rFonts w:ascii="Calibri" w:hAnsi="Calibri"/>
                <w:b w:val="0"/>
                <w:i w:val="0"/>
                <w:color w:val="212121"/>
                <w:sz w:val="19"/>
              </w:rPr>
              <w:t>High triglycerides and low HDL together form the atherogenic dyslipidemia typical of Asian Indians and insulin resistance.</w:t>
            </w:r>
          </w:p>
          <w:p>
            <w:pPr>
              <w:spacing w:after="40" w:line="252" w:lineRule="auto"/>
            </w:pPr>
            <w:hyperlink r:id="rId11">
              <w:r>
                <w:rPr>
                  <w:rFonts w:ascii="Calibri" w:hAnsi="Calibri" w:cs="Calibri"/>
                  <w:sz w:val="18"/>
                  <w:color w:val="1155CC"/>
                  <w:u w:val="single"/>
                </w:rPr>
                <w:t xml:space="preserve">pubmed.ncbi.nlm.nih.gov/15656049 — dyslipidemia in Asian Indians</w:t>
              </w:r>
            </w:hyperlink>
          </w:p>
          <w:p>
            <w:pPr>
              <w:spacing w:before="60" w:after="40"/>
            </w:pPr>
            <w:r>
              <w:rPr>
                <w:rFonts w:ascii="Calibri" w:hAnsi="Calibri"/>
                <w:b w:val="0"/>
                <w:i w:val="0"/>
                <w:color w:val="5A5A5A"/>
                <w:sz w:val="18"/>
              </w:rPr>
              <w:t>#hypertriglyceridemia  #CETP  #reciprocal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inflammation / CKD</w:t>
            </w:r>
          </w:p>
        </w:tc>
        <w:tc>
          <w:tcPr>
            <w:tcW w:type="dxa" w:w="2160"/>
            <w:vAlign w:val="top"/>
          </w:tcPr>
          <w:p>
            <w:pPr>
              <w:spacing w:after="40" w:before="0" w:line="259" w:lineRule="auto"/>
            </w:pPr>
            <w:r>
              <w:rPr>
                <w:rFonts w:ascii="Calibri" w:hAnsi="Calibri"/>
                <w:b w:val="0"/>
                <w:i w:val="0"/>
                <w:color w:val="212121"/>
                <w:sz w:val="19"/>
              </w:rPr>
              <w:t>Chronic inflammatory or renal disease</w:t>
            </w:r>
          </w:p>
        </w:tc>
        <w:tc>
          <w:tcPr>
            <w:tcW w:type="dxa" w:w="4276"/>
            <w:vAlign w:val="top"/>
          </w:tcPr>
          <w:p>
            <w:pPr>
              <w:spacing w:after="60" w:line="259" w:lineRule="auto"/>
            </w:pPr>
            <w:r>
              <w:rPr>
                <w:rFonts w:ascii="Calibri" w:hAnsi="Calibri"/>
                <w:b w:val="0"/>
                <w:i w:val="0"/>
                <w:color w:val="212121"/>
                <w:sz w:val="19"/>
              </w:rPr>
              <w:t>Chronic inflammatory states (rheumatoid arthritis, lupus), sepsis and chronic kidney or liver disease lower HDL and convert it to a pro-inflammatory, dysfunctional form, adding to cardiovascular risk.</w:t>
            </w:r>
          </w:p>
          <w:p>
            <w:pPr>
              <w:spacing w:after="40" w:before="60" w:line="259" w:lineRule="auto"/>
            </w:pPr>
            <w:r>
              <w:rPr>
                <w:rFonts w:ascii="Calibri" w:hAnsi="Calibri"/>
                <w:b w:val="0"/>
                <w:i w:val="0"/>
                <w:color w:val="212121"/>
                <w:sz w:val="19"/>
              </w:rPr>
              <w:t>Inflammatory conditions, sepsis and monoclonal gammopathies are recognised secondary causes of low HDL, and inflammation can render HDL pro-oxidative and pro-inflammatory.</w:t>
            </w:r>
          </w:p>
          <w:p>
            <w:pPr>
              <w:spacing w:after="40" w:line="252" w:lineRule="auto"/>
            </w:pPr>
            <w:hyperlink r:id="rId10">
              <w:r>
                <w:rPr>
                  <w:rFonts w:ascii="Calibri" w:hAnsi="Calibri" w:cs="Calibri"/>
                  <w:sz w:val="18"/>
                  <w:color w:val="1155CC"/>
                  <w:u w:val="single"/>
                </w:rPr>
                <w:t xml:space="preserve">ncbi.nlm.nih.gov — StatPearls Hypoalphalipoproteinemia</w:t>
              </w:r>
            </w:hyperlink>
          </w:p>
          <w:p>
            <w:pPr>
              <w:spacing w:before="60" w:after="40"/>
            </w:pPr>
            <w:r>
              <w:rPr>
                <w:rFonts w:ascii="Calibri" w:hAnsi="Calibri"/>
                <w:b w:val="0"/>
                <w:i w:val="0"/>
                <w:color w:val="5A5A5A"/>
                <w:sz w:val="18"/>
              </w:rPr>
              <w:t>#inflammation  #CKD  #dysfunctionalHDL  #RA</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Regular aerobic activity is one of the few effective ways to raise HDL, increasing it by about 2 mg/dL on average (more with higher volume, sessions &gt; 30 min) via greater lipoprotein-lipase activity and apoA-I production. Inactivity lowers HDL and worsens the atherogenic pattern.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Low-fat, high-refined-carbohydrate diets and industrial trans fats lower HDL, whereas monounsaturated fats (olive/mustard/groundnut oil, nuts, avocado) and omega-3s raise it. Diet is a major, modifiable determinant of HDL, especially in high-carbohydrate Indian diets.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Short sleep (&lt; 6 h) and obstructive sleep apnoea are associated with insulin resistance and a low-HDL/high-triglyceride atherogenic profile, though evidence is weaker than for diet, activity and smoking.</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and passive smoking lower HDL and impair its anti-atherogenic function through oxidative modification; cessation can raise HDL within about 30 days.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Light-to-moderate alcohol raises HDL by increasing apolipoprotein A-I/A-II transport, but heavy and binge drinking raises triglycerides and produces dysfunctional HDL; alcohol is not recommended as a means of raising HDL.</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stress and depression are modestly associated with an atherogenic lipid profile through cortisol-driven metabolism and unhealthy behaviours, but the direct effect on HDL is small.</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direct role in HDL metabolism; any benefit is indirect, through replacing sugar-sweetened beverages with water.</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Plain tea/coffee has little effect on HDL; unfiltered or boiled coffee affects total and LDL cholesterol more than HDL, and added sugar/cream matters most.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Hygiene has no direct effect on HDL levels; it matters only indirectly, through infection and inflammation control, since severe infection transiently lowers HDL.</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Drugs (anabolic/androgenic steroids, progestins, non-selective beta-blockers) and acute inflammatory or septic illness can lower HDL; reviewing and substituting offending drugs can restore it.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All adults</w:t>
            </w:r>
          </w:p>
        </w:tc>
        <w:tc>
          <w:tcPr>
            <w:tcW w:type="dxa" w:w="1512"/>
            <w:vAlign w:val="top"/>
          </w:tcPr>
          <w:p>
            <w:pPr>
              <w:spacing w:after="40" w:before="0" w:line="259" w:lineRule="auto"/>
            </w:pPr>
            <w:r>
              <w:rPr>
                <w:rFonts w:ascii="Calibri" w:hAnsi="Calibri"/>
                <w:b w:val="0"/>
                <w:i w:val="0"/>
                <w:color w:val="212121"/>
                <w:sz w:val="19"/>
              </w:rPr>
              <w:t>≥ 150 min/week (sessions &gt; 30 min; + resistance 2–3 d/wk)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60" w:line="259" w:lineRule="auto"/>
            </w:pPr>
            <w:r>
              <w:rPr>
                <w:rFonts w:ascii="Calibri" w:hAnsi="Calibri"/>
                <w:b w:val="0"/>
                <w:i w:val="0"/>
                <w:color w:val="212121"/>
                <w:sz w:val="19"/>
              </w:rPr>
              <w:t>Aerobic activity raises HDL (~2 mg/dL); longer sessions help most</w:t>
            </w:r>
          </w:p>
          <w:p>
            <w:pPr>
              <w:spacing w:after="40" w:line="252" w:lineRule="auto"/>
            </w:pPr>
            <w:hyperlink r:id="rId12">
              <w:r>
                <w:rPr>
                  <w:rFonts w:ascii="Calibri" w:hAnsi="Calibri" w:cs="Calibri"/>
                  <w:sz w:val="18"/>
                  <w:color w:val="1155CC"/>
                  <w:u w:val="single"/>
                </w:rPr>
                <w:t xml:space="preserve">https://pmc.ncbi.nlm.nih.gov/articles/PMC11787149/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 Asian cut-off)</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60" w:line="259" w:lineRule="auto"/>
            </w:pPr>
            <w:r>
              <w:rPr>
                <w:rFonts w:ascii="Calibri" w:hAnsi="Calibri"/>
                <w:b w:val="0"/>
                <w:i w:val="0"/>
                <w:color w:val="212121"/>
                <w:sz w:val="19"/>
              </w:rPr>
              <w:t>Higher BMI raises triglycerides and lowers HDL; weight loss raises HDL</w:t>
            </w:r>
          </w:p>
          <w:p>
            <w:pPr>
              <w:spacing w:after="40" w:line="252" w:lineRule="auto"/>
            </w:pPr>
            <w:hyperlink r:id="rId14">
              <w:r>
                <w:rPr>
                  <w:rFonts w:ascii="Calibri" w:hAnsi="Calibri" w:cs="Calibri"/>
                  <w:sz w:val="18"/>
                  <w:color w:val="1155CC"/>
                  <w:u w:val="single"/>
                </w:rPr>
                <w:t xml:space="preserve">https://medlineplus.gov/hdlthegoodcholesterol.html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(cm)</w:t>
            </w:r>
          </w:p>
        </w:tc>
        <w:tc>
          <w:tcPr>
            <w:tcW w:type="dxa" w:w="1655"/>
            <w:vAlign w:val="top"/>
          </w:tcPr>
          <w:p>
            <w:pPr>
              <w:spacing w:after="40" w:before="0" w:line="259" w:lineRule="auto"/>
            </w:pPr>
            <w:r>
              <w:rPr>
                <w:rFonts w:ascii="Calibri" w:hAnsi="Calibri"/>
                <w:b w:val="0"/>
                <w:i w:val="0"/>
                <w:color w:val="212121"/>
                <w:sz w:val="19"/>
              </w:rPr>
              <w:t>Adults (central obesity)</w:t>
            </w:r>
          </w:p>
        </w:tc>
        <w:tc>
          <w:tcPr>
            <w:tcW w:type="dxa" w:w="1512"/>
            <w:vAlign w:val="top"/>
          </w:tcPr>
          <w:p>
            <w:pPr>
              <w:spacing w:after="40" w:before="0" w:line="259" w:lineRule="auto"/>
            </w:pPr>
            <w:r>
              <w:rPr>
                <w:rFonts w:ascii="Calibri" w:hAnsi="Calibri"/>
                <w:b w:val="0"/>
                <w:i w:val="0"/>
                <w:color w:val="212121"/>
                <w:sz w:val="19"/>
              </w:rPr>
              <w:t>M &lt; 90 cm; F &lt; 80 cm (Asian)</w:t>
            </w:r>
          </w:p>
        </w:tc>
        <w:tc>
          <w:tcPr>
            <w:tcW w:type="dxa" w:w="1512"/>
            <w:vAlign w:val="top"/>
          </w:tcPr>
          <w:p>
            <w:pPr>
              <w:spacing w:after="40" w:before="0" w:line="259" w:lineRule="auto"/>
            </w:pPr>
            <w:r>
              <w:rPr>
                <w:rFonts w:ascii="Calibri" w:hAnsi="Calibri"/>
                <w:b w:val="0"/>
                <w:i w:val="0"/>
                <w:color w:val="212121"/>
                <w:sz w:val="19"/>
              </w:rPr>
              <w:t>M ≥ 90 cm; F ≥ 80 cm</w:t>
            </w:r>
          </w:p>
        </w:tc>
        <w:tc>
          <w:tcPr>
            <w:tcW w:type="dxa" w:w="1468"/>
            <w:vAlign w:val="top"/>
          </w:tcPr>
          <w:p>
            <w:pPr>
              <w:spacing w:after="60" w:line="259" w:lineRule="auto"/>
            </w:pPr>
            <w:r>
              <w:rPr>
                <w:rFonts w:ascii="Calibri" w:hAnsi="Calibri"/>
                <w:b w:val="0"/>
                <w:i w:val="0"/>
                <w:color w:val="212121"/>
                <w:sz w:val="19"/>
              </w:rPr>
              <w:t>Raised waist is a metabolic-syndrome criterion and predicts low HDL</w:t>
            </w:r>
          </w:p>
          <w:p>
            <w:pPr>
              <w:spacing w:after="40" w:line="252" w:lineRule="auto"/>
            </w:pPr>
            <w:hyperlink r:id="rId16">
              <w:r>
                <w:rPr>
                  <w:rFonts w:ascii="Calibri" w:hAnsi="Calibri" w:cs="Calibri"/>
                  <w:sz w:val="18"/>
                  <w:color w:val="1155CC"/>
                  <w:u w:val="single"/>
                </w:rPr>
                <w:t xml:space="preserve">https://www.ncbi.nlm.nih.gov/books/NBK459248/</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HDL-cholesterol (mg/dL)</w:t>
            </w:r>
          </w:p>
        </w:tc>
        <w:tc>
          <w:tcPr>
            <w:tcW w:type="dxa" w:w="1655"/>
            <w:vAlign w:val="top"/>
          </w:tcPr>
          <w:p>
            <w:pPr>
              <w:spacing w:after="40" w:before="0" w:line="259" w:lineRule="auto"/>
            </w:pPr>
            <w:r>
              <w:rPr>
                <w:rFonts w:ascii="Calibri" w:hAnsi="Calibri"/>
                <w:b w:val="0"/>
                <w:i w:val="0"/>
                <w:color w:val="212121"/>
                <w:sz w:val="19"/>
              </w:rPr>
              <w:t>All adults screened</w:t>
            </w:r>
          </w:p>
        </w:tc>
        <w:tc>
          <w:tcPr>
            <w:tcW w:type="dxa" w:w="1512"/>
            <w:vAlign w:val="top"/>
          </w:tcPr>
          <w:p>
            <w:pPr>
              <w:spacing w:after="40" w:before="0" w:line="259" w:lineRule="auto"/>
            </w:pPr>
            <w:r>
              <w:rPr>
                <w:rFonts w:ascii="Calibri" w:hAnsi="Calibri"/>
                <w:b w:val="0"/>
                <w:i w:val="0"/>
                <w:color w:val="212121"/>
                <w:sz w:val="19"/>
              </w:rPr>
              <w:t>M &gt; 40; F &gt; 50 mg/dL (≥ 60 protective)</w:t>
            </w:r>
          </w:p>
        </w:tc>
        <w:tc>
          <w:tcPr>
            <w:tcW w:type="dxa" w:w="1512"/>
            <w:vAlign w:val="top"/>
          </w:tcPr>
          <w:p>
            <w:pPr>
              <w:spacing w:after="40" w:before="0" w:line="259" w:lineRule="auto"/>
            </w:pPr>
            <w:r>
              <w:rPr>
                <w:rFonts w:ascii="Calibri" w:hAnsi="Calibri"/>
                <w:b w:val="0"/>
                <w:i w:val="0"/>
                <w:color w:val="212121"/>
                <w:sz w:val="19"/>
              </w:rPr>
              <w:t>M &lt; 40; F &lt; 50 mg/dL</w:t>
            </w:r>
          </w:p>
        </w:tc>
        <w:tc>
          <w:tcPr>
            <w:tcW w:type="dxa" w:w="1468"/>
            <w:vAlign w:val="top"/>
          </w:tcPr>
          <w:p>
            <w:pPr>
              <w:spacing w:after="60" w:line="259" w:lineRule="auto"/>
            </w:pPr>
            <w:r>
              <w:rPr>
                <w:rFonts w:ascii="Calibri" w:hAnsi="Calibri"/>
                <w:b w:val="0"/>
                <w:i w:val="0"/>
                <w:color w:val="212121"/>
                <w:sz w:val="19"/>
              </w:rPr>
              <w:t>Primary diagnostic marker; ≥ 60 mg/dL is a protective (negative) risk factor</w:t>
            </w:r>
          </w:p>
          <w:p>
            <w:pPr>
              <w:spacing w:after="40" w:line="252" w:lineRule="auto"/>
            </w:pPr>
            <w:hyperlink r:id="rId9">
              <w:r>
                <w:rPr>
                  <w:rFonts w:ascii="Calibri" w:hAnsi="Calibri" w:cs="Calibri"/>
                  <w:sz w:val="18"/>
                  <w:color w:val="1155CC"/>
                  <w:u w:val="single"/>
                </w:rPr>
                <w:t xml:space="preserve">https://journals.plos.org/plosone/article?id=10.1371/journal.pone.0096808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Triglyceride / HDL-C ratio</w:t>
            </w:r>
          </w:p>
        </w:tc>
        <w:tc>
          <w:tcPr>
            <w:tcW w:type="dxa" w:w="1655"/>
            <w:vAlign w:val="top"/>
          </w:tcPr>
          <w:p>
            <w:pPr>
              <w:spacing w:after="40" w:before="0" w:line="259" w:lineRule="auto"/>
            </w:pPr>
            <w:r>
              <w:rPr>
                <w:rFonts w:ascii="Calibri" w:hAnsi="Calibri"/>
                <w:b w:val="0"/>
                <w:i w:val="0"/>
                <w:color w:val="212121"/>
                <w:sz w:val="19"/>
              </w:rPr>
              <w:t>Insulin-resistant adults</w:t>
            </w:r>
          </w:p>
        </w:tc>
        <w:tc>
          <w:tcPr>
            <w:tcW w:type="dxa" w:w="1512"/>
            <w:vAlign w:val="top"/>
          </w:tcPr>
          <w:p>
            <w:pPr>
              <w:spacing w:after="40" w:before="0" w:line="259" w:lineRule="auto"/>
            </w:pPr>
            <w:r>
              <w:rPr>
                <w:rFonts w:ascii="Calibri" w:hAnsi="Calibri"/>
                <w:b w:val="0"/>
                <w:i w:val="0"/>
                <w:color w:val="212121"/>
                <w:sz w:val="19"/>
              </w:rPr>
              <w:t>&lt; 3.0</w:t>
            </w:r>
          </w:p>
        </w:tc>
        <w:tc>
          <w:tcPr>
            <w:tcW w:type="dxa" w:w="1512"/>
            <w:vAlign w:val="top"/>
          </w:tcPr>
          <w:p>
            <w:pPr>
              <w:spacing w:after="40" w:before="0" w:line="259" w:lineRule="auto"/>
            </w:pPr>
            <w:r>
              <w:rPr>
                <w:rFonts w:ascii="Calibri" w:hAnsi="Calibri"/>
                <w:b w:val="0"/>
                <w:i w:val="0"/>
                <w:color w:val="212121"/>
                <w:sz w:val="19"/>
              </w:rPr>
              <w:t>≥ 3.5</w:t>
            </w:r>
          </w:p>
        </w:tc>
        <w:tc>
          <w:tcPr>
            <w:tcW w:type="dxa" w:w="1468"/>
            <w:vAlign w:val="top"/>
          </w:tcPr>
          <w:p>
            <w:pPr>
              <w:spacing w:after="60" w:line="259" w:lineRule="auto"/>
            </w:pPr>
            <w:r>
              <w:rPr>
                <w:rFonts w:ascii="Calibri" w:hAnsi="Calibri"/>
                <w:b w:val="0"/>
                <w:i w:val="0"/>
                <w:color w:val="212121"/>
                <w:sz w:val="19"/>
              </w:rPr>
              <w:t>Surrogate for insulin resistance and small dense LDL; high when HDL is low</w:t>
            </w:r>
          </w:p>
          <w:p>
            <w:pPr>
              <w:spacing w:after="40" w:line="252" w:lineRule="auto"/>
            </w:pPr>
            <w:hyperlink r:id="rId11">
              <w:r>
                <w:rPr>
                  <w:rFonts w:ascii="Calibri" w:hAnsi="Calibri" w:cs="Calibri"/>
                  <w:sz w:val="18"/>
                  <w:color w:val="1155CC"/>
                  <w:u w:val="single"/>
                </w:rPr>
                <w:t xml:space="preserve">https://pubmed.ncbi.nlm.nih.gov/15656049/</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Total cholesterol / HDL ratio</w:t>
            </w:r>
          </w:p>
        </w:tc>
        <w:tc>
          <w:tcPr>
            <w:tcW w:type="dxa" w:w="1655"/>
            <w:vAlign w:val="top"/>
          </w:tcPr>
          <w:p>
            <w:pPr>
              <w:spacing w:after="40" w:before="0" w:line="259" w:lineRule="auto"/>
            </w:pPr>
            <w:r>
              <w:rPr>
                <w:rFonts w:ascii="Calibri" w:hAnsi="Calibri"/>
                <w:b w:val="0"/>
                <w:i w:val="0"/>
                <w:color w:val="212121"/>
                <w:sz w:val="19"/>
              </w:rPr>
              <w:t>Adults at CV risk</w:t>
            </w:r>
          </w:p>
        </w:tc>
        <w:tc>
          <w:tcPr>
            <w:tcW w:type="dxa" w:w="1512"/>
            <w:vAlign w:val="top"/>
          </w:tcPr>
          <w:p>
            <w:pPr>
              <w:spacing w:after="40" w:before="0" w:line="259" w:lineRule="auto"/>
            </w:pPr>
            <w:r>
              <w:rPr>
                <w:rFonts w:ascii="Calibri" w:hAnsi="Calibri"/>
                <w:b w:val="0"/>
                <w:i w:val="0"/>
                <w:color w:val="212121"/>
                <w:sz w:val="19"/>
              </w:rPr>
              <w:t>&lt; 4.0</w:t>
            </w:r>
          </w:p>
        </w:tc>
        <w:tc>
          <w:tcPr>
            <w:tcW w:type="dxa" w:w="1512"/>
            <w:vAlign w:val="top"/>
          </w:tcPr>
          <w:p>
            <w:pPr>
              <w:spacing w:after="40" w:before="0" w:line="259" w:lineRule="auto"/>
            </w:pPr>
            <w:r>
              <w:rPr>
                <w:rFonts w:ascii="Calibri" w:hAnsi="Calibri"/>
                <w:b w:val="0"/>
                <w:i w:val="0"/>
                <w:color w:val="212121"/>
                <w:sz w:val="19"/>
              </w:rPr>
              <w:t>≥ 5.0</w:t>
            </w:r>
          </w:p>
        </w:tc>
        <w:tc>
          <w:tcPr>
            <w:tcW w:type="dxa" w:w="1468"/>
            <w:vAlign w:val="top"/>
          </w:tcPr>
          <w:p>
            <w:pPr>
              <w:spacing w:after="40" w:before="0" w:line="259" w:lineRule="auto"/>
            </w:pPr>
            <w:r>
              <w:rPr>
                <w:rFonts w:ascii="Calibri" w:hAnsi="Calibri"/>
                <w:b w:val="0"/>
                <w:i w:val="0"/>
                <w:color w:val="212121"/>
                <w:sz w:val="19"/>
              </w:rPr>
              <w:t>Rises as HDL falls; captures atherogenic risk better than HDL alone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Trans &amp; saturated fat (% of energy)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Trans &lt; 1%; saturated &lt; 10% of energy</w:t>
            </w:r>
          </w:p>
        </w:tc>
        <w:tc>
          <w:tcPr>
            <w:tcW w:type="dxa" w:w="1512"/>
            <w:vAlign w:val="top"/>
          </w:tcPr>
          <w:p>
            <w:pPr>
              <w:spacing w:after="40" w:before="0" w:line="259" w:lineRule="auto"/>
            </w:pPr>
            <w:r>
              <w:rPr>
                <w:rFonts w:ascii="Calibri" w:hAnsi="Calibri"/>
                <w:b w:val="0"/>
                <w:i w:val="0"/>
                <w:color w:val="212121"/>
                <w:sz w:val="19"/>
              </w:rPr>
              <w:t>Trans ≥ 1%; saturated ≥ 10%</w:t>
            </w:r>
          </w:p>
        </w:tc>
        <w:tc>
          <w:tcPr>
            <w:tcW w:type="dxa" w:w="1468"/>
            <w:vAlign w:val="top"/>
          </w:tcPr>
          <w:p>
            <w:pPr>
              <w:spacing w:after="60" w:line="259" w:lineRule="auto"/>
            </w:pPr>
            <w:r>
              <w:rPr>
                <w:rFonts w:ascii="Calibri" w:hAnsi="Calibri"/>
                <w:b w:val="0"/>
                <w:i w:val="0"/>
                <w:color w:val="212121"/>
                <w:sz w:val="19"/>
              </w:rPr>
              <w:t>Trans fat uniquely lowers HDL; replace with MUFA/omega-3</w:t>
            </w:r>
          </w:p>
          <w:p>
            <w:pPr>
              <w:spacing w:after="40" w:line="252" w:lineRule="auto"/>
            </w:pPr>
            <w:hyperlink r:id="rId15">
              <w:r>
                <w:rPr>
                  <w:rFonts w:ascii="Calibri" w:hAnsi="Calibri" w:cs="Calibri"/>
                  <w:sz w:val="18"/>
                  <w:color w:val="1155CC"/>
                  <w:u w:val="single"/>
                </w:rPr>
                <w:t xml:space="preserve">https://www.ahajournals.org/doi/10.1161/hq0701.092161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Carbohydrate quality</w:t>
            </w:r>
          </w:p>
        </w:tc>
        <w:tc>
          <w:tcPr>
            <w:tcW w:type="dxa" w:w="1655"/>
            <w:vAlign w:val="top"/>
          </w:tcPr>
          <w:p>
            <w:pPr>
              <w:spacing w:after="40" w:before="0" w:line="259" w:lineRule="auto"/>
            </w:pPr>
            <w:r>
              <w:rPr>
                <w:rFonts w:ascii="Calibri" w:hAnsi="Calibri"/>
                <w:b w:val="0"/>
                <w:i w:val="0"/>
                <w:color w:val="212121"/>
                <w:sz w:val="19"/>
              </w:rPr>
              <w:t>High-carb Indian diets</w:t>
            </w:r>
          </w:p>
        </w:tc>
        <w:tc>
          <w:tcPr>
            <w:tcW w:type="dxa" w:w="1512"/>
            <w:vAlign w:val="top"/>
          </w:tcPr>
          <w:p>
            <w:pPr>
              <w:spacing w:after="40" w:before="0" w:line="259" w:lineRule="auto"/>
            </w:pPr>
            <w:r>
              <w:rPr>
                <w:rFonts w:ascii="Calibri" w:hAnsi="Calibri"/>
                <w:b w:val="0"/>
                <w:i w:val="0"/>
                <w:color w:val="212121"/>
                <w:sz w:val="19"/>
              </w:rPr>
              <w:t>Whole grains/millets, high fibre, low glycaemic load</w:t>
            </w:r>
          </w:p>
        </w:tc>
        <w:tc>
          <w:tcPr>
            <w:tcW w:type="dxa" w:w="1512"/>
            <w:vAlign w:val="top"/>
          </w:tcPr>
          <w:p>
            <w:pPr>
              <w:spacing w:after="40" w:before="0" w:line="259" w:lineRule="auto"/>
            </w:pPr>
            <w:r>
              <w:rPr>
                <w:rFonts w:ascii="Calibri" w:hAnsi="Calibri"/>
                <w:b w:val="0"/>
                <w:i w:val="0"/>
                <w:color w:val="212121"/>
                <w:sz w:val="19"/>
              </w:rPr>
              <w:t>Polished rice, refined flour, sugary foods</w:t>
            </w:r>
          </w:p>
        </w:tc>
        <w:tc>
          <w:tcPr>
            <w:tcW w:type="dxa" w:w="1468"/>
            <w:vAlign w:val="top"/>
          </w:tcPr>
          <w:p>
            <w:pPr>
              <w:spacing w:after="40" w:before="0" w:line="259" w:lineRule="auto"/>
            </w:pPr>
            <w:r>
              <w:rPr>
                <w:rFonts w:ascii="Calibri" w:hAnsi="Calibri"/>
                <w:b w:val="0"/>
                <w:i w:val="0"/>
                <w:color w:val="212121"/>
                <w:sz w:val="19"/>
              </w:rPr>
              <w:t>Low-fat/high-refined-carb diets lower HDL (the 'vegetarian paradox')</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Teens, adults, elderly</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 (incl. passive smoke)</w:t>
            </w:r>
          </w:p>
        </w:tc>
        <w:tc>
          <w:tcPr>
            <w:tcW w:type="dxa" w:w="1468"/>
            <w:vAlign w:val="top"/>
          </w:tcPr>
          <w:p>
            <w:pPr>
              <w:spacing w:after="60" w:line="259" w:lineRule="auto"/>
            </w:pPr>
            <w:r>
              <w:rPr>
                <w:rFonts w:ascii="Calibri" w:hAnsi="Calibri"/>
                <w:b w:val="0"/>
                <w:i w:val="0"/>
                <w:color w:val="212121"/>
                <w:sz w:val="19"/>
              </w:rPr>
              <w:t>Smoking lowers HDL; cessation can raise it within ~30 days</w:t>
            </w:r>
          </w:p>
          <w:p>
            <w:pPr>
              <w:spacing w:after="40" w:line="252" w:lineRule="auto"/>
            </w:pPr>
            <w:hyperlink r:id="rId10">
              <w:r>
                <w:rPr>
                  <w:rFonts w:ascii="Calibri" w:hAnsi="Calibri" w:cs="Calibri"/>
                  <w:sz w:val="18"/>
                  <w:color w:val="1155CC"/>
                  <w:u w:val="single"/>
                </w:rPr>
                <w:t xml:space="preserve">https://www.ncbi.nlm.nih.gov/books/NBK589646/</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Nil to minimal (not recommended to raise HDL)</w:t>
            </w:r>
          </w:p>
        </w:tc>
        <w:tc>
          <w:tcPr>
            <w:tcW w:type="dxa" w:w="1512"/>
            <w:vAlign w:val="top"/>
          </w:tcPr>
          <w:p>
            <w:pPr>
              <w:spacing w:after="40" w:before="0" w:line="259" w:lineRule="auto"/>
            </w:pPr>
            <w:r>
              <w:rPr>
                <w:rFonts w:ascii="Calibri" w:hAnsi="Calibri"/>
                <w:b w:val="0"/>
                <w:i w:val="0"/>
                <w:color w:val="212121"/>
                <w:sz w:val="19"/>
              </w:rPr>
              <w:t>Heavy or binge drinking</w:t>
            </w:r>
          </w:p>
        </w:tc>
        <w:tc>
          <w:tcPr>
            <w:tcW w:type="dxa" w:w="1468"/>
            <w:vAlign w:val="top"/>
          </w:tcPr>
          <w:p>
            <w:pPr>
              <w:spacing w:after="60" w:line="259" w:lineRule="auto"/>
            </w:pPr>
            <w:r>
              <w:rPr>
                <w:rFonts w:ascii="Calibri" w:hAnsi="Calibri"/>
                <w:b w:val="0"/>
                <w:i w:val="0"/>
                <w:color w:val="212121"/>
                <w:sz w:val="19"/>
              </w:rPr>
              <w:t>Moderate alcohol raises HDL but is not advised; heavy use worsens lipids</w:t>
            </w:r>
          </w:p>
          <w:p>
            <w:pPr>
              <w:spacing w:after="40" w:line="252" w:lineRule="auto"/>
            </w:pPr>
            <w:hyperlink r:id="rId13">
              <w:r>
                <w:rPr>
                  <w:rFonts w:ascii="Calibri" w:hAnsi="Calibri" w:cs="Calibri"/>
                  <w:sz w:val="18"/>
                  <w:color w:val="1155CC"/>
                  <w:u w:val="single"/>
                </w:rPr>
                <w:t xml:space="preserve">https://www.ahajournals.org/doi/10.1161/01.cir.102.19.2347</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h/night or untreated OSA</w:t>
            </w:r>
          </w:p>
        </w:tc>
        <w:tc>
          <w:tcPr>
            <w:tcW w:type="dxa" w:w="1468"/>
            <w:vAlign w:val="top"/>
          </w:tcPr>
          <w:p>
            <w:pPr>
              <w:spacing w:after="40" w:before="0" w:line="259" w:lineRule="auto"/>
            </w:pPr>
            <w:r>
              <w:rPr>
                <w:rFonts w:ascii="Calibri" w:hAnsi="Calibri"/>
                <w:b w:val="0"/>
                <w:i w:val="0"/>
                <w:color w:val="212121"/>
                <w:sz w:val="19"/>
              </w:rPr>
              <w:t>Short sleep and sleep apnoea worsen the low-HDL atherogenic pattern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HDL-cholesterol</w:t>
            </w:r>
          </w:p>
        </w:tc>
        <w:tc>
          <w:tcPr>
            <w:tcW w:type="dxa" w:w="892"/>
            <w:vAlign w:val="top"/>
          </w:tcPr>
          <w:p>
            <w:pPr>
              <w:spacing w:after="40" w:before="0" w:line="259" w:lineRule="auto"/>
            </w:pPr>
            <w:r>
              <w:rPr>
                <w:rFonts w:ascii="Calibri" w:hAnsi="Calibri"/>
                <w:b w:val="0"/>
                <w:i w:val="0"/>
                <w:color w:val="212121"/>
                <w:sz w:val="16"/>
              </w:rPr>
              <w:t>Lipid profile</w:t>
            </w:r>
          </w:p>
        </w:tc>
        <w:tc>
          <w:tcPr>
            <w:tcW w:type="dxa" w:w="950"/>
            <w:vAlign w:val="top"/>
          </w:tcPr>
          <w:p>
            <w:pPr>
              <w:spacing w:after="40" w:before="0" w:line="259" w:lineRule="auto"/>
            </w:pPr>
            <w:r>
              <w:rPr>
                <w:rFonts w:ascii="Calibri" w:hAnsi="Calibri"/>
                <w:b w:val="0"/>
                <w:i w:val="0"/>
                <w:color w:val="212121"/>
                <w:sz w:val="16"/>
              </w:rPr>
              <w:t>M &gt; 40; F &gt; 50 mg/dL (≥ 60 protective)</w:t>
            </w:r>
          </w:p>
        </w:tc>
        <w:tc>
          <w:tcPr>
            <w:tcW w:type="dxa" w:w="950"/>
            <w:vAlign w:val="top"/>
          </w:tcPr>
          <w:p>
            <w:pPr>
              <w:spacing w:after="40" w:before="0" w:line="259" w:lineRule="auto"/>
            </w:pPr>
            <w:r>
              <w:rPr>
                <w:rFonts w:ascii="Calibri" w:hAnsi="Calibri"/>
                <w:b w:val="0"/>
                <w:i w:val="0"/>
                <w:color w:val="212121"/>
                <w:sz w:val="16"/>
              </w:rPr>
              <w:t>M &lt; 40; F &lt; 50 mg/dL</w:t>
            </w:r>
          </w:p>
        </w:tc>
        <w:tc>
          <w:tcPr>
            <w:tcW w:type="dxa" w:w="1036"/>
            <w:vAlign w:val="top"/>
          </w:tcPr>
          <w:p>
            <w:pPr>
              <w:spacing w:after="40" w:before="0" w:line="259" w:lineRule="auto"/>
            </w:pPr>
            <w:r>
              <w:rPr>
                <w:rFonts w:ascii="Calibri" w:hAnsi="Calibri"/>
                <w:b w:val="0"/>
                <w:i w:val="0"/>
                <w:color w:val="212121"/>
                <w:sz w:val="16"/>
              </w:rPr>
              <w:t>Confirms and grades low HDL; the defining test</w:t>
            </w:r>
          </w:p>
        </w:tc>
        <w:tc>
          <w:tcPr>
            <w:tcW w:type="dxa" w:w="1036"/>
            <w:vAlign w:val="top"/>
          </w:tcPr>
          <w:p>
            <w:pPr>
              <w:spacing w:after="40" w:before="0" w:line="259" w:lineRule="auto"/>
            </w:pPr>
            <w:r>
              <w:rPr>
                <w:rFonts w:ascii="Calibri" w:hAnsi="Calibri"/>
                <w:b w:val="0"/>
                <w:i w:val="0"/>
                <w:color w:val="212121"/>
                <w:sz w:val="16"/>
              </w:rPr>
              <w:t>All at-risk adults, South Asians, diabetics, metabolic syndrome</w:t>
            </w:r>
          </w:p>
        </w:tc>
        <w:tc>
          <w:tcPr>
            <w:tcW w:type="dxa" w:w="720"/>
            <w:vAlign w:val="top"/>
          </w:tcPr>
          <w:p>
            <w:pPr>
              <w:spacing w:after="40" w:before="0" w:line="259" w:lineRule="auto"/>
            </w:pPr>
            <w:r>
              <w:rPr>
                <w:rFonts w:ascii="Calibri" w:hAnsi="Calibri"/>
                <w:b w:val="0"/>
                <w:i w:val="0"/>
                <w:color w:val="212121"/>
                <w:sz w:val="16"/>
              </w:rPr>
              <w:t>Physical activity; Food; Smoking</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Fasting not required for HDL; most common lipid abnormality in Indians (72.3%)</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triglycerides</w:t>
            </w:r>
          </w:p>
        </w:tc>
        <w:tc>
          <w:tcPr>
            <w:tcW w:type="dxa" w:w="892"/>
            <w:vAlign w:val="top"/>
          </w:tcPr>
          <w:p>
            <w:pPr>
              <w:spacing w:after="40" w:before="0" w:line="259" w:lineRule="auto"/>
            </w:pPr>
            <w:r>
              <w:rPr>
                <w:rFonts w:ascii="Calibri" w:hAnsi="Calibri"/>
                <w:b w:val="0"/>
                <w:i w:val="0"/>
                <w:color w:val="212121"/>
                <w:sz w:val="16"/>
              </w:rPr>
              <w:t>Fasting lipid profile</w:t>
            </w:r>
          </w:p>
        </w:tc>
        <w:tc>
          <w:tcPr>
            <w:tcW w:type="dxa" w:w="950"/>
            <w:vAlign w:val="top"/>
          </w:tcPr>
          <w:p>
            <w:pPr>
              <w:spacing w:after="40" w:before="0" w:line="259" w:lineRule="auto"/>
            </w:pPr>
            <w:r>
              <w:rPr>
                <w:rFonts w:ascii="Calibri" w:hAnsi="Calibri"/>
                <w:b w:val="0"/>
                <w:i w:val="0"/>
                <w:color w:val="212121"/>
                <w:sz w:val="16"/>
              </w:rPr>
              <w:t>&lt; 150 mg/dL</w:t>
            </w:r>
          </w:p>
        </w:tc>
        <w:tc>
          <w:tcPr>
            <w:tcW w:type="dxa" w:w="950"/>
            <w:vAlign w:val="top"/>
          </w:tcPr>
          <w:p>
            <w:pPr>
              <w:spacing w:after="40" w:before="0" w:line="259" w:lineRule="auto"/>
            </w:pPr>
            <w:r>
              <w:rPr>
                <w:rFonts w:ascii="Calibri" w:hAnsi="Calibri"/>
                <w:b w:val="0"/>
                <w:i w:val="0"/>
                <w:color w:val="212121"/>
                <w:sz w:val="16"/>
              </w:rPr>
              <w:t>≥ 150 mg/dL</w:t>
            </w:r>
          </w:p>
        </w:tc>
        <w:tc>
          <w:tcPr>
            <w:tcW w:type="dxa" w:w="1036"/>
            <w:vAlign w:val="top"/>
          </w:tcPr>
          <w:p>
            <w:pPr>
              <w:spacing w:after="40" w:before="0" w:line="259" w:lineRule="auto"/>
            </w:pPr>
            <w:r>
              <w:rPr>
                <w:rFonts w:ascii="Calibri" w:hAnsi="Calibri"/>
                <w:b w:val="0"/>
                <w:i w:val="0"/>
                <w:color w:val="212121"/>
                <w:sz w:val="16"/>
              </w:rPr>
              <w:t>High triglycerides accompany low HDL in atherogenic dyslipidemia</w:t>
            </w:r>
          </w:p>
        </w:tc>
        <w:tc>
          <w:tcPr>
            <w:tcW w:type="dxa" w:w="1036"/>
            <w:vAlign w:val="top"/>
          </w:tcPr>
          <w:p>
            <w:pPr>
              <w:spacing w:after="40" w:before="0" w:line="259" w:lineRule="auto"/>
            </w:pPr>
            <w:r>
              <w:rPr>
                <w:rFonts w:ascii="Calibri" w:hAnsi="Calibri"/>
                <w:b w:val="0"/>
                <w:i w:val="0"/>
                <w:color w:val="212121"/>
                <w:sz w:val="16"/>
              </w:rPr>
              <w:t>Insulin-resistant adults, diabetics, obese</w:t>
            </w:r>
          </w:p>
        </w:tc>
        <w:tc>
          <w:tcPr>
            <w:tcW w:type="dxa" w:w="720"/>
            <w:vAlign w:val="top"/>
          </w:tcPr>
          <w:p>
            <w:pPr>
              <w:spacing w:after="40" w:before="0" w:line="259" w:lineRule="auto"/>
            </w:pPr>
            <w:r>
              <w:rPr>
                <w:rFonts w:ascii="Calibri" w:hAnsi="Calibri"/>
                <w:b w:val="0"/>
                <w:i w:val="0"/>
                <w:color w:val="212121"/>
                <w:sz w:val="16"/>
              </w:rPr>
              <w:t>Food; Alcohol; 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TG and HDL are reciprocally related via CETP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LDL / Non-HDL cholesterol</w:t>
            </w:r>
          </w:p>
        </w:tc>
        <w:tc>
          <w:tcPr>
            <w:tcW w:type="dxa" w:w="892"/>
            <w:vAlign w:val="top"/>
          </w:tcPr>
          <w:p>
            <w:pPr>
              <w:spacing w:after="40" w:before="0" w:line="259" w:lineRule="auto"/>
            </w:pPr>
            <w:r>
              <w:rPr>
                <w:rFonts w:ascii="Calibri" w:hAnsi="Calibri"/>
                <w:b w:val="0"/>
                <w:i w:val="0"/>
                <w:color w:val="212121"/>
                <w:sz w:val="16"/>
              </w:rPr>
              <w:t>Fasting lipid profile</w:t>
            </w:r>
          </w:p>
        </w:tc>
        <w:tc>
          <w:tcPr>
            <w:tcW w:type="dxa" w:w="950"/>
            <w:vAlign w:val="top"/>
          </w:tcPr>
          <w:p>
            <w:pPr>
              <w:spacing w:after="40" w:before="0" w:line="259" w:lineRule="auto"/>
            </w:pPr>
            <w:r>
              <w:rPr>
                <w:rFonts w:ascii="Calibri" w:hAnsi="Calibri"/>
                <w:b w:val="0"/>
                <w:i w:val="0"/>
                <w:color w:val="212121"/>
                <w:sz w:val="16"/>
              </w:rPr>
              <w:t>LDL &lt; 100; Non-HDL &lt; 130 mg/dL</w:t>
            </w:r>
          </w:p>
        </w:tc>
        <w:tc>
          <w:tcPr>
            <w:tcW w:type="dxa" w:w="950"/>
            <w:vAlign w:val="top"/>
          </w:tcPr>
          <w:p>
            <w:pPr>
              <w:spacing w:after="40" w:before="0" w:line="259" w:lineRule="auto"/>
            </w:pPr>
            <w:r>
              <w:rPr>
                <w:rFonts w:ascii="Calibri" w:hAnsi="Calibri"/>
                <w:b w:val="0"/>
                <w:i w:val="0"/>
                <w:color w:val="212121"/>
                <w:sz w:val="16"/>
              </w:rPr>
              <w:t>LDL ≥ 130; Non-HDL ≥ 160 mg/dL</w:t>
            </w:r>
          </w:p>
        </w:tc>
        <w:tc>
          <w:tcPr>
            <w:tcW w:type="dxa" w:w="1036"/>
            <w:vAlign w:val="top"/>
          </w:tcPr>
          <w:p>
            <w:pPr>
              <w:spacing w:after="40" w:before="0" w:line="259" w:lineRule="auto"/>
            </w:pPr>
            <w:r>
              <w:rPr>
                <w:rFonts w:ascii="Calibri" w:hAnsi="Calibri"/>
                <w:b w:val="0"/>
                <w:i w:val="0"/>
                <w:color w:val="212121"/>
                <w:sz w:val="16"/>
              </w:rPr>
              <w:t>Non-HDL captures all atherogenic lipoproteins and is the better treatment target when HDL is low and TG high</w:t>
            </w:r>
          </w:p>
        </w:tc>
        <w:tc>
          <w:tcPr>
            <w:tcW w:type="dxa" w:w="1036"/>
            <w:vAlign w:val="top"/>
          </w:tcPr>
          <w:p>
            <w:pPr>
              <w:spacing w:after="40" w:before="0" w:line="259" w:lineRule="auto"/>
            </w:pPr>
            <w:r>
              <w:rPr>
                <w:rFonts w:ascii="Calibri" w:hAnsi="Calibri"/>
                <w:b w:val="0"/>
                <w:i w:val="0"/>
                <w:color w:val="212121"/>
                <w:sz w:val="16"/>
              </w:rPr>
              <w:t>Mixed dyslipidemia, high CV-risk adults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Management targets non-HDL/LDL, not HDL itself</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Total cholesterol &amp; TC/HDL ratio</w:t>
            </w:r>
          </w:p>
        </w:tc>
        <w:tc>
          <w:tcPr>
            <w:tcW w:type="dxa" w:w="892"/>
            <w:vAlign w:val="top"/>
          </w:tcPr>
          <w:p>
            <w:pPr>
              <w:spacing w:after="40" w:before="0" w:line="259" w:lineRule="auto"/>
            </w:pPr>
            <w:r>
              <w:rPr>
                <w:rFonts w:ascii="Calibri" w:hAnsi="Calibri"/>
                <w:b w:val="0"/>
                <w:i w:val="0"/>
                <w:color w:val="212121"/>
                <w:sz w:val="16"/>
              </w:rPr>
              <w:t>Lipid profile</w:t>
            </w:r>
          </w:p>
        </w:tc>
        <w:tc>
          <w:tcPr>
            <w:tcW w:type="dxa" w:w="950"/>
            <w:vAlign w:val="top"/>
          </w:tcPr>
          <w:p>
            <w:pPr>
              <w:spacing w:after="40" w:before="0" w:line="259" w:lineRule="auto"/>
            </w:pPr>
            <w:r>
              <w:rPr>
                <w:rFonts w:ascii="Calibri" w:hAnsi="Calibri"/>
                <w:b w:val="0"/>
                <w:i w:val="0"/>
                <w:color w:val="212121"/>
                <w:sz w:val="16"/>
              </w:rPr>
              <w:t>TC &lt; 200 mg/dL; TC/HDL &lt; 4</w:t>
            </w:r>
          </w:p>
        </w:tc>
        <w:tc>
          <w:tcPr>
            <w:tcW w:type="dxa" w:w="950"/>
            <w:vAlign w:val="top"/>
          </w:tcPr>
          <w:p>
            <w:pPr>
              <w:spacing w:after="40" w:before="0" w:line="259" w:lineRule="auto"/>
            </w:pPr>
            <w:r>
              <w:rPr>
                <w:rFonts w:ascii="Calibri" w:hAnsi="Calibri"/>
                <w:b w:val="0"/>
                <w:i w:val="0"/>
                <w:color w:val="212121"/>
                <w:sz w:val="16"/>
              </w:rPr>
              <w:t>TC ≥ 200; TC/HDL ≥ 5</w:t>
            </w:r>
          </w:p>
        </w:tc>
        <w:tc>
          <w:tcPr>
            <w:tcW w:type="dxa" w:w="1036"/>
            <w:vAlign w:val="top"/>
          </w:tcPr>
          <w:p>
            <w:pPr>
              <w:spacing w:after="40" w:before="0" w:line="259" w:lineRule="auto"/>
            </w:pPr>
            <w:r>
              <w:rPr>
                <w:rFonts w:ascii="Calibri" w:hAnsi="Calibri"/>
                <w:b w:val="0"/>
                <w:i w:val="0"/>
                <w:color w:val="212121"/>
                <w:sz w:val="16"/>
              </w:rPr>
              <w:t>Ratio rises as HDL falls and refines cardiovascular risk</w:t>
            </w:r>
          </w:p>
        </w:tc>
        <w:tc>
          <w:tcPr>
            <w:tcW w:type="dxa" w:w="1036"/>
            <w:vAlign w:val="top"/>
          </w:tcPr>
          <w:p>
            <w:pPr>
              <w:spacing w:after="40" w:before="0" w:line="259" w:lineRule="auto"/>
            </w:pPr>
            <w:r>
              <w:rPr>
                <w:rFonts w:ascii="Calibri" w:hAnsi="Calibri"/>
                <w:b w:val="0"/>
                <w:i w:val="0"/>
                <w:color w:val="212121"/>
                <w:sz w:val="16"/>
              </w:rPr>
              <w:t>General screening, family history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Interpret with triglycerides and HDL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Glycaemic panel</w:t>
            </w:r>
          </w:p>
        </w:tc>
        <w:tc>
          <w:tcPr>
            <w:tcW w:type="dxa" w:w="950"/>
            <w:vAlign w:val="top"/>
          </w:tcPr>
          <w:p>
            <w:pPr>
              <w:spacing w:after="40" w:before="0" w:line="259" w:lineRule="auto"/>
            </w:pPr>
            <w:r>
              <w:rPr>
                <w:rFonts w:ascii="Calibri" w:hAnsi="Calibri"/>
                <w:b w:val="0"/>
                <w:i w:val="0"/>
                <w:color w:val="212121"/>
                <w:sz w:val="16"/>
              </w:rPr>
              <w:t>FPG &lt; 100 mg/dL; HbA1c &lt; 5.7%</w:t>
            </w:r>
          </w:p>
        </w:tc>
        <w:tc>
          <w:tcPr>
            <w:tcW w:type="dxa" w:w="950"/>
            <w:vAlign w:val="top"/>
          </w:tcPr>
          <w:p>
            <w:pPr>
              <w:spacing w:after="40" w:before="0" w:line="259" w:lineRule="auto"/>
            </w:pPr>
            <w:r>
              <w:rPr>
                <w:rFonts w:ascii="Calibri" w:hAnsi="Calibri"/>
                <w:b w:val="0"/>
                <w:i w:val="0"/>
                <w:color w:val="212121"/>
                <w:sz w:val="16"/>
              </w:rPr>
              <w:t>FPG ≥ 126; HbA1c ≥ 6.5%</w:t>
            </w:r>
          </w:p>
        </w:tc>
        <w:tc>
          <w:tcPr>
            <w:tcW w:type="dxa" w:w="1036"/>
            <w:vAlign w:val="top"/>
          </w:tcPr>
          <w:p>
            <w:pPr>
              <w:spacing w:after="40" w:before="0" w:line="259" w:lineRule="auto"/>
            </w:pPr>
            <w:r>
              <w:rPr>
                <w:rFonts w:ascii="Calibri" w:hAnsi="Calibri"/>
                <w:b w:val="0"/>
                <w:i w:val="0"/>
                <w:color w:val="212121"/>
                <w:sz w:val="16"/>
              </w:rPr>
              <w:t>Identifies diabetes/insulin resistance as a driver of low HDL</w:t>
            </w:r>
          </w:p>
        </w:tc>
        <w:tc>
          <w:tcPr>
            <w:tcW w:type="dxa" w:w="1036"/>
            <w:vAlign w:val="top"/>
          </w:tcPr>
          <w:p>
            <w:pPr>
              <w:spacing w:after="40" w:before="0" w:line="259" w:lineRule="auto"/>
            </w:pPr>
            <w:r>
              <w:rPr>
                <w:rFonts w:ascii="Calibri" w:hAnsi="Calibri"/>
                <w:b w:val="0"/>
                <w:i w:val="0"/>
                <w:color w:val="212121"/>
                <w:sz w:val="16"/>
              </w:rPr>
              <w:t>Diabetics, obese, metabolic syndrome</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Improving glucose control and weight raises HDL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Apolipoprotein A-I</w:t>
            </w:r>
          </w:p>
        </w:tc>
        <w:tc>
          <w:tcPr>
            <w:tcW w:type="dxa" w:w="892"/>
            <w:vAlign w:val="top"/>
          </w:tcPr>
          <w:p>
            <w:pPr>
              <w:spacing w:after="40" w:before="0" w:line="259" w:lineRule="auto"/>
            </w:pPr>
            <w:r>
              <w:rPr>
                <w:rFonts w:ascii="Calibri" w:hAnsi="Calibri"/>
                <w:b w:val="0"/>
                <w:i w:val="0"/>
                <w:color w:val="212121"/>
                <w:sz w:val="16"/>
              </w:rPr>
              <w:t>Genetic-cause workup</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Very low / undetectable</w:t>
            </w:r>
          </w:p>
        </w:tc>
        <w:tc>
          <w:tcPr>
            <w:tcW w:type="dxa" w:w="1036"/>
            <w:vAlign w:val="top"/>
          </w:tcPr>
          <w:p>
            <w:pPr>
              <w:spacing w:after="40" w:before="0" w:line="259" w:lineRule="auto"/>
            </w:pPr>
            <w:r>
              <w:rPr>
                <w:rFonts w:ascii="Calibri" w:hAnsi="Calibri"/>
                <w:b w:val="0"/>
                <w:i w:val="0"/>
                <w:color w:val="212121"/>
                <w:sz w:val="16"/>
              </w:rPr>
              <w:t>Very low apoA-I with very low HDL suggests apoA-I, ABCA1 (Tangier) or LCAT defects</w:t>
            </w:r>
          </w:p>
        </w:tc>
        <w:tc>
          <w:tcPr>
            <w:tcW w:type="dxa" w:w="1036"/>
            <w:vAlign w:val="top"/>
          </w:tcPr>
          <w:p>
            <w:pPr>
              <w:spacing w:after="40" w:before="0" w:line="259" w:lineRule="auto"/>
            </w:pPr>
            <w:r>
              <w:rPr>
                <w:rFonts w:ascii="Calibri" w:hAnsi="Calibri"/>
                <w:b w:val="0"/>
                <w:i w:val="0"/>
                <w:color w:val="212121"/>
                <w:sz w:val="16"/>
              </w:rPr>
              <w:t>Very low HDL (&lt; 20 mg/dL), young patients, familial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Refer for genetic evaluation in suspected monogenic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TSH, renal &amp; liver function, hs-CRP</w:t>
            </w:r>
          </w:p>
        </w:tc>
        <w:tc>
          <w:tcPr>
            <w:tcW w:type="dxa" w:w="892"/>
            <w:vAlign w:val="top"/>
          </w:tcPr>
          <w:p>
            <w:pPr>
              <w:spacing w:after="40" w:before="0" w:line="259" w:lineRule="auto"/>
            </w:pPr>
            <w:r>
              <w:rPr>
                <w:rFonts w:ascii="Calibri" w:hAnsi="Calibri"/>
                <w:b w:val="0"/>
                <w:i w:val="0"/>
                <w:color w:val="212121"/>
                <w:sz w:val="16"/>
              </w:rPr>
              <w:t>Secondary-cause screen</w:t>
            </w:r>
          </w:p>
        </w:tc>
        <w:tc>
          <w:tcPr>
            <w:tcW w:type="dxa" w:w="950"/>
            <w:vAlign w:val="top"/>
          </w:tcPr>
          <w:p>
            <w:pPr>
              <w:spacing w:after="40" w:before="0" w:line="259" w:lineRule="auto"/>
            </w:pPr>
            <w:r>
              <w:rPr>
                <w:rFonts w:ascii="Calibri" w:hAnsi="Calibri"/>
                <w:b w:val="0"/>
                <w:i w:val="0"/>
                <w:color w:val="212121"/>
                <w:sz w:val="16"/>
              </w:rPr>
              <w:t>All within reference range</w:t>
            </w:r>
          </w:p>
        </w:tc>
        <w:tc>
          <w:tcPr>
            <w:tcW w:type="dxa" w:w="950"/>
            <w:vAlign w:val="top"/>
          </w:tcPr>
          <w:p>
            <w:pPr>
              <w:spacing w:after="40" w:before="0" w:line="259" w:lineRule="auto"/>
            </w:pPr>
            <w:r>
              <w:rPr>
                <w:rFonts w:ascii="Calibri" w:hAnsi="Calibri"/>
                <w:b w:val="0"/>
                <w:i w:val="0"/>
                <w:color w:val="212121"/>
                <w:sz w:val="16"/>
              </w:rPr>
              <w:t>Abnormal thyroid/renal/hepatic tests; raised hs-CRP</w:t>
            </w:r>
          </w:p>
        </w:tc>
        <w:tc>
          <w:tcPr>
            <w:tcW w:type="dxa" w:w="1036"/>
            <w:vAlign w:val="top"/>
          </w:tcPr>
          <w:p>
            <w:pPr>
              <w:spacing w:after="40" w:before="0" w:line="259" w:lineRule="auto"/>
            </w:pPr>
            <w:r>
              <w:rPr>
                <w:rFonts w:ascii="Calibri" w:hAnsi="Calibri"/>
                <w:b w:val="0"/>
                <w:i w:val="0"/>
                <w:color w:val="212121"/>
                <w:sz w:val="16"/>
              </w:rPr>
              <w:t>Detects secondary and inflammatory causes of low HDL</w:t>
            </w:r>
          </w:p>
        </w:tc>
        <w:tc>
          <w:tcPr>
            <w:tcW w:type="dxa" w:w="1036"/>
            <w:vAlign w:val="top"/>
          </w:tcPr>
          <w:p>
            <w:pPr>
              <w:spacing w:after="40" w:before="0" w:line="259" w:lineRule="auto"/>
            </w:pPr>
            <w:r>
              <w:rPr>
                <w:rFonts w:ascii="Calibri" w:hAnsi="Calibri"/>
                <w:b w:val="0"/>
                <w:i w:val="0"/>
                <w:color w:val="212121"/>
                <w:sz w:val="16"/>
              </w:rPr>
              <w:t>New/unexplained low HDL, chronic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Inflammation lowers HDL and makes it dysfunctional</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history</w:t>
            </w:r>
          </w:p>
        </w:tc>
        <w:tc>
          <w:tcPr>
            <w:tcW w:type="dxa" w:w="979"/>
            <w:vAlign w:val="top"/>
          </w:tcPr>
          <w:p>
            <w:pPr>
              <w:spacing w:after="40" w:before="0" w:line="259" w:lineRule="auto"/>
            </w:pPr>
            <w:r>
              <w:rPr>
                <w:rFonts w:ascii="Calibri" w:hAnsi="Calibri"/>
                <w:b w:val="0"/>
                <w:i w:val="0"/>
                <w:color w:val="212121"/>
                <w:sz w:val="16"/>
              </w:rPr>
              <w:t>Refined-carbohydrate, low-fat, trans-fat &amp; fried-food intake</w:t>
            </w:r>
          </w:p>
        </w:tc>
        <w:tc>
          <w:tcPr>
            <w:tcW w:type="dxa" w:w="950"/>
            <w:vAlign w:val="top"/>
          </w:tcPr>
          <w:p>
            <w:pPr>
              <w:spacing w:after="40" w:before="0" w:line="259" w:lineRule="auto"/>
            </w:pPr>
            <w:r>
              <w:rPr>
                <w:rFonts w:ascii="Calibri" w:hAnsi="Calibri"/>
                <w:b w:val="0"/>
                <w:i w:val="0"/>
                <w:color w:val="212121"/>
                <w:sz w:val="16"/>
              </w:rPr>
              <w:t>Balanced diet with healthy fats and fibre</w:t>
            </w:r>
          </w:p>
        </w:tc>
        <w:tc>
          <w:tcPr>
            <w:tcW w:type="dxa" w:w="950"/>
            <w:vAlign w:val="top"/>
          </w:tcPr>
          <w:p>
            <w:pPr>
              <w:spacing w:after="40" w:before="0" w:line="259" w:lineRule="auto"/>
            </w:pPr>
            <w:r>
              <w:rPr>
                <w:rFonts w:ascii="Calibri" w:hAnsi="Calibri"/>
                <w:b w:val="0"/>
                <w:i w:val="0"/>
                <w:color w:val="212121"/>
                <w:sz w:val="16"/>
              </w:rPr>
              <w:t>High refined-carb/low-fat pattern, trans fats, fried foods</w:t>
            </w:r>
          </w:p>
        </w:tc>
        <w:tc>
          <w:tcPr>
            <w:tcW w:type="dxa" w:w="1036"/>
            <w:vAlign w:val="top"/>
          </w:tcPr>
          <w:p>
            <w:pPr>
              <w:spacing w:after="40" w:before="0" w:line="259" w:lineRule="auto"/>
            </w:pPr>
            <w:r>
              <w:rPr>
                <w:rFonts w:ascii="Calibri" w:hAnsi="Calibri"/>
                <w:b w:val="0"/>
                <w:i w:val="0"/>
                <w:color w:val="212121"/>
                <w:sz w:val="16"/>
              </w:rPr>
              <w:t>Identifies diet-driven low HDL (incl. the vegetarian paradox)</w:t>
            </w:r>
          </w:p>
        </w:tc>
        <w:tc>
          <w:tcPr>
            <w:tcW w:type="dxa" w:w="1036"/>
            <w:vAlign w:val="top"/>
          </w:tcPr>
          <w:p>
            <w:pPr>
              <w:spacing w:after="40" w:before="0" w:line="259" w:lineRule="auto"/>
            </w:pPr>
            <w:r>
              <w:rPr>
                <w:rFonts w:ascii="Calibri" w:hAnsi="Calibri"/>
                <w:b w:val="0"/>
                <w:i w:val="0"/>
                <w:color w:val="212121"/>
                <w:sz w:val="16"/>
              </w:rPr>
              <w:t>High-carb vegetarians, urban adults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Central to Indian diets even with low total fat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Physical-activity history</w:t>
            </w:r>
          </w:p>
        </w:tc>
        <w:tc>
          <w:tcPr>
            <w:tcW w:type="dxa" w:w="979"/>
            <w:vAlign w:val="top"/>
          </w:tcPr>
          <w:p>
            <w:pPr>
              <w:spacing w:after="40" w:before="0" w:line="259" w:lineRule="auto"/>
            </w:pPr>
            <w:r>
              <w:rPr>
                <w:rFonts w:ascii="Calibri" w:hAnsi="Calibri"/>
                <w:b w:val="0"/>
                <w:i w:val="0"/>
                <w:color w:val="212121"/>
                <w:sz w:val="16"/>
              </w:rPr>
              <w:t>Weekly moderate-vigorous activity, sitting time</w:t>
            </w:r>
          </w:p>
        </w:tc>
        <w:tc>
          <w:tcPr>
            <w:tcW w:type="dxa" w:w="950"/>
            <w:vAlign w:val="top"/>
          </w:tcPr>
          <w:p>
            <w:pPr>
              <w:spacing w:after="40" w:before="0" w:line="259" w:lineRule="auto"/>
            </w:pPr>
            <w:r>
              <w:rPr>
                <w:rFonts w:ascii="Calibri" w:hAnsi="Calibri"/>
                <w:b w:val="0"/>
                <w:i w:val="0"/>
                <w:color w:val="212121"/>
                <w:sz w:val="16"/>
              </w:rPr>
              <w:t>≥ 150 min/week, active</w:t>
            </w:r>
          </w:p>
        </w:tc>
        <w:tc>
          <w:tcPr>
            <w:tcW w:type="dxa" w:w="950"/>
            <w:vAlign w:val="top"/>
          </w:tcPr>
          <w:p>
            <w:pPr>
              <w:spacing w:after="40" w:before="0" w:line="259" w:lineRule="auto"/>
            </w:pPr>
            <w:r>
              <w:rPr>
                <w:rFonts w:ascii="Calibri" w:hAnsi="Calibri"/>
                <w:b w:val="0"/>
                <w:i w:val="0"/>
                <w:color w:val="212121"/>
                <w:sz w:val="16"/>
              </w:rPr>
              <w:t>Sedentary, &lt; 150 min/week</w:t>
            </w:r>
          </w:p>
        </w:tc>
        <w:tc>
          <w:tcPr>
            <w:tcW w:type="dxa" w:w="1036"/>
            <w:vAlign w:val="top"/>
          </w:tcPr>
          <w:p>
            <w:pPr>
              <w:spacing w:after="40" w:before="0" w:line="259" w:lineRule="auto"/>
            </w:pPr>
            <w:r>
              <w:rPr>
                <w:rFonts w:ascii="Calibri" w:hAnsi="Calibri"/>
                <w:b w:val="0"/>
                <w:i w:val="0"/>
                <w:color w:val="212121"/>
                <w:sz w:val="16"/>
              </w:rPr>
              <w:t>Inactivity is a key modifiable cause of low HDL</w:t>
            </w:r>
          </w:p>
        </w:tc>
        <w:tc>
          <w:tcPr>
            <w:tcW w:type="dxa" w:w="1036"/>
            <w:vAlign w:val="top"/>
          </w:tcPr>
          <w:p>
            <w:pPr>
              <w:spacing w:after="40" w:before="0" w:line="259" w:lineRule="auto"/>
            </w:pPr>
            <w:r>
              <w:rPr>
                <w:rFonts w:ascii="Calibri" w:hAnsi="Calibri"/>
                <w:b w:val="0"/>
                <w:i w:val="0"/>
                <w:color w:val="212121"/>
                <w:sz w:val="16"/>
              </w:rPr>
              <w:t>Desk/IT workers, homemakers, elderly</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Exercise is one of the few effective HDL-raising measures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Smoking &amp; alcohol history</w:t>
            </w:r>
          </w:p>
        </w:tc>
        <w:tc>
          <w:tcPr>
            <w:tcW w:type="dxa" w:w="979"/>
            <w:vAlign w:val="top"/>
          </w:tcPr>
          <w:p>
            <w:pPr>
              <w:spacing w:after="40" w:before="0" w:line="259" w:lineRule="auto"/>
            </w:pPr>
            <w:r>
              <w:rPr>
                <w:rFonts w:ascii="Calibri" w:hAnsi="Calibri"/>
                <w:b w:val="0"/>
                <w:i w:val="0"/>
                <w:color w:val="212121"/>
                <w:sz w:val="16"/>
              </w:rPr>
              <w:t>Tobacco use (active/passive), alcohol pattern</w:t>
            </w:r>
          </w:p>
        </w:tc>
        <w:tc>
          <w:tcPr>
            <w:tcW w:type="dxa" w:w="950"/>
            <w:vAlign w:val="top"/>
          </w:tcPr>
          <w:p>
            <w:pPr>
              <w:spacing w:after="40" w:before="0" w:line="259" w:lineRule="auto"/>
            </w:pPr>
            <w:r>
              <w:rPr>
                <w:rFonts w:ascii="Calibri" w:hAnsi="Calibri"/>
                <w:b w:val="0"/>
                <w:i w:val="0"/>
                <w:color w:val="212121"/>
                <w:sz w:val="16"/>
              </w:rPr>
              <w:t>Non-smoker; nil/minimal alcohol</w:t>
            </w:r>
          </w:p>
        </w:tc>
        <w:tc>
          <w:tcPr>
            <w:tcW w:type="dxa" w:w="950"/>
            <w:vAlign w:val="top"/>
          </w:tcPr>
          <w:p>
            <w:pPr>
              <w:spacing w:after="40" w:before="0" w:line="259" w:lineRule="auto"/>
            </w:pPr>
            <w:r>
              <w:rPr>
                <w:rFonts w:ascii="Calibri" w:hAnsi="Calibri"/>
                <w:b w:val="0"/>
                <w:i w:val="0"/>
                <w:color w:val="212121"/>
                <w:sz w:val="16"/>
              </w:rPr>
              <w:t>Current smoker; heavy/binge alcohol</w:t>
            </w:r>
          </w:p>
        </w:tc>
        <w:tc>
          <w:tcPr>
            <w:tcW w:type="dxa" w:w="1036"/>
            <w:vAlign w:val="top"/>
          </w:tcPr>
          <w:p>
            <w:pPr>
              <w:spacing w:after="40" w:before="0" w:line="259" w:lineRule="auto"/>
            </w:pPr>
            <w:r>
              <w:rPr>
                <w:rFonts w:ascii="Calibri" w:hAnsi="Calibri"/>
                <w:b w:val="0"/>
                <w:i w:val="0"/>
                <w:color w:val="212121"/>
                <w:sz w:val="16"/>
              </w:rPr>
              <w:t>Smoking lowers HDL; heavy alcohol worsens the lipid profile</w:t>
            </w:r>
          </w:p>
        </w:tc>
        <w:tc>
          <w:tcPr>
            <w:tcW w:type="dxa" w:w="1036"/>
            <w:vAlign w:val="top"/>
          </w:tcPr>
          <w:p>
            <w:pPr>
              <w:spacing w:after="40" w:before="0" w:line="259" w:lineRule="auto"/>
            </w:pPr>
            <w:r>
              <w:rPr>
                <w:rFonts w:ascii="Calibri" w:hAnsi="Calibri"/>
                <w:b w:val="0"/>
                <w:i w:val="0"/>
                <w:color w:val="212121"/>
                <w:sz w:val="16"/>
              </w:rPr>
              <w:t>Smokers, heavy drinkers</w:t>
            </w:r>
          </w:p>
        </w:tc>
        <w:tc>
          <w:tcPr>
            <w:tcW w:type="dxa" w:w="720"/>
            <w:vAlign w:val="top"/>
          </w:tcPr>
          <w:p>
            <w:pPr>
              <w:spacing w:after="40" w:before="0" w:line="259" w:lineRule="auto"/>
            </w:pPr>
            <w:r>
              <w:rPr>
                <w:rFonts w:ascii="Calibri" w:hAnsi="Calibri"/>
                <w:b w:val="0"/>
                <w:i w:val="0"/>
                <w:color w:val="212121"/>
                <w:sz w:val="16"/>
              </w:rPr>
              <w:t>Smoking; Alcohol</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Cessation can raise HDL within weeks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drug history</w:t>
            </w:r>
          </w:p>
        </w:tc>
        <w:tc>
          <w:tcPr>
            <w:tcW w:type="dxa" w:w="979"/>
            <w:vAlign w:val="top"/>
          </w:tcPr>
          <w:p>
            <w:pPr>
              <w:spacing w:after="40" w:before="0" w:line="259" w:lineRule="auto"/>
            </w:pPr>
            <w:r>
              <w:rPr>
                <w:rFonts w:ascii="Calibri" w:hAnsi="Calibri"/>
                <w:b w:val="0"/>
                <w:i w:val="0"/>
                <w:color w:val="212121"/>
                <w:sz w:val="16"/>
              </w:rPr>
              <w:t>Premature CAD/stroke, familial low HDL; anabolic steroids, progestins, beta-blockers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Positive family history or offending drug present</w:t>
            </w:r>
          </w:p>
        </w:tc>
        <w:tc>
          <w:tcPr>
            <w:tcW w:type="dxa" w:w="1036"/>
            <w:vAlign w:val="top"/>
          </w:tcPr>
          <w:p>
            <w:pPr>
              <w:spacing w:after="40" w:before="0" w:line="259" w:lineRule="auto"/>
            </w:pPr>
            <w:r>
              <w:rPr>
                <w:rFonts w:ascii="Calibri" w:hAnsi="Calibri"/>
                <w:b w:val="0"/>
                <w:i w:val="0"/>
                <w:color w:val="212121"/>
                <w:sz w:val="16"/>
              </w:rPr>
              <w:t>Suggests genetic hypoalphalipoproteinemia or a reversible drug cause</w:t>
            </w:r>
          </w:p>
        </w:tc>
        <w:tc>
          <w:tcPr>
            <w:tcW w:type="dxa" w:w="1036"/>
            <w:vAlign w:val="top"/>
          </w:tcPr>
          <w:p>
            <w:pPr>
              <w:spacing w:after="40" w:before="0" w:line="259" w:lineRule="auto"/>
            </w:pPr>
            <w:r>
              <w:rPr>
                <w:rFonts w:ascii="Calibri" w:hAnsi="Calibri"/>
                <w:b w:val="0"/>
                <w:i w:val="0"/>
                <w:color w:val="212121"/>
                <w:sz w:val="16"/>
              </w:rPr>
              <w:t>Young patients, very low HDL, polypharmacy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Ask about consanguinity for recessive disorders (Tangier, LCAT)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Anthropometry</w:t>
            </w:r>
          </w:p>
        </w:tc>
        <w:tc>
          <w:tcPr>
            <w:tcW w:type="dxa" w:w="979"/>
            <w:vAlign w:val="top"/>
          </w:tcPr>
          <w:p>
            <w:pPr>
              <w:spacing w:after="40" w:before="0" w:line="259" w:lineRule="auto"/>
            </w:pPr>
            <w:r>
              <w:rPr>
                <w:rFonts w:ascii="Calibri" w:hAnsi="Calibri"/>
                <w:b w:val="0"/>
                <w:i w:val="0"/>
                <w:color w:val="212121"/>
                <w:sz w:val="16"/>
              </w:rPr>
              <w:t>BMI, waist circumference, blood pressure</w:t>
            </w:r>
          </w:p>
        </w:tc>
        <w:tc>
          <w:tcPr>
            <w:tcW w:type="dxa" w:w="950"/>
            <w:vAlign w:val="top"/>
          </w:tcPr>
          <w:p>
            <w:pPr>
              <w:spacing w:after="40" w:before="0" w:line="259" w:lineRule="auto"/>
            </w:pPr>
            <w:r>
              <w:rPr>
                <w:rFonts w:ascii="Calibri" w:hAnsi="Calibri"/>
                <w:b w:val="0"/>
                <w:i w:val="0"/>
                <w:color w:val="212121"/>
                <w:sz w:val="16"/>
              </w:rPr>
              <w:t>BMI &lt; 23; waist M &lt; 90/F &lt; 80 cm; BP &lt; 130/85</w:t>
            </w:r>
          </w:p>
        </w:tc>
        <w:tc>
          <w:tcPr>
            <w:tcW w:type="dxa" w:w="950"/>
            <w:vAlign w:val="top"/>
          </w:tcPr>
          <w:p>
            <w:pPr>
              <w:spacing w:after="40" w:before="0" w:line="259" w:lineRule="auto"/>
            </w:pPr>
            <w:r>
              <w:rPr>
                <w:rFonts w:ascii="Calibri" w:hAnsi="Calibri"/>
                <w:b w:val="0"/>
                <w:i w:val="0"/>
                <w:color w:val="212121"/>
                <w:sz w:val="16"/>
              </w:rPr>
              <w:t>BMI ≥ 23; raised waist; BP ≥ 130/85</w:t>
            </w:r>
          </w:p>
        </w:tc>
        <w:tc>
          <w:tcPr>
            <w:tcW w:type="dxa" w:w="1036"/>
            <w:vAlign w:val="top"/>
          </w:tcPr>
          <w:p>
            <w:pPr>
              <w:spacing w:after="40" w:before="0" w:line="259" w:lineRule="auto"/>
            </w:pPr>
            <w:r>
              <w:rPr>
                <w:rFonts w:ascii="Calibri" w:hAnsi="Calibri"/>
                <w:b w:val="0"/>
                <w:i w:val="0"/>
                <w:color w:val="212121"/>
                <w:sz w:val="16"/>
              </w:rPr>
              <w:t>Detects central obesity and metabolic syndrome underlying low HDL</w:t>
            </w:r>
          </w:p>
        </w:tc>
        <w:tc>
          <w:tcPr>
            <w:tcW w:type="dxa" w:w="1036"/>
            <w:vAlign w:val="top"/>
          </w:tcPr>
          <w:p>
            <w:pPr>
              <w:spacing w:after="40" w:before="0" w:line="259" w:lineRule="auto"/>
            </w:pPr>
            <w:r>
              <w:rPr>
                <w:rFonts w:ascii="Calibri" w:hAnsi="Calibri"/>
                <w:b w:val="0"/>
                <w:i w:val="0"/>
                <w:color w:val="212121"/>
                <w:sz w:val="16"/>
              </w:rPr>
              <w:t>Overweight/obese, metabolic syndrome</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Use Asian-specific cut-offs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Signs of genetic HDL disorders &amp; atherosclerosis</w:t>
            </w:r>
          </w:p>
        </w:tc>
        <w:tc>
          <w:tcPr>
            <w:tcW w:type="dxa" w:w="979"/>
            <w:vAlign w:val="top"/>
          </w:tcPr>
          <w:p>
            <w:pPr>
              <w:spacing w:after="40" w:before="0" w:line="259" w:lineRule="auto"/>
            </w:pPr>
            <w:r>
              <w:rPr>
                <w:rFonts w:ascii="Calibri" w:hAnsi="Calibri"/>
                <w:b w:val="0"/>
                <w:i w:val="0"/>
                <w:color w:val="212121"/>
                <w:sz w:val="16"/>
              </w:rPr>
              <w:t>Enlarged orange tonsils, corneal opacity, hepatosplenomegaly, neuropathy; arcus, bruits, peripheral pulses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Point to Tangier/LCAT disease or established premature atherosclerosis</w:t>
            </w:r>
          </w:p>
        </w:tc>
        <w:tc>
          <w:tcPr>
            <w:tcW w:type="dxa" w:w="1036"/>
            <w:vAlign w:val="top"/>
          </w:tcPr>
          <w:p>
            <w:pPr>
              <w:spacing w:after="40" w:before="0" w:line="259" w:lineRule="auto"/>
            </w:pPr>
            <w:r>
              <w:rPr>
                <w:rFonts w:ascii="Calibri" w:hAnsi="Calibri"/>
                <w:b w:val="0"/>
                <w:i w:val="0"/>
                <w:color w:val="212121"/>
                <w:sz w:val="16"/>
              </w:rPr>
              <w:t>Very low HDL, familial cases, high CV risk</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Orange tonsils and neuropathy are classic for Tangier disease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Usually asymptomatic</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Low HDL itself causes no symptoms; it is found on a routine lipid profile and matters through its cardiovascular risk.</w:t>
            </w:r>
          </w:p>
        </w:tc>
      </w:tr>
      <w:tr>
        <w:trPr>
          <w:cantSplit/>
        </w:trPr>
        <w:tc>
          <w:tcPr>
            <w:tcW w:type="dxa" w:w="2304"/>
            <w:vAlign w:val="top"/>
          </w:tcPr>
          <w:p>
            <w:pPr>
              <w:spacing w:after="40" w:before="0" w:line="259" w:lineRule="auto"/>
            </w:pPr>
            <w:r>
              <w:rPr>
                <w:rFonts w:ascii="Calibri" w:hAnsi="Calibri"/>
                <w:b/>
                <w:i w:val="0"/>
                <w:color w:val="212121"/>
                <w:sz w:val="19"/>
              </w:rPr>
              <w:t>Features of associated metabolic syndrome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Fatigue, weight gain and central obesity from the underlying insulin resistance that accompanies low HDL.</w:t>
            </w:r>
          </w:p>
        </w:tc>
      </w:tr>
      <w:tr>
        <w:trPr>
          <w:cantSplit/>
        </w:trPr>
        <w:tc>
          <w:tcPr>
            <w:tcW w:type="dxa" w:w="2304"/>
            <w:vAlign w:val="top"/>
          </w:tcPr>
          <w:p>
            <w:pPr>
              <w:spacing w:after="40" w:before="0" w:line="259" w:lineRule="auto"/>
            </w:pPr>
            <w:r>
              <w:rPr>
                <w:rFonts w:ascii="Calibri" w:hAnsi="Calibri"/>
                <w:b/>
                <w:i w:val="0"/>
                <w:color w:val="212121"/>
                <w:sz w:val="19"/>
              </w:rPr>
              <w:t>Exertional chest pain (angina)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Reflects premature coronary artery disease promoted by loss of HDL's vascular protection.</w:t>
            </w:r>
          </w:p>
        </w:tc>
      </w:tr>
      <w:tr>
        <w:trPr>
          <w:cantSplit/>
        </w:trPr>
        <w:tc>
          <w:tcPr>
            <w:tcW w:type="dxa" w:w="2304"/>
            <w:vAlign w:val="top"/>
          </w:tcPr>
          <w:p>
            <w:pPr>
              <w:spacing w:after="40" w:before="0" w:line="259" w:lineRule="auto"/>
            </w:pPr>
            <w:r>
              <w:rPr>
                <w:rFonts w:ascii="Calibri" w:hAnsi="Calibri"/>
                <w:b/>
                <w:i w:val="0"/>
                <w:color w:val="212121"/>
                <w:sz w:val="19"/>
              </w:rPr>
              <w:t>Breathlessness on exertion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indicate ischaemic heart disease or heart failure in advanced atherosclerosis.</w:t>
            </w:r>
          </w:p>
        </w:tc>
      </w:tr>
      <w:tr>
        <w:trPr>
          <w:cantSplit/>
        </w:trPr>
        <w:tc>
          <w:tcPr>
            <w:tcW w:type="dxa" w:w="2304"/>
            <w:vAlign w:val="top"/>
          </w:tcPr>
          <w:p>
            <w:pPr>
              <w:spacing w:after="40" w:before="0" w:line="259" w:lineRule="auto"/>
            </w:pPr>
            <w:r>
              <w:rPr>
                <w:rFonts w:ascii="Calibri" w:hAnsi="Calibri"/>
                <w:b/>
                <w:i w:val="0"/>
                <w:color w:val="212121"/>
                <w:sz w:val="19"/>
              </w:rPr>
              <w:t>Leg pain on walking (claudication)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peripheral arterial disease from accelerated atherosclerosis.</w:t>
            </w:r>
          </w:p>
        </w:tc>
      </w:tr>
      <w:tr>
        <w:trPr>
          <w:cantSplit/>
        </w:trPr>
        <w:tc>
          <w:tcPr>
            <w:tcW w:type="dxa" w:w="2304"/>
            <w:vAlign w:val="top"/>
          </w:tcPr>
          <w:p>
            <w:pPr>
              <w:spacing w:after="40" w:before="0" w:line="259" w:lineRule="auto"/>
            </w:pPr>
            <w:r>
              <w:rPr>
                <w:rFonts w:ascii="Calibri" w:hAnsi="Calibri"/>
                <w:b/>
                <w:i w:val="0"/>
                <w:color w:val="212121"/>
                <w:sz w:val="19"/>
              </w:rPr>
              <w:t>Transient neurological symptoms (TIA)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Slurred speech, weakness or visual loss from cerebrovascular disease.</w:t>
            </w:r>
          </w:p>
        </w:tc>
      </w:tr>
      <w:tr>
        <w:trPr>
          <w:cantSplit/>
        </w:trPr>
        <w:tc>
          <w:tcPr>
            <w:tcW w:type="dxa" w:w="2304"/>
            <w:vAlign w:val="top"/>
          </w:tcPr>
          <w:p>
            <w:pPr>
              <w:spacing w:after="40" w:before="0" w:line="259" w:lineRule="auto"/>
            </w:pPr>
            <w:r>
              <w:rPr>
                <w:rFonts w:ascii="Calibri" w:hAnsi="Calibri"/>
                <w:b/>
                <w:i w:val="0"/>
                <w:color w:val="212121"/>
                <w:sz w:val="19"/>
              </w:rPr>
              <w:t>Numbness / weakness (peripheral neuropathy)</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 feature of Tangier disease, where cholesterol esters deposit in peripheral nerves.</w:t>
            </w:r>
          </w:p>
        </w:tc>
      </w:tr>
      <w:tr>
        <w:trPr>
          <w:cantSplit/>
        </w:trPr>
        <w:tc>
          <w:tcPr>
            <w:tcW w:type="dxa" w:w="2304"/>
            <w:vAlign w:val="top"/>
          </w:tcPr>
          <w:p>
            <w:pPr>
              <w:spacing w:after="40" w:before="0" w:line="259" w:lineRule="auto"/>
            </w:pPr>
            <w:r>
              <w:rPr>
                <w:rFonts w:ascii="Calibri" w:hAnsi="Calibri"/>
                <w:b/>
                <w:i w:val="0"/>
                <w:color w:val="212121"/>
                <w:sz w:val="19"/>
              </w:rPr>
              <w:t>Recurrent or enlarged tonsil sensation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Enlarged, orange, cholesterol-laden tonsils are characteristic of Tangier disease.</w:t>
            </w:r>
          </w:p>
        </w:tc>
      </w:tr>
      <w:tr>
        <w:trPr>
          <w:cantSplit/>
        </w:trPr>
        <w:tc>
          <w:tcPr>
            <w:tcW w:type="dxa" w:w="2304"/>
            <w:vAlign w:val="top"/>
          </w:tcPr>
          <w:p>
            <w:pPr>
              <w:spacing w:after="40" w:before="0" w:line="259" w:lineRule="auto"/>
            </w:pPr>
            <w:r>
              <w:rPr>
                <w:rFonts w:ascii="Calibri" w:hAnsi="Calibri"/>
                <w:b/>
                <w:i w:val="0"/>
                <w:color w:val="212121"/>
                <w:sz w:val="19"/>
              </w:rPr>
              <w:t>Blurred vision / cloudy cornea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Corneal opacification occurs in LCAT deficiency and Tangier disease.</w:t>
            </w:r>
          </w:p>
        </w:tc>
      </w:tr>
      <w:tr>
        <w:trPr>
          <w:cantSplit/>
        </w:trPr>
        <w:tc>
          <w:tcPr>
            <w:tcW w:type="dxa" w:w="2304"/>
            <w:vAlign w:val="top"/>
          </w:tcPr>
          <w:p>
            <w:pPr>
              <w:spacing w:after="40" w:before="0" w:line="259" w:lineRule="auto"/>
            </w:pPr>
            <w:r>
              <w:rPr>
                <w:rFonts w:ascii="Calibri" w:hAnsi="Calibri"/>
                <w:b/>
                <w:i w:val="0"/>
                <w:color w:val="212121"/>
                <w:sz w:val="19"/>
              </w:rPr>
              <w:t>Abdominal fullness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From hepatosplenomegaly due to cholesterol-ester deposition in genetic HDL disorders.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Low HDL on lipid panel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defining laboratory sign — HDL &lt; 40 mg/dL (men) or &lt; 50 mg/dL (women).</w:t>
            </w:r>
          </w:p>
        </w:tc>
      </w:tr>
      <w:tr>
        <w:trPr>
          <w:cantSplit/>
        </w:trPr>
        <w:tc>
          <w:tcPr>
            <w:tcW w:type="dxa" w:w="3456"/>
            <w:vAlign w:val="top"/>
          </w:tcPr>
          <w:p>
            <w:pPr>
              <w:spacing w:after="40" w:before="0" w:line="259" w:lineRule="auto"/>
            </w:pPr>
            <w:r>
              <w:rPr>
                <w:rFonts w:ascii="Calibri" w:hAnsi="Calibri"/>
                <w:b/>
                <w:i w:val="0"/>
                <w:color w:val="212121"/>
                <w:sz w:val="19"/>
              </w:rPr>
              <w:t>Central obesity / raised waist circumference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Marker of the insulin resistance that drives low HDL.</w:t>
            </w:r>
          </w:p>
        </w:tc>
      </w:tr>
      <w:tr>
        <w:trPr>
          <w:cantSplit/>
        </w:trPr>
        <w:tc>
          <w:tcPr>
            <w:tcW w:type="dxa" w:w="3456"/>
            <w:vAlign w:val="top"/>
          </w:tcPr>
          <w:p>
            <w:pPr>
              <w:spacing w:after="40" w:before="0" w:line="259" w:lineRule="auto"/>
            </w:pPr>
            <w:r>
              <w:rPr>
                <w:rFonts w:ascii="Calibri" w:hAnsi="Calibri"/>
                <w:b/>
                <w:i w:val="0"/>
                <w:color w:val="212121"/>
                <w:sz w:val="19"/>
              </w:rPr>
              <w:t>Acanthosis nigricans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Velvety hyperpigmented skin at neck/axillae — a sign of insulin resistance.</w:t>
            </w:r>
          </w:p>
        </w:tc>
      </w:tr>
      <w:tr>
        <w:trPr>
          <w:cantSplit/>
        </w:trPr>
        <w:tc>
          <w:tcPr>
            <w:tcW w:type="dxa" w:w="3456"/>
            <w:vAlign w:val="top"/>
          </w:tcPr>
          <w:p>
            <w:pPr>
              <w:spacing w:after="40" w:before="0" w:line="259" w:lineRule="auto"/>
            </w:pPr>
            <w:r>
              <w:rPr>
                <w:rFonts w:ascii="Calibri" w:hAnsi="Calibri"/>
                <w:b/>
                <w:i w:val="0"/>
                <w:color w:val="212121"/>
                <w:sz w:val="19"/>
              </w:rPr>
              <w:t>Carotid/femoral bruits, diminished peripheral pulses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 established atherosclerosis from loss of HDL protection.</w:t>
            </w:r>
          </w:p>
        </w:tc>
      </w:tr>
      <w:tr>
        <w:trPr>
          <w:cantSplit/>
        </w:trPr>
        <w:tc>
          <w:tcPr>
            <w:tcW w:type="dxa" w:w="3456"/>
            <w:vAlign w:val="top"/>
          </w:tcPr>
          <w:p>
            <w:pPr>
              <w:spacing w:after="40" w:before="0" w:line="259" w:lineRule="auto"/>
            </w:pPr>
            <w:r>
              <w:rPr>
                <w:rFonts w:ascii="Calibri" w:hAnsi="Calibri"/>
                <w:b/>
                <w:i w:val="0"/>
                <w:color w:val="212121"/>
                <w:sz w:val="19"/>
              </w:rPr>
              <w:t>Corneal arcus / corneal opacification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Premature arcus, or diffuse corneal clouding in LCAT deficiency and Tangier disease.</w:t>
            </w:r>
          </w:p>
        </w:tc>
      </w:tr>
      <w:tr>
        <w:trPr>
          <w:cantSplit/>
        </w:trPr>
        <w:tc>
          <w:tcPr>
            <w:tcW w:type="dxa" w:w="3456"/>
            <w:vAlign w:val="top"/>
          </w:tcPr>
          <w:p>
            <w:pPr>
              <w:spacing w:after="40" w:before="0" w:line="259" w:lineRule="auto"/>
            </w:pPr>
            <w:r>
              <w:rPr>
                <w:rFonts w:ascii="Calibri" w:hAnsi="Calibri"/>
                <w:b/>
                <w:i w:val="0"/>
                <w:color w:val="212121"/>
                <w:sz w:val="19"/>
              </w:rPr>
              <w:t>Enlarged orange (yellow-orange) tonsils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Cholesterol-laden pharyngeal tissue — pathognomonic of Tangier disease.</w:t>
            </w:r>
          </w:p>
        </w:tc>
      </w:tr>
      <w:tr>
        <w:trPr>
          <w:cantSplit/>
        </w:trPr>
        <w:tc>
          <w:tcPr>
            <w:tcW w:type="dxa" w:w="3456"/>
            <w:vAlign w:val="top"/>
          </w:tcPr>
          <w:p>
            <w:pPr>
              <w:spacing w:after="40" w:before="0" w:line="259" w:lineRule="auto"/>
            </w:pPr>
            <w:r>
              <w:rPr>
                <w:rFonts w:ascii="Calibri" w:hAnsi="Calibri"/>
                <w:b/>
                <w:i w:val="0"/>
                <w:color w:val="212121"/>
                <w:sz w:val="19"/>
              </w:rPr>
              <w:t>Hepatosplenomegaly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Enlarged liver/spleen from cholesterol-ester deposition in Tangier disease.</w:t>
            </w:r>
          </w:p>
        </w:tc>
      </w:tr>
      <w:tr>
        <w:trPr>
          <w:cantSplit/>
        </w:trPr>
        <w:tc>
          <w:tcPr>
            <w:tcW w:type="dxa" w:w="3456"/>
            <w:vAlign w:val="top"/>
          </w:tcPr>
          <w:p>
            <w:pPr>
              <w:spacing w:after="40" w:before="0" w:line="259" w:lineRule="auto"/>
            </w:pPr>
            <w:r>
              <w:rPr>
                <w:rFonts w:ascii="Calibri" w:hAnsi="Calibri"/>
                <w:b/>
                <w:i w:val="0"/>
                <w:color w:val="212121"/>
                <w:sz w:val="19"/>
              </w:rPr>
              <w:t>Peripheral neuropathy signs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Sensory loss or weakness from nerve lipid deposition in Tangier disease.</w:t>
            </w:r>
          </w:p>
        </w:tc>
      </w:tr>
      <w:tr>
        <w:trPr>
          <w:cantSplit/>
        </w:trPr>
        <w:tc>
          <w:tcPr>
            <w:tcW w:type="dxa" w:w="3456"/>
            <w:vAlign w:val="top"/>
          </w:tcPr>
          <w:p>
            <w:pPr>
              <w:spacing w:after="40" w:before="0" w:line="259" w:lineRule="auto"/>
            </w:pPr>
            <w:r>
              <w:rPr>
                <w:rFonts w:ascii="Calibri" w:hAnsi="Calibri"/>
                <w:b/>
                <w:i w:val="0"/>
                <w:color w:val="212121"/>
                <w:sz w:val="19"/>
              </w:rPr>
              <w:t>Anaemia, proteinuria / features of renal disease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Seen in LCAT deficiency, which causes corneal opacity, anaemia and progressive kidney disease.</w:t>
            </w:r>
          </w:p>
        </w:tc>
      </w:tr>
      <w:tr>
        <w:trPr>
          <w:cantSplit/>
        </w:trPr>
        <w:tc>
          <w:tcPr>
            <w:tcW w:type="dxa" w:w="3456"/>
            <w:vAlign w:val="top"/>
          </w:tcPr>
          <w:p>
            <w:pPr>
              <w:spacing w:after="40" w:before="0" w:line="259" w:lineRule="auto"/>
            </w:pPr>
            <w:r>
              <w:rPr>
                <w:rFonts w:ascii="Calibri" w:hAnsi="Calibri"/>
                <w:b/>
                <w:i w:val="0"/>
                <w:color w:val="212121"/>
                <w:sz w:val="19"/>
              </w:rPr>
              <w:t>Features of a secondary cause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E.g., signs of poorly controlled diabetes, chronic inflammatory disease or drug use (anabolic steroids).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reverse cholesterol transport with loss of HDL's anti-inflammatory, antioxidant and endothelium-protective functions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Tissue cholesterol-ester deposition in genetic forms — Tangier disease (orange tonsils, hepatosplenomegaly, peripheral neuropathy, corneal opacity)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LCAT deficiency features (corneal opacification, haemolytic anaemia, proteinuria/renal impairment)</w:t>
            </w:r>
          </w:p>
        </w:tc>
        <w:tc>
          <w:tcPr>
            <w:tcW w:type="dxa" w:w="2980"/>
            <w:vAlign w:val="top"/>
          </w:tcPr>
          <w:p>
            <w:pPr>
              <w:spacing w:after="40" w:before="0" w:line="259" w:lineRule="auto"/>
            </w:pPr>
            <w:r>
              <w:rPr>
                <w:rFonts w:ascii="Calibri" w:hAnsi="Calibri"/>
                <w:b w:val="0"/>
                <w:i w:val="0"/>
                <w:color w:val="212121"/>
                <w:sz w:val="19"/>
              </w:rPr>
              <w:t>Direct consequences of deficient or dysfunctional HDL, most overt in monogenic disorders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Accelerated atherosclerosis — premature coronary artery disease, ischaemic stroke and peripheral vascular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Component of metabolic syndrome and the atherogenic dyslipidemia of insulin resistance/type 2 diabetes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overall cardiovascular event risk (low HDL raises risk substantially versus a normal profile)</w:t>
            </w:r>
          </w:p>
        </w:tc>
        <w:tc>
          <w:tcPr>
            <w:tcW w:type="dxa" w:w="2980"/>
            <w:vAlign w:val="top"/>
          </w:tcPr>
          <w:p>
            <w:pPr>
              <w:spacing w:after="40" w:before="0" w:line="259" w:lineRule="auto"/>
            </w:pPr>
            <w:r>
              <w:rPr>
                <w:rFonts w:ascii="Calibri" w:hAnsi="Calibri"/>
                <w:b w:val="0"/>
                <w:i w:val="0"/>
                <w:color w:val="212121"/>
                <w:sz w:val="19"/>
              </w:rPr>
              <w:t>Result from chronic loss of HDL-mediated vascular protection, usually with high triglycerides and small dense LDL</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Myocardial infarction and its sequelae, including heart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Post-stroke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Limb loss from advanced peripheral arterial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renal disease in LCAT deficiency</w:t>
            </w:r>
          </w:p>
        </w:tc>
        <w:tc>
          <w:tcPr>
            <w:tcW w:type="dxa" w:w="2980"/>
            <w:vAlign w:val="top"/>
          </w:tcPr>
          <w:p>
            <w:pPr>
              <w:spacing w:after="40" w:before="0" w:line="259" w:lineRule="auto"/>
            </w:pPr>
            <w:r>
              <w:rPr>
                <w:rFonts w:ascii="Calibri" w:hAnsi="Calibri"/>
                <w:b w:val="0"/>
                <w:i w:val="0"/>
                <w:color w:val="212121"/>
                <w:sz w:val="19"/>
              </w:rPr>
              <w:t>Irreversible, disabling end-organ outcomes of longstanding atherosclerosis or severe genetic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Hypertriglyceridemia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Reciprocally linked — high triglycerides drive CETP-mediated HDL depletion, and the two form atherogenic dyslipidemia.</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Diabetes and insulin resistance lower HDL; low HDL is a core part of diabetic dyslipidemia.</w:t>
            </w:r>
          </w:p>
        </w:tc>
      </w:tr>
      <w:tr>
        <w:trPr>
          <w:cantSplit/>
        </w:trPr>
        <w:tc>
          <w:tcPr>
            <w:tcW w:type="dxa" w:w="2232"/>
            <w:vAlign w:val="top"/>
          </w:tcPr>
          <w:p>
            <w:pPr>
              <w:spacing w:after="40" w:before="0" w:line="259" w:lineRule="auto"/>
            </w:pPr>
            <w:r>
              <w:rPr>
                <w:rFonts w:ascii="Calibri" w:hAnsi="Calibri"/>
                <w:b/>
                <w:i w:val="0"/>
                <w:color w:val="212121"/>
                <w:sz w:val="19"/>
              </w:rPr>
              <w:t>Metabolic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Low HDL is a defining criterion; its presence alters cardiovascular risk stratification and management.</w:t>
            </w:r>
          </w:p>
        </w:tc>
      </w:tr>
      <w:tr>
        <w:trPr>
          <w:cantSplit/>
        </w:trPr>
        <w:tc>
          <w:tcPr>
            <w:tcW w:type="dxa" w:w="2232"/>
            <w:vAlign w:val="top"/>
          </w:tcPr>
          <w:p>
            <w:pPr>
              <w:spacing w:after="40" w:before="0" w:line="259" w:lineRule="auto"/>
            </w:pPr>
            <w:r>
              <w:rPr>
                <w:rFonts w:ascii="Calibri" w:hAnsi="Calibri"/>
                <w:b/>
                <w:i w:val="0"/>
                <w:color w:val="212121"/>
                <w:sz w:val="19"/>
              </w:rPr>
              <w:t>Central obesity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Visceral fat raises triglyceride-rich lipoproteins that deplete HDL; weight loss raises HDL.</w:t>
            </w:r>
          </w:p>
        </w:tc>
      </w:tr>
      <w:tr>
        <w:trPr>
          <w:cantSplit/>
        </w:trPr>
        <w:tc>
          <w:tcPr>
            <w:tcW w:type="dxa" w:w="2232"/>
            <w:vAlign w:val="top"/>
          </w:tcPr>
          <w:p>
            <w:pPr>
              <w:spacing w:after="40" w:before="0" w:line="259" w:lineRule="auto"/>
            </w:pPr>
            <w:r>
              <w:rPr>
                <w:rFonts w:ascii="Calibri" w:hAnsi="Calibri"/>
                <w:b/>
                <w:i w:val="0"/>
                <w:color w:val="212121"/>
                <w:sz w:val="19"/>
              </w:rPr>
              <w:t>Coronary artery disease</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Low HDL is an independent risk marker for premature coronary disease via impaired reverse cholesterol transport.</w:t>
            </w:r>
          </w:p>
        </w:tc>
      </w:tr>
      <w:tr>
        <w:trPr>
          <w:cantSplit/>
        </w:trPr>
        <w:tc>
          <w:tcPr>
            <w:tcW w:type="dxa" w:w="2232"/>
            <w:vAlign w:val="top"/>
          </w:tcPr>
          <w:p>
            <w:pPr>
              <w:spacing w:after="40" w:before="0" w:line="259" w:lineRule="auto"/>
            </w:pPr>
            <w:r>
              <w:rPr>
                <w:rFonts w:ascii="Calibri" w:hAnsi="Calibri"/>
                <w:b/>
                <w:i w:val="0"/>
                <w:color w:val="212121"/>
                <w:sz w:val="19"/>
              </w:rPr>
              <w:t>Ischaemic stroke &amp; peripheral vascular disease</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Loss of HDL protection accelerates systemic atherosclerosis.</w:t>
            </w:r>
          </w:p>
        </w:tc>
      </w:tr>
      <w:tr>
        <w:trPr>
          <w:cantSplit/>
        </w:trPr>
        <w:tc>
          <w:tcPr>
            <w:tcW w:type="dxa" w:w="2232"/>
            <w:vAlign w:val="top"/>
          </w:tcPr>
          <w:p>
            <w:pPr>
              <w:spacing w:after="40" w:before="0" w:line="259" w:lineRule="auto"/>
            </w:pPr>
            <w:r>
              <w:rPr>
                <w:rFonts w:ascii="Calibri" w:hAnsi="Calibri"/>
                <w:b/>
                <w:i w:val="0"/>
                <w:color w:val="212121"/>
                <w:sz w:val="19"/>
              </w:rPr>
              <w:t>Non-alcoholic fatty liver disease (NAFLD)</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Shares insulin-resistant, high-triglyceride mechanisms with low HDL; the two frequently coexist.</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Clusters within metabolic syndrome through shared insulin resistance and endothelial dysfunction.</w:t>
            </w:r>
          </w:p>
        </w:tc>
      </w:tr>
      <w:tr>
        <w:trPr>
          <w:cantSplit/>
        </w:trPr>
        <w:tc>
          <w:tcPr>
            <w:tcW w:type="dxa" w:w="2232"/>
            <w:vAlign w:val="top"/>
          </w:tcPr>
          <w:p>
            <w:pPr>
              <w:spacing w:after="40" w:before="0" w:line="259" w:lineRule="auto"/>
            </w:pPr>
            <w:r>
              <w:rPr>
                <w:rFonts w:ascii="Calibri" w:hAnsi="Calibri"/>
                <w:b/>
                <w:i w:val="0"/>
                <w:color w:val="212121"/>
                <w:sz w:val="19"/>
              </w:rPr>
              <w:t>Polycystic ovary syndrome (PCOS)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Insulin resistance and androgen excess produce a low-HDL/high-triglyceride profile.</w:t>
            </w:r>
          </w:p>
        </w:tc>
      </w:tr>
      <w:tr>
        <w:trPr>
          <w:cantSplit/>
        </w:trPr>
        <w:tc>
          <w:tcPr>
            <w:tcW w:type="dxa" w:w="2232"/>
            <w:vAlign w:val="top"/>
          </w:tcPr>
          <w:p>
            <w:pPr>
              <w:spacing w:after="40" w:before="0" w:line="259" w:lineRule="auto"/>
            </w:pPr>
            <w:r>
              <w:rPr>
                <w:rFonts w:ascii="Calibri" w:hAnsi="Calibri"/>
                <w:b/>
                <w:i w:val="0"/>
                <w:color w:val="212121"/>
                <w:sz w:val="19"/>
              </w:rPr>
              <w:t>Chronic inflammatory disease (RA, SLE) &amp; sepsis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Inflammation lowers HDL and converts it to a pro-inflammatory, dysfunctional form.</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Renal disease lowers HDL and impairs its function; LCAT deficiency itself causes progressive kidney disease.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HDL is 'good' cholesterol — men should aim above 40 mg/dL and women above 50 mg/dL, with 60 mg/dL or higher being protective.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a lipid profile from around age 18 (and earlier/regularly with diabetes, obesity, or a family history of low HDL or premature heart disease), reading HDL alongside triglycerides and LDL, not alone.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Asian Indians commonly have low HDL even at a normal weight, and that it often travels with high triglycerides as 'atherogenic dyslipidemia'.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lifestyle — regular exercise, quitting smoking, weight loss and healthier fats — is the mainstay for raising HDL, since HDL-raising drugs alone do not reduce heart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that very high-carbohydrate, low-fat vegetarian diets can lower HDL (the 'vegetarian paradox'), so fat quality matters as much as fat quantity.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Review medicines (anabolic steroids, progestins, beta-blockers) and treat diabetes, thyroid, kidney or inflammatory disease as reversible contributors.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 &amp;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family history of low HDL / premature CAD</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aerobic activity (brisk walking, cycling, swimming) — the most reliable lifestyle way to raise HDL.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Favour longer continuous sessions (more than 30 minutes), which raise HDL more than very short bouts.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resistance/strength training on 2–3 days per week to improve insulin sensitivity and the overall lipid profile.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with short movement every 30–60 minutes.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a gradual 5–10% weight loss if overweight, focusing on reducing waist circumference, which itself raises HDL.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 desk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Type 2 diabetics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Replace refined grains (polished rice, maida) with whole grains and millets (ragi, jowar, bajra) and increase fibre to 25–35 g/day.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Choose healthy unsaturated fats — mustard, groundnut or olive oil, nuts, seeds and avocado — in place of trans and excess saturated fat.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industrial trans fats (vanaspati, repeatedly heated oils, bakery and deep-fried snacks), which uniquely lower HDL.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omega-3 sources (fatty fish 2×/week, or flaxseed, walnuts, mustard oil for vegetarians) to improve the lipid profile.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very low-fat, very high-carbohydrate eating patterns that depress HDL; keep carbohydrate quality high and portions moderate.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sugar-sweetened and aerated drinks, which raise triglycerides and indirectly lower HDL.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High-carbohydrate / vegetarian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Trans-fat &amp; fried-food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 syndrome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the whole atherogenic picture — control triglycerides and use statins to lower LDL/non-HDL cholesterol for cardiovascular risk reduction rather than chasing the HDL number.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glycaemic control in diabetes and reduce weight, both of which modestly raise HDL.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use niacin or fibrates solely to raise HDL, as HDL-raising drugs alone have not reduced cardiovascular events; use them only where otherwise indicated.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patients with very low HDL and suspected genetic disease (Tangier, apoA-I or LCAT deficiency) to a lipid specialist.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Mixed atherogenic dyslipidemia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cardiovascular-risk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Uncontrolled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Suspected familial hypoalphalipoproteinemia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per night to support insulin sensitivity and a healthier lipid profile.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(snoring, daytime sleepiness), which worsens the low-HDL atherogenic pattern.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and avoid late-night heavy or high-carbohydrate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screen time and caffeine before bed to improve sleep quality.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Suspected sleep apnoea</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completely — cessation can raise HDL within about a month and restores HDL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(passive) smoke, which also lowers HDL.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where appropriate, pharmacotherapy or quit-line services to sustain cessation.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quitting with exercise and dietary changes for the greatest HDL and cardiovascular benefit.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diabetes/metabolic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cardiovascular-risk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passive-smoke exposure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start or increase alcohol to raise HDL — although moderate alcohol raises HDL, its harms outweigh this benefit and it is not recommended.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already drink, keep it minimal and avoid binge drinking, which raises triglycerides and produces dysfunctional HDL.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completely if triglycerides are high or there is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Raise HDL through exercise, weight loss and quitting smoking instead of alcohol.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&amp; binge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high triglycerides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Fatty liver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seeking to raise HDL</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chronic stress with regular exercise, yoga, meditation or breathing practices, which also aid metabolic and lipid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depression and anxiety, which are linked to inactivity, poor diet and an atherogenic lipid profile.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stress-driven emotional eating of sugary and fried comfort foods that worsen lipids.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sustainable routines and family/social support to maintain exercise, diet and treatment adherence.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under chronic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Emotional eaters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ournals.plos.org/plosone/article?id=10.1371/journal.pone.0096808" TargetMode="External"/><Relationship Id="rId10" Type="http://schemas.openxmlformats.org/officeDocument/2006/relationships/hyperlink" Target="https://www.ncbi.nlm.nih.gov/books/NBK589646/" TargetMode="External"/><Relationship Id="rId11" Type="http://schemas.openxmlformats.org/officeDocument/2006/relationships/hyperlink" Target="https://pubmed.ncbi.nlm.nih.gov/15656049/" TargetMode="External"/><Relationship Id="rId12" Type="http://schemas.openxmlformats.org/officeDocument/2006/relationships/hyperlink" Target="https://pmc.ncbi.nlm.nih.gov/articles/PMC11787149/" TargetMode="External"/><Relationship Id="rId13" Type="http://schemas.openxmlformats.org/officeDocument/2006/relationships/hyperlink" Target="https://www.ahajournals.org/doi/10.1161/01.cir.102.19.2347" TargetMode="External"/><Relationship Id="rId14" Type="http://schemas.openxmlformats.org/officeDocument/2006/relationships/hyperlink" Target="https://medlineplus.gov/hdlthegoodcholesterol.html" TargetMode="External"/><Relationship Id="rId15" Type="http://schemas.openxmlformats.org/officeDocument/2006/relationships/hyperlink" Target="https://www.ahajournals.org/doi/10.1161/hq0701.092161" TargetMode="External"/><Relationship Id="rId16" Type="http://schemas.openxmlformats.org/officeDocument/2006/relationships/hyperlink" Target="https://www.ncbi.nlm.nih.gov/books/NBK4592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