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Familial Hypercholesterolemia</w:t>
      </w:r>
    </w:p>
    <w:p>
      <w:pPr>
        <w:spacing w:before="0" w:after="160"/>
      </w:pPr>
      <w:r>
        <w:rPr>
          <w:rFonts w:ascii="Calibri" w:hAnsi="Calibri"/>
          <w:b/>
          <w:i w:val="0"/>
          <w:color w:val="212121"/>
          <w:sz w:val="22"/>
        </w:rPr>
        <w:t xml:space="preserve">AKA </w:t>
      </w:r>
      <w:r>
        <w:rPr>
          <w:rFonts w:ascii="Calibri" w:hAnsi="Calibri"/>
          <w:b w:val="0"/>
          <w:i w:val="0"/>
          <w:color w:val="212121"/>
          <w:sz w:val="22"/>
        </w:rPr>
        <w:t>i.e., FH, Inherited high cholesterol, Hereditary hypercholesterolemia, Heterozygous FH (HeFH), Homozygous FH (HoFH), Autosomal dominant hypercholesterolemia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Familial hypercholesterolemia (FH) is a common inherited (usually autosomal dominant/co-dominant) disorder of lipoprotein metabolism in which a defect in low-density lipoprotein (LDL) clearance causes markedly elevated LDL cholesterol present from birth. It is caused mainly by pathogenic variants in the LDL-receptor gene (LDLR) and less often in APOB or PCSK9 (a rare recessive form involves LDLRAP1). Because the arterial wall is exposed to very high LDL cholesterol across the entire lifespan, FH produces accelerated atherosclerosis and greatly increased risk of premature coronary artery disease, and it is frequently signalled by tendon xanthomas, xanthelasma and early corneal arcus. It exists as a milder heterozygous form (HeFH, one affected gene copy) and a severe, early-onset homozygous form (HoFH, both copies affected).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FH is one of the commonest serious inherited disorders yet is grossly underdiagnosed in India. Heterozygous FH affects roughly 1 in 250 to 1 in 311 people worldwide, while the severe homozygous form affects about 1 in 250,000 to 360,000. Globally only about 1% of an estimated 25 million people with FH are diagnosed, and detection in India is especially poor. Indian community and hospital data suggest a general-population FH prevalence of the order of 1 in 1,000, but FH is heavily concentrated among those with early heart disease: in Indian patients with confirmed premature coronary artery disease, definite-or-probable FH (Dutch Lipid Clinic Network criteria) was found in about 23.5%, and among Indians with very high LDL cholesterol around one in five met probable-or-definite FH criteria. India's high rates of consanguineous marriage in some communities further raise the burden of the severe homozygous form.</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FH is a clinical and genetic diagnosis: very high LDL cholesterol from an early age, characteristic physical signs and a strong family history are combined into validated scoring systems, ideally confirmed by genetic testing. The commonly used criteria are the Dutch Lipid Clinic Network (DLCN) score, the Simon Broome criteria and the US MEDPED cut-offs: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Untreated LDL cholesterol thresholds raise suspicion: adults with LDL-C &gt;= 190 mg/dL (or total cholesterol &gt;= 290 mg/dL) and children with LDL-C &gt;= 160 mg/dL should be evaluated for FH; homozygous FH typically shows LDL-C &gt; 400 mg/dL.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Dutch Lipid Clinic Network (DLCN) score adds points for family history, personal premature vascular disease, physical signs and LDL level: tendon xanthoma scores 6, corneal arcus before age 45 scores 4, LDL-C &gt; 325 mg/dL scores 8, and a causative LDLR/APOB/PCSK9 mutation scores 8 - definite FH is &gt; 8 points, probable 6-8, possible 3-5, unlikely 0-2.</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Simon Broome criteria classify definite FH as high total/LDL cholesterol plus tendon xanthomas in the patient or a first-degree relative (or a proven mutation), and possible FH as the same cholesterol level plus a family history of premature myocardial infarction or of very high cholesterol.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Physical signs strongly support the diagnosis: tendon xanthomas (Achilles and finger-extensor tendons), xanthelasma, and corneal arcus appearing before age 45 (arcus juvenilis).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Family history is central: premature coronary artery disease (men &lt; 55, women &lt; 65 years) or very high cholesterol in first-degree relatives, and, because inheritance is autosomal dominant, each first-degree relative has about a 50% chance of also having FH - prompting cascade screening.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Genetic testing (LDLR, APOB, PCSK9, and LDLRAP1 for recessive FH) confirms the diagnosis and enables family cascade screening; always exclude secondary causes (hypothyroidism, nephrotic syndrome, cholestasis) before labelling severe hypercholesterolemia as familial.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FH is classified by zygosity and severity, by the underlying gene defect, and (for management) by cardiovascular risk:</w:t>
      </w:r>
    </w:p>
    <w:p>
      <w:pPr>
        <w:spacing w:before="0" w:after="80"/>
      </w:pPr>
      <w:r>
        <w:rPr>
          <w:rFonts w:ascii="Calibri" w:hAnsi="Calibri"/>
          <w:b w:val="0"/>
          <w:i w:val="0"/>
          <w:color w:val="212121"/>
          <w:sz w:val="21"/>
        </w:rPr>
        <w:t>(1) Heterozygous FH (HeFH): the common form (about 1 in 250-311), with one defective gene copy, LDL-C usually in the range of roughly 190-400 mg/dL, tendon xanthomas and corneal arcus developing in adulthood, and untreated coronary disease often appearing in the third to fifth decade.</w:t>
      </w:r>
    </w:p>
    <w:p>
      <w:pPr>
        <w:spacing w:before="0" w:after="80"/>
      </w:pPr>
      <w:r>
        <w:rPr>
          <w:rFonts w:ascii="Calibri" w:hAnsi="Calibri"/>
          <w:b w:val="0"/>
          <w:i w:val="0"/>
          <w:color w:val="212121"/>
          <w:sz w:val="21"/>
        </w:rPr>
        <w:t>(2) Homozygous FH (HoFH): the rare, severe form (about 1 in 250,000-360,000, commoner where consanguinity is high) with two defective gene copies, LDL-C usually &gt; 400 mg/dL, cutaneous and tendon xanthomas from early childhood, supravalvular and valvular aortic stenosis, and coronary events - even death - in childhood or adolescence if untreated.</w:t>
      </w:r>
    </w:p>
    <w:p>
      <w:pPr>
        <w:spacing w:before="0" w:after="80"/>
      </w:pPr>
      <w:r>
        <w:rPr>
          <w:rFonts w:ascii="Calibri" w:hAnsi="Calibri"/>
          <w:b w:val="0"/>
          <w:i w:val="0"/>
          <w:color w:val="212121"/>
          <w:sz w:val="21"/>
        </w:rPr>
        <w:t>(3) By causative gene: LDLR variants (by far the commonest, &gt; 1,700 described), APOB variants (defective apolipoprotein B-100 binding), gain-of-function PCSK9 variants (all autosomal dominant), and the rare autosomal recessive form from LDLRAP1 - alongside polygenic hypercholesterolemia, which mimics FH clinically but lacks a single causative mutation.</w:t>
      </w:r>
    </w:p>
    <w:p>
      <w:pPr>
        <w:spacing w:before="0" w:after="80"/>
      </w:pPr>
      <w:r>
        <w:rPr>
          <w:rFonts w:ascii="Calibri" w:hAnsi="Calibri"/>
          <w:b w:val="0"/>
          <w:i w:val="0"/>
          <w:color w:val="212121"/>
          <w:sz w:val="21"/>
        </w:rPr>
        <w:t>(4) By risk-based management category: all FH patients are treated as high or very-high cardiovascular risk; the presence of established atherosclerotic disease, diabetes, elevated lipoprotein(a), smoking or the homozygous phenotype places them in the very-high or extreme-risk categories that mandate the most aggressive LDL lowering.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LDL-receptor (LDLR) gene defects: The commonest cause (more than 1,700 pathogenic variants), reducing hepatic LDL-receptor number or function so LDL is not cleared from the blood; inherited in an autosomal dominant/co-dominant pattern.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Apolipoprotein B (APOB) defects: Familial defective apo B-100 impairs LDL binding to its receptor, reducing LDL clearance and raising circulating LDL cholesterol.</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PCSK9 gain-of-function variants: Increased PCSK9 activity promotes degradation of LDL receptors, lowering receptor numbers and raising LDL cholesterol.</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LDLRAP1 (autosomal recessive FH): Loss of the LDL-receptor adaptor protein impairs receptor internalisation, producing a recessive FH phenotype that usually needs two affected copies.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Homozygous / compound-heterozygous inheritance: Two defective alleles (from consanguinity or two carrier parents) cause homozygous FH with extremely high LDL from birth and very early atherosclerosis.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Gene-environment amplification: A diet high in saturated and trans fat, obesity, smoking, diabetes and elevated lipoprotein(a) do not cause FH but add to the inherited LDL burden and sharply accelerate atherosclerosis in FH patients.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Family clustering and consanguinity: A first-degree relative with FH confers about a 50% risk; consanguineous marriage in some Indian communities increases the chance of the severe homozygous form.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to middle-aged)</w:t>
            </w:r>
          </w:p>
        </w:tc>
        <w:tc>
          <w:tcPr>
            <w:tcW w:type="dxa" w:w="4276"/>
            <w:vAlign w:val="top"/>
          </w:tcPr>
          <w:p>
            <w:pPr>
              <w:spacing w:after="60" w:line="259" w:lineRule="auto"/>
            </w:pPr>
            <w:r>
              <w:rPr>
                <w:rFonts w:ascii="Calibri" w:hAnsi="Calibri"/>
                <w:b w:val="0"/>
                <w:i w:val="0"/>
                <w:color w:val="212121"/>
                <w:sz w:val="19"/>
              </w:rPr>
              <w:t>In FH, lifelong exposure to very high LDL means atherosclerotic plaque accumulates decades earlier than usual, so untreated heterozygous FH commonly produces coronary disease from the third to fifth decade rather than in old age. Every year of untreated high LDL adds cumulative 'cholesterol-years' of arterial damage.</w:t>
            </w:r>
          </w:p>
          <w:p>
            <w:pPr>
              <w:spacing w:after="40" w:before="60" w:line="259" w:lineRule="auto"/>
            </w:pPr>
            <w:r>
              <w:rPr>
                <w:rFonts w:ascii="Calibri" w:hAnsi="Calibri"/>
                <w:b w:val="0"/>
                <w:i w:val="0"/>
                <w:color w:val="212121"/>
                <w:sz w:val="19"/>
              </w:rPr>
              <w:t>Among Indian patients with confirmed premature coronary artery disease, the mean age of those with definite FH was about 35 years, with mean LDL-C around 250 mg/dL.</w:t>
            </w:r>
          </w:p>
          <w:p>
            <w:pPr>
              <w:spacing w:after="40" w:line="252" w:lineRule="auto"/>
            </w:pPr>
            <w:hyperlink r:id="rId9">
              <w:r>
                <w:rPr>
                  <w:rFonts w:ascii="Calibri" w:hAnsi="Calibri" w:cs="Calibri"/>
                  <w:sz w:val="18"/>
                  <w:color w:val="1155CC"/>
                  <w:u w:val="single"/>
                </w:rPr>
                <w:t xml:space="preserve">link.springer.com - FH in premature CAD, Ranchi</w:t>
              </w:r>
            </w:hyperlink>
          </w:p>
          <w:p>
            <w:pPr>
              <w:spacing w:before="60" w:after="40"/>
            </w:pPr>
            <w:r>
              <w:rPr>
                <w:rFonts w:ascii="Calibri" w:hAnsi="Calibri"/>
                <w:b w:val="0"/>
                <w:i w:val="0"/>
                <w:color w:val="5A5A5A"/>
                <w:sz w:val="18"/>
              </w:rPr>
              <w:t>#familialhypercholesterolemia  #prematureCAD  #cholesterolyears  #LDL  #youngheartattack</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(undiagnosed survivors)</w:t>
            </w:r>
          </w:p>
        </w:tc>
        <w:tc>
          <w:tcPr>
            <w:tcW w:type="dxa" w:w="4276"/>
            <w:vAlign w:val="top"/>
          </w:tcPr>
          <w:p>
            <w:pPr>
              <w:spacing w:after="60" w:line="259" w:lineRule="auto"/>
            </w:pPr>
            <w:r>
              <w:rPr>
                <w:rFonts w:ascii="Calibri" w:hAnsi="Calibri"/>
                <w:b w:val="0"/>
                <w:i w:val="0"/>
                <w:color w:val="212121"/>
                <w:sz w:val="19"/>
              </w:rPr>
              <w:t>Older adults with lifelong untreated FH who have escaped an early fatal event carry very heavy calcified plaque burden and often already have established coronary, carotid and peripheral disease; FH here compounds age-related vascular ageing and other metabolic conditions.</w:t>
            </w:r>
          </w:p>
          <w:p>
            <w:pPr>
              <w:spacing w:after="40" w:before="60" w:line="259" w:lineRule="auto"/>
            </w:pPr>
            <w:r>
              <w:rPr>
                <w:rFonts w:ascii="Calibri" w:hAnsi="Calibri"/>
                <w:b w:val="0"/>
                <w:i w:val="0"/>
                <w:color w:val="212121"/>
                <w:sz w:val="19"/>
              </w:rPr>
              <w:t>Because most FH events are premature, surviving to older age untreated reflects accumulated arterial damage; only about 1% of the estimated 25 million people with FH worldwide are ever diagnosed.</w:t>
            </w:r>
          </w:p>
          <w:p>
            <w:pPr>
              <w:spacing w:after="40" w:line="252" w:lineRule="auto"/>
            </w:pPr>
            <w:hyperlink r:id="rId10">
              <w:r>
                <w:rPr>
                  <w:rFonts w:ascii="Calibri" w:hAnsi="Calibri" w:cs="Calibri"/>
                  <w:sz w:val="18"/>
                  <w:color w:val="1155CC"/>
                  <w:u w:val="single"/>
                </w:rPr>
                <w:t xml:space="preserve">blogs.cdc.gov - how common is FH</w:t>
              </w:r>
            </w:hyperlink>
          </w:p>
          <w:p>
            <w:pPr>
              <w:spacing w:before="60" w:after="40"/>
            </w:pPr>
            <w:r>
              <w:rPr>
                <w:rFonts w:ascii="Calibri" w:hAnsi="Calibri"/>
                <w:b w:val="0"/>
                <w:i w:val="0"/>
                <w:color w:val="5A5A5A"/>
                <w:sz w:val="18"/>
              </w:rPr>
              <w:t>#ageing  #plaqueburden  #underdiagnosed  #establishedCAD</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with FH develop coronary disease earlier than women and dominate premature-CAD cohorts; androgenic and visceral-fat effects, higher tobacco use and later screening translate the inherited LDL burden into early events more often in Indian men.</w:t>
            </w:r>
          </w:p>
          <w:p>
            <w:pPr>
              <w:spacing w:after="40" w:before="60" w:line="259" w:lineRule="auto"/>
            </w:pPr>
            <w:r>
              <w:rPr>
                <w:rFonts w:ascii="Calibri" w:hAnsi="Calibri"/>
                <w:b w:val="0"/>
                <w:i w:val="0"/>
                <w:color w:val="212121"/>
                <w:sz w:val="19"/>
              </w:rPr>
              <w:t>In an Indian premature-CAD cohort enriched for FH, about 77% of patients were male, underscoring the male preponderance of early FH-related coronary events.</w:t>
            </w:r>
          </w:p>
          <w:p>
            <w:pPr>
              <w:spacing w:after="40" w:line="252" w:lineRule="auto"/>
            </w:pPr>
            <w:hyperlink r:id="rId9">
              <w:r>
                <w:rPr>
                  <w:rFonts w:ascii="Calibri" w:hAnsi="Calibri" w:cs="Calibri"/>
                  <w:sz w:val="18"/>
                  <w:color w:val="1155CC"/>
                  <w:u w:val="single"/>
                </w:rPr>
                <w:t xml:space="preserve">link.springer.com - FH in premature CAD, Ranchi</w:t>
              </w:r>
            </w:hyperlink>
          </w:p>
          <w:p>
            <w:pPr>
              <w:spacing w:before="60" w:after="40"/>
            </w:pPr>
            <w:r>
              <w:rPr>
                <w:rFonts w:ascii="Calibri" w:hAnsi="Calibri"/>
                <w:b w:val="0"/>
                <w:i w:val="0"/>
                <w:color w:val="5A5A5A"/>
                <w:sz w:val="18"/>
              </w:rPr>
              <w:t>#malerisk  #prematureCAD  #tobacco  #earlyMI</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(pregnancy and post-menopause)</w:t>
            </w:r>
          </w:p>
        </w:tc>
        <w:tc>
          <w:tcPr>
            <w:tcW w:type="dxa" w:w="4276"/>
            <w:vAlign w:val="top"/>
          </w:tcPr>
          <w:p>
            <w:pPr>
              <w:spacing w:after="60" w:line="259" w:lineRule="auto"/>
            </w:pPr>
            <w:r>
              <w:rPr>
                <w:rFonts w:ascii="Calibri" w:hAnsi="Calibri"/>
                <w:b w:val="0"/>
                <w:i w:val="0"/>
                <w:color w:val="212121"/>
                <w:sz w:val="19"/>
              </w:rPr>
              <w:t>Women with FH are relatively protected before menopause but lose that advantage afterwards, when LDL rises further. Pregnancy is a special challenge because statins and most lipid-lowering drugs are usually stopped, leaving the very high LDL untreated for many months.</w:t>
            </w:r>
          </w:p>
          <w:p>
            <w:pPr>
              <w:spacing w:after="40" w:before="60" w:line="259" w:lineRule="auto"/>
            </w:pPr>
            <w:r>
              <w:rPr>
                <w:rFonts w:ascii="Calibri" w:hAnsi="Calibri"/>
                <w:b w:val="0"/>
                <w:i w:val="0"/>
                <w:color w:val="212121"/>
                <w:sz w:val="19"/>
              </w:rPr>
              <w:t>FH LDL levels are markedly elevated lifelong; statins are generally discontinued in pregnancy, so women with FH need pre-pregnancy counselling and close lipid monitoring around childbearing.</w:t>
            </w:r>
          </w:p>
          <w:p>
            <w:pPr>
              <w:spacing w:before="60" w:after="40"/>
            </w:pPr>
            <w:r>
              <w:rPr>
                <w:rFonts w:ascii="Calibri" w:hAnsi="Calibri"/>
                <w:b w:val="0"/>
                <w:i w:val="0"/>
                <w:color w:val="5A5A5A"/>
                <w:sz w:val="18"/>
              </w:rPr>
              <w:t>#menopause  #pregnancy  #statinholiday  #womenshealth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awareness / limited access to testing and newer drugs</w:t>
            </w:r>
          </w:p>
        </w:tc>
        <w:tc>
          <w:tcPr>
            <w:tcW w:type="dxa" w:w="4276"/>
            <w:vAlign w:val="top"/>
          </w:tcPr>
          <w:p>
            <w:pPr>
              <w:spacing w:after="60" w:line="259" w:lineRule="auto"/>
            </w:pPr>
            <w:r>
              <w:rPr>
                <w:rFonts w:ascii="Calibri" w:hAnsi="Calibri"/>
                <w:b w:val="0"/>
                <w:i w:val="0"/>
                <w:color w:val="212121"/>
                <w:sz w:val="19"/>
              </w:rPr>
              <w:t>FH detection depends on lipid screening, genetic testing and family cascade programmes that are scarce and often unaffordable in India; high-cost therapies such as PCSK9 inhibitors, LDL apheresis and evinacumab are out of reach for many, so diagnosis and adequate treatment are delayed.</w:t>
            </w:r>
          </w:p>
          <w:p>
            <w:pPr>
              <w:spacing w:after="40" w:before="60" w:line="259" w:lineRule="auto"/>
            </w:pPr>
            <w:r>
              <w:rPr>
                <w:rFonts w:ascii="Calibri" w:hAnsi="Calibri"/>
                <w:b w:val="0"/>
                <w:i w:val="0"/>
                <w:color w:val="212121"/>
                <w:sz w:val="19"/>
              </w:rPr>
              <w:t>Globally only about 1% of people with FH are diagnosed, and detection and genetic-testing infrastructure in India remain very limited, leaving most families unidentified.</w:t>
            </w:r>
          </w:p>
          <w:p>
            <w:pPr>
              <w:spacing w:after="40" w:line="252" w:lineRule="auto"/>
            </w:pPr>
            <w:hyperlink r:id="rId10">
              <w:r>
                <w:rPr>
                  <w:rFonts w:ascii="Calibri" w:hAnsi="Calibri" w:cs="Calibri"/>
                  <w:sz w:val="18"/>
                  <w:color w:val="1155CC"/>
                  <w:u w:val="single"/>
                </w:rPr>
                <w:t xml:space="preserve">blogs.cdc.gov - how common is FH</w:t>
              </w:r>
            </w:hyperlink>
          </w:p>
          <w:p>
            <w:pPr>
              <w:spacing w:before="60" w:after="40"/>
            </w:pPr>
            <w:r>
              <w:rPr>
                <w:rFonts w:ascii="Calibri" w:hAnsi="Calibri"/>
                <w:b w:val="0"/>
                <w:i w:val="0"/>
                <w:color w:val="5A5A5A"/>
                <w:sz w:val="18"/>
              </w:rPr>
              <w:t>#underdiagnosed  #accesstocare  #geneticstesting  #PCSK9cost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Indian / South Asian phenotype</w:t>
            </w:r>
          </w:p>
        </w:tc>
        <w:tc>
          <w:tcPr>
            <w:tcW w:type="dxa" w:w="4276"/>
            <w:vAlign w:val="top"/>
          </w:tcPr>
          <w:p>
            <w:pPr>
              <w:spacing w:after="60" w:line="259" w:lineRule="auto"/>
            </w:pPr>
            <w:r>
              <w:rPr>
                <w:rFonts w:ascii="Calibri" w:hAnsi="Calibri"/>
                <w:b w:val="0"/>
                <w:i w:val="0"/>
                <w:color w:val="212121"/>
                <w:sz w:val="19"/>
              </w:rPr>
              <w:t>South Asians develop atherosclerosis at younger ages and lower LDL thresholds and carry disproportionately high lipoprotein(a) and apolipoprotein B; layered onto the inherited LDL excess of FH, this makes premature and 'malignant' coronary disease especially common in young Indians with FH.</w:t>
            </w:r>
          </w:p>
          <w:p>
            <w:pPr>
              <w:spacing w:after="40" w:before="60" w:line="259" w:lineRule="auto"/>
            </w:pPr>
            <w:r>
              <w:rPr>
                <w:rFonts w:ascii="Calibri" w:hAnsi="Calibri"/>
                <w:b w:val="0"/>
                <w:i w:val="0"/>
                <w:color w:val="212121"/>
                <w:sz w:val="19"/>
              </w:rPr>
              <w:t>Among Indians with very high LDL cholesterol, about one in five met probable-or-definite FH criteria, and definite FH cases had a mean LDL of roughly 334 mg/dL.</w:t>
            </w:r>
          </w:p>
          <w:p>
            <w:pPr>
              <w:spacing w:after="40" w:line="252" w:lineRule="auto"/>
            </w:pPr>
            <w:hyperlink r:id="rId11">
              <w:r>
                <w:rPr>
                  <w:rFonts w:ascii="Calibri" w:hAnsi="Calibri" w:cs="Calibri"/>
                  <w:sz w:val="18"/>
                  <w:color w:val="1155CC"/>
                  <w:u w:val="single"/>
                </w:rPr>
                <w:t xml:space="preserve">ijmedicine.com - FH prevalence in India (DLCN)</w:t>
              </w:r>
            </w:hyperlink>
          </w:p>
          <w:p>
            <w:pPr>
              <w:spacing w:before="60" w:after="40"/>
            </w:pPr>
            <w:r>
              <w:rPr>
                <w:rFonts w:ascii="Calibri" w:hAnsi="Calibri"/>
                <w:b w:val="0"/>
                <w:i w:val="0"/>
                <w:color w:val="5A5A5A"/>
                <w:sz w:val="18"/>
              </w:rPr>
              <w:t>#SouthAsian  #lipoproteinA  #apoB  #prematureCAD  #highLDL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consanguinity</w:t>
            </w:r>
          </w:p>
        </w:tc>
        <w:tc>
          <w:tcPr>
            <w:tcW w:type="dxa" w:w="2160"/>
            <w:vAlign w:val="top"/>
          </w:tcPr>
          <w:p>
            <w:pPr>
              <w:spacing w:after="40" w:before="0" w:line="259" w:lineRule="auto"/>
            </w:pPr>
            <w:r>
              <w:rPr>
                <w:rFonts w:ascii="Calibri" w:hAnsi="Calibri"/>
                <w:b w:val="0"/>
                <w:i w:val="0"/>
                <w:color w:val="212121"/>
                <w:sz w:val="19"/>
              </w:rPr>
              <w:t>Communities with high consanguineous marriage</w:t>
            </w:r>
          </w:p>
        </w:tc>
        <w:tc>
          <w:tcPr>
            <w:tcW w:type="dxa" w:w="4276"/>
            <w:vAlign w:val="top"/>
          </w:tcPr>
          <w:p>
            <w:pPr>
              <w:spacing w:after="60" w:line="259" w:lineRule="auto"/>
            </w:pPr>
            <w:r>
              <w:rPr>
                <w:rFonts w:ascii="Calibri" w:hAnsi="Calibri"/>
                <w:b w:val="0"/>
                <w:i w:val="0"/>
                <w:color w:val="212121"/>
                <w:sz w:val="19"/>
              </w:rPr>
              <w:t>Where marriage between close relatives is common, two FH carriers are more likely to have children, raising the chance of the severe homozygous form. Homozygous FH presents with xanthomas and coronary or aortic disease in childhood and needs intensive, specialised treatment.</w:t>
            </w:r>
          </w:p>
          <w:p>
            <w:pPr>
              <w:spacing w:after="40" w:before="60" w:line="259" w:lineRule="auto"/>
            </w:pPr>
            <w:r>
              <w:rPr>
                <w:rFonts w:ascii="Calibri" w:hAnsi="Calibri"/>
                <w:b w:val="0"/>
                <w:i w:val="0"/>
                <w:color w:val="212121"/>
                <w:sz w:val="19"/>
              </w:rPr>
              <w:t>Homozygous FH affects roughly 1 in 250,000-360,000 overall but is commoner in high-consanguinity populations; in an Indian cascade-screening series, four children were identified as homozygous and required high-dose statin therapy from childhood.</w:t>
            </w:r>
          </w:p>
          <w:p>
            <w:pPr>
              <w:spacing w:after="40" w:line="252" w:lineRule="auto"/>
            </w:pPr>
            <w:hyperlink r:id="rId12">
              <w:r>
                <w:rPr>
                  <w:rFonts w:ascii="Calibri" w:hAnsi="Calibri" w:cs="Calibri"/>
                  <w:sz w:val="18"/>
                  <w:color w:val="1155CC"/>
                  <w:u w:val="single"/>
                </w:rPr>
                <w:t xml:space="preserve">link.springer.com - FH cascade screening in India</w:t>
              </w:r>
            </w:hyperlink>
          </w:p>
          <w:p>
            <w:pPr>
              <w:spacing w:before="60" w:after="40"/>
            </w:pPr>
            <w:r>
              <w:rPr>
                <w:rFonts w:ascii="Calibri" w:hAnsi="Calibri"/>
                <w:b w:val="0"/>
                <w:i w:val="0"/>
                <w:color w:val="5A5A5A"/>
                <w:sz w:val="18"/>
              </w:rPr>
              <w:t>#consanguinity  #homozygousFH  #childhoodxanthoma  #aorticstenosis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Office/IT workers, homemakers, drivers, elderly</w:t>
            </w:r>
          </w:p>
        </w:tc>
        <w:tc>
          <w:tcPr>
            <w:tcW w:type="dxa" w:w="4276"/>
            <w:vAlign w:val="top"/>
          </w:tcPr>
          <w:p>
            <w:pPr>
              <w:spacing w:after="60" w:line="259" w:lineRule="auto"/>
            </w:pPr>
            <w:r>
              <w:rPr>
                <w:rFonts w:ascii="Calibri" w:hAnsi="Calibri"/>
                <w:b w:val="0"/>
                <w:i w:val="0"/>
                <w:color w:val="212121"/>
                <w:sz w:val="19"/>
              </w:rPr>
              <w:t>Physical inactivity worsens the lipid profile, promotes central weight gain and adds to the cardiovascular risk that is already very high in FH; while exercise cannot normalise the genetically driven LDL, inactivity removes an important protective factor and speeds plaque progression.</w:t>
            </w:r>
          </w:p>
          <w:p>
            <w:pPr>
              <w:spacing w:after="40" w:before="60" w:line="259" w:lineRule="auto"/>
            </w:pPr>
            <w:r>
              <w:rPr>
                <w:rFonts w:ascii="Calibri" w:hAnsi="Calibri"/>
                <w:b w:val="0"/>
                <w:i w:val="0"/>
                <w:color w:val="212121"/>
                <w:sz w:val="19"/>
              </w:rPr>
              <w:t>Activity and weight control are essential adjuncts in FH, but they lower LDL only modestly; drug therapy remains necessary because the LDL elevation is genetic.</w:t>
            </w:r>
          </w:p>
          <w:p>
            <w:pPr>
              <w:spacing w:before="60" w:after="40"/>
            </w:pPr>
            <w:r>
              <w:rPr>
                <w:rFonts w:ascii="Calibri" w:hAnsi="Calibri"/>
                <w:b w:val="0"/>
                <w:i w:val="0"/>
                <w:color w:val="5A5A5A"/>
                <w:sz w:val="18"/>
              </w:rPr>
              <w:t>#sedentary  #deskjob  #adjuncttherapy  #plaqueprogression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and bidi smokers, tobacco users</w:t>
            </w:r>
          </w:p>
        </w:tc>
        <w:tc>
          <w:tcPr>
            <w:tcW w:type="dxa" w:w="4276"/>
            <w:vAlign w:val="top"/>
          </w:tcPr>
          <w:p>
            <w:pPr>
              <w:spacing w:after="60" w:line="259" w:lineRule="auto"/>
            </w:pPr>
            <w:r>
              <w:rPr>
                <w:rFonts w:ascii="Calibri" w:hAnsi="Calibri"/>
                <w:b w:val="0"/>
                <w:i w:val="0"/>
                <w:color w:val="212121"/>
                <w:sz w:val="19"/>
              </w:rPr>
              <w:t>Tobacco is one of the most dangerous exposures in FH: it oxidises LDL, lowers protective HDL and damages the endothelium, multiplying the already extreme atherosclerotic risk and bringing coronary events forward by years. Smoking status is a key risk-stratifier that pushes FH patients into the very-high-risk category.</w:t>
            </w:r>
          </w:p>
          <w:p>
            <w:pPr>
              <w:spacing w:after="40" w:before="60" w:line="259" w:lineRule="auto"/>
            </w:pPr>
            <w:r>
              <w:rPr>
                <w:rFonts w:ascii="Calibri" w:hAnsi="Calibri"/>
                <w:b w:val="0"/>
                <w:i w:val="0"/>
                <w:color w:val="212121"/>
                <w:sz w:val="19"/>
              </w:rPr>
              <w:t>Smoking markedly amplifies the coronary risk of FH; FH cohorts show high rates of premature coronary disease, and tobacco use is a major, fully modifiable accelerant.</w:t>
            </w:r>
          </w:p>
          <w:p>
            <w:pPr>
              <w:spacing w:before="60" w:after="40"/>
            </w:pPr>
            <w:r>
              <w:rPr>
                <w:rFonts w:ascii="Calibri" w:hAnsi="Calibri"/>
                <w:b w:val="0"/>
                <w:i w:val="0"/>
                <w:color w:val="5A5A5A"/>
                <w:sz w:val="18"/>
              </w:rPr>
              <w:t>#smoking  #tobacco  #bidi  #oxidisedLDL  #veryhighrisk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and heavy drinkers</w:t>
            </w:r>
          </w:p>
        </w:tc>
        <w:tc>
          <w:tcPr>
            <w:tcW w:type="dxa" w:w="4276"/>
            <w:vAlign w:val="top"/>
          </w:tcPr>
          <w:p>
            <w:pPr>
              <w:spacing w:after="60" w:line="259" w:lineRule="auto"/>
            </w:pPr>
            <w:r>
              <w:rPr>
                <w:rFonts w:ascii="Calibri" w:hAnsi="Calibri"/>
                <w:b w:val="0"/>
                <w:i w:val="0"/>
                <w:color w:val="212121"/>
                <w:sz w:val="19"/>
              </w:rPr>
              <w:t>Alcohol chiefly raises triglycerides rather than LDL, but heavy intake worsens the overall atherogenic profile, adds liver strain that complicates statin therapy, and undermines weight and adherence - all detrimental against the high baseline risk of FH.</w:t>
            </w:r>
          </w:p>
          <w:p>
            <w:pPr>
              <w:spacing w:after="40" w:before="60" w:line="259" w:lineRule="auto"/>
            </w:pPr>
            <w:r>
              <w:rPr>
                <w:rFonts w:ascii="Calibri" w:hAnsi="Calibri"/>
                <w:b w:val="0"/>
                <w:i w:val="0"/>
                <w:color w:val="212121"/>
                <w:sz w:val="19"/>
              </w:rPr>
              <w:t>Alcohol does not lower the inherited LDL of FH; heavy use worsens triglycerides, liver status and cardiovascular risk in an already high-risk group.</w:t>
            </w:r>
          </w:p>
          <w:p>
            <w:pPr>
              <w:spacing w:before="60" w:after="40"/>
            </w:pPr>
            <w:r>
              <w:rPr>
                <w:rFonts w:ascii="Calibri" w:hAnsi="Calibri"/>
                <w:b w:val="0"/>
                <w:i w:val="0"/>
                <w:color w:val="5A5A5A"/>
                <w:sz w:val="18"/>
              </w:rPr>
              <w:t>#alcohol  #triglycerides  #liver  #statinsafety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or centrally obese adults (Asian-Indian BMI &gt;= 23)</w:t>
            </w:r>
          </w:p>
        </w:tc>
        <w:tc>
          <w:tcPr>
            <w:tcW w:type="dxa" w:w="4276"/>
            <w:vAlign w:val="top"/>
          </w:tcPr>
          <w:p>
            <w:pPr>
              <w:spacing w:after="60" w:line="259" w:lineRule="auto"/>
            </w:pPr>
            <w:r>
              <w:rPr>
                <w:rFonts w:ascii="Calibri" w:hAnsi="Calibri"/>
                <w:b w:val="0"/>
                <w:i w:val="0"/>
                <w:color w:val="212121"/>
                <w:sz w:val="19"/>
              </w:rPr>
              <w:t>Excess weight and central adiposity add insulin resistance and increased apolipoprotein-B lipoprotein production on top of the inherited LDL excess, generating small dense LDL and higher non-HDL cholesterol; Indians reach this metabolic risk at lower BMI than Western populations.</w:t>
            </w:r>
          </w:p>
          <w:p>
            <w:pPr>
              <w:spacing w:after="40" w:before="60" w:line="259" w:lineRule="auto"/>
            </w:pPr>
            <w:r>
              <w:rPr>
                <w:rFonts w:ascii="Calibri" w:hAnsi="Calibri"/>
                <w:b w:val="0"/>
                <w:i w:val="0"/>
                <w:color w:val="212121"/>
                <w:sz w:val="19"/>
              </w:rPr>
              <w:t>Asian-Indian cut-offs classify overweight at BMI &gt;= 23 and abdominal obesity at waist M &gt;= 90 cm, F &gt;= 80 cm - thresholds at which added metabolic risk compounds FH.</w:t>
            </w:r>
          </w:p>
          <w:p>
            <w:pPr>
              <w:spacing w:after="40" w:line="252" w:lineRule="auto"/>
            </w:pPr>
            <w:hyperlink r:id="rId12">
              <w:r>
                <w:rPr>
                  <w:rFonts w:ascii="Calibri" w:hAnsi="Calibri" w:cs="Calibri"/>
                  <w:sz w:val="18"/>
                  <w:color w:val="1155CC"/>
                  <w:u w:val="single"/>
                </w:rPr>
                <w:t xml:space="preserve">link.springer.com - FH in India context</w:t>
              </w:r>
            </w:hyperlink>
          </w:p>
          <w:p>
            <w:pPr>
              <w:spacing w:before="60" w:after="40"/>
            </w:pPr>
            <w:r>
              <w:rPr>
                <w:rFonts w:ascii="Calibri" w:hAnsi="Calibri"/>
                <w:b w:val="0"/>
                <w:i w:val="0"/>
                <w:color w:val="5A5A5A"/>
                <w:sz w:val="18"/>
              </w:rPr>
              <w:t>#obesity  #asianBMI  #insulinresistance  #nonHDL</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saturated-fat, fried and trans-fat diets</w:t>
            </w:r>
          </w:p>
        </w:tc>
        <w:tc>
          <w:tcPr>
            <w:tcW w:type="dxa" w:w="4276"/>
            <w:vAlign w:val="top"/>
          </w:tcPr>
          <w:p>
            <w:pPr>
              <w:spacing w:after="60" w:line="259" w:lineRule="auto"/>
            </w:pPr>
            <w:r>
              <w:rPr>
                <w:rFonts w:ascii="Calibri" w:hAnsi="Calibri"/>
                <w:b w:val="0"/>
                <w:i w:val="0"/>
                <w:color w:val="212121"/>
                <w:sz w:val="19"/>
              </w:rPr>
              <w:t>Saturated fat (ghee, coconut oil, fatty meat, full-fat dairy), industrial trans fats (vanaspati in bakery, sweets and deep-fried street foods) and dietary cholesterol further raise LDL on top of the genetic defect; trans fats also lower HDL, worsening the balance. Diet cannot correct FH but strongly influences how high LDL runs.</w:t>
            </w:r>
          </w:p>
          <w:p>
            <w:pPr>
              <w:spacing w:after="40" w:before="60" w:line="259" w:lineRule="auto"/>
            </w:pPr>
            <w:r>
              <w:rPr>
                <w:rFonts w:ascii="Calibri" w:hAnsi="Calibri"/>
                <w:b w:val="0"/>
                <w:i w:val="0"/>
                <w:color w:val="212121"/>
                <w:sz w:val="19"/>
              </w:rPr>
              <w:t>Dietary saturated and trans fat add to the already very high LDL of FH; reducing them is a core adjunct, though medication is required to reach LDL targets.</w:t>
            </w:r>
          </w:p>
          <w:p>
            <w:pPr>
              <w:spacing w:before="60" w:after="40"/>
            </w:pPr>
            <w:r>
              <w:rPr>
                <w:rFonts w:ascii="Calibri" w:hAnsi="Calibri"/>
                <w:b w:val="0"/>
                <w:i w:val="0"/>
                <w:color w:val="5A5A5A"/>
                <w:sz w:val="18"/>
              </w:rPr>
              <w:t>#saturatedfat  #transfat  #vanaspati  #friedfood  #dietarycholesterol</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an FH patient</w:t>
            </w:r>
          </w:p>
        </w:tc>
        <w:tc>
          <w:tcPr>
            <w:tcW w:type="dxa" w:w="4276"/>
            <w:vAlign w:val="top"/>
          </w:tcPr>
          <w:p>
            <w:pPr>
              <w:spacing w:after="60" w:line="259" w:lineRule="auto"/>
            </w:pPr>
            <w:r>
              <w:rPr>
                <w:rFonts w:ascii="Calibri" w:hAnsi="Calibri"/>
                <w:b w:val="0"/>
                <w:i w:val="0"/>
                <w:color w:val="212121"/>
                <w:sz w:val="19"/>
              </w:rPr>
              <w:t>FH is autosomal dominant, so each parent, sibling and child of a person with FH has about a 50% chance of carrying the same mutation and lifelong high LDL. A family history of very high cholesterol or of early heart attack is the single strongest pointer, and cascade screening of relatives is the highest-yield way to find new cases.</w:t>
            </w:r>
          </w:p>
          <w:p>
            <w:pPr>
              <w:spacing w:after="40" w:before="60" w:line="259" w:lineRule="auto"/>
            </w:pPr>
            <w:r>
              <w:rPr>
                <w:rFonts w:ascii="Calibri" w:hAnsi="Calibri"/>
                <w:b w:val="0"/>
                <w:i w:val="0"/>
                <w:color w:val="212121"/>
                <w:sz w:val="19"/>
              </w:rPr>
              <w:t>In an Indian cascade-screening programme, 88 of 133 tested relatives (66.1%) of FH probands carried the family mutation, and 83.3% of a high-LDL FH-enriched cohort had a family history of premature coronary disease.</w:t>
            </w:r>
          </w:p>
          <w:p>
            <w:pPr>
              <w:spacing w:after="40" w:line="252" w:lineRule="auto"/>
            </w:pPr>
            <w:hyperlink r:id="rId12">
              <w:r>
                <w:rPr>
                  <w:rFonts w:ascii="Calibri" w:hAnsi="Calibri" w:cs="Calibri"/>
                  <w:sz w:val="18"/>
                  <w:color w:val="1155CC"/>
                  <w:u w:val="single"/>
                </w:rPr>
                <w:t xml:space="preserve">link.springer.com - FH cascade screening in India</w:t>
              </w:r>
            </w:hyperlink>
          </w:p>
          <w:p>
            <w:pPr>
              <w:spacing w:before="60" w:after="40"/>
            </w:pPr>
            <w:r>
              <w:rPr>
                <w:rFonts w:ascii="Calibri" w:hAnsi="Calibri"/>
                <w:b w:val="0"/>
                <w:i w:val="0"/>
                <w:color w:val="5A5A5A"/>
                <w:sz w:val="18"/>
              </w:rPr>
              <w:t>#autosomaldominant  #cascadescreening  #familyhistory  #firstdegreerelatives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 mutation carriers</w:t>
            </w:r>
          </w:p>
        </w:tc>
        <w:tc>
          <w:tcPr>
            <w:tcW w:type="dxa" w:w="2160"/>
            <w:vAlign w:val="top"/>
          </w:tcPr>
          <w:p>
            <w:pPr>
              <w:spacing w:after="40" w:before="0" w:line="259" w:lineRule="auto"/>
            </w:pPr>
            <w:r>
              <w:rPr>
                <w:rFonts w:ascii="Calibri" w:hAnsi="Calibri"/>
                <w:b w:val="0"/>
                <w:i w:val="0"/>
                <w:color w:val="212121"/>
                <w:sz w:val="19"/>
              </w:rPr>
              <w:t>LDLR / APOB / PCSK9 variant carriers</w:t>
            </w:r>
          </w:p>
        </w:tc>
        <w:tc>
          <w:tcPr>
            <w:tcW w:type="dxa" w:w="4276"/>
            <w:vAlign w:val="top"/>
          </w:tcPr>
          <w:p>
            <w:pPr>
              <w:spacing w:after="60" w:line="259" w:lineRule="auto"/>
            </w:pPr>
            <w:r>
              <w:rPr>
                <w:rFonts w:ascii="Calibri" w:hAnsi="Calibri"/>
                <w:b w:val="0"/>
                <w:i w:val="0"/>
                <w:color w:val="212121"/>
                <w:sz w:val="19"/>
              </w:rPr>
              <w:t>The specific mutation shapes severity: most FH is due to LDL-receptor (LDLR) defects, with APOB and PCSK9 variants less common; LDLR-negative and homozygous genotypes produce the highest LDL and earliest disease and respond less to standard statins, guiding the need for add-on and specialised therapy.</w:t>
            </w:r>
          </w:p>
          <w:p>
            <w:pPr>
              <w:spacing w:after="40" w:before="60" w:line="259" w:lineRule="auto"/>
            </w:pPr>
            <w:r>
              <w:rPr>
                <w:rFonts w:ascii="Calibri" w:hAnsi="Calibri"/>
                <w:b w:val="0"/>
                <w:i w:val="0"/>
                <w:color w:val="212121"/>
                <w:sz w:val="19"/>
              </w:rPr>
              <w:t>More than 1,700 LDLR variants have been described; in an Indian FH cohort, pathogenic variants were identified in the LDLR gene (exons 3 and 4), consistent with LDLR being the predominant cause.</w:t>
            </w:r>
          </w:p>
          <w:p>
            <w:pPr>
              <w:spacing w:after="40" w:line="252" w:lineRule="auto"/>
            </w:pPr>
            <w:hyperlink r:id="rId13">
              <w:r>
                <w:rPr>
                  <w:rFonts w:ascii="Calibri" w:hAnsi="Calibri" w:cs="Calibri"/>
                  <w:sz w:val="18"/>
                  <w:color w:val="1155CC"/>
                  <w:u w:val="single"/>
                </w:rPr>
                <w:t xml:space="preserve">pubmed.ncbi.nlm.nih.gov/33864011 - LDLR/PCSK9 variants in Indian FH</w:t>
              </w:r>
            </w:hyperlink>
          </w:p>
          <w:p>
            <w:pPr>
              <w:spacing w:before="60" w:after="40"/>
            </w:pPr>
            <w:r>
              <w:rPr>
                <w:rFonts w:ascii="Calibri" w:hAnsi="Calibri"/>
                <w:b w:val="0"/>
                <w:i w:val="0"/>
                <w:color w:val="5A5A5A"/>
                <w:sz w:val="18"/>
              </w:rPr>
              <w:t>#LDLR  #APOB  #PCSK9  #genetictesting  #mutationseverity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Established coronary artery disease</w:t>
            </w:r>
          </w:p>
        </w:tc>
        <w:tc>
          <w:tcPr>
            <w:tcW w:type="dxa" w:w="2160"/>
            <w:vAlign w:val="top"/>
          </w:tcPr>
          <w:p>
            <w:pPr>
              <w:spacing w:after="40" w:before="0" w:line="259" w:lineRule="auto"/>
            </w:pPr>
            <w:r>
              <w:rPr>
                <w:rFonts w:ascii="Calibri" w:hAnsi="Calibri"/>
                <w:b w:val="0"/>
                <w:i w:val="0"/>
                <w:color w:val="212121"/>
                <w:sz w:val="19"/>
              </w:rPr>
              <w:t>FH patients with prior MI or angina</w:t>
            </w:r>
          </w:p>
        </w:tc>
        <w:tc>
          <w:tcPr>
            <w:tcW w:type="dxa" w:w="4276"/>
            <w:vAlign w:val="top"/>
          </w:tcPr>
          <w:p>
            <w:pPr>
              <w:spacing w:after="60" w:line="259" w:lineRule="auto"/>
            </w:pPr>
            <w:r>
              <w:rPr>
                <w:rFonts w:ascii="Calibri" w:hAnsi="Calibri"/>
                <w:b w:val="0"/>
                <w:i w:val="0"/>
                <w:color w:val="212121"/>
                <w:sz w:val="19"/>
              </w:rPr>
              <w:t>FH that has already caused coronary disease marks the very-high or extreme-risk category, where the most aggressive LDL lowering (often to &lt; 55 mg/dL) and combination therapy are needed; recurrent events are common if LDL is not driven down.</w:t>
            </w:r>
          </w:p>
          <w:p>
            <w:pPr>
              <w:spacing w:after="40" w:before="60" w:line="259" w:lineRule="auto"/>
            </w:pPr>
            <w:r>
              <w:rPr>
                <w:rFonts w:ascii="Calibri" w:hAnsi="Calibri"/>
                <w:b w:val="0"/>
                <w:i w:val="0"/>
                <w:color w:val="212121"/>
                <w:sz w:val="19"/>
              </w:rPr>
              <w:t>In Indian premature-CAD patients, definite-or-probable FH accounted for about 23.5% of cases, showing how often FH underlies early, established coronary disease.</w:t>
            </w:r>
          </w:p>
          <w:p>
            <w:pPr>
              <w:spacing w:after="40" w:line="252" w:lineRule="auto"/>
            </w:pPr>
            <w:hyperlink r:id="rId9">
              <w:r>
                <w:rPr>
                  <w:rFonts w:ascii="Calibri" w:hAnsi="Calibri" w:cs="Calibri"/>
                  <w:sz w:val="18"/>
                  <w:color w:val="1155CC"/>
                  <w:u w:val="single"/>
                </w:rPr>
                <w:t xml:space="preserve">link.springer.com - FH in premature CAD, Ranchi</w:t>
              </w:r>
            </w:hyperlink>
          </w:p>
          <w:p>
            <w:pPr>
              <w:spacing w:before="60" w:after="40"/>
            </w:pPr>
            <w:r>
              <w:rPr>
                <w:rFonts w:ascii="Calibri" w:hAnsi="Calibri"/>
                <w:b w:val="0"/>
                <w:i w:val="0"/>
                <w:color w:val="5A5A5A"/>
                <w:sz w:val="18"/>
              </w:rPr>
              <w:t>#establishedCAD  #extremerisk  #secondaryprevention  #recurrentevents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Elevated lipoprotein(a)</w:t>
            </w:r>
          </w:p>
        </w:tc>
        <w:tc>
          <w:tcPr>
            <w:tcW w:type="dxa" w:w="2160"/>
            <w:vAlign w:val="top"/>
          </w:tcPr>
          <w:p>
            <w:pPr>
              <w:spacing w:after="40" w:before="0" w:line="259" w:lineRule="auto"/>
            </w:pPr>
            <w:r>
              <w:rPr>
                <w:rFonts w:ascii="Calibri" w:hAnsi="Calibri"/>
                <w:b w:val="0"/>
                <w:i w:val="0"/>
                <w:color w:val="212121"/>
                <w:sz w:val="19"/>
              </w:rPr>
              <w:t>FH patients with high Lp(a)</w:t>
            </w:r>
          </w:p>
        </w:tc>
        <w:tc>
          <w:tcPr>
            <w:tcW w:type="dxa" w:w="4276"/>
            <w:vAlign w:val="top"/>
          </w:tcPr>
          <w:p>
            <w:pPr>
              <w:spacing w:after="60" w:line="259" w:lineRule="auto"/>
            </w:pPr>
            <w:r>
              <w:rPr>
                <w:rFonts w:ascii="Calibri" w:hAnsi="Calibri"/>
                <w:b w:val="0"/>
                <w:i w:val="0"/>
                <w:color w:val="212121"/>
                <w:sz w:val="19"/>
              </w:rPr>
              <w:t>Lipoprotein(a) is an inherited, cholesterol-rich atherogenic particle that is common in South Asians and frequently co-inherited with FH; when both are present the cardiovascular risk is multiplicative and helps explain particularly aggressive, premature coronary disease.</w:t>
            </w:r>
          </w:p>
          <w:p>
            <w:pPr>
              <w:spacing w:after="40" w:before="60" w:line="259" w:lineRule="auto"/>
            </w:pPr>
            <w:r>
              <w:rPr>
                <w:rFonts w:ascii="Calibri" w:hAnsi="Calibri"/>
                <w:b w:val="0"/>
                <w:i w:val="0"/>
                <w:color w:val="212121"/>
                <w:sz w:val="19"/>
              </w:rPr>
              <w:t>Elevated lipoprotein(a) is disproportionately common in South Asians and, layered on FH, substantially compounds premature atherosclerotic risk; measuring Lp(a) at least once is advised.</w:t>
            </w:r>
          </w:p>
          <w:p>
            <w:pPr>
              <w:spacing w:before="60" w:after="40"/>
            </w:pPr>
            <w:r>
              <w:rPr>
                <w:rFonts w:ascii="Calibri" w:hAnsi="Calibri"/>
                <w:b w:val="0"/>
                <w:i w:val="0"/>
                <w:color w:val="5A5A5A"/>
                <w:sz w:val="18"/>
              </w:rPr>
              <w:t>#lipoproteinA  #SouthAsian  #multiplicativerisk  #prematureCAD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Hypothyroidism</w:t>
            </w:r>
          </w:p>
        </w:tc>
        <w:tc>
          <w:tcPr>
            <w:tcW w:type="dxa" w:w="2160"/>
            <w:vAlign w:val="top"/>
          </w:tcPr>
          <w:p>
            <w:pPr>
              <w:spacing w:after="40" w:before="0" w:line="259" w:lineRule="auto"/>
            </w:pPr>
            <w:r>
              <w:rPr>
                <w:rFonts w:ascii="Calibri" w:hAnsi="Calibri"/>
                <w:b w:val="0"/>
                <w:i w:val="0"/>
                <w:color w:val="212121"/>
                <w:sz w:val="19"/>
              </w:rPr>
              <w:t>FH patients with untreated hypothyroidism</w:t>
            </w:r>
          </w:p>
        </w:tc>
        <w:tc>
          <w:tcPr>
            <w:tcW w:type="dxa" w:w="4276"/>
            <w:vAlign w:val="top"/>
          </w:tcPr>
          <w:p>
            <w:pPr>
              <w:spacing w:after="60" w:line="259" w:lineRule="auto"/>
            </w:pPr>
            <w:r>
              <w:rPr>
                <w:rFonts w:ascii="Calibri" w:hAnsi="Calibri"/>
                <w:b w:val="0"/>
                <w:i w:val="0"/>
                <w:color w:val="212121"/>
                <w:sz w:val="19"/>
              </w:rPr>
              <w:t>Hypothyroidism reduces LDL-receptor activity and raises PCSK9, pushing LDL even higher and mimicking or worsening FH; it must be excluded and corrected before attributing severe hypercholesterolemia purely to the genetic disorder, as treating the thyroid improves the lipid profile.</w:t>
            </w:r>
          </w:p>
          <w:p>
            <w:pPr>
              <w:spacing w:after="40" w:before="60" w:line="259" w:lineRule="auto"/>
            </w:pPr>
            <w:r>
              <w:rPr>
                <w:rFonts w:ascii="Calibri" w:hAnsi="Calibri"/>
                <w:b w:val="0"/>
                <w:i w:val="0"/>
                <w:color w:val="212121"/>
                <w:sz w:val="19"/>
              </w:rPr>
              <w:t>Hypothyroidism is a common, reversible secondary cause of very high LDL and should be screened for (TSH) in anyone with severe hypercholesterolemia before or alongside an FH diagnosis.</w:t>
            </w:r>
          </w:p>
          <w:p>
            <w:pPr>
              <w:spacing w:before="60" w:after="40"/>
            </w:pPr>
            <w:r>
              <w:rPr>
                <w:rFonts w:ascii="Calibri" w:hAnsi="Calibri"/>
                <w:b w:val="0"/>
                <w:i w:val="0"/>
                <w:color w:val="5A5A5A"/>
                <w:sz w:val="18"/>
              </w:rPr>
              <w:t>#hypothyroidism  #secondarycause  #TSH  #LDLreceptor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 / metabolic syndrome</w:t>
            </w:r>
          </w:p>
        </w:tc>
        <w:tc>
          <w:tcPr>
            <w:tcW w:type="dxa" w:w="2160"/>
            <w:vAlign w:val="top"/>
          </w:tcPr>
          <w:p>
            <w:pPr>
              <w:spacing w:after="40" w:before="0" w:line="259" w:lineRule="auto"/>
            </w:pPr>
            <w:r>
              <w:rPr>
                <w:rFonts w:ascii="Calibri" w:hAnsi="Calibri"/>
                <w:b w:val="0"/>
                <w:i w:val="0"/>
                <w:color w:val="212121"/>
                <w:sz w:val="19"/>
              </w:rPr>
              <w:t>FH patients with diabetes or insulin resistance</w:t>
            </w:r>
          </w:p>
        </w:tc>
        <w:tc>
          <w:tcPr>
            <w:tcW w:type="dxa" w:w="4276"/>
            <w:vAlign w:val="top"/>
          </w:tcPr>
          <w:p>
            <w:pPr>
              <w:spacing w:after="60" w:line="259" w:lineRule="auto"/>
            </w:pPr>
            <w:r>
              <w:rPr>
                <w:rFonts w:ascii="Calibri" w:hAnsi="Calibri"/>
                <w:b w:val="0"/>
                <w:i w:val="0"/>
                <w:color w:val="212121"/>
                <w:sz w:val="19"/>
              </w:rPr>
              <w:t>Coexisting diabetes and metabolic syndrome add small dense LDL, high triglycerides and low HDL to the inherited LDL excess, magnify cardiovascular risk and mandate the strictest LDL targets; diabetes also interacts with statin therapy and monitoring.</w:t>
            </w:r>
          </w:p>
          <w:p>
            <w:pPr>
              <w:spacing w:after="40" w:before="60" w:line="259" w:lineRule="auto"/>
            </w:pPr>
            <w:r>
              <w:rPr>
                <w:rFonts w:ascii="Calibri" w:hAnsi="Calibri"/>
                <w:b w:val="0"/>
                <w:i w:val="0"/>
                <w:color w:val="212121"/>
                <w:sz w:val="19"/>
              </w:rPr>
              <w:t>Diabetes places FH patients firmly in the very-high-risk category, requiring LDL goals typically &lt; 70 mg/dL or &lt; 55 mg/dL and careful combined metabolic management.</w:t>
            </w:r>
          </w:p>
          <w:p>
            <w:pPr>
              <w:spacing w:before="60" w:after="40"/>
            </w:pPr>
            <w:r>
              <w:rPr>
                <w:rFonts w:ascii="Calibri" w:hAnsi="Calibri"/>
                <w:b w:val="0"/>
                <w:i w:val="0"/>
                <w:color w:val="5A5A5A"/>
                <w:sz w:val="18"/>
              </w:rPr>
              <w:t>#diabetes  #metabolicsyndrome  #smalldenseLDL  #veryhighrisk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aerobic activity and weight control modestly improve the lipid profile and lower overall cardiovascular risk but cannot normalise the genetically driven LDL of FH; they are important adjuncts to, not substitutes for, drug therapy.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Saturated fat, industrial trans fats (vanaspati) and dietary cholesterol add substantially to the already very high LDL of FH, while fibre, plant sterols, nuts and unsaturated oils help lower it; diet is a core adjunct although medication is required to reach targets.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Short and poor-quality sleep are weakly associated with higher LDL and worse cardiometabolic health, but have only a minor effect against the large genetic LDL excess in FH.</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is one of the most dangerous exposures in FH - it oxidises LDL, lowers HDL and damages the endothelium, multiplying an already extreme atherosclerotic risk and bringing coronary events forward; cessation is essential.</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chiefly raises triglycerides rather than LDL, but heavy intake worsens the overall atherogenic profile, strains the liver (complicating statin use) and undermines adherence in a high-risk group.</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FH requires lifelong daily medication from a young age; stress, depression and anxiety reduce adherence and promote unhealthy behaviours, so psychological support materially affects long-term LDL control and outcomes.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metabolism but has no established direct effect on LDL cholesterol or on the course of FH.</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Filtered coffee is largely lipid-neutral, but unfiltered or boiled coffee (decoction-style, French press, Turkish) contains cafestol and kahweol that modestly raise LDL, adding to the FH burden in heavy consumers.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LDL cholesterol (mg/dL)</w:t>
            </w:r>
          </w:p>
        </w:tc>
        <w:tc>
          <w:tcPr>
            <w:tcW w:type="dxa" w:w="1655"/>
            <w:vAlign w:val="top"/>
          </w:tcPr>
          <w:p>
            <w:pPr>
              <w:spacing w:after="40" w:before="0" w:line="259" w:lineRule="auto"/>
            </w:pPr>
            <w:r>
              <w:rPr>
                <w:rFonts w:ascii="Calibri" w:hAnsi="Calibri"/>
                <w:b w:val="0"/>
                <w:i w:val="0"/>
                <w:color w:val="212121"/>
                <w:sz w:val="19"/>
              </w:rPr>
              <w:t>FH adults, children, high-risk</w:t>
            </w:r>
          </w:p>
        </w:tc>
        <w:tc>
          <w:tcPr>
            <w:tcW w:type="dxa" w:w="1512"/>
            <w:vAlign w:val="top"/>
          </w:tcPr>
          <w:p>
            <w:pPr>
              <w:spacing w:after="40" w:before="0" w:line="259" w:lineRule="auto"/>
            </w:pPr>
            <w:r>
              <w:rPr>
                <w:rFonts w:ascii="Calibri" w:hAnsi="Calibri"/>
                <w:b w:val="0"/>
                <w:i w:val="0"/>
                <w:color w:val="212121"/>
                <w:sz w:val="19"/>
              </w:rPr>
              <w:t>Treatment goal &lt; 100 mg/dL (&lt; 70 or &lt; 55 if high/very-high risk)</w:t>
            </w:r>
          </w:p>
        </w:tc>
        <w:tc>
          <w:tcPr>
            <w:tcW w:type="dxa" w:w="1512"/>
            <w:vAlign w:val="top"/>
          </w:tcPr>
          <w:p>
            <w:pPr>
              <w:spacing w:after="40" w:before="0" w:line="259" w:lineRule="auto"/>
            </w:pPr>
            <w:r>
              <w:rPr>
                <w:rFonts w:ascii="Calibri" w:hAnsi="Calibri"/>
                <w:b w:val="0"/>
                <w:i w:val="0"/>
                <w:color w:val="212121"/>
                <w:sz w:val="19"/>
              </w:rPr>
              <w:t>Untreated &gt;= 190 adult; &gt;= 160 child; &gt; 400 suggests homozygous FH</w:t>
            </w:r>
          </w:p>
        </w:tc>
        <w:tc>
          <w:tcPr>
            <w:tcW w:type="dxa" w:w="1468"/>
            <w:vAlign w:val="top"/>
          </w:tcPr>
          <w:p>
            <w:pPr>
              <w:spacing w:after="60" w:line="259" w:lineRule="auto"/>
            </w:pPr>
            <w:r>
              <w:rPr>
                <w:rFonts w:ascii="Calibri" w:hAnsi="Calibri"/>
                <w:b w:val="0"/>
                <w:i w:val="0"/>
                <w:color w:val="212121"/>
                <w:sz w:val="19"/>
              </w:rPr>
              <w:t>Primary target; FH LDL is genetically elevated from birth and needs drug therapy</w:t>
            </w:r>
          </w:p>
          <w:p>
            <w:pPr>
              <w:spacing w:after="40" w:line="252" w:lineRule="auto"/>
            </w:pPr>
            <w:hyperlink r:id="rId14">
              <w:r>
                <w:rPr>
                  <w:rFonts w:ascii="Calibri" w:hAnsi="Calibri" w:cs="Calibri"/>
                  <w:sz w:val="18"/>
                  <w:color w:val="1155CC"/>
                  <w:u w:val="single"/>
                </w:rPr>
                <w:t xml:space="preserve">https://my.clevelandclinic.org/health/diseases/22067-familial-hypercholesterolemia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cholesterol (mg/dL)</w:t>
            </w:r>
          </w:p>
        </w:tc>
        <w:tc>
          <w:tcPr>
            <w:tcW w:type="dxa" w:w="1655"/>
            <w:vAlign w:val="top"/>
          </w:tcPr>
          <w:p>
            <w:pPr>
              <w:spacing w:after="40" w:before="0" w:line="259" w:lineRule="auto"/>
            </w:pPr>
            <w:r>
              <w:rPr>
                <w:rFonts w:ascii="Calibri" w:hAnsi="Calibri"/>
                <w:b w:val="0"/>
                <w:i w:val="0"/>
                <w:color w:val="212121"/>
                <w:sz w:val="19"/>
              </w:rPr>
              <w:t>FH adults</w:t>
            </w:r>
          </w:p>
        </w:tc>
        <w:tc>
          <w:tcPr>
            <w:tcW w:type="dxa" w:w="1512"/>
            <w:vAlign w:val="top"/>
          </w:tcPr>
          <w:p>
            <w:pPr>
              <w:spacing w:after="40" w:before="0" w:line="259" w:lineRule="auto"/>
            </w:pPr>
            <w:r>
              <w:rPr>
                <w:rFonts w:ascii="Calibri" w:hAnsi="Calibri"/>
                <w:b w:val="0"/>
                <w:i w:val="0"/>
                <w:color w:val="212121"/>
                <w:sz w:val="19"/>
              </w:rPr>
              <w:t>&lt; 200 mg/dL (on treatment)</w:t>
            </w:r>
          </w:p>
        </w:tc>
        <w:tc>
          <w:tcPr>
            <w:tcW w:type="dxa" w:w="1512"/>
            <w:vAlign w:val="top"/>
          </w:tcPr>
          <w:p>
            <w:pPr>
              <w:spacing w:after="40" w:before="0" w:line="259" w:lineRule="auto"/>
            </w:pPr>
            <w:r>
              <w:rPr>
                <w:rFonts w:ascii="Calibri" w:hAnsi="Calibri"/>
                <w:b w:val="0"/>
                <w:i w:val="0"/>
                <w:color w:val="212121"/>
                <w:sz w:val="19"/>
              </w:rPr>
              <w:t>Untreated &gt;= 290 mg/dL</w:t>
            </w:r>
          </w:p>
        </w:tc>
        <w:tc>
          <w:tcPr>
            <w:tcW w:type="dxa" w:w="1468"/>
            <w:vAlign w:val="top"/>
          </w:tcPr>
          <w:p>
            <w:pPr>
              <w:spacing w:after="60" w:line="259" w:lineRule="auto"/>
            </w:pPr>
            <w:r>
              <w:rPr>
                <w:rFonts w:ascii="Calibri" w:hAnsi="Calibri"/>
                <w:b w:val="0"/>
                <w:i w:val="0"/>
                <w:color w:val="212121"/>
                <w:sz w:val="19"/>
              </w:rPr>
              <w:t>Supports FH suspicion under Simon Broome criteria</w:t>
            </w:r>
          </w:p>
          <w:p>
            <w:pPr>
              <w:spacing w:after="40" w:line="252" w:lineRule="auto"/>
            </w:pPr>
            <w:hyperlink r:id="rId15">
              <w:r>
                <w:rPr>
                  <w:rFonts w:ascii="Calibri" w:hAnsi="Calibri" w:cs="Calibri"/>
                  <w:sz w:val="18"/>
                  <w:color w:val="1155CC"/>
                  <w:u w:val="single"/>
                </w:rPr>
                <w:t xml:space="preserve">https://www.ncbi.nlm.nih.gov/books/NBK362539/table/T17/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Non-HDL cholesterol (mg/dL)</w:t>
            </w:r>
          </w:p>
        </w:tc>
        <w:tc>
          <w:tcPr>
            <w:tcW w:type="dxa" w:w="1655"/>
            <w:vAlign w:val="top"/>
          </w:tcPr>
          <w:p>
            <w:pPr>
              <w:spacing w:after="40" w:before="0" w:line="259" w:lineRule="auto"/>
            </w:pPr>
            <w:r>
              <w:rPr>
                <w:rFonts w:ascii="Calibri" w:hAnsi="Calibri"/>
                <w:b w:val="0"/>
                <w:i w:val="0"/>
                <w:color w:val="212121"/>
                <w:sz w:val="19"/>
              </w:rPr>
              <w:t>FH with diabetes/high TG</w:t>
            </w:r>
          </w:p>
        </w:tc>
        <w:tc>
          <w:tcPr>
            <w:tcW w:type="dxa" w:w="1512"/>
            <w:vAlign w:val="top"/>
          </w:tcPr>
          <w:p>
            <w:pPr>
              <w:spacing w:after="40" w:before="0" w:line="259" w:lineRule="auto"/>
            </w:pPr>
            <w:r>
              <w:rPr>
                <w:rFonts w:ascii="Calibri" w:hAnsi="Calibri"/>
                <w:b w:val="0"/>
                <w:i w:val="0"/>
                <w:color w:val="212121"/>
                <w:sz w:val="19"/>
              </w:rPr>
              <w:t>&lt; 130 mg/dL (lower if very-high risk)</w:t>
            </w:r>
          </w:p>
        </w:tc>
        <w:tc>
          <w:tcPr>
            <w:tcW w:type="dxa" w:w="1512"/>
            <w:vAlign w:val="top"/>
          </w:tcPr>
          <w:p>
            <w:pPr>
              <w:spacing w:after="40" w:before="0" w:line="259" w:lineRule="auto"/>
            </w:pPr>
            <w:r>
              <w:rPr>
                <w:rFonts w:ascii="Calibri" w:hAnsi="Calibri"/>
                <w:b w:val="0"/>
                <w:i w:val="0"/>
                <w:color w:val="212121"/>
                <w:sz w:val="19"/>
              </w:rPr>
              <w:t>&gt;= 130 mg/dL</w:t>
            </w:r>
          </w:p>
        </w:tc>
        <w:tc>
          <w:tcPr>
            <w:tcW w:type="dxa" w:w="1468"/>
            <w:vAlign w:val="top"/>
          </w:tcPr>
          <w:p>
            <w:pPr>
              <w:spacing w:after="40" w:before="0" w:line="259" w:lineRule="auto"/>
            </w:pPr>
            <w:r>
              <w:rPr>
                <w:rFonts w:ascii="Calibri" w:hAnsi="Calibri"/>
                <w:b w:val="0"/>
                <w:i w:val="0"/>
                <w:color w:val="212121"/>
                <w:sz w:val="19"/>
              </w:rPr>
              <w:t>Captures all atherogenic particles; useful co-target in Indians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Apolipoprotein B / Lipoprotein(a)</w:t>
            </w:r>
          </w:p>
        </w:tc>
        <w:tc>
          <w:tcPr>
            <w:tcW w:type="dxa" w:w="1655"/>
            <w:vAlign w:val="top"/>
          </w:tcPr>
          <w:p>
            <w:pPr>
              <w:spacing w:after="40" w:before="0" w:line="259" w:lineRule="auto"/>
            </w:pPr>
            <w:r>
              <w:rPr>
                <w:rFonts w:ascii="Calibri" w:hAnsi="Calibri"/>
                <w:b w:val="0"/>
                <w:i w:val="0"/>
                <w:color w:val="212121"/>
                <w:sz w:val="19"/>
              </w:rPr>
              <w:t>FH, South Asians, premature CAD</w:t>
            </w:r>
          </w:p>
        </w:tc>
        <w:tc>
          <w:tcPr>
            <w:tcW w:type="dxa" w:w="1512"/>
            <w:vAlign w:val="top"/>
          </w:tcPr>
          <w:p>
            <w:pPr>
              <w:spacing w:after="40" w:before="0" w:line="259" w:lineRule="auto"/>
            </w:pPr>
            <w:r>
              <w:rPr>
                <w:rFonts w:ascii="Calibri" w:hAnsi="Calibri"/>
                <w:b w:val="0"/>
                <w:i w:val="0"/>
                <w:color w:val="212121"/>
                <w:sz w:val="19"/>
              </w:rPr>
              <w:t>ApoB &lt; 90 mg/dL; Lp(a) &lt; 30 mg/dL</w:t>
            </w:r>
          </w:p>
        </w:tc>
        <w:tc>
          <w:tcPr>
            <w:tcW w:type="dxa" w:w="1512"/>
            <w:vAlign w:val="top"/>
          </w:tcPr>
          <w:p>
            <w:pPr>
              <w:spacing w:after="40" w:before="0" w:line="259" w:lineRule="auto"/>
            </w:pPr>
            <w:r>
              <w:rPr>
                <w:rFonts w:ascii="Calibri" w:hAnsi="Calibri"/>
                <w:b w:val="0"/>
                <w:i w:val="0"/>
                <w:color w:val="212121"/>
                <w:sz w:val="19"/>
              </w:rPr>
              <w:t>ApoB raised; Lp(a) &gt;= 50 mg/dL</w:t>
            </w:r>
          </w:p>
        </w:tc>
        <w:tc>
          <w:tcPr>
            <w:tcW w:type="dxa" w:w="1468"/>
            <w:vAlign w:val="top"/>
          </w:tcPr>
          <w:p>
            <w:pPr>
              <w:spacing w:after="40" w:before="0" w:line="259" w:lineRule="auto"/>
            </w:pPr>
            <w:r>
              <w:rPr>
                <w:rFonts w:ascii="Calibri" w:hAnsi="Calibri"/>
                <w:b w:val="0"/>
                <w:i w:val="0"/>
                <w:color w:val="212121"/>
                <w:sz w:val="19"/>
              </w:rPr>
              <w:t>Refine risk; Lp(a) is often co-inherited and multiplies FH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saturated fat (% of energy)</w:t>
            </w:r>
          </w:p>
        </w:tc>
        <w:tc>
          <w:tcPr>
            <w:tcW w:type="dxa" w:w="1655"/>
            <w:vAlign w:val="top"/>
          </w:tcPr>
          <w:p>
            <w:pPr>
              <w:spacing w:after="40" w:before="0" w:line="259" w:lineRule="auto"/>
            </w:pPr>
            <w:r>
              <w:rPr>
                <w:rFonts w:ascii="Calibri" w:hAnsi="Calibri"/>
                <w:b w:val="0"/>
                <w:i w:val="0"/>
                <w:color w:val="212121"/>
                <w:sz w:val="19"/>
              </w:rPr>
              <w:t>FH adults and children</w:t>
            </w:r>
          </w:p>
        </w:tc>
        <w:tc>
          <w:tcPr>
            <w:tcW w:type="dxa" w:w="1512"/>
            <w:vAlign w:val="top"/>
          </w:tcPr>
          <w:p>
            <w:pPr>
              <w:spacing w:after="40" w:before="0" w:line="259" w:lineRule="auto"/>
            </w:pPr>
            <w:r>
              <w:rPr>
                <w:rFonts w:ascii="Calibri" w:hAnsi="Calibri"/>
                <w:b w:val="0"/>
                <w:i w:val="0"/>
                <w:color w:val="212121"/>
                <w:sz w:val="19"/>
              </w:rPr>
              <w:t>&lt; 7-10% of energy</w:t>
            </w:r>
          </w:p>
        </w:tc>
        <w:tc>
          <w:tcPr>
            <w:tcW w:type="dxa" w:w="1512"/>
            <w:vAlign w:val="top"/>
          </w:tcPr>
          <w:p>
            <w:pPr>
              <w:spacing w:after="40" w:before="0" w:line="259" w:lineRule="auto"/>
            </w:pPr>
            <w:r>
              <w:rPr>
                <w:rFonts w:ascii="Calibri" w:hAnsi="Calibri"/>
                <w:b w:val="0"/>
                <w:i w:val="0"/>
                <w:color w:val="212121"/>
                <w:sz w:val="19"/>
              </w:rPr>
              <w:t>&gt; 10% of energy</w:t>
            </w:r>
          </w:p>
        </w:tc>
        <w:tc>
          <w:tcPr>
            <w:tcW w:type="dxa" w:w="1468"/>
            <w:vAlign w:val="top"/>
          </w:tcPr>
          <w:p>
            <w:pPr>
              <w:spacing w:after="40" w:before="0" w:line="259" w:lineRule="auto"/>
            </w:pPr>
            <w:r>
              <w:rPr>
                <w:rFonts w:ascii="Calibri" w:hAnsi="Calibri"/>
                <w:b w:val="0"/>
                <w:i w:val="0"/>
                <w:color w:val="212121"/>
                <w:sz w:val="19"/>
              </w:rPr>
              <w:t>Reducing saturated/trans fat lowers LDL as an adjunct to drugs</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FH 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40" w:before="0" w:line="259" w:lineRule="auto"/>
            </w:pPr>
            <w:r>
              <w:rPr>
                <w:rFonts w:ascii="Calibri" w:hAnsi="Calibri"/>
                <w:b w:val="0"/>
                <w:i w:val="0"/>
                <w:color w:val="212121"/>
                <w:sz w:val="19"/>
              </w:rPr>
              <w:t>Asian-Indian cut-offs; excess weight adds atherogenic lipoproteins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FH adults</w:t>
            </w:r>
          </w:p>
        </w:tc>
        <w:tc>
          <w:tcPr>
            <w:tcW w:type="dxa" w:w="1512"/>
            <w:vAlign w:val="top"/>
          </w:tcPr>
          <w:p>
            <w:pPr>
              <w:spacing w:after="40" w:before="0" w:line="259" w:lineRule="auto"/>
            </w:pPr>
            <w:r>
              <w:rPr>
                <w:rFonts w:ascii="Calibri" w:hAnsi="Calibri"/>
                <w:b w:val="0"/>
                <w:i w:val="0"/>
                <w:color w:val="212121"/>
                <w:sz w:val="19"/>
              </w:rPr>
              <w:t>M &lt; 90; F &lt; 80 cm</w:t>
            </w:r>
          </w:p>
        </w:tc>
        <w:tc>
          <w:tcPr>
            <w:tcW w:type="dxa" w:w="1512"/>
            <w:vAlign w:val="top"/>
          </w:tcPr>
          <w:p>
            <w:pPr>
              <w:spacing w:after="40" w:before="0" w:line="259" w:lineRule="auto"/>
            </w:pPr>
            <w:r>
              <w:rPr>
                <w:rFonts w:ascii="Calibri" w:hAnsi="Calibri"/>
                <w:b w:val="0"/>
                <w:i w:val="0"/>
                <w:color w:val="212121"/>
                <w:sz w:val="19"/>
              </w:rPr>
              <w:t>M &gt;= 90; F &gt;= 80 cm</w:t>
            </w:r>
          </w:p>
        </w:tc>
        <w:tc>
          <w:tcPr>
            <w:tcW w:type="dxa" w:w="1468"/>
            <w:vAlign w:val="top"/>
          </w:tcPr>
          <w:p>
            <w:pPr>
              <w:spacing w:after="40" w:before="0" w:line="259" w:lineRule="auto"/>
            </w:pPr>
            <w:r>
              <w:rPr>
                <w:rFonts w:ascii="Calibri" w:hAnsi="Calibri"/>
                <w:b w:val="0"/>
                <w:i w:val="0"/>
                <w:color w:val="212121"/>
                <w:sz w:val="19"/>
              </w:rPr>
              <w:t>Central obesity (Indian cut-off) compounds FH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Aerobic activity (minutes/week)</w:t>
            </w:r>
          </w:p>
        </w:tc>
        <w:tc>
          <w:tcPr>
            <w:tcW w:type="dxa" w:w="1655"/>
            <w:vAlign w:val="top"/>
          </w:tcPr>
          <w:p>
            <w:pPr>
              <w:spacing w:after="40" w:before="0" w:line="259" w:lineRule="auto"/>
            </w:pPr>
            <w:r>
              <w:rPr>
                <w:rFonts w:ascii="Calibri" w:hAnsi="Calibri"/>
                <w:b w:val="0"/>
                <w:i w:val="0"/>
                <w:color w:val="212121"/>
                <w:sz w:val="19"/>
              </w:rPr>
              <w:t>FH adults</w:t>
            </w:r>
          </w:p>
        </w:tc>
        <w:tc>
          <w:tcPr>
            <w:tcW w:type="dxa" w:w="1512"/>
            <w:vAlign w:val="top"/>
          </w:tcPr>
          <w:p>
            <w:pPr>
              <w:spacing w:after="40" w:before="0" w:line="259" w:lineRule="auto"/>
            </w:pPr>
            <w:r>
              <w:rPr>
                <w:rFonts w:ascii="Calibri" w:hAnsi="Calibri"/>
                <w:b w:val="0"/>
                <w:i w:val="0"/>
                <w:color w:val="212121"/>
                <w:sz w:val="19"/>
              </w:rPr>
              <w:t>&gt;= 150 min/week moderate</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Adjunct that lowers overall cardiovascular risk in FH</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FH adolescents, adults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40" w:before="0" w:line="259" w:lineRule="auto"/>
            </w:pPr>
            <w:r>
              <w:rPr>
                <w:rFonts w:ascii="Calibri" w:hAnsi="Calibri"/>
                <w:b w:val="0"/>
                <w:i w:val="0"/>
                <w:color w:val="212121"/>
                <w:sz w:val="19"/>
              </w:rPr>
              <w:t>Any tobacco dramatically accelerates FH atherosclerosis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FH adults</w:t>
            </w:r>
          </w:p>
        </w:tc>
        <w:tc>
          <w:tcPr>
            <w:tcW w:type="dxa" w:w="1512"/>
            <w:vAlign w:val="top"/>
          </w:tcPr>
          <w:p>
            <w:pPr>
              <w:spacing w:after="40" w:before="0" w:line="259" w:lineRule="auto"/>
            </w:pPr>
            <w:r>
              <w:rPr>
                <w:rFonts w:ascii="Calibri" w:hAnsi="Calibri"/>
                <w:b w:val="0"/>
                <w:i w:val="0"/>
                <w:color w:val="212121"/>
                <w:sz w:val="19"/>
              </w:rPr>
              <w:t>None to minimal</w:t>
            </w:r>
          </w:p>
        </w:tc>
        <w:tc>
          <w:tcPr>
            <w:tcW w:type="dxa" w:w="1512"/>
            <w:vAlign w:val="top"/>
          </w:tcPr>
          <w:p>
            <w:pPr>
              <w:spacing w:after="40" w:before="0" w:line="259" w:lineRule="auto"/>
            </w:pPr>
            <w:r>
              <w:rPr>
                <w:rFonts w:ascii="Calibri" w:hAnsi="Calibri"/>
                <w:b w:val="0"/>
                <w:i w:val="0"/>
                <w:color w:val="212121"/>
                <w:sz w:val="19"/>
              </w:rPr>
              <w:t>Heavy / binge intake</w:t>
            </w:r>
          </w:p>
        </w:tc>
        <w:tc>
          <w:tcPr>
            <w:tcW w:type="dxa" w:w="1468"/>
            <w:vAlign w:val="top"/>
          </w:tcPr>
          <w:p>
            <w:pPr>
              <w:spacing w:after="40" w:before="0" w:line="259" w:lineRule="auto"/>
            </w:pPr>
            <w:r>
              <w:rPr>
                <w:rFonts w:ascii="Calibri" w:hAnsi="Calibri"/>
                <w:b w:val="0"/>
                <w:i w:val="0"/>
                <w:color w:val="212121"/>
                <w:sz w:val="19"/>
              </w:rPr>
              <w:t>Raises triglycerides and strains the liver during statin therapy</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Unfiltered/boiled coffee (cups/day)</w:t>
            </w:r>
          </w:p>
        </w:tc>
        <w:tc>
          <w:tcPr>
            <w:tcW w:type="dxa" w:w="1655"/>
            <w:vAlign w:val="top"/>
          </w:tcPr>
          <w:p>
            <w:pPr>
              <w:spacing w:after="40" w:before="0" w:line="259" w:lineRule="auto"/>
            </w:pPr>
            <w:r>
              <w:rPr>
                <w:rFonts w:ascii="Calibri" w:hAnsi="Calibri"/>
                <w:b w:val="0"/>
                <w:i w:val="0"/>
                <w:color w:val="212121"/>
                <w:sz w:val="19"/>
              </w:rPr>
              <w:t>Heavy unfiltered-coffee drinkers</w:t>
            </w:r>
          </w:p>
        </w:tc>
        <w:tc>
          <w:tcPr>
            <w:tcW w:type="dxa" w:w="1512"/>
            <w:vAlign w:val="top"/>
          </w:tcPr>
          <w:p>
            <w:pPr>
              <w:spacing w:after="40" w:before="0" w:line="259" w:lineRule="auto"/>
            </w:pPr>
            <w:r>
              <w:rPr>
                <w:rFonts w:ascii="Calibri" w:hAnsi="Calibri"/>
                <w:b w:val="0"/>
                <w:i w:val="0"/>
                <w:color w:val="212121"/>
                <w:sz w:val="19"/>
              </w:rPr>
              <w:t>Prefer filtered coffee</w:t>
            </w:r>
          </w:p>
        </w:tc>
        <w:tc>
          <w:tcPr>
            <w:tcW w:type="dxa" w:w="1512"/>
            <w:vAlign w:val="top"/>
          </w:tcPr>
          <w:p>
            <w:pPr>
              <w:spacing w:after="40" w:before="0" w:line="259" w:lineRule="auto"/>
            </w:pPr>
            <w:r>
              <w:rPr>
                <w:rFonts w:ascii="Calibri" w:hAnsi="Calibri"/>
                <w:b w:val="0"/>
                <w:i w:val="0"/>
                <w:color w:val="212121"/>
                <w:sz w:val="19"/>
              </w:rPr>
              <w:t>Frequent unfiltered/boiled coffee</w:t>
            </w:r>
          </w:p>
        </w:tc>
        <w:tc>
          <w:tcPr>
            <w:tcW w:type="dxa" w:w="1468"/>
            <w:vAlign w:val="top"/>
          </w:tcPr>
          <w:p>
            <w:pPr>
              <w:spacing w:after="40" w:before="0" w:line="259" w:lineRule="auto"/>
            </w:pPr>
            <w:r>
              <w:rPr>
                <w:rFonts w:ascii="Calibri" w:hAnsi="Calibri"/>
                <w:b w:val="0"/>
                <w:i w:val="0"/>
                <w:color w:val="212121"/>
                <w:sz w:val="19"/>
              </w:rPr>
              <w:t>Cafestol/kahweol modestly raise LDL, adding to the FH burden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LDL Cholesterol</w:t>
            </w:r>
          </w:p>
        </w:tc>
        <w:tc>
          <w:tcPr>
            <w:tcW w:type="dxa" w:w="892"/>
            <w:vAlign w:val="top"/>
          </w:tcPr>
          <w:p>
            <w:pPr>
              <w:spacing w:after="40" w:before="0" w:line="259" w:lineRule="auto"/>
            </w:pPr>
            <w:r>
              <w:rPr>
                <w:rFonts w:ascii="Calibri" w:hAnsi="Calibri"/>
                <w:b w:val="0"/>
                <w:i w:val="0"/>
                <w:color w:val="212121"/>
                <w:sz w:val="16"/>
              </w:rPr>
              <w:t>Fasting Lipid Profile</w:t>
            </w:r>
          </w:p>
        </w:tc>
        <w:tc>
          <w:tcPr>
            <w:tcW w:type="dxa" w:w="950"/>
            <w:vAlign w:val="top"/>
          </w:tcPr>
          <w:p>
            <w:pPr>
              <w:spacing w:after="40" w:before="0" w:line="259" w:lineRule="auto"/>
            </w:pPr>
            <w:r>
              <w:rPr>
                <w:rFonts w:ascii="Calibri" w:hAnsi="Calibri"/>
                <w:b w:val="0"/>
                <w:i w:val="0"/>
                <w:color w:val="212121"/>
                <w:sz w:val="16"/>
              </w:rPr>
              <w:t>&lt; 100 mg/dL</w:t>
            </w:r>
          </w:p>
        </w:tc>
        <w:tc>
          <w:tcPr>
            <w:tcW w:type="dxa" w:w="950"/>
            <w:vAlign w:val="top"/>
          </w:tcPr>
          <w:p>
            <w:pPr>
              <w:spacing w:after="40" w:before="0" w:line="259" w:lineRule="auto"/>
            </w:pPr>
            <w:r>
              <w:rPr>
                <w:rFonts w:ascii="Calibri" w:hAnsi="Calibri"/>
                <w:b w:val="0"/>
                <w:i w:val="0"/>
                <w:color w:val="212121"/>
                <w:sz w:val="16"/>
              </w:rPr>
              <w:t>&gt;= 190 adult; &gt;= 160 child; &gt; 400 suggests HoFH</w:t>
            </w:r>
          </w:p>
        </w:tc>
        <w:tc>
          <w:tcPr>
            <w:tcW w:type="dxa" w:w="1036"/>
            <w:vAlign w:val="top"/>
          </w:tcPr>
          <w:p>
            <w:pPr>
              <w:spacing w:after="40" w:before="0" w:line="259" w:lineRule="auto"/>
            </w:pPr>
            <w:r>
              <w:rPr>
                <w:rFonts w:ascii="Calibri" w:hAnsi="Calibri"/>
                <w:b w:val="0"/>
                <w:i w:val="0"/>
                <w:color w:val="212121"/>
                <w:sz w:val="16"/>
              </w:rPr>
              <w:t>Primary diagnostic and treatment parameter; very high untreated LDL is the hallmark of FH</w:t>
            </w:r>
          </w:p>
        </w:tc>
        <w:tc>
          <w:tcPr>
            <w:tcW w:type="dxa" w:w="1036"/>
            <w:vAlign w:val="top"/>
          </w:tcPr>
          <w:p>
            <w:pPr>
              <w:spacing w:after="40" w:before="0" w:line="259" w:lineRule="auto"/>
            </w:pPr>
            <w:r>
              <w:rPr>
                <w:rFonts w:ascii="Calibri" w:hAnsi="Calibri"/>
                <w:b w:val="0"/>
                <w:i w:val="0"/>
                <w:color w:val="212121"/>
                <w:sz w:val="16"/>
              </w:rPr>
              <w:t>Suspected FH, family members, premature CAD</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Friedewald calculation invalid if triglycerides &gt; 400 mg/dL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Total Cholesterol</w:t>
            </w:r>
          </w:p>
        </w:tc>
        <w:tc>
          <w:tcPr>
            <w:tcW w:type="dxa" w:w="892"/>
            <w:vAlign w:val="top"/>
          </w:tcPr>
          <w:p>
            <w:pPr>
              <w:spacing w:after="40" w:before="0" w:line="259" w:lineRule="auto"/>
            </w:pPr>
            <w:r>
              <w:rPr>
                <w:rFonts w:ascii="Calibri" w:hAnsi="Calibri"/>
                <w:b w:val="0"/>
                <w:i w:val="0"/>
                <w:color w:val="212121"/>
                <w:sz w:val="16"/>
              </w:rPr>
              <w:t>Fasting Lipid Profile</w:t>
            </w:r>
          </w:p>
        </w:tc>
        <w:tc>
          <w:tcPr>
            <w:tcW w:type="dxa" w:w="950"/>
            <w:vAlign w:val="top"/>
          </w:tcPr>
          <w:p>
            <w:pPr>
              <w:spacing w:after="40" w:before="0" w:line="259" w:lineRule="auto"/>
            </w:pPr>
            <w:r>
              <w:rPr>
                <w:rFonts w:ascii="Calibri" w:hAnsi="Calibri"/>
                <w:b w:val="0"/>
                <w:i w:val="0"/>
                <w:color w:val="212121"/>
                <w:sz w:val="16"/>
              </w:rPr>
              <w:t>&lt; 200 mg/dL</w:t>
            </w:r>
          </w:p>
        </w:tc>
        <w:tc>
          <w:tcPr>
            <w:tcW w:type="dxa" w:w="950"/>
            <w:vAlign w:val="top"/>
          </w:tcPr>
          <w:p>
            <w:pPr>
              <w:spacing w:after="40" w:before="0" w:line="259" w:lineRule="auto"/>
            </w:pPr>
            <w:r>
              <w:rPr>
                <w:rFonts w:ascii="Calibri" w:hAnsi="Calibri"/>
                <w:b w:val="0"/>
                <w:i w:val="0"/>
                <w:color w:val="212121"/>
                <w:sz w:val="16"/>
              </w:rPr>
              <w:t>&gt;= 290 mg/dL untreated</w:t>
            </w:r>
          </w:p>
        </w:tc>
        <w:tc>
          <w:tcPr>
            <w:tcW w:type="dxa" w:w="1036"/>
            <w:vAlign w:val="top"/>
          </w:tcPr>
          <w:p>
            <w:pPr>
              <w:spacing w:after="40" w:before="0" w:line="259" w:lineRule="auto"/>
            </w:pPr>
            <w:r>
              <w:rPr>
                <w:rFonts w:ascii="Calibri" w:hAnsi="Calibri"/>
                <w:b w:val="0"/>
                <w:i w:val="0"/>
                <w:color w:val="212121"/>
                <w:sz w:val="16"/>
              </w:rPr>
              <w:t>Supports FH under Simon Broome/DLCN scoring</w:t>
            </w:r>
          </w:p>
        </w:tc>
        <w:tc>
          <w:tcPr>
            <w:tcW w:type="dxa" w:w="1036"/>
            <w:vAlign w:val="top"/>
          </w:tcPr>
          <w:p>
            <w:pPr>
              <w:spacing w:after="40" w:before="0" w:line="259" w:lineRule="auto"/>
            </w:pPr>
            <w:r>
              <w:rPr>
                <w:rFonts w:ascii="Calibri" w:hAnsi="Calibri"/>
                <w:b w:val="0"/>
                <w:i w:val="0"/>
                <w:color w:val="212121"/>
                <w:sz w:val="16"/>
              </w:rPr>
              <w:t>Suspected FH, cascade-screened relatives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Non-fasting acceptable for initial screening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Non-HDL Cholesterol / HDL</w:t>
            </w:r>
          </w:p>
        </w:tc>
        <w:tc>
          <w:tcPr>
            <w:tcW w:type="dxa" w:w="892"/>
            <w:vAlign w:val="top"/>
          </w:tcPr>
          <w:p>
            <w:pPr>
              <w:spacing w:after="40" w:before="0" w:line="259" w:lineRule="auto"/>
            </w:pPr>
            <w:r>
              <w:rPr>
                <w:rFonts w:ascii="Calibri" w:hAnsi="Calibri"/>
                <w:b w:val="0"/>
                <w:i w:val="0"/>
                <w:color w:val="212121"/>
                <w:sz w:val="16"/>
              </w:rPr>
              <w:t>Fasting Lipid Profile</w:t>
            </w:r>
          </w:p>
        </w:tc>
        <w:tc>
          <w:tcPr>
            <w:tcW w:type="dxa" w:w="950"/>
            <w:vAlign w:val="top"/>
          </w:tcPr>
          <w:p>
            <w:pPr>
              <w:spacing w:after="40" w:before="0" w:line="259" w:lineRule="auto"/>
            </w:pPr>
            <w:r>
              <w:rPr>
                <w:rFonts w:ascii="Calibri" w:hAnsi="Calibri"/>
                <w:b w:val="0"/>
                <w:i w:val="0"/>
                <w:color w:val="212121"/>
                <w:sz w:val="16"/>
              </w:rPr>
              <w:t>Non-HDL &lt; 130; HDL M &gt;= 40, F &gt;= 50 mg/dL</w:t>
            </w:r>
          </w:p>
        </w:tc>
        <w:tc>
          <w:tcPr>
            <w:tcW w:type="dxa" w:w="950"/>
            <w:vAlign w:val="top"/>
          </w:tcPr>
          <w:p>
            <w:pPr>
              <w:spacing w:after="40" w:before="0" w:line="259" w:lineRule="auto"/>
            </w:pPr>
            <w:r>
              <w:rPr>
                <w:rFonts w:ascii="Calibri" w:hAnsi="Calibri"/>
                <w:b w:val="0"/>
                <w:i w:val="0"/>
                <w:color w:val="212121"/>
                <w:sz w:val="16"/>
              </w:rPr>
              <w:t>Non-HDL &gt;= 130; low HDL</w:t>
            </w:r>
          </w:p>
        </w:tc>
        <w:tc>
          <w:tcPr>
            <w:tcW w:type="dxa" w:w="1036"/>
            <w:vAlign w:val="top"/>
          </w:tcPr>
          <w:p>
            <w:pPr>
              <w:spacing w:after="40" w:before="0" w:line="259" w:lineRule="auto"/>
            </w:pPr>
            <w:r>
              <w:rPr>
                <w:rFonts w:ascii="Calibri" w:hAnsi="Calibri"/>
                <w:b w:val="0"/>
                <w:i w:val="0"/>
                <w:color w:val="212121"/>
                <w:sz w:val="16"/>
              </w:rPr>
              <w:t>Captures all atherogenic particles; low HDL is common in the Indian pattern</w:t>
            </w:r>
          </w:p>
        </w:tc>
        <w:tc>
          <w:tcPr>
            <w:tcW w:type="dxa" w:w="1036"/>
            <w:vAlign w:val="top"/>
          </w:tcPr>
          <w:p>
            <w:pPr>
              <w:spacing w:after="40" w:before="0" w:line="259" w:lineRule="auto"/>
            </w:pPr>
            <w:r>
              <w:rPr>
                <w:rFonts w:ascii="Calibri" w:hAnsi="Calibri"/>
                <w:b w:val="0"/>
                <w:i w:val="0"/>
                <w:color w:val="212121"/>
                <w:sz w:val="16"/>
              </w:rPr>
              <w:t>FH with diabetes/metabolic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Useful co-target when triglycerides are raised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Apolipoprotein B / Lipoprotein(a)</w:t>
            </w:r>
          </w:p>
        </w:tc>
        <w:tc>
          <w:tcPr>
            <w:tcW w:type="dxa" w:w="892"/>
            <w:vAlign w:val="top"/>
          </w:tcPr>
          <w:p>
            <w:pPr>
              <w:spacing w:after="40" w:before="0" w:line="259" w:lineRule="auto"/>
            </w:pPr>
            <w:r>
              <w:rPr>
                <w:rFonts w:ascii="Calibri" w:hAnsi="Calibri"/>
                <w:b w:val="0"/>
                <w:i w:val="0"/>
                <w:color w:val="212121"/>
                <w:sz w:val="16"/>
              </w:rPr>
              <w:t>Advanced lipid testing</w:t>
            </w:r>
          </w:p>
        </w:tc>
        <w:tc>
          <w:tcPr>
            <w:tcW w:type="dxa" w:w="950"/>
            <w:vAlign w:val="top"/>
          </w:tcPr>
          <w:p>
            <w:pPr>
              <w:spacing w:after="40" w:before="0" w:line="259" w:lineRule="auto"/>
            </w:pPr>
            <w:r>
              <w:rPr>
                <w:rFonts w:ascii="Calibri" w:hAnsi="Calibri"/>
                <w:b w:val="0"/>
                <w:i w:val="0"/>
                <w:color w:val="212121"/>
                <w:sz w:val="16"/>
              </w:rPr>
              <w:t>ApoB &lt; 90 mg/dL; Lp(a) &lt; 30 mg/dL</w:t>
            </w:r>
          </w:p>
        </w:tc>
        <w:tc>
          <w:tcPr>
            <w:tcW w:type="dxa" w:w="950"/>
            <w:vAlign w:val="top"/>
          </w:tcPr>
          <w:p>
            <w:pPr>
              <w:spacing w:after="40" w:before="0" w:line="259" w:lineRule="auto"/>
            </w:pPr>
            <w:r>
              <w:rPr>
                <w:rFonts w:ascii="Calibri" w:hAnsi="Calibri"/>
                <w:b w:val="0"/>
                <w:i w:val="0"/>
                <w:color w:val="212121"/>
                <w:sz w:val="16"/>
              </w:rPr>
              <w:t>ApoB raised; Lp(a) &gt;= 50 mg/dL</w:t>
            </w:r>
          </w:p>
        </w:tc>
        <w:tc>
          <w:tcPr>
            <w:tcW w:type="dxa" w:w="1036"/>
            <w:vAlign w:val="top"/>
          </w:tcPr>
          <w:p>
            <w:pPr>
              <w:spacing w:after="40" w:before="0" w:line="259" w:lineRule="auto"/>
            </w:pPr>
            <w:r>
              <w:rPr>
                <w:rFonts w:ascii="Calibri" w:hAnsi="Calibri"/>
                <w:b w:val="0"/>
                <w:i w:val="0"/>
                <w:color w:val="212121"/>
                <w:sz w:val="16"/>
              </w:rPr>
              <w:t>Refine risk; Lp(a) is often co-inherited and multiplies FH cardiovascular risk</w:t>
            </w:r>
          </w:p>
        </w:tc>
        <w:tc>
          <w:tcPr>
            <w:tcW w:type="dxa" w:w="1036"/>
            <w:vAlign w:val="top"/>
          </w:tcPr>
          <w:p>
            <w:pPr>
              <w:spacing w:after="40" w:before="0" w:line="259" w:lineRule="auto"/>
            </w:pPr>
            <w:r>
              <w:rPr>
                <w:rFonts w:ascii="Calibri" w:hAnsi="Calibri"/>
                <w:b w:val="0"/>
                <w:i w:val="0"/>
                <w:color w:val="212121"/>
                <w:sz w:val="16"/>
              </w:rPr>
              <w:t>South Asians, premature CAD, all FH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Measure Lp(a) at least once in a lifetime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LDLR / APOB / PCSK9 (and LDLRAP1) analysis</w:t>
            </w:r>
          </w:p>
        </w:tc>
        <w:tc>
          <w:tcPr>
            <w:tcW w:type="dxa" w:w="892"/>
            <w:vAlign w:val="top"/>
          </w:tcPr>
          <w:p>
            <w:pPr>
              <w:spacing w:after="40" w:before="0" w:line="259" w:lineRule="auto"/>
            </w:pPr>
            <w:r>
              <w:rPr>
                <w:rFonts w:ascii="Calibri" w:hAnsi="Calibri"/>
                <w:b w:val="0"/>
                <w:i w:val="0"/>
                <w:color w:val="212121"/>
                <w:sz w:val="16"/>
              </w:rPr>
              <w:t>FH gene panel</w:t>
            </w:r>
          </w:p>
        </w:tc>
        <w:tc>
          <w:tcPr>
            <w:tcW w:type="dxa" w:w="950"/>
            <w:vAlign w:val="top"/>
          </w:tcPr>
          <w:p>
            <w:pPr>
              <w:spacing w:after="40" w:before="0" w:line="259" w:lineRule="auto"/>
            </w:pPr>
            <w:r>
              <w:rPr>
                <w:rFonts w:ascii="Calibri" w:hAnsi="Calibri"/>
                <w:b w:val="0"/>
                <w:i w:val="0"/>
                <w:color w:val="212121"/>
                <w:sz w:val="16"/>
              </w:rPr>
              <w:t>No pathogenic variant</w:t>
            </w:r>
          </w:p>
        </w:tc>
        <w:tc>
          <w:tcPr>
            <w:tcW w:type="dxa" w:w="950"/>
            <w:vAlign w:val="top"/>
          </w:tcPr>
          <w:p>
            <w:pPr>
              <w:spacing w:after="40" w:before="0" w:line="259" w:lineRule="auto"/>
            </w:pPr>
            <w:r>
              <w:rPr>
                <w:rFonts w:ascii="Calibri" w:hAnsi="Calibri"/>
                <w:b w:val="0"/>
                <w:i w:val="0"/>
                <w:color w:val="212121"/>
                <w:sz w:val="16"/>
              </w:rPr>
              <w:t>Pathogenic LDLR/APOB/PCSK9 variant (LDLRAP1 if recessive)</w:t>
            </w:r>
          </w:p>
        </w:tc>
        <w:tc>
          <w:tcPr>
            <w:tcW w:type="dxa" w:w="1036"/>
            <w:vAlign w:val="top"/>
          </w:tcPr>
          <w:p>
            <w:pPr>
              <w:spacing w:after="40" w:before="0" w:line="259" w:lineRule="auto"/>
            </w:pPr>
            <w:r>
              <w:rPr>
                <w:rFonts w:ascii="Calibri" w:hAnsi="Calibri"/>
                <w:b w:val="0"/>
                <w:i w:val="0"/>
                <w:color w:val="212121"/>
                <w:sz w:val="16"/>
              </w:rPr>
              <w:t>Confirms FH, defines severity and enables family cascade screening</w:t>
            </w:r>
          </w:p>
        </w:tc>
        <w:tc>
          <w:tcPr>
            <w:tcW w:type="dxa" w:w="1036"/>
            <w:vAlign w:val="top"/>
          </w:tcPr>
          <w:p>
            <w:pPr>
              <w:spacing w:after="40" w:before="0" w:line="259" w:lineRule="auto"/>
            </w:pPr>
            <w:r>
              <w:rPr>
                <w:rFonts w:ascii="Calibri" w:hAnsi="Calibri"/>
                <w:b w:val="0"/>
                <w:i w:val="0"/>
                <w:color w:val="212121"/>
                <w:sz w:val="16"/>
              </w:rPr>
              <w:t>Definite/probable FH, homozygous suspicion, relatives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A causative mutation scores 8 on the DLCN criteria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w:t>
            </w:r>
          </w:p>
        </w:tc>
        <w:tc>
          <w:tcPr>
            <w:tcW w:type="dxa" w:w="892"/>
            <w:vAlign w:val="top"/>
          </w:tcPr>
          <w:p>
            <w:pPr>
              <w:spacing w:after="40" w:before="0" w:line="259" w:lineRule="auto"/>
            </w:pPr>
            <w:r>
              <w:rPr>
                <w:rFonts w:ascii="Calibri" w:hAnsi="Calibri"/>
                <w:b w:val="0"/>
                <w:i w:val="0"/>
                <w:color w:val="212121"/>
                <w:sz w:val="16"/>
              </w:rPr>
              <w:t>Secondary-cause screen</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TSH elevated (hypothyroid)</w:t>
            </w:r>
          </w:p>
        </w:tc>
        <w:tc>
          <w:tcPr>
            <w:tcW w:type="dxa" w:w="1036"/>
            <w:vAlign w:val="top"/>
          </w:tcPr>
          <w:p>
            <w:pPr>
              <w:spacing w:after="40" w:before="0" w:line="259" w:lineRule="auto"/>
            </w:pPr>
            <w:r>
              <w:rPr>
                <w:rFonts w:ascii="Calibri" w:hAnsi="Calibri"/>
                <w:b w:val="0"/>
                <w:i w:val="0"/>
                <w:color w:val="212121"/>
                <w:sz w:val="16"/>
              </w:rPr>
              <w:t>Hypothyroidism is a reversible cause of very high LDL that must be excluded before labelling FH</w:t>
            </w:r>
          </w:p>
        </w:tc>
        <w:tc>
          <w:tcPr>
            <w:tcW w:type="dxa" w:w="1036"/>
            <w:vAlign w:val="top"/>
          </w:tcPr>
          <w:p>
            <w:pPr>
              <w:spacing w:after="40" w:before="0" w:line="259" w:lineRule="auto"/>
            </w:pPr>
            <w:r>
              <w:rPr>
                <w:rFonts w:ascii="Calibri" w:hAnsi="Calibri"/>
                <w:b w:val="0"/>
                <w:i w:val="0"/>
                <w:color w:val="212121"/>
                <w:sz w:val="16"/>
              </w:rPr>
              <w:t>All new severe hypercholesterolemia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Correct thyroid status and re-check lipids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Renal/Hepatic panel &amp; Fasting Glucose/HbA1c</w:t>
            </w:r>
          </w:p>
        </w:tc>
        <w:tc>
          <w:tcPr>
            <w:tcW w:type="dxa" w:w="892"/>
            <w:vAlign w:val="top"/>
          </w:tcPr>
          <w:p>
            <w:pPr>
              <w:spacing w:after="40" w:before="0" w:line="259" w:lineRule="auto"/>
            </w:pPr>
            <w:r>
              <w:rPr>
                <w:rFonts w:ascii="Calibri" w:hAnsi="Calibri"/>
                <w:b w:val="0"/>
                <w:i w:val="0"/>
                <w:color w:val="212121"/>
                <w:sz w:val="16"/>
              </w:rPr>
              <w:t>Secondary-cause &amp; baseline screen</w:t>
            </w:r>
          </w:p>
        </w:tc>
        <w:tc>
          <w:tcPr>
            <w:tcW w:type="dxa" w:w="950"/>
            <w:vAlign w:val="top"/>
          </w:tcPr>
          <w:p>
            <w:pPr>
              <w:spacing w:after="40" w:before="0" w:line="259" w:lineRule="auto"/>
            </w:pPr>
            <w:r>
              <w:rPr>
                <w:rFonts w:ascii="Calibri" w:hAnsi="Calibri"/>
                <w:b w:val="0"/>
                <w:i w:val="0"/>
                <w:color w:val="212121"/>
                <w:sz w:val="16"/>
              </w:rPr>
              <w:t>No proteinuria; normal LFTs; FPG &lt; 100, HbA1c &lt; 5.7%</w:t>
            </w:r>
          </w:p>
        </w:tc>
        <w:tc>
          <w:tcPr>
            <w:tcW w:type="dxa" w:w="950"/>
            <w:vAlign w:val="top"/>
          </w:tcPr>
          <w:p>
            <w:pPr>
              <w:spacing w:after="40" w:before="0" w:line="259" w:lineRule="auto"/>
            </w:pPr>
            <w:r>
              <w:rPr>
                <w:rFonts w:ascii="Calibri" w:hAnsi="Calibri"/>
                <w:b w:val="0"/>
                <w:i w:val="0"/>
                <w:color w:val="212121"/>
                <w:sz w:val="16"/>
              </w:rPr>
              <w:t>Nephrotic proteinuria; deranged LFTs; FPG &gt;= 126, HbA1c &gt;= 6.5%</w:t>
            </w:r>
          </w:p>
        </w:tc>
        <w:tc>
          <w:tcPr>
            <w:tcW w:type="dxa" w:w="1036"/>
            <w:vAlign w:val="top"/>
          </w:tcPr>
          <w:p>
            <w:pPr>
              <w:spacing w:after="40" w:before="0" w:line="259" w:lineRule="auto"/>
            </w:pPr>
            <w:r>
              <w:rPr>
                <w:rFonts w:ascii="Calibri" w:hAnsi="Calibri"/>
                <w:b w:val="0"/>
                <w:i w:val="0"/>
                <w:color w:val="212121"/>
                <w:sz w:val="16"/>
              </w:rPr>
              <w:t>Excludes nephrotic syndrome/cholestasis and diabetes; baseline needed before statin therapy</w:t>
            </w:r>
          </w:p>
        </w:tc>
        <w:tc>
          <w:tcPr>
            <w:tcW w:type="dxa" w:w="1036"/>
            <w:vAlign w:val="top"/>
          </w:tcPr>
          <w:p>
            <w:pPr>
              <w:spacing w:after="40" w:before="0" w:line="259" w:lineRule="auto"/>
            </w:pPr>
            <w:r>
              <w:rPr>
                <w:rFonts w:ascii="Calibri" w:hAnsi="Calibri"/>
                <w:b w:val="0"/>
                <w:i w:val="0"/>
                <w:color w:val="212121"/>
                <w:sz w:val="16"/>
              </w:rPr>
              <w:t>All FH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Diabetes lowers the LDL goal and adds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 Cardiac</w:t>
            </w:r>
          </w:p>
        </w:tc>
        <w:tc>
          <w:tcPr>
            <w:tcW w:type="dxa" w:w="1036"/>
            <w:vAlign w:val="top"/>
          </w:tcPr>
          <w:p>
            <w:pPr>
              <w:spacing w:after="40" w:before="0" w:line="259" w:lineRule="auto"/>
            </w:pPr>
            <w:r>
              <w:rPr>
                <w:rFonts w:ascii="Calibri" w:hAnsi="Calibri"/>
                <w:b w:val="0"/>
                <w:i w:val="0"/>
                <w:color w:val="212121"/>
                <w:sz w:val="16"/>
              </w:rPr>
              <w:t>Echocardiography, carotid ultrasound, coronary calcium/angiography</w:t>
            </w:r>
          </w:p>
        </w:tc>
        <w:tc>
          <w:tcPr>
            <w:tcW w:type="dxa" w:w="892"/>
            <w:vAlign w:val="top"/>
          </w:tcPr>
          <w:p>
            <w:pPr>
              <w:spacing w:after="40" w:before="0" w:line="259" w:lineRule="auto"/>
            </w:pPr>
            <w:r>
              <w:rPr>
                <w:rFonts w:ascii="Calibri" w:hAnsi="Calibri"/>
                <w:b w:val="0"/>
                <w:i w:val="0"/>
                <w:color w:val="212121"/>
                <w:sz w:val="16"/>
              </w:rPr>
              <w:t>Atherosclerosis &amp; aortic assessment</w:t>
            </w:r>
          </w:p>
        </w:tc>
        <w:tc>
          <w:tcPr>
            <w:tcW w:type="dxa" w:w="950"/>
            <w:vAlign w:val="top"/>
          </w:tcPr>
          <w:p>
            <w:pPr>
              <w:spacing w:after="40" w:before="0" w:line="259" w:lineRule="auto"/>
            </w:pPr>
            <w:r>
              <w:rPr>
                <w:rFonts w:ascii="Calibri" w:hAnsi="Calibri"/>
                <w:b w:val="0"/>
                <w:i w:val="0"/>
                <w:color w:val="212121"/>
                <w:sz w:val="16"/>
              </w:rPr>
              <w:t>No plaque; normal aortic valve</w:t>
            </w:r>
          </w:p>
        </w:tc>
        <w:tc>
          <w:tcPr>
            <w:tcW w:type="dxa" w:w="950"/>
            <w:vAlign w:val="top"/>
          </w:tcPr>
          <w:p>
            <w:pPr>
              <w:spacing w:after="40" w:before="0" w:line="259" w:lineRule="auto"/>
            </w:pPr>
            <w:r>
              <w:rPr>
                <w:rFonts w:ascii="Calibri" w:hAnsi="Calibri"/>
                <w:b w:val="0"/>
                <w:i w:val="0"/>
                <w:color w:val="212121"/>
                <w:sz w:val="16"/>
              </w:rPr>
              <w:t>Coronary plaque/stenosis; supravalvular/valvular aortic stenosis</w:t>
            </w:r>
          </w:p>
        </w:tc>
        <w:tc>
          <w:tcPr>
            <w:tcW w:type="dxa" w:w="1036"/>
            <w:vAlign w:val="top"/>
          </w:tcPr>
          <w:p>
            <w:pPr>
              <w:spacing w:after="40" w:before="0" w:line="259" w:lineRule="auto"/>
            </w:pPr>
            <w:r>
              <w:rPr>
                <w:rFonts w:ascii="Calibri" w:hAnsi="Calibri"/>
                <w:b w:val="0"/>
                <w:i w:val="0"/>
                <w:color w:val="212121"/>
                <w:sz w:val="16"/>
              </w:rPr>
              <w:t>Detects premature atherosclerosis and (in HoFH) aortic root/valve disease to stratify risk</w:t>
            </w:r>
          </w:p>
        </w:tc>
        <w:tc>
          <w:tcPr>
            <w:tcW w:type="dxa" w:w="1036"/>
            <w:vAlign w:val="top"/>
          </w:tcPr>
          <w:p>
            <w:pPr>
              <w:spacing w:after="40" w:before="0" w:line="259" w:lineRule="auto"/>
            </w:pPr>
            <w:r>
              <w:rPr>
                <w:rFonts w:ascii="Calibri" w:hAnsi="Calibri"/>
                <w:b w:val="0"/>
                <w:i w:val="0"/>
                <w:color w:val="212121"/>
                <w:sz w:val="16"/>
              </w:rPr>
              <w:t>Symptomatic FH, HoFH, long-standing FH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Aortic stenosis is characteristic of homozygous FH</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Premature CAD or very high cholesterol in first-degree relatives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Premature CAD (M &lt; 55, F &lt; 65) or FH/high cholesterol in a relative</w:t>
            </w:r>
          </w:p>
        </w:tc>
        <w:tc>
          <w:tcPr>
            <w:tcW w:type="dxa" w:w="1036"/>
            <w:vAlign w:val="top"/>
          </w:tcPr>
          <w:p>
            <w:pPr>
              <w:spacing w:after="40" w:before="0" w:line="259" w:lineRule="auto"/>
            </w:pPr>
            <w:r>
              <w:rPr>
                <w:rFonts w:ascii="Calibri" w:hAnsi="Calibri"/>
                <w:b w:val="0"/>
                <w:i w:val="0"/>
                <w:color w:val="212121"/>
                <w:sz w:val="16"/>
              </w:rPr>
              <w:t>Central to FH diagnosis; triggers cascade screening of relatives</w:t>
            </w:r>
          </w:p>
        </w:tc>
        <w:tc>
          <w:tcPr>
            <w:tcW w:type="dxa" w:w="1036"/>
            <w:vAlign w:val="top"/>
          </w:tcPr>
          <w:p>
            <w:pPr>
              <w:spacing w:after="40" w:before="0" w:line="259" w:lineRule="auto"/>
            </w:pPr>
            <w:r>
              <w:rPr>
                <w:rFonts w:ascii="Calibri" w:hAnsi="Calibri"/>
                <w:b w:val="0"/>
                <w:i w:val="0"/>
                <w:color w:val="212121"/>
                <w:sz w:val="16"/>
              </w:rPr>
              <w:t>All suspected FH and their families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Autosomal dominant - each first-degree relative has ~50%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Personal vascular history</w:t>
            </w:r>
          </w:p>
        </w:tc>
        <w:tc>
          <w:tcPr>
            <w:tcW w:type="dxa" w:w="979"/>
            <w:vAlign w:val="top"/>
          </w:tcPr>
          <w:p>
            <w:pPr>
              <w:spacing w:after="40" w:before="0" w:line="259" w:lineRule="auto"/>
            </w:pPr>
            <w:r>
              <w:rPr>
                <w:rFonts w:ascii="Calibri" w:hAnsi="Calibri"/>
                <w:b w:val="0"/>
                <w:i w:val="0"/>
                <w:color w:val="212121"/>
                <w:sz w:val="16"/>
              </w:rPr>
              <w:t>Premature angina, MI, stroke or peripheral arterial disease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premature atherosclerotic event</w:t>
            </w:r>
          </w:p>
        </w:tc>
        <w:tc>
          <w:tcPr>
            <w:tcW w:type="dxa" w:w="1036"/>
            <w:vAlign w:val="top"/>
          </w:tcPr>
          <w:p>
            <w:pPr>
              <w:spacing w:after="40" w:before="0" w:line="259" w:lineRule="auto"/>
            </w:pPr>
            <w:r>
              <w:rPr>
                <w:rFonts w:ascii="Calibri" w:hAnsi="Calibri"/>
                <w:b w:val="0"/>
                <w:i w:val="0"/>
                <w:color w:val="212121"/>
                <w:sz w:val="16"/>
              </w:rPr>
              <w:t>Personal premature vascular disease raises the DLCN score and risk category</w:t>
            </w:r>
          </w:p>
        </w:tc>
        <w:tc>
          <w:tcPr>
            <w:tcW w:type="dxa" w:w="1036"/>
            <w:vAlign w:val="top"/>
          </w:tcPr>
          <w:p>
            <w:pPr>
              <w:spacing w:after="40" w:before="0" w:line="259" w:lineRule="auto"/>
            </w:pPr>
            <w:r>
              <w:rPr>
                <w:rFonts w:ascii="Calibri" w:hAnsi="Calibri"/>
                <w:b w:val="0"/>
                <w:i w:val="0"/>
                <w:color w:val="212121"/>
                <w:sz w:val="16"/>
              </w:rPr>
              <w:t>FH with early events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Establishes very-high/extreme risk and stricter LDL goals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Lipid-deposition signs</w:t>
            </w:r>
          </w:p>
        </w:tc>
        <w:tc>
          <w:tcPr>
            <w:tcW w:type="dxa" w:w="979"/>
            <w:vAlign w:val="top"/>
          </w:tcPr>
          <w:p>
            <w:pPr>
              <w:spacing w:after="40" w:before="0" w:line="259" w:lineRule="auto"/>
            </w:pPr>
            <w:r>
              <w:rPr>
                <w:rFonts w:ascii="Calibri" w:hAnsi="Calibri"/>
                <w:b w:val="0"/>
                <w:i w:val="0"/>
                <w:color w:val="212121"/>
                <w:sz w:val="16"/>
              </w:rPr>
              <w:t>Tendon xanthomas, xanthelasma, corneal arcus (&lt; 45 years)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(tendon xanthoma is highly specific)</w:t>
            </w:r>
          </w:p>
        </w:tc>
        <w:tc>
          <w:tcPr>
            <w:tcW w:type="dxa" w:w="1036"/>
            <w:vAlign w:val="top"/>
          </w:tcPr>
          <w:p>
            <w:pPr>
              <w:spacing w:after="40" w:before="0" w:line="259" w:lineRule="auto"/>
            </w:pPr>
            <w:r>
              <w:rPr>
                <w:rFonts w:ascii="Calibri" w:hAnsi="Calibri"/>
                <w:b w:val="0"/>
                <w:i w:val="0"/>
                <w:color w:val="212121"/>
                <w:sz w:val="16"/>
              </w:rPr>
              <w:t>Physical hallmarks of FH; tendon xanthoma scores 6 and arcus &lt; 45 scores 4 on DLCN</w:t>
            </w:r>
          </w:p>
        </w:tc>
        <w:tc>
          <w:tcPr>
            <w:tcW w:type="dxa" w:w="1036"/>
            <w:vAlign w:val="top"/>
          </w:tcPr>
          <w:p>
            <w:pPr>
              <w:spacing w:after="40" w:before="0" w:line="259" w:lineRule="auto"/>
            </w:pPr>
            <w:r>
              <w:rPr>
                <w:rFonts w:ascii="Calibri" w:hAnsi="Calibri"/>
                <w:b w:val="0"/>
                <w:i w:val="0"/>
                <w:color w:val="212121"/>
                <w:sz w:val="16"/>
              </w:rPr>
              <w:t>HeFH and especially HoFH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Achilles/finger-extensor tendon xanthomas strongly suggest FH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Cardiovascular examination</w:t>
            </w:r>
          </w:p>
        </w:tc>
        <w:tc>
          <w:tcPr>
            <w:tcW w:type="dxa" w:w="979"/>
            <w:vAlign w:val="top"/>
          </w:tcPr>
          <w:p>
            <w:pPr>
              <w:spacing w:after="40" w:before="0" w:line="259" w:lineRule="auto"/>
            </w:pPr>
            <w:r>
              <w:rPr>
                <w:rFonts w:ascii="Calibri" w:hAnsi="Calibri"/>
                <w:b w:val="0"/>
                <w:i w:val="0"/>
                <w:color w:val="212121"/>
                <w:sz w:val="16"/>
              </w:rPr>
              <w:t>Aortic murmur, carotid/peripheral bruits, pulses, blood pressure</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Aortic stenosis murmur, bruits, diminished pulses</w:t>
            </w:r>
          </w:p>
        </w:tc>
        <w:tc>
          <w:tcPr>
            <w:tcW w:type="dxa" w:w="1036"/>
            <w:vAlign w:val="top"/>
          </w:tcPr>
          <w:p>
            <w:pPr>
              <w:spacing w:after="40" w:before="0" w:line="259" w:lineRule="auto"/>
            </w:pPr>
            <w:r>
              <w:rPr>
                <w:rFonts w:ascii="Calibri" w:hAnsi="Calibri"/>
                <w:b w:val="0"/>
                <w:i w:val="0"/>
                <w:color w:val="212121"/>
                <w:sz w:val="16"/>
              </w:rPr>
              <w:t>Detects established atherosclerosis and (in HoFH) supravalvular aortic stenosis</w:t>
            </w:r>
          </w:p>
        </w:tc>
        <w:tc>
          <w:tcPr>
            <w:tcW w:type="dxa" w:w="1036"/>
            <w:vAlign w:val="top"/>
          </w:tcPr>
          <w:p>
            <w:pPr>
              <w:spacing w:after="40" w:before="0" w:line="259" w:lineRule="auto"/>
            </w:pPr>
            <w:r>
              <w:rPr>
                <w:rFonts w:ascii="Calibri" w:hAnsi="Calibri"/>
                <w:b w:val="0"/>
                <w:i w:val="0"/>
                <w:color w:val="212121"/>
                <w:sz w:val="16"/>
              </w:rPr>
              <w:t>HoFH, long-standing FH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Aortic stenosis is a red flag for homozygous FH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Anthropometry</w:t>
            </w:r>
          </w:p>
        </w:tc>
        <w:tc>
          <w:tcPr>
            <w:tcW w:type="dxa" w:w="979"/>
            <w:vAlign w:val="top"/>
          </w:tcPr>
          <w:p>
            <w:pPr>
              <w:spacing w:after="40" w:before="0" w:line="259" w:lineRule="auto"/>
            </w:pPr>
            <w:r>
              <w:rPr>
                <w:rFonts w:ascii="Calibri" w:hAnsi="Calibri"/>
                <w:b w:val="0"/>
                <w:i w:val="0"/>
                <w:color w:val="212121"/>
                <w:sz w:val="16"/>
              </w:rPr>
              <w:t>BMI, waist circumference</w:t>
            </w:r>
          </w:p>
        </w:tc>
        <w:tc>
          <w:tcPr>
            <w:tcW w:type="dxa" w:w="950"/>
            <w:vAlign w:val="top"/>
          </w:tcPr>
          <w:p>
            <w:pPr>
              <w:spacing w:after="40" w:before="0" w:line="259" w:lineRule="auto"/>
            </w:pPr>
            <w:r>
              <w:rPr>
                <w:rFonts w:ascii="Calibri" w:hAnsi="Calibri"/>
                <w:b w:val="0"/>
                <w:i w:val="0"/>
                <w:color w:val="212121"/>
                <w:sz w:val="16"/>
              </w:rPr>
              <w:t>BMI &lt; 23; waist M &lt; 90, F &lt; 80 cm</w:t>
            </w:r>
          </w:p>
        </w:tc>
        <w:tc>
          <w:tcPr>
            <w:tcW w:type="dxa" w:w="950"/>
            <w:vAlign w:val="top"/>
          </w:tcPr>
          <w:p>
            <w:pPr>
              <w:spacing w:after="40" w:before="0" w:line="259" w:lineRule="auto"/>
            </w:pPr>
            <w:r>
              <w:rPr>
                <w:rFonts w:ascii="Calibri" w:hAnsi="Calibri"/>
                <w:b w:val="0"/>
                <w:i w:val="0"/>
                <w:color w:val="212121"/>
                <w:sz w:val="16"/>
              </w:rPr>
              <w:t>BMI &gt;= 23; waist M &gt;= 90, F &gt;= 80 cm</w:t>
            </w:r>
          </w:p>
        </w:tc>
        <w:tc>
          <w:tcPr>
            <w:tcW w:type="dxa" w:w="1036"/>
            <w:vAlign w:val="top"/>
          </w:tcPr>
          <w:p>
            <w:pPr>
              <w:spacing w:after="40" w:before="0" w:line="259" w:lineRule="auto"/>
            </w:pPr>
            <w:r>
              <w:rPr>
                <w:rFonts w:ascii="Calibri" w:hAnsi="Calibri"/>
                <w:b w:val="0"/>
                <w:i w:val="0"/>
                <w:color w:val="212121"/>
                <w:sz w:val="16"/>
              </w:rPr>
              <w:t>Central obesity adds atherogenic lipoproteins on top of FH</w:t>
            </w:r>
          </w:p>
        </w:tc>
        <w:tc>
          <w:tcPr>
            <w:tcW w:type="dxa" w:w="1036"/>
            <w:vAlign w:val="top"/>
          </w:tcPr>
          <w:p>
            <w:pPr>
              <w:spacing w:after="40" w:before="0" w:line="259" w:lineRule="auto"/>
            </w:pPr>
            <w:r>
              <w:rPr>
                <w:rFonts w:ascii="Calibri" w:hAnsi="Calibri"/>
                <w:b w:val="0"/>
                <w:i w:val="0"/>
                <w:color w:val="212121"/>
                <w:sz w:val="16"/>
              </w:rPr>
              <w:t>Overweight/obese FH</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Asian-Indian cut-offs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 lifestyle and drug history</w:t>
            </w:r>
          </w:p>
        </w:tc>
        <w:tc>
          <w:tcPr>
            <w:tcW w:type="dxa" w:w="979"/>
            <w:vAlign w:val="top"/>
          </w:tcPr>
          <w:p>
            <w:pPr>
              <w:spacing w:after="40" w:before="0" w:line="259" w:lineRule="auto"/>
            </w:pPr>
            <w:r>
              <w:rPr>
                <w:rFonts w:ascii="Calibri" w:hAnsi="Calibri"/>
                <w:b w:val="0"/>
                <w:i w:val="0"/>
                <w:color w:val="212121"/>
                <w:sz w:val="16"/>
              </w:rPr>
              <w:t>Saturated/trans fat intake, tobacco, alcohol, activity, lipid-raising drugs</w:t>
            </w:r>
          </w:p>
        </w:tc>
        <w:tc>
          <w:tcPr>
            <w:tcW w:type="dxa" w:w="950"/>
            <w:vAlign w:val="top"/>
          </w:tcPr>
          <w:p>
            <w:pPr>
              <w:spacing w:after="40" w:before="0" w:line="259" w:lineRule="auto"/>
            </w:pPr>
            <w:r>
              <w:rPr>
                <w:rFonts w:ascii="Calibri" w:hAnsi="Calibri"/>
                <w:b w:val="0"/>
                <w:i w:val="0"/>
                <w:color w:val="212121"/>
                <w:sz w:val="16"/>
              </w:rPr>
              <w:t>Healthy diet, non-smoker, active</w:t>
            </w:r>
          </w:p>
        </w:tc>
        <w:tc>
          <w:tcPr>
            <w:tcW w:type="dxa" w:w="950"/>
            <w:vAlign w:val="top"/>
          </w:tcPr>
          <w:p>
            <w:pPr>
              <w:spacing w:after="40" w:before="0" w:line="259" w:lineRule="auto"/>
            </w:pPr>
            <w:r>
              <w:rPr>
                <w:rFonts w:ascii="Calibri" w:hAnsi="Calibri"/>
                <w:b w:val="0"/>
                <w:i w:val="0"/>
                <w:color w:val="212121"/>
                <w:sz w:val="16"/>
              </w:rPr>
              <w:t>High saturated/trans fat, tobacco use, sedentary</w:t>
            </w:r>
          </w:p>
        </w:tc>
        <w:tc>
          <w:tcPr>
            <w:tcW w:type="dxa" w:w="1036"/>
            <w:vAlign w:val="top"/>
          </w:tcPr>
          <w:p>
            <w:pPr>
              <w:spacing w:after="40" w:before="0" w:line="259" w:lineRule="auto"/>
            </w:pPr>
            <w:r>
              <w:rPr>
                <w:rFonts w:ascii="Calibri" w:hAnsi="Calibri"/>
                <w:b w:val="0"/>
                <w:i w:val="0"/>
                <w:color w:val="212121"/>
                <w:sz w:val="16"/>
              </w:rPr>
              <w:t>Identifies modifiable accelerants layered on the genetic LDL excess</w:t>
            </w:r>
          </w:p>
        </w:tc>
        <w:tc>
          <w:tcPr>
            <w:tcW w:type="dxa" w:w="1036"/>
            <w:vAlign w:val="top"/>
          </w:tcPr>
          <w:p>
            <w:pPr>
              <w:spacing w:after="40" w:before="0" w:line="259" w:lineRule="auto"/>
            </w:pPr>
            <w:r>
              <w:rPr>
                <w:rFonts w:ascii="Calibri" w:hAnsi="Calibri"/>
                <w:b w:val="0"/>
                <w:i w:val="0"/>
                <w:color w:val="212121"/>
                <w:sz w:val="16"/>
              </w:rPr>
              <w:t>All FH patients</w:t>
            </w:r>
          </w:p>
        </w:tc>
        <w:tc>
          <w:tcPr>
            <w:tcW w:type="dxa" w:w="720"/>
            <w:vAlign w:val="top"/>
          </w:tcPr>
          <w:p>
            <w:pPr>
              <w:spacing w:after="40" w:before="0" w:line="259" w:lineRule="auto"/>
            </w:pPr>
            <w:r>
              <w:rPr>
                <w:rFonts w:ascii="Calibri" w:hAnsi="Calibri"/>
                <w:b w:val="0"/>
                <w:i w:val="0"/>
                <w:color w:val="212121"/>
                <w:sz w:val="16"/>
              </w:rPr>
              <w:t>Food; Smoking; Alcohol;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adjunct lifestyle therapy alongside medication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(silent) high cholesterol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people with FH feel well for years; the very high LDL is silent until a vascular event or until signs/labs reveal it.</w:t>
            </w:r>
          </w:p>
        </w:tc>
      </w:tr>
      <w:tr>
        <w:trPr>
          <w:cantSplit/>
        </w:trPr>
        <w:tc>
          <w:tcPr>
            <w:tcW w:type="dxa" w:w="2304"/>
            <w:vAlign w:val="top"/>
          </w:tcPr>
          <w:p>
            <w:pPr>
              <w:spacing w:after="40" w:before="0" w:line="259" w:lineRule="auto"/>
            </w:pPr>
            <w:r>
              <w:rPr>
                <w:rFonts w:ascii="Calibri" w:hAnsi="Calibri"/>
                <w:b/>
                <w:i w:val="0"/>
                <w:color w:val="212121"/>
                <w:sz w:val="19"/>
              </w:rPr>
              <w:t>Firm lumps over tendons (Achilles, knuckles)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Patient-noticed tendon xanthomas from cholesterol deposition - a characteristic feature of FH.</w:t>
            </w:r>
          </w:p>
        </w:tc>
      </w:tr>
      <w:tr>
        <w:trPr>
          <w:cantSplit/>
        </w:trPr>
        <w:tc>
          <w:tcPr>
            <w:tcW w:type="dxa" w:w="2304"/>
            <w:vAlign w:val="top"/>
          </w:tcPr>
          <w:p>
            <w:pPr>
              <w:spacing w:after="40" w:before="0" w:line="259" w:lineRule="auto"/>
            </w:pPr>
            <w:r>
              <w:rPr>
                <w:rFonts w:ascii="Calibri" w:hAnsi="Calibri"/>
                <w:b/>
                <w:i w:val="0"/>
                <w:color w:val="212121"/>
                <w:sz w:val="19"/>
              </w:rPr>
              <w:t>Yellowish deposits around the eyelids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Xanthelasma; a visible marker of cholesterol deposition, sometimes the first thing noticed.</w:t>
            </w:r>
          </w:p>
        </w:tc>
      </w:tr>
      <w:tr>
        <w:trPr>
          <w:cantSplit/>
        </w:trPr>
        <w:tc>
          <w:tcPr>
            <w:tcW w:type="dxa" w:w="2304"/>
            <w:vAlign w:val="top"/>
          </w:tcPr>
          <w:p>
            <w:pPr>
              <w:spacing w:after="40" w:before="0" w:line="259" w:lineRule="auto"/>
            </w:pPr>
            <w:r>
              <w:rPr>
                <w:rFonts w:ascii="Calibri" w:hAnsi="Calibri"/>
                <w:b/>
                <w:i w:val="0"/>
                <w:color w:val="212121"/>
                <w:sz w:val="19"/>
              </w:rPr>
              <w:t>Grey-white ring around the cornea in a young person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Corneal arcus (arcus juvenilis); significant when it appears before age 45 and suggests FH.</w:t>
            </w:r>
          </w:p>
        </w:tc>
      </w:tr>
      <w:tr>
        <w:trPr>
          <w:cantSplit/>
        </w:trPr>
        <w:tc>
          <w:tcPr>
            <w:tcW w:type="dxa" w:w="2304"/>
            <w:vAlign w:val="top"/>
          </w:tcPr>
          <w:p>
            <w:pPr>
              <w:spacing w:after="40" w:before="0" w:line="259" w:lineRule="auto"/>
            </w:pPr>
            <w:r>
              <w:rPr>
                <w:rFonts w:ascii="Calibri" w:hAnsi="Calibri"/>
                <w:b/>
                <w:i w:val="0"/>
                <w:color w:val="212121"/>
                <w:sz w:val="19"/>
              </w:rPr>
              <w:t>Chest pain / angina on exertion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premature coronary atherosclerosis, which can appear in the 30s-40s in untreated FH.</w:t>
            </w:r>
          </w:p>
        </w:tc>
      </w:tr>
      <w:tr>
        <w:trPr>
          <w:cantSplit/>
        </w:trPr>
        <w:tc>
          <w:tcPr>
            <w:tcW w:type="dxa" w:w="2304"/>
            <w:vAlign w:val="top"/>
          </w:tcPr>
          <w:p>
            <w:pPr>
              <w:spacing w:after="40" w:before="0" w:line="259" w:lineRule="auto"/>
            </w:pPr>
            <w:r>
              <w:rPr>
                <w:rFonts w:ascii="Calibri" w:hAnsi="Calibri"/>
                <w:b/>
                <w:i w:val="0"/>
                <w:color w:val="212121"/>
                <w:sz w:val="19"/>
              </w:rPr>
              <w:t>Breathlessness / reduced exercise 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Due to ischaemic heart disease or, in homozygous FH, aortic stenosis.</w:t>
            </w:r>
          </w:p>
        </w:tc>
      </w:tr>
      <w:tr>
        <w:trPr>
          <w:cantSplit/>
        </w:trPr>
        <w:tc>
          <w:tcPr>
            <w:tcW w:type="dxa" w:w="2304"/>
            <w:vAlign w:val="top"/>
          </w:tcPr>
          <w:p>
            <w:pPr>
              <w:spacing w:after="40" w:before="0" w:line="259" w:lineRule="auto"/>
            </w:pPr>
            <w:r>
              <w:rPr>
                <w:rFonts w:ascii="Calibri" w:hAnsi="Calibri"/>
                <w:b/>
                <w:i w:val="0"/>
                <w:color w:val="212121"/>
                <w:sz w:val="19"/>
              </w:rPr>
              <w:t>Intermittent claudication (leg pain on walking)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Indicates peripheral arterial disease from early atherosclerosis.</w:t>
            </w:r>
          </w:p>
        </w:tc>
      </w:tr>
      <w:tr>
        <w:trPr>
          <w:cantSplit/>
        </w:trPr>
        <w:tc>
          <w:tcPr>
            <w:tcW w:type="dxa" w:w="2304"/>
            <w:vAlign w:val="top"/>
          </w:tcPr>
          <w:p>
            <w:pPr>
              <w:spacing w:after="40" w:before="0" w:line="259" w:lineRule="auto"/>
            </w:pPr>
            <w:r>
              <w:rPr>
                <w:rFonts w:ascii="Calibri" w:hAnsi="Calibri"/>
                <w:b/>
                <w:i w:val="0"/>
                <w:color w:val="212121"/>
                <w:sz w:val="19"/>
              </w:rPr>
              <w:t>Achilles tendon pain or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Tendon xanthomas can cause discomfort or recurrent Achilles tendinitis.</w:t>
            </w:r>
          </w:p>
        </w:tc>
      </w:tr>
      <w:tr>
        <w:trPr>
          <w:cantSplit/>
        </w:trPr>
        <w:tc>
          <w:tcPr>
            <w:tcW w:type="dxa" w:w="2304"/>
            <w:vAlign w:val="top"/>
          </w:tcPr>
          <w:p>
            <w:pPr>
              <w:spacing w:after="40" w:before="0" w:line="259" w:lineRule="auto"/>
            </w:pPr>
            <w:r>
              <w:rPr>
                <w:rFonts w:ascii="Calibri" w:hAnsi="Calibri"/>
                <w:b/>
                <w:i w:val="0"/>
                <w:color w:val="212121"/>
                <w:sz w:val="19"/>
              </w:rPr>
              <w:t>Sudden severe chest pain (myocardial infarction)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An early heart attack may be the first presentation of undiagnosed FH, sometimes in young adults.</w:t>
            </w:r>
          </w:p>
        </w:tc>
      </w:tr>
      <w:tr>
        <w:trPr>
          <w:cantSplit/>
        </w:trPr>
        <w:tc>
          <w:tcPr>
            <w:tcW w:type="dxa" w:w="2304"/>
            <w:vAlign w:val="top"/>
          </w:tcPr>
          <w:p>
            <w:pPr>
              <w:spacing w:after="40" w:before="0" w:line="259" w:lineRule="auto"/>
            </w:pPr>
            <w:r>
              <w:rPr>
                <w:rFonts w:ascii="Calibri" w:hAnsi="Calibri"/>
                <w:b/>
                <w:i w:val="0"/>
                <w:color w:val="212121"/>
                <w:sz w:val="19"/>
              </w:rPr>
              <w:t>Transient limb weakness / slurred speech</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Transient ischaemic attack or stroke from cerebrovascular atherosclerosis.</w:t>
            </w:r>
          </w:p>
        </w:tc>
      </w:tr>
      <w:tr>
        <w:trPr>
          <w:cantSplit/>
        </w:trPr>
        <w:tc>
          <w:tcPr>
            <w:tcW w:type="dxa" w:w="2304"/>
            <w:vAlign w:val="top"/>
          </w:tcPr>
          <w:p>
            <w:pPr>
              <w:spacing w:after="40" w:before="0" w:line="259" w:lineRule="auto"/>
            </w:pPr>
            <w:r>
              <w:rPr>
                <w:rFonts w:ascii="Calibri" w:hAnsi="Calibri"/>
                <w:b/>
                <w:i w:val="0"/>
                <w:color w:val="212121"/>
                <w:sz w:val="19"/>
              </w:rPr>
              <w:t>Coronary events or collapse in childhood/adolescence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in untreated homozygous FH, which can cause angina, MI or sudden death before age 30.</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Tendon xanthomas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Nodular cholesterol deposits on the Achilles and finger-extensor tendons; highly specific for FH and scored heavily on diagnostic criteria.</w:t>
            </w:r>
          </w:p>
        </w:tc>
      </w:tr>
      <w:tr>
        <w:trPr>
          <w:cantSplit/>
        </w:trPr>
        <w:tc>
          <w:tcPr>
            <w:tcW w:type="dxa" w:w="3456"/>
            <w:vAlign w:val="top"/>
          </w:tcPr>
          <w:p>
            <w:pPr>
              <w:spacing w:after="40" w:before="0" w:line="259" w:lineRule="auto"/>
            </w:pPr>
            <w:r>
              <w:rPr>
                <w:rFonts w:ascii="Calibri" w:hAnsi="Calibri"/>
                <w:b/>
                <w:i w:val="0"/>
                <w:color w:val="212121"/>
                <w:sz w:val="19"/>
              </w:rPr>
              <w:t>Xanthelasma palpebrarum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Soft yellow cholesterol plaques on the eyelids; a common visible sign of FH.</w:t>
            </w:r>
          </w:p>
        </w:tc>
      </w:tr>
      <w:tr>
        <w:trPr>
          <w:cantSplit/>
        </w:trPr>
        <w:tc>
          <w:tcPr>
            <w:tcW w:type="dxa" w:w="3456"/>
            <w:vAlign w:val="top"/>
          </w:tcPr>
          <w:p>
            <w:pPr>
              <w:spacing w:after="40" w:before="0" w:line="259" w:lineRule="auto"/>
            </w:pPr>
            <w:r>
              <w:rPr>
                <w:rFonts w:ascii="Calibri" w:hAnsi="Calibri"/>
                <w:b/>
                <w:i w:val="0"/>
                <w:color w:val="212121"/>
                <w:sz w:val="19"/>
              </w:rPr>
              <w:t>Corneal arcus / arcus juvenilis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Grey-white ring around the cornea; when present before age 45 it strongly suggests FH.</w:t>
            </w:r>
          </w:p>
        </w:tc>
      </w:tr>
      <w:tr>
        <w:trPr>
          <w:cantSplit/>
        </w:trPr>
        <w:tc>
          <w:tcPr>
            <w:tcW w:type="dxa" w:w="3456"/>
            <w:vAlign w:val="top"/>
          </w:tcPr>
          <w:p>
            <w:pPr>
              <w:spacing w:after="40" w:before="0" w:line="259" w:lineRule="auto"/>
            </w:pPr>
            <w:r>
              <w:rPr>
                <w:rFonts w:ascii="Calibri" w:hAnsi="Calibri"/>
                <w:b/>
                <w:i w:val="0"/>
                <w:color w:val="212121"/>
                <w:sz w:val="19"/>
              </w:rPr>
              <w:t>Very high LDL cholesterol on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Untreated LDL &gt;= 190 mg/dL in adults (&gt;= 160 in children) is the biochemical hallmark; &gt; 400 mg/dL suggests homozygous FH.</w:t>
            </w:r>
          </w:p>
        </w:tc>
      </w:tr>
      <w:tr>
        <w:trPr>
          <w:cantSplit/>
        </w:trPr>
        <w:tc>
          <w:tcPr>
            <w:tcW w:type="dxa" w:w="3456"/>
            <w:vAlign w:val="top"/>
          </w:tcPr>
          <w:p>
            <w:pPr>
              <w:spacing w:after="40" w:before="0" w:line="259" w:lineRule="auto"/>
            </w:pPr>
            <w:r>
              <w:rPr>
                <w:rFonts w:ascii="Calibri" w:hAnsi="Calibri"/>
                <w:b/>
                <w:i w:val="0"/>
                <w:color w:val="212121"/>
                <w:sz w:val="19"/>
              </w:rPr>
              <w:t>Tuberous xanthomas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Firm nodular cholesterol deposits over elbows, knees and knuckles in more severe FH.</w:t>
            </w:r>
          </w:p>
        </w:tc>
      </w:tr>
      <w:tr>
        <w:trPr>
          <w:cantSplit/>
        </w:trPr>
        <w:tc>
          <w:tcPr>
            <w:tcW w:type="dxa" w:w="3456"/>
            <w:vAlign w:val="top"/>
          </w:tcPr>
          <w:p>
            <w:pPr>
              <w:spacing w:after="40" w:before="0" w:line="259" w:lineRule="auto"/>
            </w:pPr>
            <w:r>
              <w:rPr>
                <w:rFonts w:ascii="Calibri" w:hAnsi="Calibri"/>
                <w:b/>
                <w:i w:val="0"/>
                <w:color w:val="212121"/>
                <w:sz w:val="19"/>
              </w:rPr>
              <w:t>Planar / interdigital and cutaneous xanthomas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Flat cholesterol deposits, including between the fingers - characteristic of homozygous FH and often present from childhood.</w:t>
            </w:r>
          </w:p>
        </w:tc>
      </w:tr>
      <w:tr>
        <w:trPr>
          <w:cantSplit/>
        </w:trPr>
        <w:tc>
          <w:tcPr>
            <w:tcW w:type="dxa" w:w="3456"/>
            <w:vAlign w:val="top"/>
          </w:tcPr>
          <w:p>
            <w:pPr>
              <w:spacing w:after="40" w:before="0" w:line="259" w:lineRule="auto"/>
            </w:pPr>
            <w:r>
              <w:rPr>
                <w:rFonts w:ascii="Calibri" w:hAnsi="Calibri"/>
                <w:b/>
                <w:i w:val="0"/>
                <w:color w:val="212121"/>
                <w:sz w:val="19"/>
              </w:rPr>
              <w:t>Aortic stenosis murmur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Supravalvular or valvular aortic stenosis from cholesterol deposition, characteristic of homozygous FH.</w:t>
            </w:r>
          </w:p>
        </w:tc>
      </w:tr>
      <w:tr>
        <w:trPr>
          <w:cantSplit/>
        </w:trPr>
        <w:tc>
          <w:tcPr>
            <w:tcW w:type="dxa" w:w="3456"/>
            <w:vAlign w:val="top"/>
          </w:tcPr>
          <w:p>
            <w:pPr>
              <w:spacing w:after="40" w:before="0" w:line="259" w:lineRule="auto"/>
            </w:pPr>
            <w:r>
              <w:rPr>
                <w:rFonts w:ascii="Calibri" w:hAnsi="Calibri"/>
                <w:b/>
                <w:i w:val="0"/>
                <w:color w:val="212121"/>
                <w:sz w:val="19"/>
              </w:rPr>
              <w:t>Carotid bruit / diminished peripheral pulses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Evidence of established premature atherosclerosis.</w:t>
            </w:r>
          </w:p>
        </w:tc>
      </w:tr>
      <w:tr>
        <w:trPr>
          <w:cantSplit/>
        </w:trPr>
        <w:tc>
          <w:tcPr>
            <w:tcW w:type="dxa" w:w="3456"/>
            <w:vAlign w:val="top"/>
          </w:tcPr>
          <w:p>
            <w:pPr>
              <w:spacing w:after="40" w:before="0" w:line="259" w:lineRule="auto"/>
            </w:pPr>
            <w:r>
              <w:rPr>
                <w:rFonts w:ascii="Calibri" w:hAnsi="Calibri"/>
                <w:b/>
                <w:i w:val="0"/>
                <w:color w:val="212121"/>
                <w:sz w:val="19"/>
              </w:rPr>
              <w:t>Features of premature myocardial infarction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Signs of an early coronary event may be the first objective evidence of undiagnosed FH.</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premature atherosclerotic plaque formation from lifelong very high LDL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Cholesterol deposition in skin, tendons and eyes (tendon xanthomas, xanthelasma, corneal arcus)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Cholesterol deposition in the aortic root and valve (supravalvular/valvular aortic stenosis, especially in homozygous FH)</w:t>
            </w:r>
          </w:p>
        </w:tc>
        <w:tc>
          <w:tcPr>
            <w:tcW w:type="dxa" w:w="2980"/>
            <w:vAlign w:val="top"/>
          </w:tcPr>
          <w:p>
            <w:pPr>
              <w:spacing w:after="40" w:before="0" w:line="259" w:lineRule="auto"/>
            </w:pPr>
            <w:r>
              <w:rPr>
                <w:rFonts w:ascii="Calibri" w:hAnsi="Calibri"/>
                <w:b w:val="0"/>
                <w:i w:val="0"/>
                <w:color w:val="212121"/>
                <w:sz w:val="19"/>
              </w:rPr>
              <w:t>Direct consequences of markedly elevated LDL cholesterol present from birth</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coronary artery disease, angina and myocardial infarction (often in the 3rd-5th decade, earlier in HoFH)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Ischaemic stroke and transient ischaemic attack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arterial disease and claudication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Aortic atherosclerosis and aortic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disease when combined with smoking, diabetes or high lipoprotein(a)</w:t>
            </w:r>
          </w:p>
        </w:tc>
        <w:tc>
          <w:tcPr>
            <w:tcW w:type="dxa" w:w="2980"/>
            <w:vAlign w:val="top"/>
          </w:tcPr>
          <w:p>
            <w:pPr>
              <w:spacing w:after="40" w:before="0" w:line="259" w:lineRule="auto"/>
            </w:pPr>
            <w:r>
              <w:rPr>
                <w:rFonts w:ascii="Calibri" w:hAnsi="Calibri"/>
                <w:b w:val="0"/>
                <w:i w:val="0"/>
                <w:color w:val="212121"/>
                <w:sz w:val="19"/>
              </w:rPr>
              <w:t>Organ damage from early, aggressive cholesterol-driven atherosclerosis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 failure and arrhythmia after myocardial infarction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or fatal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Critical limb ischaemia and lower-limb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Sudden cardiac death - notably in untreated homozygous FH, sometimes before age 30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cardiovascular events, repeated revascularisation and premature death</w:t>
            </w:r>
          </w:p>
        </w:tc>
        <w:tc>
          <w:tcPr>
            <w:tcW w:type="dxa" w:w="2980"/>
            <w:vAlign w:val="top"/>
          </w:tcPr>
          <w:p>
            <w:pPr>
              <w:spacing w:after="40" w:before="0" w:line="259" w:lineRule="auto"/>
            </w:pPr>
            <w:r>
              <w:rPr>
                <w:rFonts w:ascii="Calibri" w:hAnsi="Calibri"/>
                <w:b w:val="0"/>
                <w:i w:val="0"/>
                <w:color w:val="212121"/>
                <w:sz w:val="19"/>
              </w:rPr>
              <w:t>Irreversible, disabling or fatal end-stage outcomes of untreated FH</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Premature coronary artery disease / ASCVD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Lifelong very high LDL drives early, aggressive coronary atherosclerosis; FH is heavily concentrated among people with early heart disease and is the core clinical consequence.</w:t>
            </w:r>
          </w:p>
          <w:p>
            <w:pPr>
              <w:spacing w:after="40" w:before="0" w:line="259" w:lineRule="auto"/>
            </w:pPr>
            <w:r>
              <w:rPr>
                <w:rFonts w:ascii="Calibri" w:hAnsi="Calibri"/>
                <w:b/>
                <w:i w:val="0"/>
                <w:color w:val="212121"/>
                <w:sz w:val="19"/>
              </w:rPr>
              <w:t>Definite-or-probable FH ~23.5% of Indian premature CAD</w:t>
            </w:r>
          </w:p>
        </w:tc>
      </w:tr>
      <w:tr>
        <w:trPr>
          <w:cantSplit/>
        </w:trPr>
        <w:tc>
          <w:tcPr>
            <w:tcW w:type="dxa" w:w="2232"/>
            <w:vAlign w:val="top"/>
          </w:tcPr>
          <w:p>
            <w:pPr>
              <w:spacing w:after="40" w:before="0" w:line="259" w:lineRule="auto"/>
            </w:pPr>
            <w:r>
              <w:rPr>
                <w:rFonts w:ascii="Calibri" w:hAnsi="Calibri"/>
                <w:b/>
                <w:i w:val="0"/>
                <w:color w:val="212121"/>
                <w:sz w:val="19"/>
              </w:rPr>
              <w:t>Aortic stenosis (supravalvular / valvular)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Cholesterol deposition in the aortic root and valve causes stenosis, a characteristic complication of homozygous FH that may need valve intervention.</w:t>
            </w:r>
          </w:p>
        </w:tc>
      </w:tr>
      <w:tr>
        <w:trPr>
          <w:cantSplit/>
        </w:trPr>
        <w:tc>
          <w:tcPr>
            <w:tcW w:type="dxa" w:w="2232"/>
            <w:vAlign w:val="top"/>
          </w:tcPr>
          <w:p>
            <w:pPr>
              <w:spacing w:after="40" w:before="0" w:line="259" w:lineRule="auto"/>
            </w:pPr>
            <w:r>
              <w:rPr>
                <w:rFonts w:ascii="Calibri" w:hAnsi="Calibri"/>
                <w:b/>
                <w:i w:val="0"/>
                <w:color w:val="212121"/>
                <w:sz w:val="19"/>
              </w:rPr>
              <w:t>Ischaemic stroke and transient ischaemic attack</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Premature cerebrovascular atherosclerosis from high LDL raises the risk of TIA and stroke, adding points on FH diagnostic scoring.</w:t>
            </w:r>
          </w:p>
        </w:tc>
      </w:tr>
      <w:tr>
        <w:trPr>
          <w:cantSplit/>
        </w:trPr>
        <w:tc>
          <w:tcPr>
            <w:tcW w:type="dxa" w:w="2232"/>
            <w:vAlign w:val="top"/>
          </w:tcPr>
          <w:p>
            <w:pPr>
              <w:spacing w:after="40" w:before="0" w:line="259" w:lineRule="auto"/>
            </w:pPr>
            <w:r>
              <w:rPr>
                <w:rFonts w:ascii="Calibri" w:hAnsi="Calibri"/>
                <w:b/>
                <w:i w:val="0"/>
                <w:color w:val="212121"/>
                <w:sz w:val="19"/>
              </w:rPr>
              <w:t>Peripheral arterial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Early atherosclerosis of limb arteries causes claudication and critical limb ischaemia in longstanding FH.</w:t>
            </w:r>
          </w:p>
        </w:tc>
      </w:tr>
      <w:tr>
        <w:trPr>
          <w:cantSplit/>
        </w:trPr>
        <w:tc>
          <w:tcPr>
            <w:tcW w:type="dxa" w:w="2232"/>
            <w:vAlign w:val="top"/>
          </w:tcPr>
          <w:p>
            <w:pPr>
              <w:spacing w:after="40" w:before="0" w:line="259" w:lineRule="auto"/>
            </w:pPr>
            <w:r>
              <w:rPr>
                <w:rFonts w:ascii="Calibri" w:hAnsi="Calibri"/>
                <w:b/>
                <w:i w:val="0"/>
                <w:color w:val="212121"/>
                <w:sz w:val="19"/>
              </w:rPr>
              <w:t>Elevated lipoprotein(a)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inherited atherogenic particle common in South Asians and often co-inherited with FH; together the risks are multiplicative and management is intensified.</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Reduces LDL-receptor activity and raises PCSK9, worsening LDL and mimicking FH; must be excluded and corrected, and treating it improves cholesterol.</w:t>
            </w:r>
          </w:p>
        </w:tc>
      </w:tr>
      <w:tr>
        <w:trPr>
          <w:cantSplit/>
        </w:trPr>
        <w:tc>
          <w:tcPr>
            <w:tcW w:type="dxa" w:w="2232"/>
            <w:vAlign w:val="top"/>
          </w:tcPr>
          <w:p>
            <w:pPr>
              <w:spacing w:after="40" w:before="0" w:line="259" w:lineRule="auto"/>
            </w:pPr>
            <w:r>
              <w:rPr>
                <w:rFonts w:ascii="Calibri" w:hAnsi="Calibri"/>
                <w:b/>
                <w:i w:val="0"/>
                <w:color w:val="212121"/>
                <w:sz w:val="19"/>
              </w:rPr>
              <w:t>Type 2 diabetes mellitus / metabolic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Adds small dense LDL, high triglycerides and low HDL to the inherited LDL excess, magnifies risk, mandates stricter LDL goals and interacts with statin therapy.</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coexists and, through shared endothelial dysfunction, multiplies the already high cardiovascular risk of FH and drives lower treatment targets.</w:t>
            </w:r>
          </w:p>
        </w:tc>
      </w:tr>
      <w:tr>
        <w:trPr>
          <w:cantSplit/>
        </w:trPr>
        <w:tc>
          <w:tcPr>
            <w:tcW w:type="dxa" w:w="2232"/>
            <w:vAlign w:val="top"/>
          </w:tcPr>
          <w:p>
            <w:pPr>
              <w:spacing w:after="40" w:before="0" w:line="259" w:lineRule="auto"/>
            </w:pPr>
            <w:r>
              <w:rPr>
                <w:rFonts w:ascii="Calibri" w:hAnsi="Calibri"/>
                <w:b/>
                <w:i w:val="0"/>
                <w:color w:val="212121"/>
                <w:sz w:val="19"/>
              </w:rPr>
              <w:t>Obesity / central 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Visceral adiposity raises apolipoprotein-B lipoproteins and non-HDL cholesterol on top of FH; weight loss improves the overall profile but cannot correct the genetic defect.</w:t>
            </w:r>
          </w:p>
        </w:tc>
      </w:tr>
      <w:tr>
        <w:trPr>
          <w:cantSplit/>
        </w:trPr>
        <w:tc>
          <w:tcPr>
            <w:tcW w:type="dxa" w:w="2232"/>
            <w:vAlign w:val="top"/>
          </w:tcPr>
          <w:p>
            <w:pPr>
              <w:spacing w:after="40" w:before="0" w:line="259" w:lineRule="auto"/>
            </w:pPr>
            <w:r>
              <w:rPr>
                <w:rFonts w:ascii="Calibri" w:hAnsi="Calibri"/>
                <w:b/>
                <w:i w:val="0"/>
                <w:color w:val="212121"/>
                <w:sz w:val="19"/>
              </w:rPr>
              <w:t>Depression / anxiety (adherence)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FH needs lifelong daily therapy from a young age; mood disorders reduce adherence and worsen LDL control, so mental-health support affects long-term outcomes.</w:t>
            </w:r>
          </w:p>
        </w:tc>
      </w:tr>
      <w:tr>
        <w:trPr>
          <w:cantSplit/>
        </w:trPr>
        <w:tc>
          <w:tcPr>
            <w:tcW w:type="dxa" w:w="2232"/>
            <w:vAlign w:val="top"/>
          </w:tcPr>
          <w:p>
            <w:pPr>
              <w:spacing w:after="40" w:before="0" w:line="259" w:lineRule="auto"/>
            </w:pPr>
            <w:r>
              <w:rPr>
                <w:rFonts w:ascii="Calibri" w:hAnsi="Calibri"/>
                <w:b/>
                <w:i w:val="0"/>
                <w:color w:val="212121"/>
                <w:sz w:val="19"/>
              </w:rPr>
              <w:t>Chronic kidney disease / nephrotic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Nephrotic syndrome is a secondary cause of severe hypercholesterolemia and CKD disturbs lipid handling, changing drug choice, dosing and monitoring in FH patients.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FH is inherited and present from birth - if you have it, each parent, sibling and child has about a 50% chance of having it too, so arrange cascade screening of relatives.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 lipid profile early: adults with LDL &gt;= 190 mg/dL, children with LDL &gt;= 160 mg/dL, or anyone with a family history of very high cholesterol or early heart attack should be assessed for FH.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physical clues - tendon lumps (Achilles, knuckles), yellow eyelid deposits and a grey corneal ring in a young person - and seek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FH cannot be cured by diet or exercise alone; lifelong cholesterol-lowering medication is essential to prevent premature heart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statins and add-on therapy (ezetimibe, PCSK9 inhibitors) consistently and never stop them because you feel well - the benefit is in preventing future heart attacks and strokes.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your personal LDL target (often &lt; 70 or &lt; 55 mg/dL if you have heart disease, diabetes or homozygous FH) and ask about genetic testing and specialist lipid-clinic referral.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FH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 with high LDL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premature CAD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children with FH</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saturated fat to under 7-10% of energy: limit ghee, butter, coconut oil, fatty red meat, organ meats and full-fat dairy.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industrial trans fats (vanaspati/partially hydrogenated oils), bakery products and repeatedly reheated frying oils.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unsaturated cooking oils (mustard, groundnut, rice-bran, olive) in moderation and prefer grilling, steaming and baking over deep-frying.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25-40 g/day of fibre, emphasising soluble fibre (oats, barley, pulses, apples, guava, psyllium) which helps lower LDL.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LDL-lowering foods such as nuts, soya and plant-sterol-fortified foods, and choose whole fruits and vegetables over juices and sweets.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diet as an essential adjunct to - not a replacement for - prescribed lipid-lowering medication.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FH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FH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Fast-food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with diabetes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to lower overall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training 2-3 days/week to improve body composition and insulin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short activity every 30-60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5-10% weight loss if overweight, focusing on reducing waist circumference.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diet and prescribed medication rather than relying on activity alone, which cannot normalise FH cholesterol.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homozygous FH or known advanced heart/aortic disease, get medical clearance and an individualised exercise plan first.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FH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with metabolic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(cigarettes, bidis, smokeless) - smoking dramatically multiplies the already extreme atherosclerotic risk of FH.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approved medications)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worsens the lipid profile and 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adolescents with FH early, before smoking starts, given their lifelong high-risk status.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diet, exercise and medication for maximum risk reduction.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FH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with established atherosclerosis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it adds calories, raises triglycerides, strains the liver and can complicate statin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can sharply raise triglycerides on top of very high LDL.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rely on any presumed cardiovascular benefit of alcohol to justify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fatty liver or are on statins, discuss safe alcohol limits with your clinician and monitor liver tests.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regular/heavy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with fatty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on statin therapy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to support healthy metabolism and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and limit late-night heavy or fatty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in obese patients, as it worsens metabolic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screen time before bed to improve sleep quality and appetite regulation.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FH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with poor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with metabolic syndrome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 lifelong genetic diagnosis and daily medication can cause anxiety; seek counselling and peer or family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which is linked to poorer diet, inactivity and worse adherence to lipid-lowering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reminders, pill organisers and routines to support strict daily medication adherence over decades.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with relaxation, yoga or breathing exercises to limit cortisol-driven metabolic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age-appropriate support and education for children and adolescents with FH and their parents.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FH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adolescents and their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FH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therapy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186/s43044-022-00320-7" TargetMode="External"/><Relationship Id="rId10" Type="http://schemas.openxmlformats.org/officeDocument/2006/relationships/hyperlink" Target="https://blogs.cdc.gov/genomics/2021/01/25/how-common-is-fh/" TargetMode="External"/><Relationship Id="rId11" Type="http://schemas.openxmlformats.org/officeDocument/2006/relationships/hyperlink" Target="https://www.ijmedicine.com/index.php/ijam/article/download/3554/2449" TargetMode="External"/><Relationship Id="rId12" Type="http://schemas.openxmlformats.org/officeDocument/2006/relationships/hyperlink" Target="https://link.springer.com/article/10.1007/s12098-017-2589-5" TargetMode="External"/><Relationship Id="rId13" Type="http://schemas.openxmlformats.org/officeDocument/2006/relationships/hyperlink" Target="https://pubmed.ncbi.nlm.nih.gov/33864011/" TargetMode="External"/><Relationship Id="rId14" Type="http://schemas.openxmlformats.org/officeDocument/2006/relationships/hyperlink" Target="https://my.clevelandclinic.org/health/diseases/22067-familial-hypercholesterolemia" TargetMode="External"/><Relationship Id="rId15" Type="http://schemas.openxmlformats.org/officeDocument/2006/relationships/hyperlink" Target="https://www.ncbi.nlm.nih.gov/books/NBK362539/table/T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