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Hashimoto's Thyroiditis (Autoimmune Thyroiditis)</w:t>
      </w:r>
    </w:p>
    <w:p>
      <w:pPr>
        <w:spacing w:before="0" w:after="160"/>
      </w:pPr>
      <w:r>
        <w:rPr>
          <w:rFonts w:ascii="Calibri" w:hAnsi="Calibri"/>
          <w:b/>
          <w:i w:val="0"/>
          <w:color w:val="212121"/>
          <w:sz w:val="22"/>
        </w:rPr>
        <w:t xml:space="preserve">AKA </w:t>
      </w:r>
      <w:r>
        <w:rPr>
          <w:rFonts w:ascii="Calibri" w:hAnsi="Calibri"/>
          <w:b w:val="0"/>
          <w:i w:val="0"/>
          <w:color w:val="212121"/>
          <w:sz w:val="22"/>
        </w:rPr>
        <w:t>i.e., Chronic Lymphocytic Thyroiditis, Chronic Autoimmune Thyroiditis, Hashimoto's Disease, Autoimmune Thyroiditis (AIT)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Hashimoto's thyroiditis is a chronic autoimmune disease in which cell-mediated and antibody-mediated destruction of thyroid follicular cells leads to progressive impairment of thyroid hormone production. It is characterised histologically by dense lymphocytic infiltration and serologically by circulating anti-thyroid peroxidase (anti-TPO) and anti-thyroglobulin (anti-Tg) antibodies, and is the commonest cause of hypothyroidism and of acquired goitre in iodine-sufficient regions. Clinically it spans a spectrum from a euthyroid antibody-positive state, through subclinical hypothyroidism, to overt hypothyroidism, and may present in a goitrous form (firm diffuse goitre) or an atrophic form (shrunken, fibrosed gland); a transient thyrotoxic phase (Hashitoxicosis) can occur early.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Hashimoto's thyroiditis is the leading cause of hypothyroidism in India and, with the attainment of iodine sufficiency after universal salt iodisation, autoimmunity now underlies much of the country's residual goitre. In the Cochin population study, anti-TPO antibodies - the serological hallmark of the disease - were detectable in about 16.7% of adults and anti-thyroglobulin antibodies in about 12.1% (roughly 9.5% and 8.5% after excluding those with abnormal thyroid function), meaning close to 1 in 10 adults carries thyroid autoimmunity. The disease is strongly female-predominant (reported female-to-male ratios of about 7:1 to 10:1, with prevalence in women around four times that in men) and peaks between 45 and 55 years, though juvenile autoimmune thyroiditis is common in Indian schoolgirls - a nationwide screen of 6,283 adolescent girls found cytological evidence of autoimmune thyroiditis in about 7.5% of those biopsied.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Hashimoto's thyroiditis is diagnosed by combining biochemical thyroid status with markers of autoimmunity and, where needed, imaging or cytology. The diagnosis rests 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TSH with free T4 to define thyroid status - normal (euthyroid), raised TSH with normal free T4 (subclinical hypothyroidism), or raised TSH with low free T4 (overt hypothyroidism);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anti-thyroid peroxidase (anti-TPO) antibodies, present in over 90% of patients, as the single most useful confirmatory test for autoimmune aetiology;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anti-thyroglobulin (anti-Tg) antibodies, positive in roughly 50-80% of patients, which add sensitivity when anti-TPO is negative or borderline;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thyroid ultrasound showing a diffusely hypoechoic, heterogeneous, often pseudonodular gland (with increased or decreased vascularity), supporting chronic autoimmune thyroiditis and characterising any nodules or goitre;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fine-needle aspiration cytology (FNAC) reserved for a dominant, suspicious or rapidly enlarging nodule, showing lymphocytic infiltration and Hurthle (Askanazy) cells, and used to exclude papillary carcinoma or the rare thyroid lymphoma;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evaluation - lipid profile, complete blood count with iron studies and B12 (for coexisting celiac disease or autoimmune gastritis), and 25-hydroxyvitamin D - to detect associated deficiencies and comorbidity.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Hashimoto's thyroiditis is classified by gland morphology, by thyroid functional status, and by recognised clinical variants:</w:t>
      </w:r>
    </w:p>
    <w:p>
      <w:pPr>
        <w:spacing w:before="0" w:after="80"/>
      </w:pPr>
      <w:r>
        <w:rPr>
          <w:rFonts w:ascii="Calibri" w:hAnsi="Calibri"/>
          <w:b w:val="0"/>
          <w:i w:val="0"/>
          <w:color w:val="212121"/>
          <w:sz w:val="21"/>
        </w:rPr>
        <w:t>(1) Goitrous (classic) Hashimoto's thyroiditis - a firm, diffusely enlarged, bosselated gland from lymphocytic infiltration and hyperplasia; the typical presentation in younger patients and adolescents;</w:t>
      </w:r>
    </w:p>
    <w:p>
      <w:pPr>
        <w:spacing w:before="0" w:after="80"/>
      </w:pPr>
      <w:r>
        <w:rPr>
          <w:rFonts w:ascii="Calibri" w:hAnsi="Calibri"/>
          <w:b w:val="0"/>
          <w:i w:val="0"/>
          <w:color w:val="212121"/>
          <w:sz w:val="21"/>
        </w:rPr>
        <w:t>(2) Atrophic (fibrous) thyroiditis / primary myxoedema - progressive fibrosis and shrinkage of the gland with blocking TSH-receptor antibodies, presenting as overt hypothyroidism without goitre, more often in older adults;</w:t>
      </w:r>
    </w:p>
    <w:p>
      <w:pPr>
        <w:spacing w:before="0" w:after="80"/>
      </w:pPr>
      <w:r>
        <w:rPr>
          <w:rFonts w:ascii="Calibri" w:hAnsi="Calibri"/>
          <w:b w:val="0"/>
          <w:i w:val="0"/>
          <w:color w:val="212121"/>
          <w:sz w:val="21"/>
        </w:rPr>
        <w:t>(3) Functional stages - euthyroid antibody-positive disease (most common and often lifelong stable), subclinical hypothyroidism (raised TSH, normal free T4), and overt hypothyroidism (raised TSH, low free T4), with the risk of developing hypothyroidism rising by roughly 5% each year;</w:t>
      </w:r>
    </w:p>
    <w:p>
      <w:pPr>
        <w:spacing w:before="0" w:after="80"/>
      </w:pPr>
      <w:r>
        <w:rPr>
          <w:rFonts w:ascii="Calibri" w:hAnsi="Calibri"/>
          <w:b w:val="0"/>
          <w:i w:val="0"/>
          <w:color w:val="212121"/>
          <w:sz w:val="21"/>
        </w:rPr>
        <w:t>(4) Hashitoxicosis - a transient thyrotoxic phase early in the disease from follicular destruction and hormone leak, which is self-limiting and must be distinguished from Graves' disease;</w:t>
      </w:r>
    </w:p>
    <w:p>
      <w:pPr>
        <w:spacing w:before="0" w:after="80"/>
      </w:pPr>
      <w:r>
        <w:rPr>
          <w:rFonts w:ascii="Calibri" w:hAnsi="Calibri"/>
          <w:b w:val="0"/>
          <w:i w:val="0"/>
          <w:color w:val="212121"/>
          <w:sz w:val="21"/>
        </w:rPr>
        <w:t>(5) Juvenile autoimmune thyroiditis - the childhood/adolescent form, the commonest cause of acquired goitre and hypothyroidism in Indian schoolchildren; and</w:t>
      </w:r>
    </w:p>
    <w:p>
      <w:pPr>
        <w:spacing w:before="0" w:after="80"/>
      </w:pPr>
      <w:r>
        <w:rPr>
          <w:rFonts w:ascii="Calibri" w:hAnsi="Calibri"/>
          <w:b w:val="0"/>
          <w:i w:val="0"/>
          <w:color w:val="212121"/>
          <w:sz w:val="21"/>
        </w:rPr>
        <w:t>(6) Special variants - IgG4-related (fibrous) thyroiditis, painless (silent) and postpartum thyroiditis, and the rare Hashimoto's (steroid-responsive) encephalopathy, all part of the autoimmune thyroiditis spectrum.</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and HLA susceptibility: Strong heritability (monozygotic twin concordance about 50% for disease and 80% for antibody positivity), with HLA-DR and immune-regulatory genes (CTLA-4, PTPN22, CD40, FoxP3) predisposing to loss of self-tolerance.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Female sex and oestrogen: Female sex is the dominant risk factor (female-to-male ratio about 7-10:1), reflecting oestrogen-related immune modulation and X-chromosome effects; onset often clusters around puberty, pregnancy, postpartum and menopause.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Iodine excess: After universal salt iodisation, chronic iodine excess (over-iodised salt, seaweed/kelp, supplements) increases thyroglobulin immunogenicity and can precipitate or unmask autoimmune thyroiditis in genetically susceptible people.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Micronutrient status: Selenium deficiency (impairing antioxidant glutathione-peroxidase defence of thyrocytes), iron deficiency (thyroid peroxidase is iron-dependent) and low vitamin D are each associated with thyroid autoimmunity.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and drug triggers: Interferon-alfa, amiodarone, lithium, tyrosine-kinase and immune-checkpoint inhibitors, neck irradiation, and certain infections can initiate or accelerate autoimmune thyroiditis.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Smoking status and cessation: Smoking lowers thyroid antibody titres and TSH and may mask disease, so autoimmune thyroiditis can become clinically apparent after smoking cessation.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Pregnancy and immune shifts: The postpartum immune rebound frequently precipitates painless/postpartum thyroiditis and unmasks underlying Hashimoto's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(45-55 y)</w:t>
            </w:r>
          </w:p>
        </w:tc>
        <w:tc>
          <w:tcPr>
            <w:tcW w:type="dxa" w:w="4276"/>
            <w:vAlign w:val="top"/>
          </w:tcPr>
          <w:p>
            <w:pPr>
              <w:spacing w:after="60" w:line="259" w:lineRule="auto"/>
            </w:pPr>
            <w:r>
              <w:rPr>
                <w:rFonts w:ascii="Calibri" w:hAnsi="Calibri"/>
                <w:b w:val="0"/>
                <w:i w:val="0"/>
                <w:color w:val="212121"/>
                <w:sz w:val="19"/>
              </w:rPr>
              <w:t>Cumulative autoimmune injury to the thyroid means clinically overt Hashimoto's disease is most often diagnosed in mid-adult life, when antibody-mediated destruction has progressed enough to raise TSH.</w:t>
            </w:r>
          </w:p>
          <w:p>
            <w:pPr>
              <w:spacing w:after="40" w:before="60" w:line="259" w:lineRule="auto"/>
            </w:pPr>
            <w:r>
              <w:rPr>
                <w:rFonts w:ascii="Calibri" w:hAnsi="Calibri"/>
                <w:b w:val="0"/>
                <w:i w:val="0"/>
                <w:color w:val="212121"/>
                <w:sz w:val="19"/>
              </w:rPr>
              <w:t>Peak incidence of Hashimoto's thyroiditis occurs between 45 and 55 years of age.</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#hashimoto  #autoimmune  #midlife  #antitpo  #thyroid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 girls / children (juvenile AIT)</w:t>
            </w:r>
          </w:p>
        </w:tc>
        <w:tc>
          <w:tcPr>
            <w:tcW w:type="dxa" w:w="4276"/>
            <w:vAlign w:val="top"/>
          </w:tcPr>
          <w:p>
            <w:pPr>
              <w:spacing w:after="60" w:line="259" w:lineRule="auto"/>
            </w:pPr>
            <w:r>
              <w:rPr>
                <w:rFonts w:ascii="Calibri" w:hAnsi="Calibri"/>
                <w:b w:val="0"/>
                <w:i w:val="0"/>
                <w:color w:val="212121"/>
                <w:sz w:val="19"/>
              </w:rPr>
              <w:t>Autoimmune thyroiditis is the commonest cause of acquired goitre and hypothyroidism in Indian schoolchildren; puberty and the female hormonal surge trigger early lymphocytic thyroiditis, often with a firm goitre.</w:t>
            </w:r>
          </w:p>
          <w:p>
            <w:pPr>
              <w:spacing w:after="40" w:before="60" w:line="259" w:lineRule="auto"/>
            </w:pPr>
            <w:r>
              <w:rPr>
                <w:rFonts w:ascii="Calibri" w:hAnsi="Calibri"/>
                <w:b w:val="0"/>
                <w:i w:val="0"/>
                <w:color w:val="212121"/>
                <w:sz w:val="19"/>
              </w:rPr>
              <w:t>In a nationwide screen of 6,283 Indian adolescent schoolgirls, about 7.5% of those biopsied had cytological evidence of juvenile autoimmune thyroiditis.</w:t>
            </w:r>
          </w:p>
          <w:p>
            <w:pPr>
              <w:spacing w:after="40" w:line="252" w:lineRule="auto"/>
            </w:pPr>
            <w:hyperlink r:id="rId10">
              <w:r>
                <w:rPr>
                  <w:rFonts w:ascii="Calibri" w:hAnsi="Calibri" w:cs="Calibri"/>
                  <w:sz w:val="18"/>
                  <w:color w:val="1155CC"/>
                  <w:u w:val="single"/>
                </w:rPr>
                <w:t xml:space="preserve">pmc.ncbi.nlm.nih.gov — Thyroid disorders in India (epidemiology)</w:t>
              </w:r>
            </w:hyperlink>
          </w:p>
          <w:p>
            <w:pPr>
              <w:spacing w:before="60" w:after="40"/>
            </w:pPr>
            <w:r>
              <w:rPr>
                <w:rFonts w:ascii="Calibri" w:hAnsi="Calibri"/>
                <w:b w:val="0"/>
                <w:i w:val="0"/>
                <w:color w:val="5A5A5A"/>
                <w:sz w:val="18"/>
              </w:rPr>
              <w:t>#juvenile  #adolescents  #goitre  #schoolgirls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of reproductive age</w:t>
            </w:r>
          </w:p>
        </w:tc>
        <w:tc>
          <w:tcPr>
            <w:tcW w:type="dxa" w:w="4276"/>
            <w:vAlign w:val="top"/>
          </w:tcPr>
          <w:p>
            <w:pPr>
              <w:spacing w:after="60" w:line="259" w:lineRule="auto"/>
            </w:pPr>
            <w:r>
              <w:rPr>
                <w:rFonts w:ascii="Calibri" w:hAnsi="Calibri"/>
                <w:b w:val="0"/>
                <w:i w:val="0"/>
                <w:color w:val="212121"/>
                <w:sz w:val="19"/>
              </w:rPr>
              <w:t>Female sex is by far the strongest risk factor, driven by oestrogen-mediated immune modulation and X-linked susceptibility; detection matters most before and during pregnancy because of fertility and fetal implications.</w:t>
            </w:r>
          </w:p>
          <w:p>
            <w:pPr>
              <w:spacing w:after="40" w:before="60" w:line="259" w:lineRule="auto"/>
            </w:pPr>
            <w:r>
              <w:rPr>
                <w:rFonts w:ascii="Calibri" w:hAnsi="Calibri"/>
                <w:b w:val="0"/>
                <w:i w:val="0"/>
                <w:color w:val="212121"/>
                <w:sz w:val="19"/>
              </w:rPr>
              <w:t>Hashimoto's thyroiditis shows a female-to-male ratio of about 7:1 to 10:1, with prevalence in women roughly four times that in men.</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#women  #estrogen  #fertility  #autoimmunity  #thyroid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Reproductive stage</w:t>
            </w:r>
          </w:p>
        </w:tc>
        <w:tc>
          <w:tcPr>
            <w:tcW w:type="dxa" w:w="2160"/>
            <w:vAlign w:val="top"/>
          </w:tcPr>
          <w:p>
            <w:pPr>
              <w:spacing w:after="40" w:before="0" w:line="259" w:lineRule="auto"/>
            </w:pPr>
            <w:r>
              <w:rPr>
                <w:rFonts w:ascii="Calibri" w:hAnsi="Calibri"/>
                <w:b w:val="0"/>
                <w:i w:val="0"/>
                <w:color w:val="212121"/>
                <w:sz w:val="19"/>
              </w:rPr>
              <w:t>Postpartum and peri-/postmenopausal women</w:t>
            </w:r>
          </w:p>
        </w:tc>
        <w:tc>
          <w:tcPr>
            <w:tcW w:type="dxa" w:w="4276"/>
            <w:vAlign w:val="top"/>
          </w:tcPr>
          <w:p>
            <w:pPr>
              <w:spacing w:after="60" w:line="259" w:lineRule="auto"/>
            </w:pPr>
            <w:r>
              <w:rPr>
                <w:rFonts w:ascii="Calibri" w:hAnsi="Calibri"/>
                <w:b w:val="0"/>
                <w:i w:val="0"/>
                <w:color w:val="212121"/>
                <w:sz w:val="19"/>
              </w:rPr>
              <w:t>The postpartum immune rebound commonly precipitates painless/postpartum thyroiditis and unmasks Hashimoto's disease, while the menopausal fall in oestrogen and accumulated autoimmunity raise risk in older women.</w:t>
            </w:r>
          </w:p>
          <w:p>
            <w:pPr>
              <w:spacing w:after="40" w:before="60" w:line="259" w:lineRule="auto"/>
            </w:pPr>
            <w:r>
              <w:rPr>
                <w:rFonts w:ascii="Calibri" w:hAnsi="Calibri"/>
                <w:b w:val="0"/>
                <w:i w:val="0"/>
                <w:color w:val="212121"/>
                <w:sz w:val="19"/>
              </w:rPr>
              <w:t>Thyroid peroxidase antibodies are detectable in roughly 5-14% of pregnant women, marking those at risk of postpartum thyroiditis and progression.</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#postpartum  #menopause  #pregnancy  #antitpo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screened, insured populations</w:t>
            </w:r>
          </w:p>
        </w:tc>
        <w:tc>
          <w:tcPr>
            <w:tcW w:type="dxa" w:w="4276"/>
            <w:vAlign w:val="top"/>
          </w:tcPr>
          <w:p>
            <w:pPr>
              <w:spacing w:after="60" w:line="259" w:lineRule="auto"/>
            </w:pPr>
            <w:r>
              <w:rPr>
                <w:rFonts w:ascii="Calibri" w:hAnsi="Calibri"/>
                <w:b w:val="0"/>
                <w:i w:val="0"/>
                <w:color w:val="212121"/>
                <w:sz w:val="19"/>
              </w:rPr>
              <w:t>Much euthyroid and subclinical autoimmune thyroiditis is detected incidentally at health check-ups, so recorded prevalence is higher where TSH and antibody screening are routine; urban iodised diets may also contribute.</w:t>
            </w:r>
          </w:p>
          <w:p>
            <w:pPr>
              <w:spacing w:after="40" w:before="60" w:line="259" w:lineRule="auto"/>
            </w:pPr>
            <w:r>
              <w:rPr>
                <w:rFonts w:ascii="Calibri" w:hAnsi="Calibri"/>
                <w:b w:val="0"/>
                <w:i w:val="0"/>
                <w:color w:val="212121"/>
                <w:sz w:val="19"/>
              </w:rPr>
              <w:t>Anti-TPO antibodies were found in about 16.7% of adults in the Cochin population survey, much of it in otherwise well, screened individuals.</w:t>
            </w:r>
          </w:p>
          <w:p>
            <w:pPr>
              <w:spacing w:after="40" w:line="252" w:lineRule="auto"/>
            </w:pPr>
            <w:hyperlink r:id="rId10">
              <w:r>
                <w:rPr>
                  <w:rFonts w:ascii="Calibri" w:hAnsi="Calibri" w:cs="Calibri"/>
                  <w:sz w:val="18"/>
                  <w:color w:val="1155CC"/>
                  <w:u w:val="single"/>
                </w:rPr>
                <w:t xml:space="preserve">pmc.ncbi.nlm.nih.gov — Thyroid disorders in India (epidemiology)</w:t>
              </w:r>
            </w:hyperlink>
          </w:p>
          <w:p>
            <w:pPr>
              <w:spacing w:before="60" w:after="40"/>
            </w:pPr>
            <w:r>
              <w:rPr>
                <w:rFonts w:ascii="Calibri" w:hAnsi="Calibri"/>
                <w:b w:val="0"/>
                <w:i w:val="0"/>
                <w:color w:val="5A5A5A"/>
                <w:sz w:val="18"/>
              </w:rPr>
              <w:t>#screening  #urban  #healthcheck  #incidental  #antitpo</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Iodine intake</w:t>
            </w:r>
          </w:p>
        </w:tc>
        <w:tc>
          <w:tcPr>
            <w:tcW w:type="dxa" w:w="2160"/>
            <w:vAlign w:val="top"/>
          </w:tcPr>
          <w:p>
            <w:pPr>
              <w:spacing w:after="40" w:before="0" w:line="259" w:lineRule="auto"/>
            </w:pPr>
            <w:r>
              <w:rPr>
                <w:rFonts w:ascii="Calibri" w:hAnsi="Calibri"/>
                <w:b w:val="0"/>
                <w:i w:val="0"/>
                <w:color w:val="212121"/>
                <w:sz w:val="19"/>
              </w:rPr>
              <w:t>Residents of iodine-sufficient / iodine-excess areas</w:t>
            </w:r>
          </w:p>
        </w:tc>
        <w:tc>
          <w:tcPr>
            <w:tcW w:type="dxa" w:w="4276"/>
            <w:vAlign w:val="top"/>
          </w:tcPr>
          <w:p>
            <w:pPr>
              <w:spacing w:after="60" w:line="259" w:lineRule="auto"/>
            </w:pPr>
            <w:r>
              <w:rPr>
                <w:rFonts w:ascii="Calibri" w:hAnsi="Calibri"/>
                <w:b w:val="0"/>
                <w:i w:val="0"/>
                <w:color w:val="212121"/>
                <w:sz w:val="19"/>
              </w:rPr>
              <w:t>Once populations move from iodine deficiency to sufficiency or excess (over-iodised salt, seaweed, supplements), thyroglobulin becomes more immunogenic and autoimmune thyroiditis becomes the dominant thyroid pathology - the pattern now seen across post-iodisation India.</w:t>
            </w:r>
          </w:p>
          <w:p>
            <w:pPr>
              <w:spacing w:after="40" w:before="60" w:line="259" w:lineRule="auto"/>
            </w:pPr>
            <w:r>
              <w:rPr>
                <w:rFonts w:ascii="Calibri" w:hAnsi="Calibri"/>
                <w:b w:val="0"/>
                <w:i w:val="0"/>
                <w:color w:val="212121"/>
                <w:sz w:val="19"/>
              </w:rPr>
              <w:t>After universal salt iodisation, anti-TPO/anti-Tg positivity increased or remained high in most surveyed countries, implicating iodine excess in the burden of Hashimoto's thyroiditis.</w:t>
            </w:r>
          </w:p>
          <w:p>
            <w:pPr>
              <w:spacing w:after="40" w:line="252" w:lineRule="auto"/>
            </w:pPr>
            <w:hyperlink r:id="rId11">
              <w:r>
                <w:rPr>
                  <w:rFonts w:ascii="Calibri" w:hAnsi="Calibri" w:cs="Calibri"/>
                  <w:sz w:val="18"/>
                  <w:color w:val="1155CC"/>
                  <w:u w:val="single"/>
                </w:rPr>
                <w:t xml:space="preserve">mdpi.com — iodine from salt iodisation &amp; Hashimoto's (systematic review)</w:t>
              </w:r>
            </w:hyperlink>
          </w:p>
          <w:p>
            <w:pPr>
              <w:spacing w:before="60" w:after="40"/>
            </w:pPr>
            <w:r>
              <w:rPr>
                <w:rFonts w:ascii="Calibri" w:hAnsi="Calibri"/>
                <w:b w:val="0"/>
                <w:i w:val="0"/>
                <w:color w:val="5A5A5A"/>
                <w:sz w:val="18"/>
              </w:rPr>
              <w:t>#iodine  #saltiodisation  #excess  #thyroglobulin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Sub-Himalayan and inland Indian populations</w:t>
            </w:r>
          </w:p>
        </w:tc>
        <w:tc>
          <w:tcPr>
            <w:tcW w:type="dxa" w:w="4276"/>
            <w:vAlign w:val="top"/>
          </w:tcPr>
          <w:p>
            <w:pPr>
              <w:spacing w:after="60" w:line="259" w:lineRule="auto"/>
            </w:pPr>
            <w:r>
              <w:rPr>
                <w:rFonts w:ascii="Calibri" w:hAnsi="Calibri"/>
                <w:b w:val="0"/>
                <w:i w:val="0"/>
                <w:color w:val="212121"/>
                <w:sz w:val="19"/>
              </w:rPr>
              <w:t>Historically goitre-endemic inland and sub-Himalayan belts retain high goitre rates despite iodisation, with autoimmunity now explaining part of the persistent goitre alongside residual goitrogen exposure.</w:t>
            </w:r>
          </w:p>
          <w:p>
            <w:pPr>
              <w:spacing w:after="40" w:before="60" w:line="259" w:lineRule="auto"/>
            </w:pPr>
            <w:r>
              <w:rPr>
                <w:rFonts w:ascii="Calibri" w:hAnsi="Calibri"/>
                <w:b w:val="0"/>
                <w:i w:val="0"/>
                <w:color w:val="212121"/>
                <w:sz w:val="19"/>
              </w:rPr>
              <w:t>Despite iodisation, about 23% of studied children retained goitre, with autoimmune thyroiditis partly explaining the persistence.</w:t>
            </w:r>
          </w:p>
          <w:p>
            <w:pPr>
              <w:spacing w:after="40" w:line="252" w:lineRule="auto"/>
            </w:pPr>
            <w:hyperlink r:id="rId10">
              <w:r>
                <w:rPr>
                  <w:rFonts w:ascii="Calibri" w:hAnsi="Calibri" w:cs="Calibri"/>
                  <w:sz w:val="18"/>
                  <w:color w:val="1155CC"/>
                  <w:u w:val="single"/>
                </w:rPr>
                <w:t xml:space="preserve">pmc.ncbi.nlm.nih.gov — Thyroid disorders in India (epidemiology)</w:t>
              </w:r>
            </w:hyperlink>
          </w:p>
          <w:p>
            <w:pPr>
              <w:spacing w:before="60" w:after="40"/>
            </w:pPr>
            <w:r>
              <w:rPr>
                <w:rFonts w:ascii="Calibri" w:hAnsi="Calibri"/>
                <w:b w:val="0"/>
                <w:i w:val="0"/>
                <w:color w:val="5A5A5A"/>
                <w:sz w:val="18"/>
              </w:rPr>
              <w:t>#india  #goitrebelt  #inland  #iodine  #goitre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Physically inactive, centrally obese adults</w:t>
            </w:r>
          </w:p>
        </w:tc>
        <w:tc>
          <w:tcPr>
            <w:tcW w:type="dxa" w:w="4276"/>
            <w:vAlign w:val="top"/>
          </w:tcPr>
          <w:p>
            <w:pPr>
              <w:spacing w:after="60" w:line="259" w:lineRule="auto"/>
            </w:pPr>
            <w:r>
              <w:rPr>
                <w:rFonts w:ascii="Calibri" w:hAnsi="Calibri"/>
                <w:b w:val="0"/>
                <w:i w:val="0"/>
                <w:color w:val="212121"/>
                <w:sz w:val="19"/>
              </w:rPr>
              <w:t>Obesity and inactivity promote a low-grade inflammatory, leptin-high state that is associated with higher thyroid autoantibody titres and modestly raised TSH, and they compound the cardiometabolic risk of coexisting hypothyroidism.</w:t>
            </w:r>
          </w:p>
          <w:p>
            <w:pPr>
              <w:spacing w:after="40" w:before="60" w:line="259" w:lineRule="auto"/>
            </w:pPr>
            <w:r>
              <w:rPr>
                <w:rFonts w:ascii="Calibri" w:hAnsi="Calibri"/>
                <w:b w:val="0"/>
                <w:i w:val="0"/>
                <w:color w:val="212121"/>
                <w:sz w:val="19"/>
              </w:rPr>
              <w:t>Adiposity and metabolic syndrome are associated with higher TSH and thyroid autoimmunity, adding to the cardiovascular risk of hypothyroidism.</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#obesity  #sedentary  #leptin  #inflammation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Recent ex-smokers</w:t>
            </w:r>
          </w:p>
        </w:tc>
        <w:tc>
          <w:tcPr>
            <w:tcW w:type="dxa" w:w="4276"/>
            <w:vAlign w:val="top"/>
          </w:tcPr>
          <w:p>
            <w:pPr>
              <w:spacing w:after="60" w:line="259" w:lineRule="auto"/>
            </w:pPr>
            <w:r>
              <w:rPr>
                <w:rFonts w:ascii="Calibri" w:hAnsi="Calibri"/>
                <w:b w:val="0"/>
                <w:i w:val="0"/>
                <w:color w:val="212121"/>
                <w:sz w:val="19"/>
              </w:rPr>
              <w:t>Cigarette smoke (thiocyanate) tends to lower thyroid antibody titres and TSH and can mask autoimmune thyroiditis; on quitting, antibodies and TSH may rise and previously hidden Hashimoto's disease can become clinically apparent.</w:t>
            </w:r>
          </w:p>
          <w:p>
            <w:pPr>
              <w:spacing w:after="40" w:before="60" w:line="259" w:lineRule="auto"/>
            </w:pPr>
            <w:r>
              <w:rPr>
                <w:rFonts w:ascii="Calibri" w:hAnsi="Calibri"/>
                <w:b w:val="0"/>
                <w:i w:val="0"/>
                <w:color w:val="212121"/>
                <w:sz w:val="19"/>
              </w:rPr>
              <w:t>Regular smoking is associated with significantly lower anti-TPO, anti-Tg and TSH levels in a dose-dependent manner, so disease may be unmasked after cessation.</w:t>
            </w:r>
          </w:p>
          <w:p>
            <w:pPr>
              <w:spacing w:after="40" w:line="252" w:lineRule="auto"/>
            </w:pPr>
            <w:hyperlink r:id="rId12">
              <w:r>
                <w:rPr>
                  <w:rFonts w:ascii="Calibri" w:hAnsi="Calibri" w:cs="Calibri"/>
                  <w:sz w:val="18"/>
                  <w:color w:val="1155CC"/>
                  <w:u w:val="single"/>
                </w:rPr>
                <w:t xml:space="preserve">journals.plos.org — smoking, TSH and thyroid antibodies (10-city study)</w:t>
              </w:r>
            </w:hyperlink>
          </w:p>
          <w:p>
            <w:pPr>
              <w:spacing w:before="60" w:after="40"/>
            </w:pPr>
            <w:r>
              <w:rPr>
                <w:rFonts w:ascii="Calibri" w:hAnsi="Calibri"/>
                <w:b w:val="0"/>
                <w:i w:val="0"/>
                <w:color w:val="5A5A5A"/>
                <w:sz w:val="18"/>
              </w:rPr>
              <w:t>#smoking  #thiocyanate  #cessation  #unmasking  #antitpo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chronic alcohol users</w:t>
            </w:r>
          </w:p>
        </w:tc>
        <w:tc>
          <w:tcPr>
            <w:tcW w:type="dxa" w:w="4276"/>
            <w:vAlign w:val="top"/>
          </w:tcPr>
          <w:p>
            <w:pPr>
              <w:spacing w:after="60" w:line="259" w:lineRule="auto"/>
            </w:pPr>
            <w:r>
              <w:rPr>
                <w:rFonts w:ascii="Calibri" w:hAnsi="Calibri"/>
                <w:b w:val="0"/>
                <w:i w:val="0"/>
                <w:color w:val="212121"/>
                <w:sz w:val="19"/>
              </w:rPr>
              <w:t>Evidence is limited and inconsistent; some data suggest moderate alcohol is associated with slightly lower thyroid autoimmunity, but heavy chronic use harms overall health and can reduce thyroid volume, with no clear protective role.</w:t>
            </w:r>
          </w:p>
          <w:p>
            <w:pPr>
              <w:spacing w:after="40" w:before="60" w:line="259" w:lineRule="auto"/>
            </w:pPr>
            <w:r>
              <w:rPr>
                <w:rFonts w:ascii="Calibri" w:hAnsi="Calibri"/>
                <w:b w:val="0"/>
                <w:i w:val="0"/>
                <w:color w:val="212121"/>
                <w:sz w:val="19"/>
              </w:rPr>
              <w:t>The relationship between alcohol and Hashimoto's thyroiditis is weak and not well established in the literature.</w:t>
            </w:r>
          </w:p>
          <w:p>
            <w:pPr>
              <w:spacing w:before="60" w:after="40"/>
            </w:pPr>
            <w:r>
              <w:rPr>
                <w:rFonts w:ascii="Calibri" w:hAnsi="Calibri"/>
                <w:b w:val="0"/>
                <w:i w:val="0"/>
                <w:color w:val="5A5A5A"/>
                <w:sz w:val="18"/>
              </w:rPr>
              <w:t>#alcohol  #thyroidvolume  #uncertain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High-iodine diets (excess iodised salt, kelp/seaweed, iodine supplements)</w:t>
            </w:r>
          </w:p>
        </w:tc>
        <w:tc>
          <w:tcPr>
            <w:tcW w:type="dxa" w:w="4276"/>
            <w:vAlign w:val="top"/>
          </w:tcPr>
          <w:p>
            <w:pPr>
              <w:spacing w:after="60" w:line="259" w:lineRule="auto"/>
            </w:pPr>
            <w:r>
              <w:rPr>
                <w:rFonts w:ascii="Calibri" w:hAnsi="Calibri"/>
                <w:b w:val="0"/>
                <w:i w:val="0"/>
                <w:color w:val="212121"/>
                <w:sz w:val="19"/>
              </w:rPr>
              <w:t>Chronic dietary iodine excess enhances thyroglobulin immunogenicity and, via the Wolff-Chaikoff effect, blunts hormone release, precipitating autoimmune thyroiditis and hypothyroidism in susceptible individuals.</w:t>
            </w:r>
          </w:p>
          <w:p>
            <w:pPr>
              <w:spacing w:after="40" w:before="60" w:line="259" w:lineRule="auto"/>
            </w:pPr>
            <w:r>
              <w:rPr>
                <w:rFonts w:ascii="Calibri" w:hAnsi="Calibri"/>
                <w:b w:val="0"/>
                <w:i w:val="0"/>
                <w:color w:val="212121"/>
                <w:sz w:val="19"/>
              </w:rPr>
              <w:t>An Indian case-control study found habitual iodine excess associated with an increased risk of hypothyroidism.</w:t>
            </w:r>
          </w:p>
          <w:p>
            <w:pPr>
              <w:spacing w:after="40" w:line="252" w:lineRule="auto"/>
            </w:pPr>
            <w:hyperlink r:id="rId13">
              <w:r>
                <w:rPr>
                  <w:rFonts w:ascii="Calibri" w:hAnsi="Calibri" w:cs="Calibri"/>
                  <w:sz w:val="18"/>
                  <w:color w:val="1155CC"/>
                  <w:u w:val="single"/>
                </w:rPr>
                <w:t xml:space="preserve">sciencedirect.com — iodine excess and hypothyroidism, India</w:t>
              </w:r>
            </w:hyperlink>
          </w:p>
          <w:p>
            <w:pPr>
              <w:spacing w:before="60" w:after="40"/>
            </w:pPr>
            <w:r>
              <w:rPr>
                <w:rFonts w:ascii="Calibri" w:hAnsi="Calibri"/>
                <w:b w:val="0"/>
                <w:i w:val="0"/>
                <w:color w:val="5A5A5A"/>
                <w:sz w:val="18"/>
              </w:rPr>
              <w:t>#iodine  #seaweed  #supplements  #wolffchaikoff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Selenium-, iron- and vitamin D-deficient individuals</w:t>
            </w:r>
          </w:p>
        </w:tc>
        <w:tc>
          <w:tcPr>
            <w:tcW w:type="dxa" w:w="4276"/>
            <w:vAlign w:val="top"/>
          </w:tcPr>
          <w:p>
            <w:pPr>
              <w:spacing w:after="60" w:line="259" w:lineRule="auto"/>
            </w:pPr>
            <w:r>
              <w:rPr>
                <w:rFonts w:ascii="Calibri" w:hAnsi="Calibri"/>
                <w:b w:val="0"/>
                <w:i w:val="0"/>
                <w:color w:val="212121"/>
                <w:sz w:val="19"/>
              </w:rPr>
              <w:t>Selenium underpins the thyroid's glutathione-peroxidase antioxidant defence, iron is required for thyroid peroxidase activity, and vitamin D has immunomodulatory effects; deficiency of any is linked to greater thyroid autoimmunity.</w:t>
            </w:r>
          </w:p>
          <w:p>
            <w:pPr>
              <w:spacing w:after="40" w:before="60" w:line="259" w:lineRule="auto"/>
            </w:pPr>
            <w:r>
              <w:rPr>
                <w:rFonts w:ascii="Calibri" w:hAnsi="Calibri"/>
                <w:b w:val="0"/>
                <w:i w:val="0"/>
                <w:color w:val="212121"/>
                <w:sz w:val="19"/>
              </w:rPr>
              <w:t>Patients with Hashimoto's thyroiditis have about 4-fold higher odds of vitamin D deficiency (OR 4.07, 95% CI 2.12-7.82).</w:t>
            </w:r>
          </w:p>
          <w:p>
            <w:pPr>
              <w:spacing w:after="40" w:line="252" w:lineRule="auto"/>
            </w:pPr>
            <w:hyperlink r:id="rId14">
              <w:r>
                <w:rPr>
                  <w:rFonts w:ascii="Calibri" w:hAnsi="Calibri" w:cs="Calibri"/>
                  <w:sz w:val="18"/>
                  <w:color w:val="1155CC"/>
                  <w:u w:val="single"/>
                </w:rPr>
                <w:t xml:space="preserve">mdpi.com — vitamin D and autoimmune thyroid disease meta-analysis</w:t>
              </w:r>
            </w:hyperlink>
          </w:p>
          <w:p>
            <w:pPr>
              <w:spacing w:before="60" w:after="40"/>
            </w:pPr>
            <w:r>
              <w:rPr>
                <w:rFonts w:ascii="Calibri" w:hAnsi="Calibri"/>
                <w:b w:val="0"/>
                <w:i w:val="0"/>
                <w:color w:val="5A5A5A"/>
                <w:sz w:val="18"/>
              </w:rPr>
              <w:t>#selenium  #iron  #vitamind  #micronutrient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thyroid or autoimmune disease</w:t>
            </w:r>
          </w:p>
        </w:tc>
        <w:tc>
          <w:tcPr>
            <w:tcW w:type="dxa" w:w="4276"/>
            <w:vAlign w:val="top"/>
          </w:tcPr>
          <w:p>
            <w:pPr>
              <w:spacing w:after="60" w:line="259" w:lineRule="auto"/>
            </w:pPr>
            <w:r>
              <w:rPr>
                <w:rFonts w:ascii="Calibri" w:hAnsi="Calibri"/>
                <w:b w:val="0"/>
                <w:i w:val="0"/>
                <w:color w:val="212121"/>
                <w:sz w:val="19"/>
              </w:rPr>
              <w:t>Thyroid autoimmunity clusters strongly in families; a first-degree relative with Hashimoto's disease or another autoimmune disorder markedly increases susceptibility, reflecting shared HLA and immune-regulatory genes.</w:t>
            </w:r>
          </w:p>
          <w:p>
            <w:pPr>
              <w:spacing w:after="40" w:before="60" w:line="259" w:lineRule="auto"/>
            </w:pPr>
            <w:r>
              <w:rPr>
                <w:rFonts w:ascii="Calibri" w:hAnsi="Calibri"/>
                <w:b w:val="0"/>
                <w:i w:val="0"/>
                <w:color w:val="212121"/>
                <w:sz w:val="19"/>
              </w:rPr>
              <w:t>Monozygotic twin concordance is about 50% for disease and up to 80% for thyroid antibody positivity, underlining strong heritability.</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#familyhistory  #hla  #heritability  #autoimmune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Chromosomal syndromes</w:t>
            </w:r>
          </w:p>
        </w:tc>
        <w:tc>
          <w:tcPr>
            <w:tcW w:type="dxa" w:w="2160"/>
            <w:vAlign w:val="top"/>
          </w:tcPr>
          <w:p>
            <w:pPr>
              <w:spacing w:after="40" w:before="0" w:line="259" w:lineRule="auto"/>
            </w:pPr>
            <w:r>
              <w:rPr>
                <w:rFonts w:ascii="Calibri" w:hAnsi="Calibri"/>
                <w:b w:val="0"/>
                <w:i w:val="0"/>
                <w:color w:val="212121"/>
                <w:sz w:val="19"/>
              </w:rPr>
              <w:t>Down syndrome and Turner syndrome</w:t>
            </w:r>
          </w:p>
        </w:tc>
        <w:tc>
          <w:tcPr>
            <w:tcW w:type="dxa" w:w="4276"/>
            <w:vAlign w:val="top"/>
          </w:tcPr>
          <w:p>
            <w:pPr>
              <w:spacing w:after="60" w:line="259" w:lineRule="auto"/>
            </w:pPr>
            <w:r>
              <w:rPr>
                <w:rFonts w:ascii="Calibri" w:hAnsi="Calibri"/>
                <w:b w:val="0"/>
                <w:i w:val="0"/>
                <w:color w:val="212121"/>
                <w:sz w:val="19"/>
              </w:rPr>
              <w:t>Chromosomal syndromes carry heightened autoimmune susceptibility, so Hashimoto's thyroiditis is substantially over-represented and warrants routine periodic thyroid screening from childhood.</w:t>
            </w:r>
          </w:p>
          <w:p>
            <w:pPr>
              <w:spacing w:after="40" w:before="60" w:line="259" w:lineRule="auto"/>
            </w:pPr>
            <w:r>
              <w:rPr>
                <w:rFonts w:ascii="Calibri" w:hAnsi="Calibri"/>
                <w:b w:val="0"/>
                <w:i w:val="0"/>
                <w:color w:val="212121"/>
                <w:sz w:val="19"/>
              </w:rPr>
              <w:t>Hashimoto's thyroiditis is markedly more prevalent in Down and Turner syndromes than in the general population.</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#down  #turner  #chromosomal  #screening  #autoimmune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1 diabetes mellitus</w:t>
            </w:r>
          </w:p>
        </w:tc>
        <w:tc>
          <w:tcPr>
            <w:tcW w:type="dxa" w:w="2160"/>
            <w:vAlign w:val="top"/>
          </w:tcPr>
          <w:p>
            <w:pPr>
              <w:spacing w:after="40" w:before="0" w:line="259" w:lineRule="auto"/>
            </w:pPr>
            <w:r>
              <w:rPr>
                <w:rFonts w:ascii="Calibri" w:hAnsi="Calibri"/>
                <w:b w:val="0"/>
                <w:i w:val="0"/>
                <w:color w:val="212121"/>
                <w:sz w:val="19"/>
              </w:rPr>
              <w:t>Patients with type 1 diabetes</w:t>
            </w:r>
          </w:p>
        </w:tc>
        <w:tc>
          <w:tcPr>
            <w:tcW w:type="dxa" w:w="4276"/>
            <w:vAlign w:val="top"/>
          </w:tcPr>
          <w:p>
            <w:pPr>
              <w:spacing w:after="60" w:line="259" w:lineRule="auto"/>
            </w:pPr>
            <w:r>
              <w:rPr>
                <w:rFonts w:ascii="Calibri" w:hAnsi="Calibri"/>
                <w:b w:val="0"/>
                <w:i w:val="0"/>
                <w:color w:val="212121"/>
                <w:sz w:val="19"/>
              </w:rPr>
              <w:t>Type 1 diabetes and Hashimoto's thyroiditis share immune-genetic susceptibility and frequently coexist (autoimmune polyglandular syndrome type 2 / 3), so thyroid antibodies and TSH should be screened at diagnosis and periodically.</w:t>
            </w:r>
          </w:p>
          <w:p>
            <w:pPr>
              <w:spacing w:after="40" w:before="60" w:line="259" w:lineRule="auto"/>
            </w:pPr>
            <w:r>
              <w:rPr>
                <w:rFonts w:ascii="Calibri" w:hAnsi="Calibri"/>
                <w:b w:val="0"/>
                <w:i w:val="0"/>
                <w:color w:val="212121"/>
                <w:sz w:val="19"/>
              </w:rPr>
              <w:t>Autoimmune thyroiditis is one of the commonest autoimmune conditions clustering with type 1 diabetes, justifying routine thyroid screening.</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#type1diabetes  #aps  #autoimmune  #screening  #thyroid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Celiac disease / autoimmune gastritis</w:t>
            </w:r>
          </w:p>
        </w:tc>
        <w:tc>
          <w:tcPr>
            <w:tcW w:type="dxa" w:w="2160"/>
            <w:vAlign w:val="top"/>
          </w:tcPr>
          <w:p>
            <w:pPr>
              <w:spacing w:after="40" w:before="0" w:line="259" w:lineRule="auto"/>
            </w:pPr>
            <w:r>
              <w:rPr>
                <w:rFonts w:ascii="Calibri" w:hAnsi="Calibri"/>
                <w:b w:val="0"/>
                <w:i w:val="0"/>
                <w:color w:val="212121"/>
                <w:sz w:val="19"/>
              </w:rPr>
              <w:t>Patients with celiac disease or pernicious anaemia</w:t>
            </w:r>
          </w:p>
        </w:tc>
        <w:tc>
          <w:tcPr>
            <w:tcW w:type="dxa" w:w="4276"/>
            <w:vAlign w:val="top"/>
          </w:tcPr>
          <w:p>
            <w:pPr>
              <w:spacing w:after="60" w:line="259" w:lineRule="auto"/>
            </w:pPr>
            <w:r>
              <w:rPr>
                <w:rFonts w:ascii="Calibri" w:hAnsi="Calibri"/>
                <w:b w:val="0"/>
                <w:i w:val="0"/>
                <w:color w:val="212121"/>
                <w:sz w:val="19"/>
              </w:rPr>
              <w:t>Organ-specific gut autoimmunity shares susceptibility with thyroid autoimmunity; coexisting celiac disease or autoimmune gastritis also impairs absorption of iron, B12 and levothyroxine, complicating management.</w:t>
            </w:r>
          </w:p>
          <w:p>
            <w:pPr>
              <w:spacing w:after="40" w:before="60" w:line="259" w:lineRule="auto"/>
            </w:pPr>
            <w:r>
              <w:rPr>
                <w:rFonts w:ascii="Calibri" w:hAnsi="Calibri"/>
                <w:b w:val="0"/>
                <w:i w:val="0"/>
                <w:color w:val="212121"/>
                <w:sz w:val="19"/>
              </w:rPr>
              <w:t>Autoimmune gastritis occurs in roughly 10-40% of Hashimoto's patients, and about 40% of autoimmune gastritis patients have Hashimoto's disease.</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#celiac  #gastritis  #perniciousanemia  #malabsorption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 / thyroid autoimmunity</w:t>
            </w:r>
          </w:p>
        </w:tc>
        <w:tc>
          <w:tcPr>
            <w:tcW w:type="dxa" w:w="2160"/>
            <w:vAlign w:val="top"/>
          </w:tcPr>
          <w:p>
            <w:pPr>
              <w:spacing w:after="40" w:before="0" w:line="259" w:lineRule="auto"/>
            </w:pPr>
            <w:r>
              <w:rPr>
                <w:rFonts w:ascii="Calibri" w:hAnsi="Calibri"/>
                <w:b w:val="0"/>
                <w:i w:val="0"/>
                <w:color w:val="212121"/>
                <w:sz w:val="19"/>
              </w:rPr>
              <w:t>Anti-TPO positive pregnant women</w:t>
            </w:r>
          </w:p>
        </w:tc>
        <w:tc>
          <w:tcPr>
            <w:tcW w:type="dxa" w:w="4276"/>
            <w:vAlign w:val="top"/>
          </w:tcPr>
          <w:p>
            <w:pPr>
              <w:spacing w:after="60" w:line="259" w:lineRule="auto"/>
            </w:pPr>
            <w:r>
              <w:rPr>
                <w:rFonts w:ascii="Calibri" w:hAnsi="Calibri"/>
                <w:b w:val="0"/>
                <w:i w:val="0"/>
                <w:color w:val="212121"/>
                <w:sz w:val="19"/>
              </w:rPr>
              <w:t>Pregnancy raises thyroid hormone demand by 30-50%; a Hashimoto gland with limited reserve cannot keep pace, and thyroid autoimmunity is linked to miscarriage, preterm birth and postpartum thyroiditis even when euthyroid.</w:t>
            </w:r>
          </w:p>
          <w:p>
            <w:pPr>
              <w:spacing w:after="40" w:before="60" w:line="259" w:lineRule="auto"/>
            </w:pPr>
            <w:r>
              <w:rPr>
                <w:rFonts w:ascii="Calibri" w:hAnsi="Calibri"/>
                <w:b w:val="0"/>
                <w:i w:val="0"/>
                <w:color w:val="212121"/>
                <w:sz w:val="19"/>
              </w:rPr>
              <w:t>Thyroid peroxidase antibodies are present in about 5-14% of pregnancies and identify women at risk of pregnancy loss and postpartum thyroiditis.</w:t>
            </w:r>
          </w:p>
          <w:p>
            <w:pPr>
              <w:spacing w:after="40" w:line="252" w:lineRule="auto"/>
            </w:pPr>
            <w:hyperlink r:id="rId9">
              <w:r>
                <w:rPr>
                  <w:rFonts w:ascii="Calibri" w:hAnsi="Calibri" w:cs="Calibri"/>
                  <w:sz w:val="18"/>
                  <w:color w:val="1155CC"/>
                  <w:u w:val="single"/>
                </w:rPr>
                <w:t xml:space="preserve">ncbi.nlm.nih.gov — StatPearls, Hashimoto Thyroiditis</w:t>
              </w:r>
            </w:hyperlink>
          </w:p>
          <w:p>
            <w:pPr>
              <w:spacing w:before="60" w:after="40"/>
            </w:pPr>
            <w:r>
              <w:rPr>
                <w:rFonts w:ascii="Calibri" w:hAnsi="Calibri"/>
                <w:b w:val="0"/>
                <w:i w:val="0"/>
                <w:color w:val="5A5A5A"/>
                <w:sz w:val="18"/>
              </w:rPr>
              <w:t>#pregnancy  #miscarriage  #postpartum  #antitpo  #fertility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and physical inactivity foster a leptin-high, low-grade inflammatory state associated with higher thyroid autoantibody titres and modestly raised TSH; activity supports weight and cardiometabolic control but does not by itself reverse established autoimmunity.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Iodine status is the dominant dietary determinant - chronic iodine excess (over-iodised salt, kelp/seaweed, supplements) enhances thyroglobulin immunogenicity and can precipitate autoimmune thyroiditis - while adequate selenium, iron and vitamin D are needed to limit thyrocyte oxidative injury and support hormone synthesis.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is established; hypothyroid features such as fatigue, low mood and weight gain overlap with poor sleep, and coexisting obstructive sleep apnoea shares metabolic risk factors.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(thiocyanate) lowers thyroid antibody titres and TSH and can mask autoimmune thyroiditis, so Hashimoto's disease may be unmasked or worsened after cessation; smoking independently raises cardiovascular risk and worsens associated thyroid eye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and inconsistent; some data suggest moderate intake is associated with slightly lower thyroid autoimmunity, but heavy chronic use harms the liver and cardiometabolic health with no established protective role.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Hashimoto's thyroiditis and hypothyroidism are associated with depression and anxiety through shared neuroendocrine and inflammatory pathways, and thyroid autoimmunity itself (even when euthyroid) has been linked to mood symptoms -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hydration status and autoimmune thyroiditis.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meaningful direct effect on thyroid autoimmunity, but coffee/tea taken with levothyroxine markedly impairs its absorption and should be separated by 30-60 minutes.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Large iodine loads (amiodarone, iodinated contrast, kelp/seaweed supplements), lithium, interferon-alfa, immune-checkpoint and tyrosine-kinase inhibitors, neck irradiation, and the postpartum immune rebound can precipitate, unmask or accelerate autoimmune thyroiditis.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Anti-TPO antibody (IU/mL)</w:t>
            </w:r>
          </w:p>
        </w:tc>
        <w:tc>
          <w:tcPr>
            <w:tcW w:type="dxa" w:w="1655"/>
            <w:vAlign w:val="top"/>
          </w:tcPr>
          <w:p>
            <w:pPr>
              <w:spacing w:after="40" w:before="0" w:line="259" w:lineRule="auto"/>
            </w:pPr>
            <w:r>
              <w:rPr>
                <w:rFonts w:ascii="Calibri" w:hAnsi="Calibri"/>
                <w:b w:val="0"/>
                <w:i w:val="0"/>
                <w:color w:val="212121"/>
                <w:sz w:val="19"/>
              </w:rPr>
              <w:t>Adults, women</w:t>
            </w:r>
          </w:p>
        </w:tc>
        <w:tc>
          <w:tcPr>
            <w:tcW w:type="dxa" w:w="1512"/>
            <w:vAlign w:val="top"/>
          </w:tcPr>
          <w:p>
            <w:pPr>
              <w:spacing w:after="40" w:before="0" w:line="259" w:lineRule="auto"/>
            </w:pPr>
            <w:r>
              <w:rPr>
                <w:rFonts w:ascii="Calibri" w:hAnsi="Calibri"/>
                <w:b w:val="0"/>
                <w:i w:val="0"/>
                <w:color w:val="212121"/>
                <w:sz w:val="19"/>
              </w:rPr>
              <w:t>Negative / below assay cut-off (typically &lt; 34 IU/mL)</w:t>
            </w:r>
          </w:p>
        </w:tc>
        <w:tc>
          <w:tcPr>
            <w:tcW w:type="dxa" w:w="1512"/>
            <w:vAlign w:val="top"/>
          </w:tcPr>
          <w:p>
            <w:pPr>
              <w:spacing w:after="40" w:before="0" w:line="259" w:lineRule="auto"/>
            </w:pPr>
            <w:r>
              <w:rPr>
                <w:rFonts w:ascii="Calibri" w:hAnsi="Calibri"/>
                <w:b w:val="0"/>
                <w:i w:val="0"/>
                <w:color w:val="212121"/>
                <w:sz w:val="19"/>
              </w:rPr>
              <w:t>Positive / raised titre</w:t>
            </w:r>
          </w:p>
        </w:tc>
        <w:tc>
          <w:tcPr>
            <w:tcW w:type="dxa" w:w="1468"/>
            <w:vAlign w:val="top"/>
          </w:tcPr>
          <w:p>
            <w:pPr>
              <w:spacing w:after="60" w:line="259" w:lineRule="auto"/>
            </w:pPr>
            <w:r>
              <w:rPr>
                <w:rFonts w:ascii="Calibri" w:hAnsi="Calibri"/>
                <w:b w:val="0"/>
                <w:i w:val="0"/>
                <w:color w:val="212121"/>
                <w:sz w:val="19"/>
              </w:rPr>
              <w:t>Serological hallmark; positive in over 90% of Hashimoto's patients and predicts progression to hypothyroidism</w:t>
            </w:r>
          </w:p>
          <w:p>
            <w:pPr>
              <w:spacing w:after="40" w:line="252" w:lineRule="auto"/>
            </w:pPr>
            <w:hyperlink r:id="rId9">
              <w:r>
                <w:rPr>
                  <w:rFonts w:ascii="Calibri" w:hAnsi="Calibri" w:cs="Calibri"/>
                  <w:sz w:val="18"/>
                  <w:color w:val="1155CC"/>
                  <w:u w:val="single"/>
                </w:rPr>
                <w:t xml:space="preserve">https://www.ncbi.nlm.nih.gov/books/NBK459262/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Anti-thyroglobulin antibody (IU/mL)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Negative / low titre</w:t>
            </w:r>
          </w:p>
        </w:tc>
        <w:tc>
          <w:tcPr>
            <w:tcW w:type="dxa" w:w="1512"/>
            <w:vAlign w:val="top"/>
          </w:tcPr>
          <w:p>
            <w:pPr>
              <w:spacing w:after="40" w:before="0" w:line="259" w:lineRule="auto"/>
            </w:pPr>
            <w:r>
              <w:rPr>
                <w:rFonts w:ascii="Calibri" w:hAnsi="Calibri"/>
                <w:b w:val="0"/>
                <w:i w:val="0"/>
                <w:color w:val="212121"/>
                <w:sz w:val="19"/>
              </w:rPr>
              <w:t>Positive / raised titre</w:t>
            </w:r>
          </w:p>
        </w:tc>
        <w:tc>
          <w:tcPr>
            <w:tcW w:type="dxa" w:w="1468"/>
            <w:vAlign w:val="top"/>
          </w:tcPr>
          <w:p>
            <w:pPr>
              <w:spacing w:after="60" w:line="259" w:lineRule="auto"/>
            </w:pPr>
            <w:r>
              <w:rPr>
                <w:rFonts w:ascii="Calibri" w:hAnsi="Calibri"/>
                <w:b w:val="0"/>
                <w:i w:val="0"/>
                <w:color w:val="212121"/>
                <w:sz w:val="19"/>
              </w:rPr>
              <w:t>Positive in about 50-80%; adds sensitivity when anti-TPO is negative or borderline</w:t>
            </w:r>
          </w:p>
          <w:p>
            <w:pPr>
              <w:spacing w:after="40" w:line="252" w:lineRule="auto"/>
            </w:pPr>
            <w:hyperlink r:id="rId9">
              <w:r>
                <w:rPr>
                  <w:rFonts w:ascii="Calibri" w:hAnsi="Calibri" w:cs="Calibri"/>
                  <w:sz w:val="18"/>
                  <w:color w:val="1155CC"/>
                  <w:u w:val="single"/>
                </w:rPr>
                <w:t xml:space="preserve">https://www.ncbi.nlm.nih.gov/books/NBK459262/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 (mIU/L)</w:t>
            </w:r>
          </w:p>
        </w:tc>
        <w:tc>
          <w:tcPr>
            <w:tcW w:type="dxa" w:w="1655"/>
            <w:vAlign w:val="top"/>
          </w:tcPr>
          <w:p>
            <w:pPr>
              <w:spacing w:after="40" w:before="0" w:line="259" w:lineRule="auto"/>
            </w:pPr>
            <w:r>
              <w:rPr>
                <w:rFonts w:ascii="Calibri" w:hAnsi="Calibri"/>
                <w:b w:val="0"/>
                <w:i w:val="0"/>
                <w:color w:val="212121"/>
                <w:sz w:val="19"/>
              </w:rPr>
              <w:t>Non-pregnant adults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4.0 (subclinical); &gt;= 10 (overt hypothyroid range)</w:t>
            </w:r>
          </w:p>
        </w:tc>
        <w:tc>
          <w:tcPr>
            <w:tcW w:type="dxa" w:w="1468"/>
            <w:vAlign w:val="top"/>
          </w:tcPr>
          <w:p>
            <w:pPr>
              <w:spacing w:after="60" w:line="259" w:lineRule="auto"/>
            </w:pPr>
            <w:r>
              <w:rPr>
                <w:rFonts w:ascii="Calibri" w:hAnsi="Calibri"/>
                <w:b w:val="0"/>
                <w:i w:val="0"/>
                <w:color w:val="212121"/>
                <w:sz w:val="19"/>
              </w:rPr>
              <w:t>Tracks progression of thyroid failure; rises as gland is destroyed</w:t>
            </w:r>
          </w:p>
          <w:p>
            <w:pPr>
              <w:spacing w:after="40" w:line="252" w:lineRule="auto"/>
            </w:pPr>
            <w:hyperlink r:id="rId9">
              <w:r>
                <w:rPr>
                  <w:rFonts w:ascii="Calibri" w:hAnsi="Calibri" w:cs="Calibri"/>
                  <w:sz w:val="18"/>
                  <w:color w:val="1155CC"/>
                  <w:u w:val="single"/>
                </w:rPr>
                <w:t xml:space="preserve">https://www.ncbi.nlm.nih.gov/books/NBK459262/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thyroxine (free T4, ng/dL)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0.8-1.8 ng/dL</w:t>
            </w:r>
          </w:p>
        </w:tc>
        <w:tc>
          <w:tcPr>
            <w:tcW w:type="dxa" w:w="1512"/>
            <w:vAlign w:val="top"/>
          </w:tcPr>
          <w:p>
            <w:pPr>
              <w:spacing w:after="40" w:before="0" w:line="259" w:lineRule="auto"/>
            </w:pPr>
            <w:r>
              <w:rPr>
                <w:rFonts w:ascii="Calibri" w:hAnsi="Calibri"/>
                <w:b w:val="0"/>
                <w:i w:val="0"/>
                <w:color w:val="212121"/>
                <w:sz w:val="19"/>
              </w:rPr>
              <w:t>Below reference range</w:t>
            </w:r>
          </w:p>
        </w:tc>
        <w:tc>
          <w:tcPr>
            <w:tcW w:type="dxa" w:w="1468"/>
            <w:vAlign w:val="top"/>
          </w:tcPr>
          <w:p>
            <w:pPr>
              <w:spacing w:after="60" w:line="259" w:lineRule="auto"/>
            </w:pPr>
            <w:r>
              <w:rPr>
                <w:rFonts w:ascii="Calibri" w:hAnsi="Calibri"/>
                <w:b w:val="0"/>
                <w:i w:val="0"/>
                <w:color w:val="212121"/>
                <w:sz w:val="19"/>
              </w:rPr>
              <w:t>Low free T4 with high TSH defines overt hypothyroidism from Hashimoto's</w:t>
            </w:r>
          </w:p>
          <w:p>
            <w:pPr>
              <w:spacing w:after="40" w:line="252" w:lineRule="auto"/>
            </w:pPr>
            <w:hyperlink r:id="rId9">
              <w:r>
                <w:rPr>
                  <w:rFonts w:ascii="Calibri" w:hAnsi="Calibri" w:cs="Calibri"/>
                  <w:sz w:val="18"/>
                  <w:color w:val="1155CC"/>
                  <w:u w:val="single"/>
                </w:rPr>
                <w:t xml:space="preserve">https://www.ncbi.nlm.nih.gov/books/NBK459262/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Urinary iodine concentration (ug/L)</w:t>
            </w:r>
          </w:p>
        </w:tc>
        <w:tc>
          <w:tcPr>
            <w:tcW w:type="dxa" w:w="1655"/>
            <w:vAlign w:val="top"/>
          </w:tcPr>
          <w:p>
            <w:pPr>
              <w:spacing w:after="40" w:before="0" w:line="259" w:lineRule="auto"/>
            </w:pPr>
            <w:r>
              <w:rPr>
                <w:rFonts w:ascii="Calibri" w:hAnsi="Calibri"/>
                <w:b w:val="0"/>
                <w:i w:val="0"/>
                <w:color w:val="212121"/>
                <w:sz w:val="19"/>
              </w:rPr>
              <w:t>Population / pregnant women</w:t>
            </w:r>
          </w:p>
        </w:tc>
        <w:tc>
          <w:tcPr>
            <w:tcW w:type="dxa" w:w="1512"/>
            <w:vAlign w:val="top"/>
          </w:tcPr>
          <w:p>
            <w:pPr>
              <w:spacing w:after="40" w:before="0" w:line="259" w:lineRule="auto"/>
            </w:pPr>
            <w:r>
              <w:rPr>
                <w:rFonts w:ascii="Calibri" w:hAnsi="Calibri"/>
                <w:b w:val="0"/>
                <w:i w:val="0"/>
                <w:color w:val="212121"/>
                <w:sz w:val="19"/>
              </w:rPr>
              <w:t>100-199 (adults); 150-249 (pregnancy)</w:t>
            </w:r>
          </w:p>
        </w:tc>
        <w:tc>
          <w:tcPr>
            <w:tcW w:type="dxa" w:w="1512"/>
            <w:vAlign w:val="top"/>
          </w:tcPr>
          <w:p>
            <w:pPr>
              <w:spacing w:after="40" w:before="0" w:line="259" w:lineRule="auto"/>
            </w:pPr>
            <w:r>
              <w:rPr>
                <w:rFonts w:ascii="Calibri" w:hAnsi="Calibri"/>
                <w:b w:val="0"/>
                <w:i w:val="0"/>
                <w:color w:val="212121"/>
                <w:sz w:val="19"/>
              </w:rPr>
              <w:t>&lt; 100 (deficiency) or &gt; 300 (excess)</w:t>
            </w:r>
          </w:p>
        </w:tc>
        <w:tc>
          <w:tcPr>
            <w:tcW w:type="dxa" w:w="1468"/>
            <w:vAlign w:val="top"/>
          </w:tcPr>
          <w:p>
            <w:pPr>
              <w:spacing w:after="60" w:line="259" w:lineRule="auto"/>
            </w:pPr>
            <w:r>
              <w:rPr>
                <w:rFonts w:ascii="Calibri" w:hAnsi="Calibri"/>
                <w:b w:val="0"/>
                <w:i w:val="0"/>
                <w:color w:val="212121"/>
                <w:sz w:val="19"/>
              </w:rPr>
              <w:t>Both deficiency and chronic excess influence autoimmune thyroiditis (U-shaped risk)</w:t>
            </w:r>
          </w:p>
          <w:p>
            <w:pPr>
              <w:spacing w:after="40" w:line="252" w:lineRule="auto"/>
            </w:pPr>
            <w:hyperlink r:id="rId11">
              <w:r>
                <w:rPr>
                  <w:rFonts w:ascii="Calibri" w:hAnsi="Calibri" w:cs="Calibri"/>
                  <w:sz w:val="18"/>
                  <w:color w:val="1155CC"/>
                  <w:u w:val="single"/>
                </w:rPr>
                <w:t xml:space="preserve">https://www.mdpi.com/2079-9721/13/6/166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Deficiency associated with about 4-fold higher odds of Hashimoto's; correct if low</w:t>
            </w:r>
          </w:p>
          <w:p>
            <w:pPr>
              <w:spacing w:after="40" w:line="252" w:lineRule="auto"/>
            </w:pPr>
            <w:hyperlink r:id="rId14">
              <w:r>
                <w:rPr>
                  <w:rFonts w:ascii="Calibri" w:hAnsi="Calibri" w:cs="Calibri"/>
                  <w:sz w:val="18"/>
                  <w:color w:val="1155CC"/>
                  <w:u w:val="single"/>
                </w:rPr>
                <w:t xml:space="preserve">https://www.mdpi.com/2072-6643/7/4/2485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selenium (ug/L)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~70-150 ug/L</w:t>
            </w:r>
          </w:p>
        </w:tc>
        <w:tc>
          <w:tcPr>
            <w:tcW w:type="dxa" w:w="1512"/>
            <w:vAlign w:val="top"/>
          </w:tcPr>
          <w:p>
            <w:pPr>
              <w:spacing w:after="40" w:before="0" w:line="259" w:lineRule="auto"/>
            </w:pPr>
            <w:r>
              <w:rPr>
                <w:rFonts w:ascii="Calibri" w:hAnsi="Calibri"/>
                <w:b w:val="0"/>
                <w:i w:val="0"/>
                <w:color w:val="212121"/>
                <w:sz w:val="19"/>
              </w:rPr>
              <w:t>&lt; 70 ug/L (deficiency)</w:t>
            </w:r>
          </w:p>
        </w:tc>
        <w:tc>
          <w:tcPr>
            <w:tcW w:type="dxa" w:w="1468"/>
            <w:vAlign w:val="top"/>
          </w:tcPr>
          <w:p>
            <w:pPr>
              <w:spacing w:after="60" w:line="259" w:lineRule="auto"/>
            </w:pPr>
            <w:r>
              <w:rPr>
                <w:rFonts w:ascii="Calibri" w:hAnsi="Calibri"/>
                <w:b w:val="0"/>
                <w:i w:val="0"/>
                <w:color w:val="212121"/>
                <w:sz w:val="19"/>
              </w:rPr>
              <w:t>Selenium supports thyrocyte antioxidant defence; supplementation lowers anti-TPO but clinical benefit is unproven</w:t>
            </w:r>
          </w:p>
          <w:p>
            <w:pPr>
              <w:spacing w:after="40" w:line="252" w:lineRule="auto"/>
            </w:pPr>
            <w:hyperlink r:id="rId15">
              <w:r>
                <w:rPr>
                  <w:rFonts w:ascii="Calibri" w:hAnsi="Calibri" w:cs="Calibri"/>
                  <w:sz w:val="18"/>
                  <w:color w:val="1155CC"/>
                  <w:u w:val="single"/>
                </w:rPr>
                <w:t xml:space="preserve">https://www.cochrane.org/evidence/CD010223_selenium-supplementation-hashimotos-thyroiditis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LDL cholesterol (mg/dL)</w:t>
            </w:r>
          </w:p>
        </w:tc>
        <w:tc>
          <w:tcPr>
            <w:tcW w:type="dxa" w:w="1655"/>
            <w:vAlign w:val="top"/>
          </w:tcPr>
          <w:p>
            <w:pPr>
              <w:spacing w:after="40" w:before="0" w:line="259" w:lineRule="auto"/>
            </w:pPr>
            <w:r>
              <w:rPr>
                <w:rFonts w:ascii="Calibri" w:hAnsi="Calibri"/>
                <w:b w:val="0"/>
                <w:i w:val="0"/>
                <w:color w:val="212121"/>
                <w:sz w:val="19"/>
              </w:rPr>
              <w:t>Adults with hypothyroidism</w:t>
            </w:r>
          </w:p>
        </w:tc>
        <w:tc>
          <w:tcPr>
            <w:tcW w:type="dxa" w:w="1512"/>
            <w:vAlign w:val="top"/>
          </w:tcPr>
          <w:p>
            <w:pPr>
              <w:spacing w:after="40" w:before="0" w:line="259" w:lineRule="auto"/>
            </w:pPr>
            <w:r>
              <w:rPr>
                <w:rFonts w:ascii="Calibri" w:hAnsi="Calibri"/>
                <w:b w:val="0"/>
                <w:i w:val="0"/>
                <w:color w:val="212121"/>
                <w:sz w:val="19"/>
              </w:rPr>
              <w:t>&lt; 100 mg/dL</w:t>
            </w:r>
          </w:p>
        </w:tc>
        <w:tc>
          <w:tcPr>
            <w:tcW w:type="dxa" w:w="1512"/>
            <w:vAlign w:val="top"/>
          </w:tcPr>
          <w:p>
            <w:pPr>
              <w:spacing w:after="40" w:before="0" w:line="259" w:lineRule="auto"/>
            </w:pPr>
            <w:r>
              <w:rPr>
                <w:rFonts w:ascii="Calibri" w:hAnsi="Calibri"/>
                <w:b w:val="0"/>
                <w:i w:val="0"/>
                <w:color w:val="212121"/>
                <w:sz w:val="19"/>
              </w:rPr>
              <w:t>&gt;= 130 mg/dL</w:t>
            </w:r>
          </w:p>
        </w:tc>
        <w:tc>
          <w:tcPr>
            <w:tcW w:type="dxa" w:w="1468"/>
            <w:vAlign w:val="top"/>
          </w:tcPr>
          <w:p>
            <w:pPr>
              <w:spacing w:after="60" w:line="259" w:lineRule="auto"/>
            </w:pPr>
            <w:r>
              <w:rPr>
                <w:rFonts w:ascii="Calibri" w:hAnsi="Calibri"/>
                <w:b w:val="0"/>
                <w:i w:val="0"/>
                <w:color w:val="212121"/>
                <w:sz w:val="19"/>
              </w:rPr>
              <w:t>Hypothyroidism-related dyslipidaemia; improves with levothyroxine</w:t>
            </w:r>
          </w:p>
          <w:p>
            <w:pPr>
              <w:spacing w:after="40" w:line="252" w:lineRule="auto"/>
            </w:pPr>
            <w:hyperlink r:id="rId9">
              <w:r>
                <w:rPr>
                  <w:rFonts w:ascii="Calibri" w:hAnsi="Calibri" w:cs="Calibri"/>
                  <w:sz w:val="18"/>
                  <w:color w:val="1155CC"/>
                  <w:u w:val="single"/>
                </w:rPr>
                <w:t xml:space="preserve">https://www.ncbi.nlm.nih.gov/books/NBK459262/</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Adiposity is associated with higher autoantibody titres and TSH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F &lt; 80</w:t>
            </w:r>
          </w:p>
        </w:tc>
        <w:tc>
          <w:tcPr>
            <w:tcW w:type="dxa" w:w="1512"/>
            <w:vAlign w:val="top"/>
          </w:tcPr>
          <w:p>
            <w:pPr>
              <w:spacing w:after="40" w:before="0" w:line="259" w:lineRule="auto"/>
            </w:pPr>
            <w:r>
              <w:rPr>
                <w:rFonts w:ascii="Calibri" w:hAnsi="Calibri"/>
                <w:b w:val="0"/>
                <w:i w:val="0"/>
                <w:color w:val="212121"/>
                <w:sz w:val="19"/>
              </w:rPr>
              <w:t>M &gt;= 90; F &gt;= 80</w:t>
            </w:r>
          </w:p>
        </w:tc>
        <w:tc>
          <w:tcPr>
            <w:tcW w:type="dxa" w:w="1468"/>
            <w:vAlign w:val="top"/>
          </w:tcPr>
          <w:p>
            <w:pPr>
              <w:spacing w:after="40" w:before="0" w:line="259" w:lineRule="auto"/>
            </w:pPr>
            <w:r>
              <w:rPr>
                <w:rFonts w:ascii="Calibri" w:hAnsi="Calibri"/>
                <w:b w:val="0"/>
                <w:i w:val="0"/>
                <w:color w:val="212121"/>
                <w:sz w:val="19"/>
              </w:rPr>
              <w:t>Central obesity clusters with thyroid autoimmunity and cardiometabolic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&gt;= 10 (moderate depression)</w:t>
            </w:r>
          </w:p>
        </w:tc>
        <w:tc>
          <w:tcPr>
            <w:tcW w:type="dxa" w:w="1468"/>
            <w:vAlign w:val="top"/>
          </w:tcPr>
          <w:p>
            <w:pPr>
              <w:spacing w:after="40" w:before="0" w:line="259" w:lineRule="auto"/>
            </w:pPr>
            <w:r>
              <w:rPr>
                <w:rFonts w:ascii="Calibri" w:hAnsi="Calibri"/>
                <w:b w:val="0"/>
                <w:i w:val="0"/>
                <w:color w:val="212121"/>
                <w:sz w:val="19"/>
              </w:rPr>
              <w:t>Screen for comorbid depression/anxiety, which are associated with thyroid autoimmunity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TSH in pregnancy (mIU/L)</w:t>
            </w:r>
          </w:p>
        </w:tc>
        <w:tc>
          <w:tcPr>
            <w:tcW w:type="dxa" w:w="1655"/>
            <w:vAlign w:val="top"/>
          </w:tcPr>
          <w:p>
            <w:pPr>
              <w:spacing w:after="40" w:before="0" w:line="259" w:lineRule="auto"/>
            </w:pPr>
            <w:r>
              <w:rPr>
                <w:rFonts w:ascii="Calibri" w:hAnsi="Calibri"/>
                <w:b w:val="0"/>
                <w:i w:val="0"/>
                <w:color w:val="212121"/>
                <w:sz w:val="19"/>
              </w:rPr>
              <w:t>Anti-TPO positive pregnant women</w:t>
            </w:r>
          </w:p>
        </w:tc>
        <w:tc>
          <w:tcPr>
            <w:tcW w:type="dxa" w:w="1512"/>
            <w:vAlign w:val="top"/>
          </w:tcPr>
          <w:p>
            <w:pPr>
              <w:spacing w:after="40" w:before="0" w:line="259" w:lineRule="auto"/>
            </w:pPr>
            <w:r>
              <w:rPr>
                <w:rFonts w:ascii="Calibri" w:hAnsi="Calibri"/>
                <w:b w:val="0"/>
                <w:i w:val="0"/>
                <w:color w:val="212121"/>
                <w:sz w:val="19"/>
              </w:rPr>
              <w:t>&lt; 4.0 (trimester-specific)</w:t>
            </w:r>
          </w:p>
        </w:tc>
        <w:tc>
          <w:tcPr>
            <w:tcW w:type="dxa" w:w="1512"/>
            <w:vAlign w:val="top"/>
          </w:tcPr>
          <w:p>
            <w:pPr>
              <w:spacing w:after="40" w:before="0" w:line="259" w:lineRule="auto"/>
            </w:pPr>
            <w:r>
              <w:rPr>
                <w:rFonts w:ascii="Calibri" w:hAnsi="Calibri"/>
                <w:b w:val="0"/>
                <w:i w:val="0"/>
                <w:color w:val="212121"/>
                <w:sz w:val="19"/>
              </w:rPr>
              <w:t>&gt; 4.0 mIU/L</w:t>
            </w:r>
          </w:p>
        </w:tc>
        <w:tc>
          <w:tcPr>
            <w:tcW w:type="dxa" w:w="1468"/>
            <w:vAlign w:val="top"/>
          </w:tcPr>
          <w:p>
            <w:pPr>
              <w:spacing w:after="60" w:line="259" w:lineRule="auto"/>
            </w:pPr>
            <w:r>
              <w:rPr>
                <w:rFonts w:ascii="Calibri" w:hAnsi="Calibri"/>
                <w:b w:val="0"/>
                <w:i w:val="0"/>
                <w:color w:val="212121"/>
                <w:sz w:val="19"/>
              </w:rPr>
              <w:t>Antibody-positive women need closer monitoring and often levothyroxine to protect pregnancy</w:t>
            </w:r>
          </w:p>
          <w:p>
            <w:pPr>
              <w:spacing w:after="40" w:line="252" w:lineRule="auto"/>
            </w:pPr>
            <w:hyperlink r:id="rId9">
              <w:r>
                <w:rPr>
                  <w:rFonts w:ascii="Calibri" w:hAnsi="Calibri" w:cs="Calibri"/>
                  <w:sz w:val="18"/>
                  <w:color w:val="1155CC"/>
                  <w:u w:val="single"/>
                </w:rPr>
                <w:t xml:space="preserve">https://www.ncbi.nlm.nih.gov/books/NBK459262/</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Anti-Thyroid Peroxidase (anti-TPO) antibody</w:t>
            </w:r>
          </w:p>
        </w:tc>
        <w:tc>
          <w:tcPr>
            <w:tcW w:type="dxa" w:w="892"/>
            <w:vAlign w:val="top"/>
          </w:tcPr>
          <w:p>
            <w:pPr>
              <w:spacing w:after="40" w:before="0" w:line="259" w:lineRule="auto"/>
            </w:pPr>
            <w:r>
              <w:rPr>
                <w:rFonts w:ascii="Calibri" w:hAnsi="Calibri"/>
                <w:b w:val="0"/>
                <w:i w:val="0"/>
                <w:color w:val="212121"/>
                <w:sz w:val="16"/>
              </w:rPr>
              <w:t>Thyroid Autoantibody Test</w:t>
            </w:r>
          </w:p>
        </w:tc>
        <w:tc>
          <w:tcPr>
            <w:tcW w:type="dxa" w:w="950"/>
            <w:vAlign w:val="top"/>
          </w:tcPr>
          <w:p>
            <w:pPr>
              <w:spacing w:after="40" w:before="0" w:line="259" w:lineRule="auto"/>
            </w:pPr>
            <w:r>
              <w:rPr>
                <w:rFonts w:ascii="Calibri" w:hAnsi="Calibri"/>
                <w:b w:val="0"/>
                <w:i w:val="0"/>
                <w:color w:val="212121"/>
                <w:sz w:val="16"/>
              </w:rPr>
              <w:t>Negative / below cut-off</w:t>
            </w:r>
          </w:p>
        </w:tc>
        <w:tc>
          <w:tcPr>
            <w:tcW w:type="dxa" w:w="950"/>
            <w:vAlign w:val="top"/>
          </w:tcPr>
          <w:p>
            <w:pPr>
              <w:spacing w:after="40" w:before="0" w:line="259" w:lineRule="auto"/>
            </w:pPr>
            <w:r>
              <w:rPr>
                <w:rFonts w:ascii="Calibri" w:hAnsi="Calibri"/>
                <w:b w:val="0"/>
                <w:i w:val="0"/>
                <w:color w:val="212121"/>
                <w:sz w:val="16"/>
              </w:rPr>
              <w:t>Positive (raised titre)</w:t>
            </w:r>
          </w:p>
        </w:tc>
        <w:tc>
          <w:tcPr>
            <w:tcW w:type="dxa" w:w="1036"/>
            <w:vAlign w:val="top"/>
          </w:tcPr>
          <w:p>
            <w:pPr>
              <w:spacing w:after="40" w:before="0" w:line="259" w:lineRule="auto"/>
            </w:pPr>
            <w:r>
              <w:rPr>
                <w:rFonts w:ascii="Calibri" w:hAnsi="Calibri"/>
                <w:b w:val="0"/>
                <w:i w:val="0"/>
                <w:color w:val="212121"/>
                <w:sz w:val="16"/>
              </w:rPr>
              <w:t>Confirms autoimmune (Hashimoto) aetiology; the single most useful diagnostic antibody</w:t>
            </w:r>
          </w:p>
        </w:tc>
        <w:tc>
          <w:tcPr>
            <w:tcW w:type="dxa" w:w="1036"/>
            <w:vAlign w:val="top"/>
          </w:tcPr>
          <w:p>
            <w:pPr>
              <w:spacing w:after="40" w:before="0" w:line="259" w:lineRule="auto"/>
            </w:pPr>
            <w:r>
              <w:rPr>
                <w:rFonts w:ascii="Calibri" w:hAnsi="Calibri"/>
                <w:b w:val="0"/>
                <w:i w:val="0"/>
                <w:color w:val="212121"/>
                <w:sz w:val="16"/>
              </w:rPr>
              <w:t>Women, family history, goitre, subfertility, T1DM</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Positive in over 90% of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Anti-Thyroglobulin (anti-Tg) antibody</w:t>
            </w:r>
          </w:p>
        </w:tc>
        <w:tc>
          <w:tcPr>
            <w:tcW w:type="dxa" w:w="892"/>
            <w:vAlign w:val="top"/>
          </w:tcPr>
          <w:p>
            <w:pPr>
              <w:spacing w:after="40" w:before="0" w:line="259" w:lineRule="auto"/>
            </w:pPr>
            <w:r>
              <w:rPr>
                <w:rFonts w:ascii="Calibri" w:hAnsi="Calibri"/>
                <w:b w:val="0"/>
                <w:i w:val="0"/>
                <w:color w:val="212121"/>
                <w:sz w:val="16"/>
              </w:rPr>
              <w:t>Thyroid Autoantibody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autoimmune thyroiditis, especially when anti-TPO is negative/borderline</w:t>
            </w:r>
          </w:p>
        </w:tc>
        <w:tc>
          <w:tcPr>
            <w:tcW w:type="dxa" w:w="1036"/>
            <w:vAlign w:val="top"/>
          </w:tcPr>
          <w:p>
            <w:pPr>
              <w:spacing w:after="40" w:before="0" w:line="259" w:lineRule="auto"/>
            </w:pPr>
            <w:r>
              <w:rPr>
                <w:rFonts w:ascii="Calibri" w:hAnsi="Calibri"/>
                <w:b w:val="0"/>
                <w:i w:val="0"/>
                <w:color w:val="212121"/>
                <w:sz w:val="16"/>
              </w:rPr>
              <w:t>Suspected AIT with negative anti-TPO</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Positive in about 50-80%; also interferes with thyroglobulin assays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&gt; 4.0 mIU/L (&gt;= 10 = overt range)</w:t>
            </w:r>
          </w:p>
        </w:tc>
        <w:tc>
          <w:tcPr>
            <w:tcW w:type="dxa" w:w="1036"/>
            <w:vAlign w:val="top"/>
          </w:tcPr>
          <w:p>
            <w:pPr>
              <w:spacing w:after="40" w:before="0" w:line="259" w:lineRule="auto"/>
            </w:pPr>
            <w:r>
              <w:rPr>
                <w:rFonts w:ascii="Calibri" w:hAnsi="Calibri"/>
                <w:b w:val="0"/>
                <w:i w:val="0"/>
                <w:color w:val="212121"/>
                <w:sz w:val="16"/>
              </w:rPr>
              <w:t>Defines and monitors thyroid failure; rises as the gland is destroyed</w:t>
            </w:r>
          </w:p>
        </w:tc>
        <w:tc>
          <w:tcPr>
            <w:tcW w:type="dxa" w:w="1036"/>
            <w:vAlign w:val="top"/>
          </w:tcPr>
          <w:p>
            <w:pPr>
              <w:spacing w:after="40" w:before="0" w:line="259" w:lineRule="auto"/>
            </w:pPr>
            <w:r>
              <w:rPr>
                <w:rFonts w:ascii="Calibri" w:hAnsi="Calibri"/>
                <w:b w:val="0"/>
                <w:i w:val="0"/>
                <w:color w:val="212121"/>
                <w:sz w:val="16"/>
              </w:rPr>
              <w:t>All patients, monitored annually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Risk of overt hypothyroidism rises about 5% per year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Thyroxine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0.8-1.8 ng/dL</w:t>
            </w:r>
          </w:p>
        </w:tc>
        <w:tc>
          <w:tcPr>
            <w:tcW w:type="dxa" w:w="950"/>
            <w:vAlign w:val="top"/>
          </w:tcPr>
          <w:p>
            <w:pPr>
              <w:spacing w:after="40" w:before="0" w:line="259" w:lineRule="auto"/>
            </w:pPr>
            <w:r>
              <w:rPr>
                <w:rFonts w:ascii="Calibri" w:hAnsi="Calibri"/>
                <w:b w:val="0"/>
                <w:i w:val="0"/>
                <w:color w:val="212121"/>
                <w:sz w:val="16"/>
              </w:rPr>
              <w:t>Low = overt hypothyroidism</w:t>
            </w:r>
          </w:p>
        </w:tc>
        <w:tc>
          <w:tcPr>
            <w:tcW w:type="dxa" w:w="1036"/>
            <w:vAlign w:val="top"/>
          </w:tcPr>
          <w:p>
            <w:pPr>
              <w:spacing w:after="40" w:before="0" w:line="259" w:lineRule="auto"/>
            </w:pPr>
            <w:r>
              <w:rPr>
                <w:rFonts w:ascii="Calibri" w:hAnsi="Calibri"/>
                <w:b w:val="0"/>
                <w:i w:val="0"/>
                <w:color w:val="212121"/>
                <w:sz w:val="16"/>
              </w:rPr>
              <w:t>Separates subclinical (normal free T4) from overt (low free T4) disease</w:t>
            </w:r>
          </w:p>
        </w:tc>
        <w:tc>
          <w:tcPr>
            <w:tcW w:type="dxa" w:w="1036"/>
            <w:vAlign w:val="top"/>
          </w:tcPr>
          <w:p>
            <w:pPr>
              <w:spacing w:after="40" w:before="0" w:line="259" w:lineRule="auto"/>
            </w:pPr>
            <w:r>
              <w:rPr>
                <w:rFonts w:ascii="Calibri" w:hAnsi="Calibri"/>
                <w:b w:val="0"/>
                <w:i w:val="0"/>
                <w:color w:val="212121"/>
                <w:sz w:val="16"/>
              </w:rPr>
              <w:t>All with raised TSH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Interpreted together with TSH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Thyroid Ultrasound</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Homogeneous, normal-sized gland</w:t>
            </w:r>
          </w:p>
        </w:tc>
        <w:tc>
          <w:tcPr>
            <w:tcW w:type="dxa" w:w="950"/>
            <w:vAlign w:val="top"/>
          </w:tcPr>
          <w:p>
            <w:pPr>
              <w:spacing w:after="40" w:before="0" w:line="259" w:lineRule="auto"/>
            </w:pPr>
            <w:r>
              <w:rPr>
                <w:rFonts w:ascii="Calibri" w:hAnsi="Calibri"/>
                <w:b w:val="0"/>
                <w:i w:val="0"/>
                <w:color w:val="212121"/>
                <w:sz w:val="16"/>
              </w:rPr>
              <w:t>Diffusely hypoechoic, heterogeneous, pseudonodular gland</w:t>
            </w:r>
          </w:p>
        </w:tc>
        <w:tc>
          <w:tcPr>
            <w:tcW w:type="dxa" w:w="1036"/>
            <w:vAlign w:val="top"/>
          </w:tcPr>
          <w:p>
            <w:pPr>
              <w:spacing w:after="40" w:before="0" w:line="259" w:lineRule="auto"/>
            </w:pPr>
            <w:r>
              <w:rPr>
                <w:rFonts w:ascii="Calibri" w:hAnsi="Calibri"/>
                <w:b w:val="0"/>
                <w:i w:val="0"/>
                <w:color w:val="212121"/>
                <w:sz w:val="16"/>
              </w:rPr>
              <w:t>Supports chronic autoimmune thyroiditis; characterises goitre and nodules</w:t>
            </w:r>
          </w:p>
        </w:tc>
        <w:tc>
          <w:tcPr>
            <w:tcW w:type="dxa" w:w="1036"/>
            <w:vAlign w:val="top"/>
          </w:tcPr>
          <w:p>
            <w:pPr>
              <w:spacing w:after="40" w:before="0" w:line="259" w:lineRule="auto"/>
            </w:pPr>
            <w:r>
              <w:rPr>
                <w:rFonts w:ascii="Calibri" w:hAnsi="Calibri"/>
                <w:b w:val="0"/>
                <w:i w:val="0"/>
                <w:color w:val="212121"/>
                <w:sz w:val="16"/>
              </w:rPr>
              <w:t>Goitre, palpable nodule, compressive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Helps triage nodules for FNAC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Cytological</w:t>
            </w:r>
          </w:p>
        </w:tc>
        <w:tc>
          <w:tcPr>
            <w:tcW w:type="dxa" w:w="1036"/>
            <w:vAlign w:val="top"/>
          </w:tcPr>
          <w:p>
            <w:pPr>
              <w:spacing w:after="40" w:before="0" w:line="259" w:lineRule="auto"/>
            </w:pPr>
            <w:r>
              <w:rPr>
                <w:rFonts w:ascii="Calibri" w:hAnsi="Calibri"/>
                <w:b w:val="0"/>
                <w:i w:val="0"/>
                <w:color w:val="212121"/>
                <w:sz w:val="16"/>
              </w:rPr>
              <w:t>Fine-Needle Aspiration Cytology (FNAC)</w:t>
            </w:r>
          </w:p>
        </w:tc>
        <w:tc>
          <w:tcPr>
            <w:tcW w:type="dxa" w:w="892"/>
            <w:vAlign w:val="top"/>
          </w:tcPr>
          <w:p>
            <w:pPr>
              <w:spacing w:after="40" w:before="0" w:line="259" w:lineRule="auto"/>
            </w:pPr>
            <w:r>
              <w:rPr>
                <w:rFonts w:ascii="Calibri" w:hAnsi="Calibri"/>
                <w:b w:val="0"/>
                <w:i w:val="0"/>
                <w:color w:val="212121"/>
                <w:sz w:val="16"/>
              </w:rPr>
              <w:t>FNAC</w:t>
            </w:r>
          </w:p>
        </w:tc>
        <w:tc>
          <w:tcPr>
            <w:tcW w:type="dxa" w:w="950"/>
            <w:vAlign w:val="top"/>
          </w:tcPr>
          <w:p>
            <w:pPr>
              <w:spacing w:after="40" w:before="0" w:line="259" w:lineRule="auto"/>
            </w:pPr>
            <w:r>
              <w:rPr>
                <w:rFonts w:ascii="Calibri" w:hAnsi="Calibri"/>
                <w:b w:val="0"/>
                <w:i w:val="0"/>
                <w:color w:val="212121"/>
                <w:sz w:val="16"/>
              </w:rPr>
              <w:t>Benign lymphocytic thyroiditis pattern</w:t>
            </w:r>
          </w:p>
        </w:tc>
        <w:tc>
          <w:tcPr>
            <w:tcW w:type="dxa" w:w="950"/>
            <w:vAlign w:val="top"/>
          </w:tcPr>
          <w:p>
            <w:pPr>
              <w:spacing w:after="40" w:before="0" w:line="259" w:lineRule="auto"/>
            </w:pPr>
            <w:r>
              <w:rPr>
                <w:rFonts w:ascii="Calibri" w:hAnsi="Calibri"/>
                <w:b w:val="0"/>
                <w:i w:val="0"/>
                <w:color w:val="212121"/>
                <w:sz w:val="16"/>
              </w:rPr>
              <w:t>Suspicious/malignant cells</w:t>
            </w:r>
          </w:p>
        </w:tc>
        <w:tc>
          <w:tcPr>
            <w:tcW w:type="dxa" w:w="1036"/>
            <w:vAlign w:val="top"/>
          </w:tcPr>
          <w:p>
            <w:pPr>
              <w:spacing w:after="40" w:before="0" w:line="259" w:lineRule="auto"/>
            </w:pPr>
            <w:r>
              <w:rPr>
                <w:rFonts w:ascii="Calibri" w:hAnsi="Calibri"/>
                <w:b w:val="0"/>
                <w:i w:val="0"/>
                <w:color w:val="212121"/>
                <w:sz w:val="16"/>
              </w:rPr>
              <w:t>Lymphocytes and Hurthle cells confirm thyroiditis; excludes papillary carcinoma or thyroid lymphoma</w:t>
            </w:r>
          </w:p>
        </w:tc>
        <w:tc>
          <w:tcPr>
            <w:tcW w:type="dxa" w:w="1036"/>
            <w:vAlign w:val="top"/>
          </w:tcPr>
          <w:p>
            <w:pPr>
              <w:spacing w:after="40" w:before="0" w:line="259" w:lineRule="auto"/>
            </w:pPr>
            <w:r>
              <w:rPr>
                <w:rFonts w:ascii="Calibri" w:hAnsi="Calibri"/>
                <w:b w:val="0"/>
                <w:i w:val="0"/>
                <w:color w:val="212121"/>
                <w:sz w:val="16"/>
              </w:rPr>
              <w:t>Dominant, suspicious or rapidly enlarging nodule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Reserved for suspicious or growing nodules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100; TG &lt; 150 mg/dL</w:t>
            </w:r>
          </w:p>
        </w:tc>
        <w:tc>
          <w:tcPr>
            <w:tcW w:type="dxa" w:w="950"/>
            <w:vAlign w:val="top"/>
          </w:tcPr>
          <w:p>
            <w:pPr>
              <w:spacing w:after="40" w:before="0" w:line="259" w:lineRule="auto"/>
            </w:pPr>
            <w:r>
              <w:rPr>
                <w:rFonts w:ascii="Calibri" w:hAnsi="Calibri"/>
                <w:b w:val="0"/>
                <w:i w:val="0"/>
                <w:color w:val="212121"/>
                <w:sz w:val="16"/>
              </w:rPr>
              <w:t>Raised TC / LDL / TG</w:t>
            </w:r>
          </w:p>
        </w:tc>
        <w:tc>
          <w:tcPr>
            <w:tcW w:type="dxa" w:w="1036"/>
            <w:vAlign w:val="top"/>
          </w:tcPr>
          <w:p>
            <w:pPr>
              <w:spacing w:after="40" w:before="0" w:line="259" w:lineRule="auto"/>
            </w:pPr>
            <w:r>
              <w:rPr>
                <w:rFonts w:ascii="Calibri" w:hAnsi="Calibri"/>
                <w:b w:val="0"/>
                <w:i w:val="0"/>
                <w:color w:val="212121"/>
                <w:sz w:val="16"/>
              </w:rPr>
              <w:t>Screens for hypothyroidism-related dyslipidaemia and cardiovascular risk</w:t>
            </w:r>
          </w:p>
        </w:tc>
        <w:tc>
          <w:tcPr>
            <w:tcW w:type="dxa" w:w="1036"/>
            <w:vAlign w:val="top"/>
          </w:tcPr>
          <w:p>
            <w:pPr>
              <w:spacing w:after="40" w:before="0" w:line="259" w:lineRule="auto"/>
            </w:pPr>
            <w:r>
              <w:rPr>
                <w:rFonts w:ascii="Calibri" w:hAnsi="Calibri"/>
                <w:b w:val="0"/>
                <w:i w:val="0"/>
                <w:color w:val="212121"/>
                <w:sz w:val="16"/>
              </w:rPr>
              <w:t>Overt/subclinical hypothyroid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Improves with levothyroxine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Haematological</w:t>
            </w:r>
          </w:p>
        </w:tc>
        <w:tc>
          <w:tcPr>
            <w:tcW w:type="dxa" w:w="1036"/>
            <w:vAlign w:val="top"/>
          </w:tcPr>
          <w:p>
            <w:pPr>
              <w:spacing w:after="40" w:before="0" w:line="259" w:lineRule="auto"/>
            </w:pPr>
            <w:r>
              <w:rPr>
                <w:rFonts w:ascii="Calibri" w:hAnsi="Calibri"/>
                <w:b w:val="0"/>
                <w:i w:val="0"/>
                <w:color w:val="212121"/>
                <w:sz w:val="16"/>
              </w:rPr>
              <w:t>CBC, iron studies, B12, 25-OH vitamin D</w:t>
            </w:r>
          </w:p>
        </w:tc>
        <w:tc>
          <w:tcPr>
            <w:tcW w:type="dxa" w:w="892"/>
            <w:vAlign w:val="top"/>
          </w:tcPr>
          <w:p>
            <w:pPr>
              <w:spacing w:after="40" w:before="0" w:line="259" w:lineRule="auto"/>
            </w:pPr>
            <w:r>
              <w:rPr>
                <w:rFonts w:ascii="Calibri" w:hAnsi="Calibri"/>
                <w:b w:val="0"/>
                <w:i w:val="0"/>
                <w:color w:val="212121"/>
                <w:sz w:val="16"/>
              </w:rPr>
              <w:t>Deficiency / Comorbidity Screen</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Anaemia, low ferritin/B12, low vitamin D</w:t>
            </w:r>
          </w:p>
        </w:tc>
        <w:tc>
          <w:tcPr>
            <w:tcW w:type="dxa" w:w="1036"/>
            <w:vAlign w:val="top"/>
          </w:tcPr>
          <w:p>
            <w:pPr>
              <w:spacing w:after="40" w:before="0" w:line="259" w:lineRule="auto"/>
            </w:pPr>
            <w:r>
              <w:rPr>
                <w:rFonts w:ascii="Calibri" w:hAnsi="Calibri"/>
                <w:b w:val="0"/>
                <w:i w:val="0"/>
                <w:color w:val="212121"/>
                <w:sz w:val="16"/>
              </w:rPr>
              <w:t>Detects coexisting celiac disease, autoimmune gastritis and micronutrient deficiency</w:t>
            </w:r>
          </w:p>
        </w:tc>
        <w:tc>
          <w:tcPr>
            <w:tcW w:type="dxa" w:w="1036"/>
            <w:vAlign w:val="top"/>
          </w:tcPr>
          <w:p>
            <w:pPr>
              <w:spacing w:after="40" w:before="0" w:line="259" w:lineRule="auto"/>
            </w:pPr>
            <w:r>
              <w:rPr>
                <w:rFonts w:ascii="Calibri" w:hAnsi="Calibri"/>
                <w:b w:val="0"/>
                <w:i w:val="0"/>
                <w:color w:val="212121"/>
                <w:sz w:val="16"/>
              </w:rPr>
              <w:t>Fatigue, malabsorption, other autoimmune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Correct deficiencies that impair symptoms and levothyroxine absorption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Fatigue, cold intolerance, weight gain, constipation, neck fullness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Hypothyroid symptom burden; often absent in euthyroid antibody-positive disease</w:t>
            </w:r>
          </w:p>
        </w:tc>
        <w:tc>
          <w:tcPr>
            <w:tcW w:type="dxa" w:w="1036"/>
            <w:vAlign w:val="top"/>
          </w:tcPr>
          <w:p>
            <w:pPr>
              <w:spacing w:after="40" w:before="0" w:line="259" w:lineRule="auto"/>
            </w:pPr>
            <w:r>
              <w:rPr>
                <w:rFonts w:ascii="Calibri" w:hAnsi="Calibri"/>
                <w:b w:val="0"/>
                <w:i w:val="0"/>
                <w:color w:val="212121"/>
                <w:sz w:val="16"/>
              </w:rPr>
              <w:t>Women, middle-aged, elderly</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Early disease is frequently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history</w:t>
            </w:r>
          </w:p>
        </w:tc>
        <w:tc>
          <w:tcPr>
            <w:tcW w:type="dxa" w:w="979"/>
            <w:vAlign w:val="top"/>
          </w:tcPr>
          <w:p>
            <w:pPr>
              <w:spacing w:after="40" w:before="0" w:line="259" w:lineRule="auto"/>
            </w:pPr>
            <w:r>
              <w:rPr>
                <w:rFonts w:ascii="Calibri" w:hAnsi="Calibri"/>
                <w:b w:val="0"/>
                <w:i w:val="0"/>
                <w:color w:val="212121"/>
                <w:sz w:val="16"/>
              </w:rPr>
              <w:t>Menstrual disturbance, subfertility, recurrent miscarriage, postpartum symptoms</w:t>
            </w:r>
          </w:p>
        </w:tc>
        <w:tc>
          <w:tcPr>
            <w:tcW w:type="dxa" w:w="950"/>
            <w:vAlign w:val="top"/>
          </w:tcPr>
          <w:p>
            <w:pPr>
              <w:spacing w:after="40" w:before="0" w:line="259" w:lineRule="auto"/>
            </w:pPr>
            <w:r>
              <w:rPr>
                <w:rFonts w:ascii="Calibri" w:hAnsi="Calibri"/>
                <w:b w:val="0"/>
                <w:i w:val="0"/>
                <w:color w:val="212121"/>
                <w:sz w:val="16"/>
              </w:rPr>
              <w:t>Normal cycles, no pregnancy loss</w:t>
            </w:r>
          </w:p>
        </w:tc>
        <w:tc>
          <w:tcPr>
            <w:tcW w:type="dxa" w:w="950"/>
            <w:vAlign w:val="top"/>
          </w:tcPr>
          <w:p>
            <w:pPr>
              <w:spacing w:after="40" w:before="0" w:line="259" w:lineRule="auto"/>
            </w:pPr>
            <w:r>
              <w:rPr>
                <w:rFonts w:ascii="Calibri" w:hAnsi="Calibri"/>
                <w:b w:val="0"/>
                <w:i w:val="0"/>
                <w:color w:val="212121"/>
                <w:sz w:val="16"/>
              </w:rPr>
              <w:t>Menstrual disturbance or pregnancy loss</w:t>
            </w:r>
          </w:p>
        </w:tc>
        <w:tc>
          <w:tcPr>
            <w:tcW w:type="dxa" w:w="1036"/>
            <w:vAlign w:val="top"/>
          </w:tcPr>
          <w:p>
            <w:pPr>
              <w:spacing w:after="40" w:before="0" w:line="259" w:lineRule="auto"/>
            </w:pPr>
            <w:r>
              <w:rPr>
                <w:rFonts w:ascii="Calibri" w:hAnsi="Calibri"/>
                <w:b w:val="0"/>
                <w:i w:val="0"/>
                <w:color w:val="212121"/>
                <w:sz w:val="16"/>
              </w:rPr>
              <w:t>Thyroid autoimmunity impairs fertility and pregnancy outcomes</w:t>
            </w:r>
          </w:p>
        </w:tc>
        <w:tc>
          <w:tcPr>
            <w:tcW w:type="dxa" w:w="1036"/>
            <w:vAlign w:val="top"/>
          </w:tcPr>
          <w:p>
            <w:pPr>
              <w:spacing w:after="40" w:before="0" w:line="259" w:lineRule="auto"/>
            </w:pPr>
            <w:r>
              <w:rPr>
                <w:rFonts w:ascii="Calibri" w:hAnsi="Calibri"/>
                <w:b w:val="0"/>
                <w:i w:val="0"/>
                <w:color w:val="212121"/>
                <w:sz w:val="16"/>
              </w:rPr>
              <w:t>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Prompts TSH and anti-TPO before/around pregnancy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Thyroid or autoimmune disease in relatives / self</w:t>
            </w:r>
          </w:p>
        </w:tc>
        <w:tc>
          <w:tcPr>
            <w:tcW w:type="dxa" w:w="950"/>
            <w:vAlign w:val="top"/>
          </w:tcPr>
          <w:p>
            <w:pPr>
              <w:spacing w:after="40" w:before="0" w:line="259" w:lineRule="auto"/>
            </w:pPr>
            <w:r>
              <w:rPr>
                <w:rFonts w:ascii="Calibri" w:hAnsi="Calibri"/>
                <w:b w:val="0"/>
                <w:i w:val="0"/>
                <w:color w:val="212121"/>
                <w:sz w:val="16"/>
              </w:rPr>
              <w:t>No personal or family history</w:t>
            </w:r>
          </w:p>
        </w:tc>
        <w:tc>
          <w:tcPr>
            <w:tcW w:type="dxa" w:w="950"/>
            <w:vAlign w:val="top"/>
          </w:tcPr>
          <w:p>
            <w:pPr>
              <w:spacing w:after="40" w:before="0" w:line="259" w:lineRule="auto"/>
            </w:pPr>
            <w:r>
              <w:rPr>
                <w:rFonts w:ascii="Calibri" w:hAnsi="Calibri"/>
                <w:b w:val="0"/>
                <w:i w:val="0"/>
                <w:color w:val="212121"/>
                <w:sz w:val="16"/>
              </w:rPr>
              <w:t>Affected relative or coexisting autoimmune disease</w:t>
            </w:r>
          </w:p>
        </w:tc>
        <w:tc>
          <w:tcPr>
            <w:tcW w:type="dxa" w:w="1036"/>
            <w:vAlign w:val="top"/>
          </w:tcPr>
          <w:p>
            <w:pPr>
              <w:spacing w:after="40" w:before="0" w:line="259" w:lineRule="auto"/>
            </w:pPr>
            <w:r>
              <w:rPr>
                <w:rFonts w:ascii="Calibri" w:hAnsi="Calibri"/>
                <w:b w:val="0"/>
                <w:i w:val="0"/>
                <w:color w:val="212121"/>
                <w:sz w:val="16"/>
              </w:rPr>
              <w:t>Indicates heritable autoimmune susceptibility (HLA-linked)</w:t>
            </w:r>
          </w:p>
        </w:tc>
        <w:tc>
          <w:tcPr>
            <w:tcW w:type="dxa" w:w="1036"/>
            <w:vAlign w:val="top"/>
          </w:tcPr>
          <w:p>
            <w:pPr>
              <w:spacing w:after="40" w:before="0" w:line="259" w:lineRule="auto"/>
            </w:pPr>
            <w:r>
              <w:rPr>
                <w:rFonts w:ascii="Calibri" w:hAnsi="Calibri"/>
                <w:b w:val="0"/>
                <w:i w:val="0"/>
                <w:color w:val="212121"/>
                <w:sz w:val="16"/>
              </w:rPr>
              <w:t>First-degree relatives, T1DM, celiac, vitiligo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autoimmune polyglandular clustering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iodine exposure</w:t>
            </w:r>
          </w:p>
        </w:tc>
        <w:tc>
          <w:tcPr>
            <w:tcW w:type="dxa" w:w="979"/>
            <w:vAlign w:val="top"/>
          </w:tcPr>
          <w:p>
            <w:pPr>
              <w:spacing w:after="40" w:before="0" w:line="259" w:lineRule="auto"/>
            </w:pPr>
            <w:r>
              <w:rPr>
                <w:rFonts w:ascii="Calibri" w:hAnsi="Calibri"/>
                <w:b w:val="0"/>
                <w:i w:val="0"/>
                <w:color w:val="212121"/>
                <w:sz w:val="16"/>
              </w:rPr>
              <w:t>Amiodarone, lithium, interferon, checkpoint inhibitors, iodine/kelp, contrast, neck irradiation</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Recent exposure</w:t>
            </w:r>
          </w:p>
        </w:tc>
        <w:tc>
          <w:tcPr>
            <w:tcW w:type="dxa" w:w="1036"/>
            <w:vAlign w:val="top"/>
          </w:tcPr>
          <w:p>
            <w:pPr>
              <w:spacing w:after="40" w:before="0" w:line="259" w:lineRule="auto"/>
            </w:pPr>
            <w:r>
              <w:rPr>
                <w:rFonts w:ascii="Calibri" w:hAnsi="Calibri"/>
                <w:b w:val="0"/>
                <w:i w:val="0"/>
                <w:color w:val="212121"/>
                <w:sz w:val="16"/>
              </w:rPr>
              <w:t>Identifies drug-, iodine- or radiation-related triggering of thyroiditis</w:t>
            </w:r>
          </w:p>
        </w:tc>
        <w:tc>
          <w:tcPr>
            <w:tcW w:type="dxa" w:w="1036"/>
            <w:vAlign w:val="top"/>
          </w:tcPr>
          <w:p>
            <w:pPr>
              <w:spacing w:after="40" w:before="0" w:line="259" w:lineRule="auto"/>
            </w:pPr>
            <w:r>
              <w:rPr>
                <w:rFonts w:ascii="Calibri" w:hAnsi="Calibri"/>
                <w:b w:val="0"/>
                <w:i w:val="0"/>
                <w:color w:val="212121"/>
                <w:sz w:val="16"/>
              </w:rPr>
              <w:t>Cardiac, psychiatric, oncology patients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Some episodes are transient/reversible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Thyroid palpation</w:t>
            </w:r>
          </w:p>
        </w:tc>
        <w:tc>
          <w:tcPr>
            <w:tcW w:type="dxa" w:w="979"/>
            <w:vAlign w:val="top"/>
          </w:tcPr>
          <w:p>
            <w:pPr>
              <w:spacing w:after="40" w:before="0" w:line="259" w:lineRule="auto"/>
            </w:pPr>
            <w:r>
              <w:rPr>
                <w:rFonts w:ascii="Calibri" w:hAnsi="Calibri"/>
                <w:b w:val="0"/>
                <w:i w:val="0"/>
                <w:color w:val="212121"/>
                <w:sz w:val="16"/>
              </w:rPr>
              <w:t>Goitre size, consistency, nodularity</w:t>
            </w:r>
          </w:p>
        </w:tc>
        <w:tc>
          <w:tcPr>
            <w:tcW w:type="dxa" w:w="950"/>
            <w:vAlign w:val="top"/>
          </w:tcPr>
          <w:p>
            <w:pPr>
              <w:spacing w:after="40" w:before="0" w:line="259" w:lineRule="auto"/>
            </w:pPr>
            <w:r>
              <w:rPr>
                <w:rFonts w:ascii="Calibri" w:hAnsi="Calibri"/>
                <w:b w:val="0"/>
                <w:i w:val="0"/>
                <w:color w:val="212121"/>
                <w:sz w:val="16"/>
              </w:rPr>
              <w:t>Non-palpable / normal</w:t>
            </w:r>
          </w:p>
        </w:tc>
        <w:tc>
          <w:tcPr>
            <w:tcW w:type="dxa" w:w="950"/>
            <w:vAlign w:val="top"/>
          </w:tcPr>
          <w:p>
            <w:pPr>
              <w:spacing w:after="40" w:before="0" w:line="259" w:lineRule="auto"/>
            </w:pPr>
            <w:r>
              <w:rPr>
                <w:rFonts w:ascii="Calibri" w:hAnsi="Calibri"/>
                <w:b w:val="0"/>
                <w:i w:val="0"/>
                <w:color w:val="212121"/>
                <w:sz w:val="16"/>
              </w:rPr>
              <w:t>Firm bosselated diffuse goitre or a shrunken atrophic gland</w:t>
            </w:r>
          </w:p>
        </w:tc>
        <w:tc>
          <w:tcPr>
            <w:tcW w:type="dxa" w:w="1036"/>
            <w:vAlign w:val="top"/>
          </w:tcPr>
          <w:p>
            <w:pPr>
              <w:spacing w:after="40" w:before="0" w:line="259" w:lineRule="auto"/>
            </w:pPr>
            <w:r>
              <w:rPr>
                <w:rFonts w:ascii="Calibri" w:hAnsi="Calibri"/>
                <w:b w:val="0"/>
                <w:i w:val="0"/>
                <w:color w:val="212121"/>
                <w:sz w:val="16"/>
              </w:rPr>
              <w:t>Firm rubbery bosselated goitre is characteristic; atrophic form has no goitre</w:t>
            </w:r>
          </w:p>
        </w:tc>
        <w:tc>
          <w:tcPr>
            <w:tcW w:type="dxa" w:w="1036"/>
            <w:vAlign w:val="top"/>
          </w:tcPr>
          <w:p>
            <w:pPr>
              <w:spacing w:after="40" w:before="0" w:line="259" w:lineRule="auto"/>
            </w:pPr>
            <w:r>
              <w:rPr>
                <w:rFonts w:ascii="Calibri" w:hAnsi="Calibri"/>
                <w:b w:val="0"/>
                <w:i w:val="0"/>
                <w:color w:val="212121"/>
                <w:sz w:val="16"/>
              </w:rPr>
              <w:t>Goitrous and atrophic Hashimoto's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dominant firm nodule warrants ultrasound and FNAC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Deep tendon reflexes</w:t>
            </w:r>
          </w:p>
        </w:tc>
        <w:tc>
          <w:tcPr>
            <w:tcW w:type="dxa" w:w="979"/>
            <w:vAlign w:val="top"/>
          </w:tcPr>
          <w:p>
            <w:pPr>
              <w:spacing w:after="40" w:before="0" w:line="259" w:lineRule="auto"/>
            </w:pPr>
            <w:r>
              <w:rPr>
                <w:rFonts w:ascii="Calibri" w:hAnsi="Calibri"/>
                <w:b w:val="0"/>
                <w:i w:val="0"/>
                <w:color w:val="212121"/>
                <w:sz w:val="16"/>
              </w:rPr>
              <w:t>Ankle-jerk relaxation phase</w:t>
            </w:r>
          </w:p>
        </w:tc>
        <w:tc>
          <w:tcPr>
            <w:tcW w:type="dxa" w:w="950"/>
            <w:vAlign w:val="top"/>
          </w:tcPr>
          <w:p>
            <w:pPr>
              <w:spacing w:after="40" w:before="0" w:line="259" w:lineRule="auto"/>
            </w:pPr>
            <w:r>
              <w:rPr>
                <w:rFonts w:ascii="Calibri" w:hAnsi="Calibri"/>
                <w:b w:val="0"/>
                <w:i w:val="0"/>
                <w:color w:val="212121"/>
                <w:sz w:val="16"/>
              </w:rPr>
              <w:t>Brisk relaxation</w:t>
            </w:r>
          </w:p>
        </w:tc>
        <w:tc>
          <w:tcPr>
            <w:tcW w:type="dxa" w:w="950"/>
            <w:vAlign w:val="top"/>
          </w:tcPr>
          <w:p>
            <w:pPr>
              <w:spacing w:after="40" w:before="0" w:line="259" w:lineRule="auto"/>
            </w:pPr>
            <w:r>
              <w:rPr>
                <w:rFonts w:ascii="Calibri" w:hAnsi="Calibri"/>
                <w:b w:val="0"/>
                <w:i w:val="0"/>
                <w:color w:val="212121"/>
                <w:sz w:val="16"/>
              </w:rPr>
              <w:t>Delayed relaxation</w:t>
            </w:r>
          </w:p>
        </w:tc>
        <w:tc>
          <w:tcPr>
            <w:tcW w:type="dxa" w:w="1036"/>
            <w:vAlign w:val="top"/>
          </w:tcPr>
          <w:p>
            <w:pPr>
              <w:spacing w:after="40" w:before="0" w:line="259" w:lineRule="auto"/>
            </w:pPr>
            <w:r>
              <w:rPr>
                <w:rFonts w:ascii="Calibri" w:hAnsi="Calibri"/>
                <w:b w:val="0"/>
                <w:i w:val="0"/>
                <w:color w:val="212121"/>
                <w:sz w:val="16"/>
              </w:rPr>
              <w:t>Slow-relaxing reflexes reflect hypothyroid neuromuscular effect</w:t>
            </w:r>
          </w:p>
        </w:tc>
        <w:tc>
          <w:tcPr>
            <w:tcW w:type="dxa" w:w="1036"/>
            <w:vAlign w:val="top"/>
          </w:tcPr>
          <w:p>
            <w:pPr>
              <w:spacing w:after="40" w:before="0" w:line="259" w:lineRule="auto"/>
            </w:pPr>
            <w:r>
              <w:rPr>
                <w:rFonts w:ascii="Calibri" w:hAnsi="Calibri"/>
                <w:b w:val="0"/>
                <w:i w:val="0"/>
                <w:color w:val="212121"/>
                <w:sz w:val="16"/>
              </w:rPr>
              <w:t>Overt hypothyroid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Subtle or absent in euthyroid/subclinical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&amp; skin examination</w:t>
            </w:r>
          </w:p>
        </w:tc>
        <w:tc>
          <w:tcPr>
            <w:tcW w:type="dxa" w:w="979"/>
            <w:vAlign w:val="top"/>
          </w:tcPr>
          <w:p>
            <w:pPr>
              <w:spacing w:after="40" w:before="0" w:line="259" w:lineRule="auto"/>
            </w:pPr>
            <w:r>
              <w:rPr>
                <w:rFonts w:ascii="Calibri" w:hAnsi="Calibri"/>
                <w:b w:val="0"/>
                <w:i w:val="0"/>
                <w:color w:val="212121"/>
                <w:sz w:val="16"/>
              </w:rPr>
              <w:t>Dry coarse skin, periorbital puffiness, vitiligo, bradycardia</w:t>
            </w:r>
          </w:p>
        </w:tc>
        <w:tc>
          <w:tcPr>
            <w:tcW w:type="dxa" w:w="950"/>
            <w:vAlign w:val="top"/>
          </w:tcPr>
          <w:p>
            <w:pPr>
              <w:spacing w:after="40" w:before="0" w:line="259" w:lineRule="auto"/>
            </w:pPr>
            <w:r>
              <w:rPr>
                <w:rFonts w:ascii="Calibri" w:hAnsi="Calibri"/>
                <w:b w:val="0"/>
                <w:i w:val="0"/>
                <w:color w:val="212121"/>
                <w:sz w:val="16"/>
              </w:rPr>
              <w:t>Normal skin, HR 60-100/min</w:t>
            </w:r>
          </w:p>
        </w:tc>
        <w:tc>
          <w:tcPr>
            <w:tcW w:type="dxa" w:w="950"/>
            <w:vAlign w:val="top"/>
          </w:tcPr>
          <w:p>
            <w:pPr>
              <w:spacing w:after="40" w:before="0" w:line="259" w:lineRule="auto"/>
            </w:pPr>
            <w:r>
              <w:rPr>
                <w:rFonts w:ascii="Calibri" w:hAnsi="Calibri"/>
                <w:b w:val="0"/>
                <w:i w:val="0"/>
                <w:color w:val="212121"/>
                <w:sz w:val="16"/>
              </w:rPr>
              <w:t>Myxoedematous skin, vitiligo, bradycardia</w:t>
            </w:r>
          </w:p>
        </w:tc>
        <w:tc>
          <w:tcPr>
            <w:tcW w:type="dxa" w:w="1036"/>
            <w:vAlign w:val="top"/>
          </w:tcPr>
          <w:p>
            <w:pPr>
              <w:spacing w:after="40" w:before="0" w:line="259" w:lineRule="auto"/>
            </w:pPr>
            <w:r>
              <w:rPr>
                <w:rFonts w:ascii="Calibri" w:hAnsi="Calibri"/>
                <w:b w:val="0"/>
                <w:i w:val="0"/>
                <w:color w:val="212121"/>
                <w:sz w:val="16"/>
              </w:rPr>
              <w:t>Signs of hypothyroidism and clues to associated autoimmune disease</w:t>
            </w:r>
          </w:p>
        </w:tc>
        <w:tc>
          <w:tcPr>
            <w:tcW w:type="dxa" w:w="1036"/>
            <w:vAlign w:val="top"/>
          </w:tcPr>
          <w:p>
            <w:pPr>
              <w:spacing w:after="40" w:before="0" w:line="259" w:lineRule="auto"/>
            </w:pPr>
            <w:r>
              <w:rPr>
                <w:rFonts w:ascii="Calibri" w:hAnsi="Calibri"/>
                <w:b w:val="0"/>
                <w:i w:val="0"/>
                <w:color w:val="212121"/>
                <w:sz w:val="16"/>
              </w:rPr>
              <w:t>Overt hypothyroid, autoimmune-cluster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Vitiligo signals wider autoimmunity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Often euthyroid / asymptomatic (antibody-positive)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patients are detected only on antibody or TSH testing and feel well for years before hypothyroidism develops.</w:t>
            </w:r>
          </w:p>
        </w:tc>
      </w:tr>
      <w:tr>
        <w:trPr>
          <w:cantSplit/>
        </w:trPr>
        <w:tc>
          <w:tcPr>
            <w:tcW w:type="dxa" w:w="2304"/>
            <w:vAlign w:val="top"/>
          </w:tcPr>
          <w:p>
            <w:pPr>
              <w:spacing w:after="40" w:before="0" w:line="259" w:lineRule="auto"/>
            </w:pPr>
            <w:r>
              <w:rPr>
                <w:rFonts w:ascii="Calibri" w:hAnsi="Calibri"/>
                <w:b/>
                <w:i w:val="0"/>
                <w:color w:val="212121"/>
                <w:sz w:val="19"/>
              </w:rPr>
              <w:t>Fatigue /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once thyroid output falls; non-specific and common in the general population.</w:t>
            </w:r>
          </w:p>
        </w:tc>
      </w:tr>
      <w:tr>
        <w:trPr>
          <w:cantSplit/>
        </w:trPr>
        <w:tc>
          <w:tcPr>
            <w:tcW w:type="dxa" w:w="2304"/>
            <w:vAlign w:val="top"/>
          </w:tcPr>
          <w:p>
            <w:pPr>
              <w:spacing w:after="40" w:before="0" w:line="259" w:lineRule="auto"/>
            </w:pPr>
            <w:r>
              <w:rPr>
                <w:rFonts w:ascii="Calibri" w:hAnsi="Calibri"/>
                <w:b/>
                <w:i w:val="0"/>
                <w:color w:val="212121"/>
                <w:sz w:val="19"/>
              </w:rPr>
              <w:t>Cold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metabolic heat production causes a subjective feeling of being cold.</w:t>
            </w:r>
          </w:p>
        </w:tc>
      </w:tr>
      <w:tr>
        <w:trPr>
          <w:cantSplit/>
        </w:trPr>
        <w:tc>
          <w:tcPr>
            <w:tcW w:type="dxa" w:w="2304"/>
            <w:vAlign w:val="top"/>
          </w:tcPr>
          <w:p>
            <w:pPr>
              <w:spacing w:after="40" w:before="0" w:line="259" w:lineRule="auto"/>
            </w:pPr>
            <w:r>
              <w:rPr>
                <w:rFonts w:ascii="Calibri" w:hAnsi="Calibri"/>
                <w:b/>
                <w:i w:val="0"/>
                <w:color w:val="212121"/>
                <w:sz w:val="19"/>
              </w:rPr>
              <w:t>Weight gain / difficulty losing weight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Modest reduction in resting metabolic rate; usually only a few kilograms.</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Slowed gastrointestinal motility from reduced thyroid hormone action.</w:t>
            </w:r>
          </w:p>
        </w:tc>
      </w:tr>
      <w:tr>
        <w:trPr>
          <w:cantSplit/>
        </w:trPr>
        <w:tc>
          <w:tcPr>
            <w:tcW w:type="dxa" w:w="2304"/>
            <w:vAlign w:val="top"/>
          </w:tcPr>
          <w:p>
            <w:pPr>
              <w:spacing w:after="40" w:before="0" w:line="259" w:lineRule="auto"/>
            </w:pPr>
            <w:r>
              <w:rPr>
                <w:rFonts w:ascii="Calibri" w:hAnsi="Calibri"/>
                <w:b/>
                <w:i w:val="0"/>
                <w:color w:val="212121"/>
                <w:sz w:val="19"/>
              </w:rPr>
              <w:t>Dry skin and hair, hair thinning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secretory activity and slowed epidermal/follicular turnover.</w:t>
            </w:r>
          </w:p>
        </w:tc>
      </w:tr>
      <w:tr>
        <w:trPr>
          <w:cantSplit/>
        </w:trPr>
        <w:tc>
          <w:tcPr>
            <w:tcW w:type="dxa" w:w="2304"/>
            <w:vAlign w:val="top"/>
          </w:tcPr>
          <w:p>
            <w:pPr>
              <w:spacing w:after="40" w:before="0" w:line="259" w:lineRule="auto"/>
            </w:pPr>
            <w:r>
              <w:rPr>
                <w:rFonts w:ascii="Calibri" w:hAnsi="Calibri"/>
                <w:b/>
                <w:i w:val="0"/>
                <w:color w:val="212121"/>
                <w:sz w:val="19"/>
              </w:rPr>
              <w:t>Neck fullness / swelling (goitre)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Firm diffuse goitre from lymphocytic infiltration; a leading presentation in adolescents.</w:t>
            </w:r>
          </w:p>
        </w:tc>
      </w:tr>
      <w:tr>
        <w:trPr>
          <w:cantSplit/>
        </w:trPr>
        <w:tc>
          <w:tcPr>
            <w:tcW w:type="dxa" w:w="2304"/>
            <w:vAlign w:val="top"/>
          </w:tcPr>
          <w:p>
            <w:pPr>
              <w:spacing w:after="40" w:before="0" w:line="259" w:lineRule="auto"/>
            </w:pPr>
            <w:r>
              <w:rPr>
                <w:rFonts w:ascii="Calibri" w:hAnsi="Calibri"/>
                <w:b/>
                <w:i w:val="0"/>
                <w:color w:val="212121"/>
                <w:sz w:val="19"/>
              </w:rPr>
              <w:t>Menstrual irregularity / menorrhagia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Thyroid influence on the reproductive axis; can impair fertility.</w:t>
            </w:r>
          </w:p>
        </w:tc>
      </w:tr>
      <w:tr>
        <w:trPr>
          <w:cantSplit/>
        </w:trPr>
        <w:tc>
          <w:tcPr>
            <w:tcW w:type="dxa" w:w="2304"/>
            <w:vAlign w:val="top"/>
          </w:tcPr>
          <w:p>
            <w:pPr>
              <w:spacing w:after="40" w:before="0" w:line="259" w:lineRule="auto"/>
            </w:pPr>
            <w:r>
              <w:rPr>
                <w:rFonts w:ascii="Calibri" w:hAnsi="Calibri"/>
                <w:b/>
                <w:i w:val="0"/>
                <w:color w:val="212121"/>
                <w:sz w:val="19"/>
              </w:rPr>
              <w:t>Low mood / depression, poor concentration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Associated with thyroid autoimmunity and hypothyroidism through neuroendocrine pathways.</w:t>
            </w:r>
          </w:p>
        </w:tc>
      </w:tr>
      <w:tr>
        <w:trPr>
          <w:cantSplit/>
        </w:trPr>
        <w:tc>
          <w:tcPr>
            <w:tcW w:type="dxa" w:w="2304"/>
            <w:vAlign w:val="top"/>
          </w:tcPr>
          <w:p>
            <w:pPr>
              <w:spacing w:after="40" w:before="0" w:line="259" w:lineRule="auto"/>
            </w:pPr>
            <w:r>
              <w:rPr>
                <w:rFonts w:ascii="Calibri" w:hAnsi="Calibri"/>
                <w:b/>
                <w:i w:val="0"/>
                <w:color w:val="212121"/>
                <w:sz w:val="19"/>
              </w:rPr>
              <w:t>Muscle aches, cramps or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myopathic symptoms; overt myopathy is uncommon.</w:t>
            </w:r>
          </w:p>
        </w:tc>
      </w:tr>
      <w:tr>
        <w:trPr>
          <w:cantSplit/>
        </w:trPr>
        <w:tc>
          <w:tcPr>
            <w:tcW w:type="dxa" w:w="2304"/>
            <w:vAlign w:val="top"/>
          </w:tcPr>
          <w:p>
            <w:pPr>
              <w:spacing w:after="40" w:before="0" w:line="259" w:lineRule="auto"/>
            </w:pPr>
            <w:r>
              <w:rPr>
                <w:rFonts w:ascii="Calibri" w:hAnsi="Calibri"/>
                <w:b/>
                <w:i w:val="0"/>
                <w:color w:val="212121"/>
                <w:sz w:val="19"/>
              </w:rPr>
              <w:t>Subfertility or recurrent pregnancy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Thyroid autoimmunity, even when euthyroid, is linked to miscarriage and reduced fecundity.</w:t>
            </w:r>
          </w:p>
        </w:tc>
      </w:tr>
      <w:tr>
        <w:trPr>
          <w:cantSplit/>
        </w:trPr>
        <w:tc>
          <w:tcPr>
            <w:tcW w:type="dxa" w:w="2304"/>
            <w:vAlign w:val="top"/>
          </w:tcPr>
          <w:p>
            <w:pPr>
              <w:spacing w:after="40" w:before="0" w:line="259" w:lineRule="auto"/>
            </w:pPr>
            <w:r>
              <w:rPr>
                <w:rFonts w:ascii="Calibri" w:hAnsi="Calibri"/>
                <w:b/>
                <w:i w:val="0"/>
                <w:color w:val="212121"/>
                <w:sz w:val="19"/>
              </w:rPr>
              <w:t>Transient palpitations, heat intolerance, tremor (Hashitoxicosis)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Early self-limiting thyrotoxic phase from hormone leak; must be distinguished from Graves' disease.</w:t>
            </w:r>
          </w:p>
        </w:tc>
      </w:tr>
      <w:tr>
        <w:trPr>
          <w:cantSplit/>
        </w:trPr>
        <w:tc>
          <w:tcPr>
            <w:tcW w:type="dxa" w:w="2304"/>
            <w:vAlign w:val="top"/>
          </w:tcPr>
          <w:p>
            <w:pPr>
              <w:spacing w:after="40" w:before="0" w:line="259" w:lineRule="auto"/>
            </w:pPr>
            <w:r>
              <w:rPr>
                <w:rFonts w:ascii="Calibri" w:hAnsi="Calibri"/>
                <w:b/>
                <w:i w:val="0"/>
                <w:color w:val="212121"/>
                <w:sz w:val="19"/>
              </w:rPr>
              <w:t>Hoarseness / compressive symptoms (dysphagia, dyspnoea)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a large goitre; rapid growth should raise concern for thyroid lymphoma.</w:t>
            </w:r>
          </w:p>
        </w:tc>
      </w:tr>
      <w:tr>
        <w:trPr>
          <w:cantSplit/>
        </w:trPr>
        <w:tc>
          <w:tcPr>
            <w:tcW w:type="dxa" w:w="2304"/>
            <w:vAlign w:val="top"/>
          </w:tcPr>
          <w:p>
            <w:pPr>
              <w:spacing w:after="40" w:before="0" w:line="259" w:lineRule="auto"/>
            </w:pPr>
            <w:r>
              <w:rPr>
                <w:rFonts w:ascii="Calibri" w:hAnsi="Calibri"/>
                <w:b/>
                <w:i w:val="0"/>
                <w:color w:val="212121"/>
                <w:sz w:val="19"/>
              </w:rPr>
              <w:t>Confusion, seizures, altered consciousness (encephalopathy)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Hashimoto's (steroid-responsive) encephalopathy - a rare, treatable autoimmune complication.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Firm, diffuse, bosselated goitre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Rubbery, non-tender enlargement typical of goitrous Hashimoto's thyroiditis.</w:t>
            </w:r>
          </w:p>
        </w:tc>
      </w:tr>
      <w:tr>
        <w:trPr>
          <w:cantSplit/>
        </w:trPr>
        <w:tc>
          <w:tcPr>
            <w:tcW w:type="dxa" w:w="3456"/>
            <w:vAlign w:val="top"/>
          </w:tcPr>
          <w:p>
            <w:pPr>
              <w:spacing w:after="40" w:before="0" w:line="259" w:lineRule="auto"/>
            </w:pPr>
            <w:r>
              <w:rPr>
                <w:rFonts w:ascii="Calibri" w:hAnsi="Calibri"/>
                <w:b/>
                <w:i w:val="0"/>
                <w:color w:val="212121"/>
                <w:sz w:val="19"/>
              </w:rPr>
              <w:t>Shrunken / impalpable gland (atrophic form)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Fibrosis and atrophy with overt hypothyroidism and no goitre, more often in older adults.</w:t>
            </w:r>
          </w:p>
        </w:tc>
      </w:tr>
      <w:tr>
        <w:trPr>
          <w:cantSplit/>
        </w:trPr>
        <w:tc>
          <w:tcPr>
            <w:tcW w:type="dxa" w:w="3456"/>
            <w:vAlign w:val="top"/>
          </w:tcPr>
          <w:p>
            <w:pPr>
              <w:spacing w:after="40" w:before="0" w:line="259" w:lineRule="auto"/>
            </w:pPr>
            <w:r>
              <w:rPr>
                <w:rFonts w:ascii="Calibri" w:hAnsi="Calibri"/>
                <w:b/>
                <w:i w:val="0"/>
                <w:color w:val="212121"/>
                <w:sz w:val="19"/>
              </w:rPr>
              <w:t>Dry, coarse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secretory activity of skin glands in hypothyroidism.</w:t>
            </w:r>
          </w:p>
        </w:tc>
      </w:tr>
      <w:tr>
        <w:trPr>
          <w:cantSplit/>
        </w:trPr>
        <w:tc>
          <w:tcPr>
            <w:tcW w:type="dxa" w:w="3456"/>
            <w:vAlign w:val="top"/>
          </w:tcPr>
          <w:p>
            <w:pPr>
              <w:spacing w:after="40" w:before="0" w:line="259" w:lineRule="auto"/>
            </w:pPr>
            <w:r>
              <w:rPr>
                <w:rFonts w:ascii="Calibri" w:hAnsi="Calibri"/>
                <w:b/>
                <w:i w:val="0"/>
                <w:color w:val="212121"/>
                <w:sz w:val="19"/>
              </w:rPr>
              <w:t>Delayed relaxation of deep tendon reflexes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Classic but subtle neuromuscular sign, best elicited at the ankle.</w:t>
            </w:r>
          </w:p>
        </w:tc>
      </w:tr>
      <w:tr>
        <w:trPr>
          <w:cantSplit/>
        </w:trPr>
        <w:tc>
          <w:tcPr>
            <w:tcW w:type="dxa" w:w="3456"/>
            <w:vAlign w:val="top"/>
          </w:tcPr>
          <w:p>
            <w:pPr>
              <w:spacing w:after="40" w:before="0" w:line="259" w:lineRule="auto"/>
            </w:pPr>
            <w:r>
              <w:rPr>
                <w:rFonts w:ascii="Calibri" w:hAnsi="Calibri"/>
                <w:b/>
                <w:i w:val="0"/>
                <w:color w:val="212121"/>
                <w:sz w:val="19"/>
              </w:rPr>
              <w:t>Bradycardia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Slowed heart rate from reduced thyroid action on the myocardium.</w:t>
            </w:r>
          </w:p>
        </w:tc>
      </w:tr>
      <w:tr>
        <w:trPr>
          <w:cantSplit/>
        </w:trPr>
        <w:tc>
          <w:tcPr>
            <w:tcW w:type="dxa" w:w="3456"/>
            <w:vAlign w:val="top"/>
          </w:tcPr>
          <w:p>
            <w:pPr>
              <w:spacing w:after="40" w:before="0" w:line="259" w:lineRule="auto"/>
            </w:pPr>
            <w:r>
              <w:rPr>
                <w:rFonts w:ascii="Calibri" w:hAnsi="Calibri"/>
                <w:b/>
                <w:i w:val="0"/>
                <w:color w:val="212121"/>
                <w:sz w:val="19"/>
              </w:rPr>
              <w:t>Elevated total / LDL cholesterol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Biochemical sign of hypothyroidism-related dyslipidaemia; reverses with levothyroxine.</w:t>
            </w:r>
          </w:p>
        </w:tc>
      </w:tr>
      <w:tr>
        <w:trPr>
          <w:cantSplit/>
        </w:trPr>
        <w:tc>
          <w:tcPr>
            <w:tcW w:type="dxa" w:w="3456"/>
            <w:vAlign w:val="top"/>
          </w:tcPr>
          <w:p>
            <w:pPr>
              <w:spacing w:after="40" w:before="0" w:line="259" w:lineRule="auto"/>
            </w:pPr>
            <w:r>
              <w:rPr>
                <w:rFonts w:ascii="Calibri" w:hAnsi="Calibri"/>
                <w:b/>
                <w:i w:val="0"/>
                <w:color w:val="212121"/>
                <w:sz w:val="19"/>
              </w:rPr>
              <w:t>Periorbital puffiness / facial fullness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Early myxoedematous change from glycosaminoglycan deposition.</w:t>
            </w:r>
          </w:p>
        </w:tc>
      </w:tr>
      <w:tr>
        <w:trPr>
          <w:cantSplit/>
        </w:trPr>
        <w:tc>
          <w:tcPr>
            <w:tcW w:type="dxa" w:w="3456"/>
            <w:vAlign w:val="top"/>
          </w:tcPr>
          <w:p>
            <w:pPr>
              <w:spacing w:after="40" w:before="0" w:line="259" w:lineRule="auto"/>
            </w:pPr>
            <w:r>
              <w:rPr>
                <w:rFonts w:ascii="Calibri" w:hAnsi="Calibri"/>
                <w:b/>
                <w:i w:val="0"/>
                <w:color w:val="212121"/>
                <w:sz w:val="19"/>
              </w:rPr>
              <w:t>Hypoechoic, heterogeneous gland on ultrasound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Imaging sign of chronic lymphocytic infiltration.</w:t>
            </w:r>
          </w:p>
        </w:tc>
      </w:tr>
      <w:tr>
        <w:trPr>
          <w:cantSplit/>
        </w:trPr>
        <w:tc>
          <w:tcPr>
            <w:tcW w:type="dxa" w:w="3456"/>
            <w:vAlign w:val="top"/>
          </w:tcPr>
          <w:p>
            <w:pPr>
              <w:spacing w:after="40" w:before="0" w:line="259" w:lineRule="auto"/>
            </w:pPr>
            <w:r>
              <w:rPr>
                <w:rFonts w:ascii="Calibri" w:hAnsi="Calibri"/>
                <w:b/>
                <w:i w:val="0"/>
                <w:color w:val="212121"/>
                <w:sz w:val="19"/>
              </w:rPr>
              <w:t>Vitiligo or other autoimmune stigmata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Depigmented patches signalling associated organ-specific autoimmunity.</w:t>
            </w:r>
          </w:p>
        </w:tc>
      </w:tr>
      <w:tr>
        <w:trPr>
          <w:cantSplit/>
        </w:trPr>
        <w:tc>
          <w:tcPr>
            <w:tcW w:type="dxa" w:w="3456"/>
            <w:vAlign w:val="top"/>
          </w:tcPr>
          <w:p>
            <w:pPr>
              <w:spacing w:after="40" w:before="0" w:line="259" w:lineRule="auto"/>
            </w:pPr>
            <w:r>
              <w:rPr>
                <w:rFonts w:ascii="Calibri" w:hAnsi="Calibri"/>
                <w:b/>
                <w:i w:val="0"/>
                <w:color w:val="212121"/>
                <w:sz w:val="19"/>
              </w:rPr>
              <w:t>Non-pitting oedema (myxoedema)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only with advanced untreated overt hypothyroidism.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subclinical and then overt hypothyroidism (risk rising about 5% per year, faster with high anti-TPO titres and TSH)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Goitre with compressive symptoms (dysphagia, dyspnoea, hoarseness)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thyrotoxicosis (Hashitoxicosis) early in the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Hypothyroidism-related dyslipidaemia (raised total and LDL cholesterol)</w:t>
            </w:r>
          </w:p>
        </w:tc>
        <w:tc>
          <w:tcPr>
            <w:tcW w:type="dxa" w:w="2980"/>
            <w:vAlign w:val="top"/>
          </w:tcPr>
          <w:p>
            <w:pPr>
              <w:spacing w:after="40" w:before="0" w:line="259" w:lineRule="auto"/>
            </w:pPr>
            <w:r>
              <w:rPr>
                <w:rFonts w:ascii="Calibri" w:hAnsi="Calibri"/>
                <w:b w:val="0"/>
                <w:i w:val="0"/>
                <w:color w:val="212121"/>
                <w:sz w:val="19"/>
              </w:rPr>
              <w:t>Direct consequences of progressive autoimmune destruction of the thyroid gland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accelerated atherosclerosis, coronary artery disease and heart failure risk from chronic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miscarriage, pre-eclampsia, preterm birth and postpartum thyroiditis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 and impaired offspring neurodevelopment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Clustering of other autoimmune disease (type 1 diabetes, celiac disease, pernicious anaemia, vitiligo)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Thyroid nodules (in about 20-30% of patients) and thyroid-associated eye disease (up to about 6%)</w:t>
            </w:r>
          </w:p>
        </w:tc>
        <w:tc>
          <w:tcPr>
            <w:tcW w:type="dxa" w:w="2980"/>
            <w:vAlign w:val="top"/>
          </w:tcPr>
          <w:p>
            <w:pPr>
              <w:spacing w:after="40" w:before="0" w:line="259" w:lineRule="auto"/>
            </w:pPr>
            <w:r>
              <w:rPr>
                <w:rFonts w:ascii="Calibri" w:hAnsi="Calibri"/>
                <w:b w:val="0"/>
                <w:i w:val="0"/>
                <w:color w:val="212121"/>
                <w:sz w:val="19"/>
              </w:rPr>
              <w:t>Chronic hypothyroidism and shared autoimmunity amplify cardiometabolic, obstetric and autoimmune risk</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 thyroid lymphoma (rare but strongly linked to long-standing Hashimoto's; 0.5-5% of thyroid cancers)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Myxoedema coma (rare, in severe untreated overt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Hashimoto's (steroid-responsive)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adverse pregnancy and neurodevelopmental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cardiovascular morbidity from untreated disease</w:t>
            </w:r>
          </w:p>
        </w:tc>
        <w:tc>
          <w:tcPr>
            <w:tcW w:type="dxa" w:w="2980"/>
            <w:vAlign w:val="top"/>
          </w:tcPr>
          <w:p>
            <w:pPr>
              <w:spacing w:after="40" w:before="0" w:line="259" w:lineRule="auto"/>
            </w:pPr>
            <w:r>
              <w:rPr>
                <w:rFonts w:ascii="Calibri" w:hAnsi="Calibri"/>
                <w:b w:val="0"/>
                <w:i w:val="0"/>
                <w:color w:val="212121"/>
                <w:sz w:val="19"/>
              </w:rPr>
              <w:t>Rare, disabling or irreversible outcomes of longstanding or untreated disease; largely preventable with timely detection and levothyroxine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Overt / subclinical hypothyroidism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The principal functional consequence of the disease; the risk of hypothyroidism rises about 5% per year, faster with high anti-TPO titres, and is treated with levothyroxine.</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immune-genetic susceptibility and clusters with Hashimoto's in autoimmune polyglandular syndromes; each warrants screening for the other.</w:t>
            </w:r>
          </w:p>
        </w:tc>
      </w:tr>
      <w:tr>
        <w:trPr>
          <w:cantSplit/>
        </w:trPr>
        <w:tc>
          <w:tcPr>
            <w:tcW w:type="dxa" w:w="2232"/>
            <w:vAlign w:val="top"/>
          </w:tcPr>
          <w:p>
            <w:pPr>
              <w:spacing w:after="40" w:before="0" w:line="259" w:lineRule="auto"/>
            </w:pPr>
            <w:r>
              <w:rPr>
                <w:rFonts w:ascii="Calibri" w:hAnsi="Calibri"/>
                <w:b/>
                <w:i w:val="0"/>
                <w:color w:val="212121"/>
                <w:sz w:val="19"/>
              </w:rPr>
              <w:t>Celiac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Organ-specific gut autoimmunity that coexists with thyroid autoimmunity and impairs absorption of iron, calcium and levothyroxine, complicating dosing.</w:t>
            </w:r>
          </w:p>
        </w:tc>
      </w:tr>
      <w:tr>
        <w:trPr>
          <w:cantSplit/>
        </w:trPr>
        <w:tc>
          <w:tcPr>
            <w:tcW w:type="dxa" w:w="2232"/>
            <w:vAlign w:val="top"/>
          </w:tcPr>
          <w:p>
            <w:pPr>
              <w:spacing w:after="40" w:before="0" w:line="259" w:lineRule="auto"/>
            </w:pPr>
            <w:r>
              <w:rPr>
                <w:rFonts w:ascii="Calibri" w:hAnsi="Calibri"/>
                <w:b/>
                <w:i w:val="0"/>
                <w:color w:val="212121"/>
                <w:sz w:val="19"/>
              </w:rPr>
              <w:t>Autoimmune gastritis / pernicious 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Occurs in roughly 10-40% of Hashimoto's patients; causes B12 deficiency and reduces gastric acid needed for levothyroxine absorption.</w:t>
            </w:r>
          </w:p>
          <w:p>
            <w:pPr>
              <w:spacing w:after="40" w:before="0" w:line="259" w:lineRule="auto"/>
            </w:pPr>
            <w:r>
              <w:rPr>
                <w:rFonts w:ascii="Calibri" w:hAnsi="Calibri"/>
                <w:b/>
                <w:i w:val="0"/>
                <w:color w:val="212121"/>
                <w:sz w:val="19"/>
              </w:rPr>
              <w:t>~10-40%</w:t>
            </w:r>
          </w:p>
        </w:tc>
      </w:tr>
      <w:tr>
        <w:trPr>
          <w:cantSplit/>
        </w:trPr>
        <w:tc>
          <w:tcPr>
            <w:tcW w:type="dxa" w:w="2232"/>
            <w:vAlign w:val="top"/>
          </w:tcPr>
          <w:p>
            <w:pPr>
              <w:spacing w:after="40" w:before="0" w:line="259" w:lineRule="auto"/>
            </w:pPr>
            <w:r>
              <w:rPr>
                <w:rFonts w:ascii="Calibri" w:hAnsi="Calibri"/>
                <w:b/>
                <w:i w:val="0"/>
                <w:color w:val="212121"/>
                <w:sz w:val="19"/>
              </w:rPr>
              <w:t>Vitiligo</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Depigmenting autoimmune skin disease that shares susceptibility with autoimmune thyroiditis and frequently coexists.</w:t>
            </w:r>
          </w:p>
        </w:tc>
      </w:tr>
      <w:tr>
        <w:trPr>
          <w:cantSplit/>
        </w:trPr>
        <w:tc>
          <w:tcPr>
            <w:tcW w:type="dxa" w:w="2232"/>
            <w:vAlign w:val="top"/>
          </w:tcPr>
          <w:p>
            <w:pPr>
              <w:spacing w:after="40" w:before="0" w:line="259" w:lineRule="auto"/>
            </w:pPr>
            <w:r>
              <w:rPr>
                <w:rFonts w:ascii="Calibri" w:hAnsi="Calibri"/>
                <w:b/>
                <w:i w:val="0"/>
                <w:color w:val="212121"/>
                <w:sz w:val="19"/>
              </w:rPr>
              <w:t>Dyslipidemia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Hypothyroidism raises total and LDL cholesterol; levothyroxine replacement lowers them, so lipids should be monitored.</w:t>
            </w:r>
          </w:p>
        </w:tc>
      </w:tr>
      <w:tr>
        <w:trPr>
          <w:cantSplit/>
        </w:trPr>
        <w:tc>
          <w:tcPr>
            <w:tcW w:type="dxa" w:w="2232"/>
            <w:vAlign w:val="top"/>
          </w:tcPr>
          <w:p>
            <w:pPr>
              <w:spacing w:after="40" w:before="0" w:line="259" w:lineRule="auto"/>
            </w:pPr>
            <w:r>
              <w:rPr>
                <w:rFonts w:ascii="Calibri" w:hAnsi="Calibri"/>
                <w:b/>
                <w:i w:val="0"/>
                <w:color w:val="212121"/>
                <w:sz w:val="19"/>
              </w:rPr>
              <w:t>Down syndrome and Turner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Chromosomal syndromes with heightened autoimmunity in which Hashimoto's thyroiditis is markedly over-represented, justifying routine thyroid screening.</w:t>
            </w:r>
          </w:p>
        </w:tc>
      </w:tr>
      <w:tr>
        <w:trPr>
          <w:cantSplit/>
        </w:trPr>
        <w:tc>
          <w:tcPr>
            <w:tcW w:type="dxa" w:w="2232"/>
            <w:vAlign w:val="top"/>
          </w:tcPr>
          <w:p>
            <w:pPr>
              <w:spacing w:after="40" w:before="0" w:line="259" w:lineRule="auto"/>
            </w:pPr>
            <w:r>
              <w:rPr>
                <w:rFonts w:ascii="Calibri" w:hAnsi="Calibri"/>
                <w:b/>
                <w:i w:val="0"/>
                <w:color w:val="212121"/>
                <w:sz w:val="19"/>
              </w:rPr>
              <w:t>Papillary thyroid carcinoma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found coexisting with Hashimoto's on histology; the causal link is debated, but a background of thyroiditis affects nodule assessment and follow-up.</w:t>
            </w:r>
          </w:p>
        </w:tc>
      </w:tr>
      <w:tr>
        <w:trPr>
          <w:cantSplit/>
        </w:trPr>
        <w:tc>
          <w:tcPr>
            <w:tcW w:type="dxa" w:w="2232"/>
            <w:vAlign w:val="top"/>
          </w:tcPr>
          <w:p>
            <w:pPr>
              <w:spacing w:after="40" w:before="0" w:line="259" w:lineRule="auto"/>
            </w:pPr>
            <w:r>
              <w:rPr>
                <w:rFonts w:ascii="Calibri" w:hAnsi="Calibri"/>
                <w:b/>
                <w:i w:val="0"/>
                <w:color w:val="212121"/>
                <w:sz w:val="19"/>
              </w:rPr>
              <w:t>Primary thyroid lymphoma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A rare malignancy strongly associated with long-standing Hashimoto's; rapid goitre enlargement should trigger urgent evaluation.</w:t>
            </w:r>
          </w:p>
          <w:p>
            <w:pPr>
              <w:spacing w:after="40" w:before="0" w:line="259" w:lineRule="auto"/>
            </w:pPr>
            <w:r>
              <w:rPr>
                <w:rFonts w:ascii="Calibri" w:hAnsi="Calibri"/>
                <w:b/>
                <w:i w:val="0"/>
                <w:color w:val="212121"/>
                <w:sz w:val="19"/>
              </w:rPr>
              <w:t>0.5-5% of thyroid cancers</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autoimmunity and hypothyroidism are associated with mood and anxiety symptoms through shared neuroendocrine and inflammatory pathways.</w:t>
            </w:r>
          </w:p>
        </w:tc>
      </w:tr>
      <w:tr>
        <w:trPr>
          <w:cantSplit/>
        </w:trPr>
        <w:tc>
          <w:tcPr>
            <w:tcW w:type="dxa" w:w="2232"/>
            <w:vAlign w:val="top"/>
          </w:tcPr>
          <w:p>
            <w:pPr>
              <w:spacing w:after="40" w:before="0" w:line="259" w:lineRule="auto"/>
            </w:pPr>
            <w:r>
              <w:rPr>
                <w:rFonts w:ascii="Calibri" w:hAnsi="Calibri"/>
                <w:b/>
                <w:i w:val="0"/>
                <w:color w:val="212121"/>
                <w:sz w:val="19"/>
              </w:rPr>
              <w:t>Infertility and recurrent pregnancy loss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autoimmunity, even when euthyroid, is linked to subfertility, miscarriage and postpartum thyroiditis, and levothyroxine is used to improve outcomes in selected women.</w:t>
            </w:r>
          </w:p>
        </w:tc>
      </w:tr>
      <w:tr>
        <w:trPr>
          <w:cantSplit/>
        </w:trPr>
        <w:tc>
          <w:tcPr>
            <w:tcW w:type="dxa" w:w="2232"/>
            <w:vAlign w:val="top"/>
          </w:tcPr>
          <w:p>
            <w:pPr>
              <w:spacing w:after="40" w:before="0" w:line="259" w:lineRule="auto"/>
            </w:pPr>
            <w:r>
              <w:rPr>
                <w:rFonts w:ascii="Calibri" w:hAnsi="Calibri"/>
                <w:b/>
                <w:i w:val="0"/>
                <w:color w:val="212121"/>
                <w:sz w:val="19"/>
              </w:rPr>
              <w:t>Other autoimmune / connective-tissue disease (rheumatoid arthritis, SLE, Sjogren's)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Systemic autoimmune diseases share immune dysregulation with thyroid autoimmunity and are over-represented, warranting cross-awareness.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Low 25-hydroxyvitamin D is associated with about 4-fold higher odds of Hashimoto's thyroiditis; correcting deficiency is prudent though disease-modifying benefit is unproven.</w:t>
            </w:r>
          </w:p>
          <w:p>
            <w:pPr>
              <w:spacing w:after="40" w:before="0" w:line="259" w:lineRule="auto"/>
            </w:pPr>
            <w:r>
              <w:rPr>
                <w:rFonts w:ascii="Calibri" w:hAnsi="Calibri"/>
                <w:b/>
                <w:i w:val="0"/>
                <w:color w:val="212121"/>
                <w:sz w:val="19"/>
              </w:rPr>
              <w:t>OR ~4.07 for deficiency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Hashimoto's thyroiditis is a lifelong autoimmune condition that often begins as a symptom-free, antibody-positive state and progresses slowly, so periodic TSH monitoring matters even when you feel well.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only adequately iodised salt and avoid both iodine deficiency and iodine excess (large amounts of kelp/seaweed, unregulated iodine tonics and supplements), which can trigger or worsen thyroid autoimmunity.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higher-risk situations - women planning pregnancy, a family history of thyroid or autoimmune disease, and coexisting type 1 diabetes, celiac disease or vitiligo - and seek timely TSH and anti-TPO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symptoms (persistent fatigue, cold intolerance, weight gain, constipation, neck swelling, low mood, menstrual change) that should prompt thyroid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 rapidly enlarging goitre or new compressive symptoms promptly, as these need urgent assessment to exclude the rare thyroid lymphoma.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family history of thyroid/autoimmune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type 1 diabetes, celiac disease or vitiligo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found to be antibody-positive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levothyroxine, when indicated, consistently on an empty stomach with water and do not stop it without medical advice, especially during pregnancy when requirements rise.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agreed monitoring plan - periodic TSH testing to detect progression to overt hypothyroidism and to titrate the dose.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levothyroxine from tea/coffee, calcium, iron, soya and antacids to protect its absorption, and tell your doctor about any new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planned pregnancy early, as the levothyroxine dose usually needs to be increased promptly to protect the baby.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selenium or vitamin D supplements may lower antibody levels but have not been proven to change the disease course, and should not replace thyroid hormone when indicated.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levothyroxine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Hashimoto's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overt/subclinical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Anti-TPO positive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at least 150 minutes per week of moderate-intensity aerobic activity to support weight, mood and cardiometabolic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 per week to preserve muscle mass and counter hypothyroid fatigue and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gradual 5-10% weight loss if overweight, since adiposity is associated with higher autoantibody titres and TSH.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which clusters with obesity and metabolic syndrome and compounds cardiovascular risk in hypothyroidism.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but not excessive iodine intake (about 150 ug/day in adults, 250 ug/day in pregnancy) using iodised salt, and avoid habitual iodine excess from kelp/seaweed and iodine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selenium (e.g., from a balanced diet) and correct iron and vitamin D deficiency, as all support thyroid function and limit thyrocyte oxidative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pulses, vegetables and fruit to support weight and lipid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goitrogenic vegetables (cabbage, cauliflower, soya) rather than eating very large amounts raw, particularly where iodine intake is marginal.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coexisting celiac disease with a gluten-free diet where confirmed, as it commonly coexists and impairs nutrient and drug absorption.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and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iodine-excess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micronutrient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levothyroxine on an empty stomach 30-60 minutes before food, keeping the timing consistent day to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levothyroxine from calcium, iron, soya and antacids by at least 4 hours, and from tea/coffee by 30-60 minutes, to protect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heart-healthy, lipid-lowering diet (reduced saturated fat, more soluble fibre) to address hypothyroidism-related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B12 and vitamin D deficiency, which improve symptoms and levothyroxine effectiveness.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steady iodine intake once on treatment and avoid sudden large iodine loads (contrast, kelp).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levothyroxine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dyslipidaemia or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Hashimoto's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 sleep schedule to support metabolic and mood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overweight patients, as it shares metabolic risk and worsens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fatigue through sleep hygiene rather than assuming all tiredness is thyroid-related, especially when TSH is controlled.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reporting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overall cardiovascular risk and to lower the risk of thyroid-associated eye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thyroid antibodies and TSH may rise after quitting, so thyroid function should be re-checked following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 ex-smokers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to protect liver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chronic drinking, which adds cardiometabolic risk and can reduce thyroid volume.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fatty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which are associated with thyroid autoimmunity and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attribute all mood symptoms to thyroid status; treat depression on its own merits alongside thyroid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about the generally manageable, treatable course of the disease to reduce health anxiety around a lifelong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psychological support or referral where mood symptoms are significant, particularly around pregnancy and the postpartum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depressive or anxiety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health anxiety about a lifelong diagnosis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59262/" TargetMode="External"/><Relationship Id="rId10" Type="http://schemas.openxmlformats.org/officeDocument/2006/relationships/hyperlink" Target="https://pmc.ncbi.nlm.nih.gov/articles/PMC3169866/" TargetMode="External"/><Relationship Id="rId11" Type="http://schemas.openxmlformats.org/officeDocument/2006/relationships/hyperlink" Target="https://www.mdpi.com/2079-9721/13/6/166" TargetMode="External"/><Relationship Id="rId12" Type="http://schemas.openxmlformats.org/officeDocument/2006/relationships/hyperlink" Target="https://journals.plos.org/plosone/article?id=10.1371/journal.pone.0225435" TargetMode="External"/><Relationship Id="rId13" Type="http://schemas.openxmlformats.org/officeDocument/2006/relationships/hyperlink" Target="https://www.sciencedirect.com/science/article/abs/pii/S0188440915002052" TargetMode="External"/><Relationship Id="rId14" Type="http://schemas.openxmlformats.org/officeDocument/2006/relationships/hyperlink" Target="https://www.mdpi.com/2072-6643/7/4/2485" TargetMode="External"/><Relationship Id="rId15" Type="http://schemas.openxmlformats.org/officeDocument/2006/relationships/hyperlink" Target="https://www.cochrane.org/evidence/CD010223_selenium-supplementation-hashimotos-thyroid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