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Graves' Disease</w:t>
      </w:r>
    </w:p>
    <w:p>
      <w:pPr>
        <w:spacing w:before="0" w:after="160"/>
      </w:pPr>
      <w:r>
        <w:rPr>
          <w:rFonts w:ascii="Calibri" w:hAnsi="Calibri"/>
          <w:b/>
          <w:i w:val="0"/>
          <w:color w:val="212121"/>
          <w:sz w:val="22"/>
        </w:rPr>
        <w:t xml:space="preserve">AKA </w:t>
      </w:r>
      <w:r>
        <w:rPr>
          <w:rFonts w:ascii="Calibri" w:hAnsi="Calibri"/>
          <w:b w:val="0"/>
          <w:i w:val="0"/>
          <w:color w:val="212121"/>
          <w:sz w:val="22"/>
        </w:rPr>
        <w:t>i.e., Toxic diffuse goiter, Graves-Basedow disease, Basedow's disease, Autoimmune (diffuse toxic) hyperthyroidism, Exophthalmic goiter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Graves' disease is an autoimmune disorder in which stimulating autoantibodies to the TSH receptor (TRAb / thyroid-stimulating immunoglobulin, TSI) continuously activate the thyroid gland, producing diffuse goiter and unregulated overproduction of thyroid hormone (thyrotoxicosis). It is the single most common cause of hyperthyroidism and, unlike other causes, may be accompanied by extrathyroidal features such as Graves' orbitopathy (thyroid eye disease) and, rarely, pretibial myxedema and thyroid acropachy. Untreated, it can lead to serious cardiac, skeletal and ocular damage and, at its extreme, to life-threatening thyroid storm.</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Graves' disease is the leading cause of hyperthyroidism worldwide. In India, community surveys (e.g., the Cochin population study) found overt hyperthyroidism in about 1.3% and subclinical hyperthyroidism in about 1.6% of adults, with autoimmune Graves' disease accounting for the majority of thyrotoxicosis; the overall point prevalence of Graves' disease is roughly 0.5%. Lifetime risk is approximately 3% in women and 0.5% in men, and Indian cohorts characteristically show a younger age at onset, lower body-mass index and a lower female-to-male ratio than Western (Caucasian) series.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Graves' disease is diagnosed by first confirming biochemical thyrotoxicosis and then establishing its autoimmune, TSH-receptor-antibody-driven origin: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suppressed serum TSH (typically &lt; 0.1 mIU/L, often undetectable) with elevated free T4 and/or free T3, confirming overt hyperthyroidism (in T3-toxicosis, free T3 alone may be raised);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positive TSH-receptor antibody (TRAb / TSI) assay, which is highly sensitive and specific for Graves' disease (approximately 97% sensitivity and 99% specificity);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diffuse, increased radioactive iodine uptake (RAIU) on thyroid scintigraphy, distinguishing Graves' from destructive thyroiditis (low uptake) and toxic nodular disease (focal uptake) - used mainly when TRAb is unavailable or equivocal;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thyroid ultrasound with colour Doppler showing a diffusely enlarged, hypervascular gland (the 'thyroid inferno' pattern);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clinical features - a diffuse goiter with bruit, and specific signs such as Graves' orbitopathy or pretibial myxedema - which strongly support the diagnosis even before antibody results return.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There is no single staging system; Graves' disease is described by its thyroid status and its clinical manifestations and severity, which together guide management:</w:t>
      </w:r>
    </w:p>
    <w:p>
      <w:pPr>
        <w:spacing w:before="0" w:after="80"/>
      </w:pPr>
      <w:r>
        <w:rPr>
          <w:rFonts w:ascii="Calibri" w:hAnsi="Calibri"/>
          <w:b w:val="0"/>
          <w:i w:val="0"/>
          <w:color w:val="212121"/>
          <w:sz w:val="21"/>
        </w:rPr>
        <w:t>(1) By thyroid status - overt hyperthyroidism (suppressed TSH with high free T4/T3) versus subclinical hyperthyroidism (suppressed TSH with normal free hormones); a proportion later become hypothyroid after definitive treatment or spontaneous 'burnt-out' disease;</w:t>
      </w:r>
    </w:p>
    <w:p>
      <w:pPr>
        <w:spacing w:before="0" w:after="80"/>
      </w:pPr>
      <w:r>
        <w:rPr>
          <w:rFonts w:ascii="Calibri" w:hAnsi="Calibri"/>
          <w:b w:val="0"/>
          <w:i w:val="0"/>
          <w:color w:val="212121"/>
          <w:sz w:val="21"/>
        </w:rPr>
        <w:t>(2) Graves' orbitopathy (thyroid eye disease) - graded by activity (Clinical Activity Score) and severity (EUGOGO: mild, moderate-to-severe, and sight-threatening); Indian series are predominantly mild and clinically inactive;</w:t>
      </w:r>
    </w:p>
    <w:p>
      <w:pPr>
        <w:spacing w:before="0" w:after="80"/>
      </w:pPr>
      <w:r>
        <w:rPr>
          <w:rFonts w:ascii="Calibri" w:hAnsi="Calibri"/>
          <w:b w:val="0"/>
          <w:i w:val="0"/>
          <w:color w:val="212121"/>
          <w:sz w:val="21"/>
        </w:rPr>
        <w:t>(3) Thyroid dermopathy (pretibial myxedema) and thyroid acropachy - rare extrathyroidal manifestations that almost always signal severe, high-titre TRAb disease with orbitopathy;</w:t>
      </w:r>
    </w:p>
    <w:p>
      <w:pPr>
        <w:spacing w:before="0" w:after="80"/>
      </w:pPr>
      <w:r>
        <w:rPr>
          <w:rFonts w:ascii="Calibri" w:hAnsi="Calibri"/>
          <w:b w:val="0"/>
          <w:i w:val="0"/>
          <w:color w:val="212121"/>
          <w:sz w:val="21"/>
        </w:rPr>
        <w:t>(4) Special situations - Graves' disease in pregnancy (with maternal and fetal/neonatal thyrotoxicosis mediated by transplacental TRAb), paediatric Graves' disease, and thyroid storm (decompensated, life-threatening thyrotoxicosis).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Autoimmunity (TSH-receptor antibodies): Stimulating TRAb/TSI bind and switch on the TSH receptor, causing continuous, unregulated thyroid hormone synthesis and diffuse goiter - the central mechanism of the disease.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predisposition: Strong heritability with susceptibility loci including HLA-DR3, CTLA-4, PTPN22, thyroglobulin and the TSH-receptor gene; monozygotic-twin concordance far exceeds that of dizygotic twins.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Female sex and sex hormones: The marked female preponderance is linked to oestrogen effects and X-chromosome factors that modulate immune regulation.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Smoking: A potent, dose-related trigger for Graves' disease and, especially, for Graves' orbitopathy, with risk falling after cessation.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Psychological stress: Major stressful life events are strongly associated with the onset of Graves' disease, probably through neuro-immune modulation.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Iodine and drugs: Excess iodine (iodinated contrast, amiodarone, kelp and supplements) and immune-reconstitution states (alemtuzumab, HAART) can precipitate disease.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Post-partum immune rebound: The months after delivery are a well-recognised window for new-onset or relapsing Graves'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(20-50 years)</w:t>
            </w:r>
          </w:p>
        </w:tc>
        <w:tc>
          <w:tcPr>
            <w:tcW w:type="dxa" w:w="4276"/>
            <w:vAlign w:val="top"/>
          </w:tcPr>
          <w:p>
            <w:pPr>
              <w:spacing w:after="60" w:line="259" w:lineRule="auto"/>
            </w:pPr>
            <w:r>
              <w:rPr>
                <w:rFonts w:ascii="Calibri" w:hAnsi="Calibri"/>
                <w:b w:val="0"/>
                <w:i w:val="0"/>
                <w:color w:val="212121"/>
                <w:sz w:val="19"/>
              </w:rPr>
              <w:t>Graves' disease peaks in young and middle-aged adults, when autoimmune activity and TRAb production are most likely to be triggered by stress, smoking, pregnancy or iodine exposure.</w:t>
            </w:r>
          </w:p>
          <w:p>
            <w:pPr>
              <w:spacing w:after="40" w:before="60" w:line="259" w:lineRule="auto"/>
            </w:pPr>
            <w:r>
              <w:rPr>
                <w:rFonts w:ascii="Calibri" w:hAnsi="Calibri"/>
                <w:b w:val="0"/>
                <w:i w:val="0"/>
                <w:color w:val="212121"/>
                <w:sz w:val="19"/>
              </w:rPr>
              <w:t>Peak incidence is at 20-50 years, with an overall incidence of about 20-50 new cases per 100,000 population per year.</w:t>
            </w:r>
          </w:p>
          <w:p>
            <w:pPr>
              <w:spacing w:after="40" w:line="252" w:lineRule="auto"/>
            </w:pPr>
            <w:hyperlink r:id="rId9">
              <w:r>
                <w:rPr>
                  <w:rFonts w:ascii="Calibri" w:hAnsi="Calibri" w:cs="Calibri"/>
                  <w:sz w:val="18"/>
                  <w:color w:val="1155CC"/>
                  <w:u w:val="single"/>
                </w:rPr>
                <w:t xml:space="preserve">ncbi.nlm.nih.gov - Graves Disease (StatPearls)</w:t>
              </w:r>
            </w:hyperlink>
          </w:p>
          <w:p>
            <w:pPr>
              <w:spacing w:before="60" w:after="40"/>
            </w:pPr>
            <w:r>
              <w:rPr>
                <w:rFonts w:ascii="Calibri" w:hAnsi="Calibri"/>
                <w:b w:val="0"/>
                <w:i w:val="0"/>
                <w:color w:val="5A5A5A"/>
                <w:sz w:val="18"/>
              </w:rPr>
              <w:t>#autoimmune  #TRAb  #hyperthyroidism  #youngadults  #reproductiveage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more often present with 'apathetic thyrotoxicosis' - subtle weight loss, fatigue and new atrial fibrillation rather than the classic hyperkinetic picture - so diagnosis is easily delayed and cardiac complications are common.</w:t>
            </w:r>
          </w:p>
          <w:p>
            <w:pPr>
              <w:spacing w:after="40" w:before="60" w:line="259" w:lineRule="auto"/>
            </w:pPr>
            <w:r>
              <w:rPr>
                <w:rFonts w:ascii="Calibri" w:hAnsi="Calibri"/>
                <w:b w:val="0"/>
                <w:i w:val="0"/>
                <w:color w:val="212121"/>
                <w:sz w:val="19"/>
              </w:rPr>
              <w:t>Elderly patients frequently present with new-onset atrial fibrillation and apathetic (oligosymptomatic) thyrotoxicosis rather than classic hyperkinetic features.</w:t>
            </w:r>
          </w:p>
          <w:p>
            <w:pPr>
              <w:spacing w:after="40" w:line="252" w:lineRule="auto"/>
            </w:pPr>
            <w:hyperlink r:id="rId9">
              <w:r>
                <w:rPr>
                  <w:rFonts w:ascii="Calibri" w:hAnsi="Calibri" w:cs="Calibri"/>
                  <w:sz w:val="18"/>
                  <w:color w:val="1155CC"/>
                  <w:u w:val="single"/>
                </w:rPr>
                <w:t xml:space="preserve">ncbi.nlm.nih.gov - Graves Disease (StatPearls)</w:t>
              </w:r>
            </w:hyperlink>
          </w:p>
          <w:p>
            <w:pPr>
              <w:spacing w:before="60" w:after="40"/>
            </w:pPr>
            <w:r>
              <w:rPr>
                <w:rFonts w:ascii="Calibri" w:hAnsi="Calibri"/>
                <w:b w:val="0"/>
                <w:i w:val="0"/>
                <w:color w:val="5A5A5A"/>
                <w:sz w:val="18"/>
              </w:rPr>
              <w:t>#apathetic  #atrialfibrillation  #delayeddiagnosis  #ageing  #cardiac</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carry the great majority of the disease burden because oestrogen and X-chromosome-linked immune factors favour autoantibody production; onset often clusters around pregnancy and the post-partum period.</w:t>
            </w:r>
          </w:p>
          <w:p>
            <w:pPr>
              <w:spacing w:after="40" w:before="60" w:line="259" w:lineRule="auto"/>
            </w:pPr>
            <w:r>
              <w:rPr>
                <w:rFonts w:ascii="Calibri" w:hAnsi="Calibri"/>
                <w:b w:val="0"/>
                <w:i w:val="0"/>
                <w:color w:val="212121"/>
                <w:sz w:val="19"/>
              </w:rPr>
              <w:t>Lifetime risk is around 3% in women versus 0.5% in men, giving a female preponderance classically cited at 5-10:1.</w:t>
            </w:r>
          </w:p>
          <w:p>
            <w:pPr>
              <w:spacing w:after="40" w:line="252" w:lineRule="auto"/>
            </w:pPr>
            <w:hyperlink r:id="rId9">
              <w:r>
                <w:rPr>
                  <w:rFonts w:ascii="Calibri" w:hAnsi="Calibri" w:cs="Calibri"/>
                  <w:sz w:val="18"/>
                  <w:color w:val="1155CC"/>
                  <w:u w:val="single"/>
                </w:rPr>
                <w:t xml:space="preserve">ncbi.nlm.nih.gov - Graves Disease (StatPearls)</w:t>
              </w:r>
            </w:hyperlink>
          </w:p>
          <w:p>
            <w:pPr>
              <w:spacing w:before="60" w:after="40"/>
            </w:pPr>
            <w:r>
              <w:rPr>
                <w:rFonts w:ascii="Calibri" w:hAnsi="Calibri"/>
                <w:b w:val="0"/>
                <w:i w:val="0"/>
                <w:color w:val="5A5A5A"/>
                <w:sz w:val="18"/>
              </w:rPr>
              <w:t>#femalepredominance  #oestrogen  #postpartum  #autoimmunity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develop Graves' disease less often but tend to present later, with more severe thyrotoxicosis and a higher likelihood of orbitopathy; Indian series show a lower female-to-male ratio than Western cohorts.</w:t>
            </w:r>
          </w:p>
          <w:p>
            <w:pPr>
              <w:spacing w:after="40" w:before="60" w:line="259" w:lineRule="auto"/>
            </w:pPr>
            <w:r>
              <w:rPr>
                <w:rFonts w:ascii="Calibri" w:hAnsi="Calibri"/>
                <w:b w:val="0"/>
                <w:i w:val="0"/>
                <w:color w:val="212121"/>
                <w:sz w:val="19"/>
              </w:rPr>
              <w:t>Indian cohorts show a lower female-to-male ratio, younger age at onset and more florid signs and symptoms than Caucasian series.</w:t>
            </w:r>
          </w:p>
          <w:p>
            <w:pPr>
              <w:spacing w:after="40" w:line="252" w:lineRule="auto"/>
            </w:pPr>
            <w:hyperlink r:id="rId10">
              <w:r>
                <w:rPr>
                  <w:rFonts w:ascii="Calibri" w:hAnsi="Calibri" w:cs="Calibri"/>
                  <w:sz w:val="18"/>
                  <w:color w:val="1155CC"/>
                  <w:u w:val="single"/>
                </w:rPr>
                <w:t xml:space="preserve">academic.oup.com - Graves' disease in India vs Caucasians</w:t>
              </w:r>
            </w:hyperlink>
          </w:p>
          <w:p>
            <w:pPr>
              <w:spacing w:before="60" w:after="40"/>
            </w:pPr>
            <w:r>
              <w:rPr>
                <w:rFonts w:ascii="Calibri" w:hAnsi="Calibri"/>
                <w:b w:val="0"/>
                <w:i w:val="0"/>
                <w:color w:val="5A5A5A"/>
                <w:sz w:val="18"/>
              </w:rPr>
              <w:t>#males  #severe  #orbitopathy  #Indiaspecific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Post-partum status</w:t>
            </w:r>
          </w:p>
        </w:tc>
        <w:tc>
          <w:tcPr>
            <w:tcW w:type="dxa" w:w="2160"/>
            <w:vAlign w:val="top"/>
          </w:tcPr>
          <w:p>
            <w:pPr>
              <w:spacing w:after="40" w:before="0" w:line="259" w:lineRule="auto"/>
            </w:pPr>
            <w:r>
              <w:rPr>
                <w:rFonts w:ascii="Calibri" w:hAnsi="Calibri"/>
                <w:b w:val="0"/>
                <w:i w:val="0"/>
                <w:color w:val="212121"/>
                <w:sz w:val="19"/>
              </w:rPr>
              <w:t>Recently delivered women</w:t>
            </w:r>
          </w:p>
        </w:tc>
        <w:tc>
          <w:tcPr>
            <w:tcW w:type="dxa" w:w="4276"/>
            <w:vAlign w:val="top"/>
          </w:tcPr>
          <w:p>
            <w:pPr>
              <w:spacing w:after="60" w:line="259" w:lineRule="auto"/>
            </w:pPr>
            <w:r>
              <w:rPr>
                <w:rFonts w:ascii="Calibri" w:hAnsi="Calibri"/>
                <w:b w:val="0"/>
                <w:i w:val="0"/>
                <w:color w:val="212121"/>
                <w:sz w:val="19"/>
              </w:rPr>
              <w:t>The immune rebound in the 3-12 months after delivery is a classic window for new or relapsing Graves' disease; transplacental TRAb can also cause fetal or neonatal thyrotoxicosis.</w:t>
            </w:r>
          </w:p>
          <w:p>
            <w:pPr>
              <w:spacing w:after="40" w:before="60" w:line="259" w:lineRule="auto"/>
            </w:pPr>
            <w:r>
              <w:rPr>
                <w:rFonts w:ascii="Calibri" w:hAnsi="Calibri"/>
                <w:b w:val="0"/>
                <w:i w:val="0"/>
                <w:color w:val="212121"/>
                <w:sz w:val="19"/>
              </w:rPr>
              <w:t>The post-partum period is a well-recognised trigger for onset and relapse of Graves' disease; maternal TRAb can cross the placenta and affect the fetus/neonate.</w:t>
            </w:r>
          </w:p>
          <w:p>
            <w:pPr>
              <w:spacing w:after="40" w:line="252" w:lineRule="auto"/>
            </w:pPr>
            <w:hyperlink r:id="rId11">
              <w:r>
                <w:rPr>
                  <w:rFonts w:ascii="Calibri" w:hAnsi="Calibri" w:cs="Calibri"/>
                  <w:sz w:val="18"/>
                  <w:color w:val="1155CC"/>
                  <w:u w:val="single"/>
                </w:rPr>
                <w:t xml:space="preserve">ncbi.nlm.nih.gov - Hyperthyroidism in Pregnancy (Endotext)</w:t>
              </w:r>
            </w:hyperlink>
          </w:p>
          <w:p>
            <w:pPr>
              <w:spacing w:before="60" w:after="40"/>
            </w:pPr>
            <w:r>
              <w:rPr>
                <w:rFonts w:ascii="Calibri" w:hAnsi="Calibri"/>
                <w:b w:val="0"/>
                <w:i w:val="0"/>
                <w:color w:val="5A5A5A"/>
                <w:sz w:val="18"/>
              </w:rPr>
              <w:t>#postpartum  #pregnancy  #neonatal  #TRAb  #immunerebound</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(South Asian) patients</w:t>
            </w:r>
          </w:p>
        </w:tc>
        <w:tc>
          <w:tcPr>
            <w:tcW w:type="dxa" w:w="4276"/>
            <w:vAlign w:val="top"/>
          </w:tcPr>
          <w:p>
            <w:pPr>
              <w:spacing w:after="60" w:line="259" w:lineRule="auto"/>
            </w:pPr>
            <w:r>
              <w:rPr>
                <w:rFonts w:ascii="Calibri" w:hAnsi="Calibri"/>
                <w:b w:val="0"/>
                <w:i w:val="0"/>
                <w:color w:val="212121"/>
                <w:sz w:val="19"/>
              </w:rPr>
              <w:t>Indian patients with Graves' disease differ from Caucasians - earlier onset, lower BMI and weight, more symptomatic presentation, delayed diagnosis and a lower prevalence of (mostly inactive) orbitopathy - with lower carbimazole doses often sufficient.</w:t>
            </w:r>
          </w:p>
          <w:p>
            <w:pPr>
              <w:spacing w:after="40" w:before="60" w:line="259" w:lineRule="auto"/>
            </w:pPr>
            <w:r>
              <w:rPr>
                <w:rFonts w:ascii="Calibri" w:hAnsi="Calibri"/>
                <w:b w:val="0"/>
                <w:i w:val="0"/>
                <w:color w:val="212121"/>
                <w:sz w:val="19"/>
              </w:rPr>
              <w:t>Indian series report lower age at onset, lower BMI/weight, delayed diagnosis, more signs and symptoms, and a lower, more inactive prevalence of Graves' orbitopathy.</w:t>
            </w:r>
          </w:p>
          <w:p>
            <w:pPr>
              <w:spacing w:after="40" w:line="252" w:lineRule="auto"/>
            </w:pPr>
            <w:hyperlink r:id="rId10">
              <w:r>
                <w:rPr>
                  <w:rFonts w:ascii="Calibri" w:hAnsi="Calibri" w:cs="Calibri"/>
                  <w:sz w:val="18"/>
                  <w:color w:val="1155CC"/>
                  <w:u w:val="single"/>
                </w:rPr>
                <w:t xml:space="preserve">academic.oup.com - Graves' disease in India vs Caucasians</w:t>
              </w:r>
            </w:hyperlink>
          </w:p>
          <w:p>
            <w:pPr>
              <w:spacing w:before="60" w:after="40"/>
            </w:pPr>
            <w:r>
              <w:rPr>
                <w:rFonts w:ascii="Calibri" w:hAnsi="Calibri"/>
                <w:b w:val="0"/>
                <w:i w:val="0"/>
                <w:color w:val="5A5A5A"/>
                <w:sz w:val="18"/>
              </w:rPr>
              <w:t>#SouthAsian  #Indiaspecific  #lowBMI  #carbimazole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Iodine status</w:t>
            </w:r>
          </w:p>
        </w:tc>
        <w:tc>
          <w:tcPr>
            <w:tcW w:type="dxa" w:w="2160"/>
            <w:vAlign w:val="top"/>
          </w:tcPr>
          <w:p>
            <w:pPr>
              <w:spacing w:after="40" w:before="0" w:line="259" w:lineRule="auto"/>
            </w:pPr>
            <w:r>
              <w:rPr>
                <w:rFonts w:ascii="Calibri" w:hAnsi="Calibri"/>
                <w:b w:val="0"/>
                <w:i w:val="0"/>
                <w:color w:val="212121"/>
                <w:sz w:val="19"/>
              </w:rPr>
              <w:t>Populations after salt iodization / high iodine intake</w:t>
            </w:r>
          </w:p>
        </w:tc>
        <w:tc>
          <w:tcPr>
            <w:tcW w:type="dxa" w:w="4276"/>
            <w:vAlign w:val="top"/>
          </w:tcPr>
          <w:p>
            <w:pPr>
              <w:spacing w:after="60" w:line="259" w:lineRule="auto"/>
            </w:pPr>
            <w:r>
              <w:rPr>
                <w:rFonts w:ascii="Calibri" w:hAnsi="Calibri"/>
                <w:b w:val="0"/>
                <w:i w:val="0"/>
                <w:color w:val="212121"/>
                <w:sz w:val="19"/>
              </w:rPr>
              <w:t>A sudden rise in iodine intake (universal salt iodization, iodinated contrast, amiodarone, kelp) can unmask or precipitate autoimmune hyperthyroidism in susceptible individuals (Jod-Basedow phenomenon).</w:t>
            </w:r>
          </w:p>
          <w:p>
            <w:pPr>
              <w:spacing w:after="40" w:before="60" w:line="259" w:lineRule="auto"/>
            </w:pPr>
            <w:r>
              <w:rPr>
                <w:rFonts w:ascii="Calibri" w:hAnsi="Calibri"/>
                <w:b w:val="0"/>
                <w:i w:val="0"/>
                <w:color w:val="212121"/>
                <w:sz w:val="19"/>
              </w:rPr>
              <w:t>Excess iodine exposure (contrast media, amiodarone, kelp/supplements) can precipitate or worsen Graves' hyperthyroidism.</w:t>
            </w:r>
          </w:p>
          <w:p>
            <w:pPr>
              <w:spacing w:after="40" w:line="252" w:lineRule="auto"/>
            </w:pPr>
            <w:hyperlink r:id="rId9">
              <w:r>
                <w:rPr>
                  <w:rFonts w:ascii="Calibri" w:hAnsi="Calibri" w:cs="Calibri"/>
                  <w:sz w:val="18"/>
                  <w:color w:val="1155CC"/>
                  <w:u w:val="single"/>
                </w:rPr>
                <w:t xml:space="preserve">ncbi.nlm.nih.gov - Graves Disease (StatPearls)</w:t>
              </w:r>
            </w:hyperlink>
          </w:p>
          <w:p>
            <w:pPr>
              <w:spacing w:before="60" w:after="40"/>
            </w:pPr>
            <w:r>
              <w:rPr>
                <w:rFonts w:ascii="Calibri" w:hAnsi="Calibri"/>
                <w:b w:val="0"/>
                <w:i w:val="0"/>
                <w:color w:val="5A5A5A"/>
                <w:sz w:val="18"/>
              </w:rPr>
              <w:t>#iodine  #JodBasedow  #amiodarone  #saltiodization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Cigarette smoke is the strongest modifiable risk factor - it promotes onset of Graves' disease and is powerfully linked to orbitopathy through orbital fibroblast activation, hypoxia and oxidative stress.</w:t>
            </w:r>
          </w:p>
          <w:p>
            <w:pPr>
              <w:spacing w:after="40" w:before="60" w:line="259" w:lineRule="auto"/>
            </w:pPr>
            <w:r>
              <w:rPr>
                <w:rFonts w:ascii="Calibri" w:hAnsi="Calibri"/>
                <w:b w:val="0"/>
                <w:i w:val="0"/>
                <w:color w:val="212121"/>
                <w:sz w:val="19"/>
              </w:rPr>
              <w:t>Meta-analysis: current smokers have an odds ratio of 3.30 for Graves' disease and 4.40 for Graves' orbitopathy; in a north India series, orbitopathy affected 56% of smokers versus 23% of non-smokers.</w:t>
            </w:r>
          </w:p>
          <w:p>
            <w:pPr>
              <w:spacing w:after="40" w:line="252" w:lineRule="auto"/>
            </w:pPr>
            <w:hyperlink r:id="rId12">
              <w:r>
                <w:rPr>
                  <w:rFonts w:ascii="Calibri" w:hAnsi="Calibri" w:cs="Calibri"/>
                  <w:sz w:val="18"/>
                  <w:color w:val="1155CC"/>
                  <w:u w:val="single"/>
                </w:rPr>
                <w:t xml:space="preserve">academic.oup.com - Smoking and thyroid disorders meta-analysis</w:t>
              </w:r>
            </w:hyperlink>
          </w:p>
          <w:p>
            <w:pPr>
              <w:spacing w:before="60" w:after="40"/>
            </w:pPr>
            <w:r>
              <w:rPr>
                <w:rFonts w:ascii="Calibri" w:hAnsi="Calibri"/>
                <w:b w:val="0"/>
                <w:i w:val="0"/>
                <w:color w:val="5A5A5A"/>
                <w:sz w:val="18"/>
              </w:rPr>
              <w:t>#smoking  #orbitopathy  #modifiable  #oxidativestress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Psychological stress</w:t>
            </w:r>
          </w:p>
        </w:tc>
        <w:tc>
          <w:tcPr>
            <w:tcW w:type="dxa" w:w="2160"/>
            <w:vAlign w:val="top"/>
          </w:tcPr>
          <w:p>
            <w:pPr>
              <w:spacing w:after="40" w:before="0" w:line="259" w:lineRule="auto"/>
            </w:pPr>
            <w:r>
              <w:rPr>
                <w:rFonts w:ascii="Calibri" w:hAnsi="Calibri"/>
                <w:b w:val="0"/>
                <w:i w:val="0"/>
                <w:color w:val="212121"/>
                <w:sz w:val="19"/>
              </w:rPr>
              <w:t>High chronic-stress individuals</w:t>
            </w:r>
          </w:p>
        </w:tc>
        <w:tc>
          <w:tcPr>
            <w:tcW w:type="dxa" w:w="4276"/>
            <w:vAlign w:val="top"/>
          </w:tcPr>
          <w:p>
            <w:pPr>
              <w:spacing w:after="60" w:line="259" w:lineRule="auto"/>
            </w:pPr>
            <w:r>
              <w:rPr>
                <w:rFonts w:ascii="Calibri" w:hAnsi="Calibri"/>
                <w:b w:val="0"/>
                <w:i w:val="0"/>
                <w:color w:val="212121"/>
                <w:sz w:val="19"/>
              </w:rPr>
              <w:t>Major stressful life events precede a large share of new Graves' cases, consistent with stress-driven dysregulation of the neuro-endocrine-immune axis that unmasks TRAb-mediated autoimmunity.</w:t>
            </w:r>
          </w:p>
          <w:p>
            <w:pPr>
              <w:spacing w:after="40" w:before="60" w:line="259" w:lineRule="auto"/>
            </w:pPr>
            <w:r>
              <w:rPr>
                <w:rFonts w:ascii="Calibri" w:hAnsi="Calibri"/>
                <w:b w:val="0"/>
                <w:i w:val="0"/>
                <w:color w:val="212121"/>
                <w:sz w:val="19"/>
              </w:rPr>
              <w:t>Meta-analysis found a strong association between stressful life events and Graves' disease onset (effect size d = 1.81).</w:t>
            </w:r>
          </w:p>
          <w:p>
            <w:pPr>
              <w:spacing w:after="40" w:line="252" w:lineRule="auto"/>
            </w:pPr>
            <w:hyperlink r:id="rId13">
              <w:r>
                <w:rPr>
                  <w:rFonts w:ascii="Calibri" w:hAnsi="Calibri" w:cs="Calibri"/>
                  <w:sz w:val="18"/>
                  <w:color w:val="1155CC"/>
                  <w:u w:val="single"/>
                </w:rPr>
                <w:t xml:space="preserve">link.springer.com - Stress and Graves' disease meta-analysis</w:t>
              </w:r>
            </w:hyperlink>
          </w:p>
          <w:p>
            <w:pPr>
              <w:spacing w:before="60" w:after="40"/>
            </w:pPr>
            <w:r>
              <w:rPr>
                <w:rFonts w:ascii="Calibri" w:hAnsi="Calibri"/>
                <w:b w:val="0"/>
                <w:i w:val="0"/>
                <w:color w:val="5A5A5A"/>
                <w:sz w:val="18"/>
              </w:rPr>
              <w:t>#stress  #lifeevents  #neuroimmune  #mentalhealth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Moderate drinkers vs abstainers</w:t>
            </w:r>
          </w:p>
        </w:tc>
        <w:tc>
          <w:tcPr>
            <w:tcW w:type="dxa" w:w="4276"/>
            <w:vAlign w:val="top"/>
          </w:tcPr>
          <w:p>
            <w:pPr>
              <w:spacing w:after="60" w:line="259" w:lineRule="auto"/>
            </w:pPr>
            <w:r>
              <w:rPr>
                <w:rFonts w:ascii="Calibri" w:hAnsi="Calibri"/>
                <w:b w:val="0"/>
                <w:i w:val="0"/>
                <w:color w:val="212121"/>
                <w:sz w:val="19"/>
              </w:rPr>
              <w:t>Unlike most conditions, several studies find moderate alcohol intake is inversely (protectively) associated with Graves' disease, possibly via immunomodulation; this does not justify drinking, and heavy use carries other harms.</w:t>
            </w:r>
          </w:p>
          <w:p>
            <w:pPr>
              <w:spacing w:after="40" w:before="60" w:line="259" w:lineRule="auto"/>
            </w:pPr>
            <w:r>
              <w:rPr>
                <w:rFonts w:ascii="Calibri" w:hAnsi="Calibri"/>
                <w:b w:val="0"/>
                <w:i w:val="0"/>
                <w:color w:val="212121"/>
                <w:sz w:val="19"/>
              </w:rPr>
              <w:t>Observational data suggest moderate alcohol intake is inversely associated with the risk of Graves' disease, though heavy drinking is discouraged for other reasons.</w:t>
            </w:r>
          </w:p>
          <w:p>
            <w:pPr>
              <w:spacing w:before="60" w:after="40"/>
            </w:pPr>
            <w:r>
              <w:rPr>
                <w:rFonts w:ascii="Calibri" w:hAnsi="Calibri"/>
                <w:b w:val="0"/>
                <w:i w:val="0"/>
                <w:color w:val="5A5A5A"/>
                <w:sz w:val="18"/>
              </w:rPr>
              <w:t>#alcohol  #inverseassociation  #immunomodulation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iodine</w:t>
            </w:r>
          </w:p>
        </w:tc>
        <w:tc>
          <w:tcPr>
            <w:tcW w:type="dxa" w:w="2160"/>
            <w:vAlign w:val="top"/>
          </w:tcPr>
          <w:p>
            <w:pPr>
              <w:spacing w:after="40" w:before="0" w:line="259" w:lineRule="auto"/>
            </w:pPr>
            <w:r>
              <w:rPr>
                <w:rFonts w:ascii="Calibri" w:hAnsi="Calibri"/>
                <w:b w:val="0"/>
                <w:i w:val="0"/>
                <w:color w:val="212121"/>
                <w:sz w:val="19"/>
              </w:rPr>
              <w:t>High-iodine diets / supplement users</w:t>
            </w:r>
          </w:p>
        </w:tc>
        <w:tc>
          <w:tcPr>
            <w:tcW w:type="dxa" w:w="4276"/>
            <w:vAlign w:val="top"/>
          </w:tcPr>
          <w:p>
            <w:pPr>
              <w:spacing w:after="60" w:line="259" w:lineRule="auto"/>
            </w:pPr>
            <w:r>
              <w:rPr>
                <w:rFonts w:ascii="Calibri" w:hAnsi="Calibri"/>
                <w:b w:val="0"/>
                <w:i w:val="0"/>
                <w:color w:val="212121"/>
                <w:sz w:val="19"/>
              </w:rPr>
              <w:t>Kelp, seaweed, iodine supplements and iodine-rich preparations deliver an iodine load that can trigger or aggravate hyperthyroidism in predisposed people; awareness matters most around contrast imaging and amiodarone use.</w:t>
            </w:r>
          </w:p>
          <w:p>
            <w:pPr>
              <w:spacing w:after="40" w:before="60" w:line="259" w:lineRule="auto"/>
            </w:pPr>
            <w:r>
              <w:rPr>
                <w:rFonts w:ascii="Calibri" w:hAnsi="Calibri"/>
                <w:b w:val="0"/>
                <w:i w:val="0"/>
                <w:color w:val="212121"/>
                <w:sz w:val="19"/>
              </w:rPr>
              <w:t>An abrupt iodine load can precipitate hyperthyroidism (Jod-Basedow effect) in susceptible individuals.</w:t>
            </w:r>
          </w:p>
          <w:p>
            <w:pPr>
              <w:spacing w:after="40" w:line="252" w:lineRule="auto"/>
            </w:pPr>
            <w:hyperlink r:id="rId9">
              <w:r>
                <w:rPr>
                  <w:rFonts w:ascii="Calibri" w:hAnsi="Calibri" w:cs="Calibri"/>
                  <w:sz w:val="18"/>
                  <w:color w:val="1155CC"/>
                  <w:u w:val="single"/>
                </w:rPr>
                <w:t xml:space="preserve">ncbi.nlm.nih.gov - Graves Disease (StatPearls)</w:t>
              </w:r>
            </w:hyperlink>
          </w:p>
          <w:p>
            <w:pPr>
              <w:spacing w:before="60" w:after="40"/>
            </w:pPr>
            <w:r>
              <w:rPr>
                <w:rFonts w:ascii="Calibri" w:hAnsi="Calibri"/>
                <w:b w:val="0"/>
                <w:i w:val="0"/>
                <w:color w:val="5A5A5A"/>
                <w:sz w:val="18"/>
              </w:rPr>
              <w:t>#iodine  #kelp  #supplements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Selenium status</w:t>
            </w:r>
          </w:p>
        </w:tc>
        <w:tc>
          <w:tcPr>
            <w:tcW w:type="dxa" w:w="2160"/>
            <w:vAlign w:val="top"/>
          </w:tcPr>
          <w:p>
            <w:pPr>
              <w:spacing w:after="40" w:before="0" w:line="259" w:lineRule="auto"/>
            </w:pPr>
            <w:r>
              <w:rPr>
                <w:rFonts w:ascii="Calibri" w:hAnsi="Calibri"/>
                <w:b w:val="0"/>
                <w:i w:val="0"/>
                <w:color w:val="212121"/>
                <w:sz w:val="19"/>
              </w:rPr>
              <w:t>Low-selenium individuals with mild orbitopathy</w:t>
            </w:r>
          </w:p>
        </w:tc>
        <w:tc>
          <w:tcPr>
            <w:tcW w:type="dxa" w:w="4276"/>
            <w:vAlign w:val="top"/>
          </w:tcPr>
          <w:p>
            <w:pPr>
              <w:spacing w:after="60" w:line="259" w:lineRule="auto"/>
            </w:pPr>
            <w:r>
              <w:rPr>
                <w:rFonts w:ascii="Calibri" w:hAnsi="Calibri"/>
                <w:b w:val="0"/>
                <w:i w:val="0"/>
                <w:color w:val="212121"/>
                <w:sz w:val="19"/>
              </w:rPr>
              <w:t>Selenium is a cofactor for antioxidant selenoproteins in the thyroid and orbit; low selenium status is linked to more active orbitopathy, and supplementation benefits mild eye disease in selenium-deficient settings.</w:t>
            </w:r>
          </w:p>
          <w:p>
            <w:pPr>
              <w:spacing w:after="40" w:before="60" w:line="259" w:lineRule="auto"/>
            </w:pPr>
            <w:r>
              <w:rPr>
                <w:rFonts w:ascii="Calibri" w:hAnsi="Calibri"/>
                <w:b w:val="0"/>
                <w:i w:val="0"/>
                <w:color w:val="212121"/>
                <w:sz w:val="19"/>
              </w:rPr>
              <w:t>A randomized trial showed selenium supplementation improved quality of life and slowed progression in mild Graves' orbitopathy.</w:t>
            </w:r>
          </w:p>
          <w:p>
            <w:pPr>
              <w:spacing w:after="40" w:line="252" w:lineRule="auto"/>
            </w:pPr>
            <w:hyperlink r:id="rId14">
              <w:r>
                <w:rPr>
                  <w:rFonts w:ascii="Calibri" w:hAnsi="Calibri" w:cs="Calibri"/>
                  <w:sz w:val="18"/>
                  <w:color w:val="1155CC"/>
                  <w:u w:val="single"/>
                </w:rPr>
                <w:t xml:space="preserve">nejm.org - Selenium and mild Graves' orbitopathy</w:t>
              </w:r>
            </w:hyperlink>
          </w:p>
          <w:p>
            <w:pPr>
              <w:spacing w:before="60" w:after="40"/>
            </w:pPr>
            <w:r>
              <w:rPr>
                <w:rFonts w:ascii="Calibri" w:hAnsi="Calibri"/>
                <w:b w:val="0"/>
                <w:i w:val="0"/>
                <w:color w:val="5A5A5A"/>
                <w:sz w:val="18"/>
              </w:rPr>
              <w:t>#selenium  #antioxidant  #orbitopathy  #micronutrient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autoimmune thyroid disease</w:t>
            </w:r>
          </w:p>
        </w:tc>
        <w:tc>
          <w:tcPr>
            <w:tcW w:type="dxa" w:w="4276"/>
            <w:vAlign w:val="top"/>
          </w:tcPr>
          <w:p>
            <w:pPr>
              <w:spacing w:after="60" w:line="259" w:lineRule="auto"/>
            </w:pPr>
            <w:r>
              <w:rPr>
                <w:rFonts w:ascii="Calibri" w:hAnsi="Calibri"/>
                <w:b w:val="0"/>
                <w:i w:val="0"/>
                <w:color w:val="212121"/>
                <w:sz w:val="19"/>
              </w:rPr>
              <w:t>A strong familial and heritable component means relatives of Graves' or Hashimoto's patients are at markedly higher risk; monozygotic-twin concordance greatly exceeds dizygotic.</w:t>
            </w:r>
          </w:p>
          <w:p>
            <w:pPr>
              <w:spacing w:after="40" w:before="60" w:line="259" w:lineRule="auto"/>
            </w:pPr>
            <w:r>
              <w:rPr>
                <w:rFonts w:ascii="Calibri" w:hAnsi="Calibri"/>
                <w:b w:val="0"/>
                <w:i w:val="0"/>
                <w:color w:val="212121"/>
                <w:sz w:val="19"/>
              </w:rPr>
              <w:t>Graves' disease shows strong familial clustering, with monozygotic-twin concordance far higher than dizygotic-twin concordance.</w:t>
            </w:r>
          </w:p>
          <w:p>
            <w:pPr>
              <w:spacing w:after="40" w:line="252" w:lineRule="auto"/>
            </w:pPr>
            <w:hyperlink r:id="rId9">
              <w:r>
                <w:rPr>
                  <w:rFonts w:ascii="Calibri" w:hAnsi="Calibri" w:cs="Calibri"/>
                  <w:sz w:val="18"/>
                  <w:color w:val="1155CC"/>
                  <w:u w:val="single"/>
                </w:rPr>
                <w:t xml:space="preserve">ncbi.nlm.nih.gov - Graves Disease (StatPearls)</w:t>
              </w:r>
            </w:hyperlink>
          </w:p>
          <w:p>
            <w:pPr>
              <w:spacing w:before="60" w:after="40"/>
            </w:pPr>
            <w:r>
              <w:rPr>
                <w:rFonts w:ascii="Calibri" w:hAnsi="Calibri"/>
                <w:b w:val="0"/>
                <w:i w:val="0"/>
                <w:color w:val="5A5A5A"/>
                <w:sz w:val="18"/>
              </w:rPr>
              <w:t>#familyhistory  #heritable  #twins  #autoimmunethyroid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Susceptibility genes</w:t>
            </w:r>
          </w:p>
        </w:tc>
        <w:tc>
          <w:tcPr>
            <w:tcW w:type="dxa" w:w="2160"/>
            <w:vAlign w:val="top"/>
          </w:tcPr>
          <w:p>
            <w:pPr>
              <w:spacing w:after="40" w:before="0" w:line="259" w:lineRule="auto"/>
            </w:pPr>
            <w:r>
              <w:rPr>
                <w:rFonts w:ascii="Calibri" w:hAnsi="Calibri"/>
                <w:b w:val="0"/>
                <w:i w:val="0"/>
                <w:color w:val="212121"/>
                <w:sz w:val="19"/>
              </w:rPr>
              <w:t>HLA-DR3 / CTLA-4 / PTPN22 carriers</w:t>
            </w:r>
          </w:p>
        </w:tc>
        <w:tc>
          <w:tcPr>
            <w:tcW w:type="dxa" w:w="4276"/>
            <w:vAlign w:val="top"/>
          </w:tcPr>
          <w:p>
            <w:pPr>
              <w:spacing w:after="60" w:line="259" w:lineRule="auto"/>
            </w:pPr>
            <w:r>
              <w:rPr>
                <w:rFonts w:ascii="Calibri" w:hAnsi="Calibri"/>
                <w:b w:val="0"/>
                <w:i w:val="0"/>
                <w:color w:val="212121"/>
                <w:sz w:val="19"/>
              </w:rPr>
              <w:t>Polymorphisms in immune-regulatory genes (HLA-DR3, CTLA-4, PTPN22) and thyroid-specific genes (thyroglobulin, TSH-receptor) lower the threshold for losing self-tolerance and producing stimulating TRAb.</w:t>
            </w:r>
          </w:p>
          <w:p>
            <w:pPr>
              <w:spacing w:after="40" w:before="60" w:line="259" w:lineRule="auto"/>
            </w:pPr>
            <w:r>
              <w:rPr>
                <w:rFonts w:ascii="Calibri" w:hAnsi="Calibri"/>
                <w:b w:val="0"/>
                <w:i w:val="0"/>
                <w:color w:val="212121"/>
                <w:sz w:val="19"/>
              </w:rPr>
              <w:t>Susceptibility loci include HLA-DR3, CTLA-4, PTPN22, thyroglobulin and the TSH-receptor gene.</w:t>
            </w:r>
          </w:p>
          <w:p>
            <w:pPr>
              <w:spacing w:after="40" w:line="252" w:lineRule="auto"/>
            </w:pPr>
            <w:hyperlink r:id="rId9">
              <w:r>
                <w:rPr>
                  <w:rFonts w:ascii="Calibri" w:hAnsi="Calibri" w:cs="Calibri"/>
                  <w:sz w:val="18"/>
                  <w:color w:val="1155CC"/>
                  <w:u w:val="single"/>
                </w:rPr>
                <w:t xml:space="preserve">ncbi.nlm.nih.gov - Graves Disease (StatPearls)</w:t>
              </w:r>
            </w:hyperlink>
          </w:p>
          <w:p>
            <w:pPr>
              <w:spacing w:before="60" w:after="40"/>
            </w:pPr>
            <w:r>
              <w:rPr>
                <w:rFonts w:ascii="Calibri" w:hAnsi="Calibri"/>
                <w:b w:val="0"/>
                <w:i w:val="0"/>
                <w:color w:val="5A5A5A"/>
                <w:sz w:val="18"/>
              </w:rPr>
              <w:t>#HLADR3  #CTLA4  #PTPN22  #immunogenetics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Type 1 diabetes mellitus</w:t>
            </w:r>
          </w:p>
        </w:tc>
        <w:tc>
          <w:tcPr>
            <w:tcW w:type="dxa" w:w="2160"/>
            <w:vAlign w:val="top"/>
          </w:tcPr>
          <w:p>
            <w:pPr>
              <w:spacing w:after="40" w:before="0" w:line="259" w:lineRule="auto"/>
            </w:pPr>
            <w:r>
              <w:rPr>
                <w:rFonts w:ascii="Calibri" w:hAnsi="Calibri"/>
                <w:b w:val="0"/>
                <w:i w:val="0"/>
                <w:color w:val="212121"/>
                <w:sz w:val="19"/>
              </w:rPr>
              <w:t>Patients with type 1 diabetes / autoimmune polyglandular syndrome</w:t>
            </w:r>
          </w:p>
        </w:tc>
        <w:tc>
          <w:tcPr>
            <w:tcW w:type="dxa" w:w="4276"/>
            <w:vAlign w:val="top"/>
          </w:tcPr>
          <w:p>
            <w:pPr>
              <w:spacing w:after="60" w:line="259" w:lineRule="auto"/>
            </w:pPr>
            <w:r>
              <w:rPr>
                <w:rFonts w:ascii="Calibri" w:hAnsi="Calibri"/>
                <w:b w:val="0"/>
                <w:i w:val="0"/>
                <w:color w:val="212121"/>
                <w:sz w:val="19"/>
              </w:rPr>
              <w:t>Graves' disease clusters with other organ-specific autoimmune disorders; type 1 diabetes shares HLA and PTPN22 susceptibility and may coexist as part of autoimmune polyglandular syndrome.</w:t>
            </w:r>
          </w:p>
          <w:p>
            <w:pPr>
              <w:spacing w:after="40" w:before="60" w:line="259" w:lineRule="auto"/>
            </w:pPr>
            <w:r>
              <w:rPr>
                <w:rFonts w:ascii="Calibri" w:hAnsi="Calibri"/>
                <w:b w:val="0"/>
                <w:i w:val="0"/>
                <w:color w:val="212121"/>
                <w:sz w:val="19"/>
              </w:rPr>
              <w:t>About 10% of Graves' patients have another autoimmune disorder; men with Graves' show higher rates of type 1 diabetes and myasthenia gravis.</w:t>
            </w:r>
          </w:p>
          <w:p>
            <w:pPr>
              <w:spacing w:after="40" w:line="252" w:lineRule="auto"/>
            </w:pPr>
            <w:hyperlink r:id="rId15">
              <w:r>
                <w:rPr>
                  <w:rFonts w:ascii="Calibri" w:hAnsi="Calibri" w:cs="Calibri"/>
                  <w:sz w:val="18"/>
                  <w:color w:val="1155CC"/>
                  <w:u w:val="single"/>
                </w:rPr>
                <w:t xml:space="preserve">thyroid.org - Graves' and other autoimmune disorders</w:t>
              </w:r>
            </w:hyperlink>
          </w:p>
          <w:p>
            <w:pPr>
              <w:spacing w:before="60" w:after="40"/>
            </w:pPr>
            <w:r>
              <w:rPr>
                <w:rFonts w:ascii="Calibri" w:hAnsi="Calibri"/>
                <w:b w:val="0"/>
                <w:i w:val="0"/>
                <w:color w:val="5A5A5A"/>
                <w:sz w:val="18"/>
              </w:rPr>
              <w:t>#type1diabetes  #polyglandular  #autoimmunecluster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Other autoimmune disease</w:t>
            </w:r>
          </w:p>
        </w:tc>
        <w:tc>
          <w:tcPr>
            <w:tcW w:type="dxa" w:w="2160"/>
            <w:vAlign w:val="top"/>
          </w:tcPr>
          <w:p>
            <w:pPr>
              <w:spacing w:after="40" w:before="0" w:line="259" w:lineRule="auto"/>
            </w:pPr>
            <w:r>
              <w:rPr>
                <w:rFonts w:ascii="Calibri" w:hAnsi="Calibri"/>
                <w:b w:val="0"/>
                <w:i w:val="0"/>
                <w:color w:val="212121"/>
                <w:sz w:val="19"/>
              </w:rPr>
              <w:t>Patients with vitiligo, pernicious anemia, celiac disease or rheumatoid arthritis</w:t>
            </w:r>
          </w:p>
        </w:tc>
        <w:tc>
          <w:tcPr>
            <w:tcW w:type="dxa" w:w="4276"/>
            <w:vAlign w:val="top"/>
          </w:tcPr>
          <w:p>
            <w:pPr>
              <w:spacing w:after="60" w:line="259" w:lineRule="auto"/>
            </w:pPr>
            <w:r>
              <w:rPr>
                <w:rFonts w:ascii="Calibri" w:hAnsi="Calibri"/>
                <w:b w:val="0"/>
                <w:i w:val="0"/>
                <w:color w:val="212121"/>
                <w:sz w:val="19"/>
              </w:rPr>
              <w:t>Shared autoimmune predisposition means Graves' commonly coexists with vitiligo, pernicious anemia, celiac disease and rheumatoid arthritis - the last being the most frequent associated disorder.</w:t>
            </w:r>
          </w:p>
          <w:p>
            <w:pPr>
              <w:spacing w:after="40" w:before="60" w:line="259" w:lineRule="auto"/>
            </w:pPr>
            <w:r>
              <w:rPr>
                <w:rFonts w:ascii="Calibri" w:hAnsi="Calibri"/>
                <w:b w:val="0"/>
                <w:i w:val="0"/>
                <w:color w:val="212121"/>
                <w:sz w:val="19"/>
              </w:rPr>
              <w:t>Roughly 10% of Graves' patients carry a second autoimmune disease, most commonly rheumatoid arthritis.</w:t>
            </w:r>
          </w:p>
          <w:p>
            <w:pPr>
              <w:spacing w:after="40" w:line="252" w:lineRule="auto"/>
            </w:pPr>
            <w:hyperlink r:id="rId15">
              <w:r>
                <w:rPr>
                  <w:rFonts w:ascii="Calibri" w:hAnsi="Calibri" w:cs="Calibri"/>
                  <w:sz w:val="18"/>
                  <w:color w:val="1155CC"/>
                  <w:u w:val="single"/>
                </w:rPr>
                <w:t xml:space="preserve">thyroid.org - Graves' and other autoimmune disorders</w:t>
              </w:r>
            </w:hyperlink>
          </w:p>
          <w:p>
            <w:pPr>
              <w:spacing w:before="60" w:after="40"/>
            </w:pPr>
            <w:r>
              <w:rPr>
                <w:rFonts w:ascii="Calibri" w:hAnsi="Calibri"/>
                <w:b w:val="0"/>
                <w:i w:val="0"/>
                <w:color w:val="5A5A5A"/>
                <w:sz w:val="18"/>
              </w:rPr>
              <w:t>#vitiligo  #perniciousanemia  #celiac  #rheumatoidarthritis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Graves' orbitopathy</w:t>
            </w:r>
          </w:p>
        </w:tc>
        <w:tc>
          <w:tcPr>
            <w:tcW w:type="dxa" w:w="2160"/>
            <w:vAlign w:val="top"/>
          </w:tcPr>
          <w:p>
            <w:pPr>
              <w:spacing w:after="40" w:before="0" w:line="259" w:lineRule="auto"/>
            </w:pPr>
            <w:r>
              <w:rPr>
                <w:rFonts w:ascii="Calibri" w:hAnsi="Calibri"/>
                <w:b w:val="0"/>
                <w:i w:val="0"/>
                <w:color w:val="212121"/>
                <w:sz w:val="19"/>
              </w:rPr>
              <w:t>Patients with active thyroid eye disease</w:t>
            </w:r>
          </w:p>
        </w:tc>
        <w:tc>
          <w:tcPr>
            <w:tcW w:type="dxa" w:w="4276"/>
            <w:vAlign w:val="top"/>
          </w:tcPr>
          <w:p>
            <w:pPr>
              <w:spacing w:after="60" w:line="259" w:lineRule="auto"/>
            </w:pPr>
            <w:r>
              <w:rPr>
                <w:rFonts w:ascii="Calibri" w:hAnsi="Calibri"/>
                <w:b w:val="0"/>
                <w:i w:val="0"/>
                <w:color w:val="212121"/>
                <w:sz w:val="19"/>
              </w:rPr>
              <w:t>Orbitopathy is the major extrathyroidal manifestation, driven by TRAb acting on orbital fibroblasts; it is worsened by smoking and by radioactive-iodine treatment, and in India is common but usually mild and inactive.</w:t>
            </w:r>
          </w:p>
          <w:p>
            <w:pPr>
              <w:spacing w:after="40" w:before="60" w:line="259" w:lineRule="auto"/>
            </w:pPr>
            <w:r>
              <w:rPr>
                <w:rFonts w:ascii="Calibri" w:hAnsi="Calibri"/>
                <w:b w:val="0"/>
                <w:i w:val="0"/>
                <w:color w:val="212121"/>
                <w:sz w:val="19"/>
              </w:rPr>
              <w:t>In a north India referral cohort of 235 Graves' patients, orbitopathy affected 28% - mild in 83%, moderate-to-severe in 15% and sight-threatening in 2%.</w:t>
            </w:r>
          </w:p>
          <w:p>
            <w:pPr>
              <w:spacing w:after="40" w:line="252" w:lineRule="auto"/>
            </w:pPr>
            <w:hyperlink r:id="rId16">
              <w:r>
                <w:rPr>
                  <w:rFonts w:ascii="Calibri" w:hAnsi="Calibri" w:cs="Calibri"/>
                  <w:sz w:val="18"/>
                  <w:color w:val="1155CC"/>
                  <w:u w:val="single"/>
                </w:rPr>
                <w:t xml:space="preserve">pubmed.ncbi.nlm.nih.gov/24604044 - Graves' orbitopathy in north India</w:t>
              </w:r>
            </w:hyperlink>
          </w:p>
          <w:p>
            <w:pPr>
              <w:spacing w:before="60" w:after="40"/>
            </w:pPr>
            <w:r>
              <w:rPr>
                <w:rFonts w:ascii="Calibri" w:hAnsi="Calibri"/>
                <w:b w:val="0"/>
                <w:i w:val="0"/>
                <w:color w:val="5A5A5A"/>
                <w:sz w:val="18"/>
              </w:rPr>
              <w:t>#orbitopathy  #TED  #Indiaspecific  #smoking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inactivity does not cause Graves' disease, but active thyrotoxicosis produces exercise intolerance and proximal muscle wasting; graded activity supports bone and muscle once the patient is euthyroid. High-intensity exertion should be avoided while uncontrolled.</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does not cause Graves' disease, but an iodine load (kelp, seaweed, iodine supplements, contrast media, amiodarone) can precipitate or worsen hyperthyroidism (Jod-Basedow). Adequate calories, calcium, vitamin D and selenium support recovery and bone health.</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Thyrotoxicosis characteristically causes insomnia, restlessness and reduced sleep quality; the relationship is largely bidirectional, and sleep normalises as the patient becomes euthyroid.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is the strongest modifiable risk factor: current smokers have about a 3.3-fold risk of Graves' disease and a 4.4-fold risk of orbitopathy; risk falls after cessation, and quitting is central to eye-disease management.</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Moderate alcohol intake shows an inverse (weakly protective) association with Graves' disease in several studies; heavy drinking is discouraged for other health reasons and can confound thyrotoxic symptoms.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Major stressful life events are strongly associated with the onset of Graves' disease (effect size d = 1.81); thyrotoxicosis in turn causes anxiety, irritability and emotional lability, creating a bidirectional loop.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does not influence disease risk, but adequate fluids are important during thyrotoxicosis and are critical in thyroid storm, where high fever, sweating and tachycardia cause rapid fluid loss.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does not cause Graves' disease but potentiates palpitations, tremor, anxiety and insomnia; reducing intake improves symptom control during active thyrotoxicosis.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hygiene is not causal, though infections can act as immune triggers; in thyroid eye disease, ocular-surface care (lubricants, lid hygiene, avoiding exposure keratopathy) protects the cornea.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Well-defined precipitants include psychological stress, the post-partum period, iodine load (contrast, amiodarone), infection, and abrupt withdrawal of antithyroid drugs or surgery/RAI - the last group can precipitate thyroid storm.</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 active Graves' orbitopathy, elevating the head of the bed and sleeping propped up reduces overnight periorbital oedema and eye discomfort; otherwise posture has little role in the disease.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Resting heart rate (bpm)</w:t>
            </w:r>
          </w:p>
        </w:tc>
        <w:tc>
          <w:tcPr>
            <w:tcW w:type="dxa" w:w="1655"/>
            <w:vAlign w:val="top"/>
          </w:tcPr>
          <w:p>
            <w:pPr>
              <w:spacing w:after="40" w:before="0" w:line="259" w:lineRule="auto"/>
            </w:pPr>
            <w:r>
              <w:rPr>
                <w:rFonts w:ascii="Calibri" w:hAnsi="Calibri"/>
                <w:b w:val="0"/>
                <w:i w:val="0"/>
                <w:color w:val="212121"/>
                <w:sz w:val="19"/>
              </w:rPr>
              <w:t>Adults with thyrotoxicosis</w:t>
            </w:r>
          </w:p>
        </w:tc>
        <w:tc>
          <w:tcPr>
            <w:tcW w:type="dxa" w:w="1512"/>
            <w:vAlign w:val="top"/>
          </w:tcPr>
          <w:p>
            <w:pPr>
              <w:spacing w:after="40" w:before="0" w:line="259" w:lineRule="auto"/>
            </w:pPr>
            <w:r>
              <w:rPr>
                <w:rFonts w:ascii="Calibri" w:hAnsi="Calibri"/>
                <w:b w:val="0"/>
                <w:i w:val="0"/>
                <w:color w:val="212121"/>
                <w:sz w:val="19"/>
              </w:rPr>
              <w:t>60-100 bpm</w:t>
            </w:r>
          </w:p>
        </w:tc>
        <w:tc>
          <w:tcPr>
            <w:tcW w:type="dxa" w:w="1512"/>
            <w:vAlign w:val="top"/>
          </w:tcPr>
          <w:p>
            <w:pPr>
              <w:spacing w:after="40" w:before="0" w:line="259" w:lineRule="auto"/>
            </w:pPr>
            <w:r>
              <w:rPr>
                <w:rFonts w:ascii="Calibri" w:hAnsi="Calibri"/>
                <w:b w:val="0"/>
                <w:i w:val="0"/>
                <w:color w:val="212121"/>
                <w:sz w:val="19"/>
              </w:rPr>
              <w:t>&gt; 100 bpm (persistent tachycardia) or new atrial fibrillation</w:t>
            </w:r>
          </w:p>
        </w:tc>
        <w:tc>
          <w:tcPr>
            <w:tcW w:type="dxa" w:w="1468"/>
            <w:vAlign w:val="top"/>
          </w:tcPr>
          <w:p>
            <w:pPr>
              <w:spacing w:after="60" w:line="259" w:lineRule="auto"/>
            </w:pPr>
            <w:r>
              <w:rPr>
                <w:rFonts w:ascii="Calibri" w:hAnsi="Calibri"/>
                <w:b w:val="0"/>
                <w:i w:val="0"/>
                <w:color w:val="212121"/>
                <w:sz w:val="19"/>
              </w:rPr>
              <w:t>Persistent tachycardia reflects uncontrolled thyrotoxicosis; guides beta-blocker use</w:t>
            </w:r>
          </w:p>
          <w:p>
            <w:pPr>
              <w:spacing w:after="40" w:line="252" w:lineRule="auto"/>
            </w:pPr>
            <w:hyperlink r:id="rId9">
              <w:r>
                <w:rPr>
                  <w:rFonts w:ascii="Calibri" w:hAnsi="Calibri" w:cs="Calibri"/>
                  <w:sz w:val="18"/>
                  <w:color w:val="1155CC"/>
                  <w:u w:val="single"/>
                </w:rPr>
                <w:t xml:space="preserve">https://www.ncbi.nlm.nih.gov/books/NBK448195/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 Indian patients</w:t>
            </w:r>
          </w:p>
        </w:tc>
        <w:tc>
          <w:tcPr>
            <w:tcW w:type="dxa" w:w="1512"/>
            <w:vAlign w:val="top"/>
          </w:tcPr>
          <w:p>
            <w:pPr>
              <w:spacing w:after="40" w:before="0" w:line="259" w:lineRule="auto"/>
            </w:pPr>
            <w:r>
              <w:rPr>
                <w:rFonts w:ascii="Calibri" w:hAnsi="Calibri"/>
                <w:b w:val="0"/>
                <w:i w:val="0"/>
                <w:color w:val="212121"/>
                <w:sz w:val="19"/>
              </w:rPr>
              <w:t>18.5-24.9 kg/m2</w:t>
            </w:r>
          </w:p>
        </w:tc>
        <w:tc>
          <w:tcPr>
            <w:tcW w:type="dxa" w:w="1512"/>
            <w:vAlign w:val="top"/>
          </w:tcPr>
          <w:p>
            <w:pPr>
              <w:spacing w:after="40" w:before="0" w:line="259" w:lineRule="auto"/>
            </w:pPr>
            <w:r>
              <w:rPr>
                <w:rFonts w:ascii="Calibri" w:hAnsi="Calibri"/>
                <w:b w:val="0"/>
                <w:i w:val="0"/>
                <w:color w:val="212121"/>
                <w:sz w:val="19"/>
              </w:rPr>
              <w:t>Unintentional fall in weight / BMI &lt; 18.5</w:t>
            </w:r>
          </w:p>
        </w:tc>
        <w:tc>
          <w:tcPr>
            <w:tcW w:type="dxa" w:w="1468"/>
            <w:vAlign w:val="top"/>
          </w:tcPr>
          <w:p>
            <w:pPr>
              <w:spacing w:after="60" w:line="259" w:lineRule="auto"/>
            </w:pPr>
            <w:r>
              <w:rPr>
                <w:rFonts w:ascii="Calibri" w:hAnsi="Calibri"/>
                <w:b w:val="0"/>
                <w:i w:val="0"/>
                <w:color w:val="212121"/>
                <w:sz w:val="19"/>
              </w:rPr>
              <w:t>Weight loss despite normal or increased appetite is characteristic; Indian patients often have lower BMI</w:t>
            </w:r>
          </w:p>
          <w:p>
            <w:pPr>
              <w:spacing w:after="40" w:line="252" w:lineRule="auto"/>
            </w:pPr>
            <w:hyperlink r:id="rId10">
              <w:r>
                <w:rPr>
                  <w:rFonts w:ascii="Calibri" w:hAnsi="Calibri" w:cs="Calibri"/>
                  <w:sz w:val="18"/>
                  <w:color w:val="1155CC"/>
                  <w:u w:val="single"/>
                </w:rPr>
                <w:t xml:space="preserve">https://academic.oup.com/pmj/article-abstract/102/1207/392/8406481</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Smokers, patients with orbitopathy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60" w:line="259" w:lineRule="auto"/>
            </w:pPr>
            <w:r>
              <w:rPr>
                <w:rFonts w:ascii="Calibri" w:hAnsi="Calibri"/>
                <w:b w:val="0"/>
                <w:i w:val="0"/>
                <w:color w:val="212121"/>
                <w:sz w:val="19"/>
              </w:rPr>
              <w:t>Any smoking raises Graves' (OR 3.3) and orbitopathy (OR 4.4) risk; cessation is essential</w:t>
            </w:r>
          </w:p>
          <w:p>
            <w:pPr>
              <w:spacing w:after="40" w:line="252" w:lineRule="auto"/>
            </w:pPr>
            <w:hyperlink r:id="rId12">
              <w:r>
                <w:rPr>
                  <w:rFonts w:ascii="Calibri" w:hAnsi="Calibri" w:cs="Calibri"/>
                  <w:sz w:val="18"/>
                  <w:color w:val="1155CC"/>
                  <w:u w:val="single"/>
                </w:rPr>
                <w:t xml:space="preserve">https://academic.oup.com/ejendo/article-abstract/146/2/153/6753447</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7-14 units/week (or none)</w:t>
            </w:r>
          </w:p>
        </w:tc>
        <w:tc>
          <w:tcPr>
            <w:tcW w:type="dxa" w:w="1512"/>
            <w:vAlign w:val="top"/>
          </w:tcPr>
          <w:p>
            <w:pPr>
              <w:spacing w:after="40" w:before="0" w:line="259" w:lineRule="auto"/>
            </w:pPr>
            <w:r>
              <w:rPr>
                <w:rFonts w:ascii="Calibri" w:hAnsi="Calibri"/>
                <w:b w:val="0"/>
                <w:i w:val="0"/>
                <w:color w:val="212121"/>
                <w:sz w:val="19"/>
              </w:rPr>
              <w:t>Heavy or binge drinking</w:t>
            </w:r>
          </w:p>
        </w:tc>
        <w:tc>
          <w:tcPr>
            <w:tcW w:type="dxa" w:w="1468"/>
            <w:vAlign w:val="top"/>
          </w:tcPr>
          <w:p>
            <w:pPr>
              <w:spacing w:after="40" w:before="0" w:line="259" w:lineRule="auto"/>
            </w:pPr>
            <w:r>
              <w:rPr>
                <w:rFonts w:ascii="Calibri" w:hAnsi="Calibri"/>
                <w:b w:val="0"/>
                <w:i w:val="0"/>
                <w:color w:val="212121"/>
                <w:sz w:val="19"/>
              </w:rPr>
              <w:t>Moderate intake shows an inverse association, but heavy use is discouraged and confounds symptoms</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with thyrotoxicosis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 with insomnia/restlessness</w:t>
            </w:r>
          </w:p>
        </w:tc>
        <w:tc>
          <w:tcPr>
            <w:tcW w:type="dxa" w:w="1468"/>
            <w:vAlign w:val="top"/>
          </w:tcPr>
          <w:p>
            <w:pPr>
              <w:spacing w:after="40" w:before="0" w:line="259" w:lineRule="auto"/>
            </w:pPr>
            <w:r>
              <w:rPr>
                <w:rFonts w:ascii="Calibri" w:hAnsi="Calibri"/>
                <w:b w:val="0"/>
                <w:i w:val="0"/>
                <w:color w:val="212121"/>
                <w:sz w:val="19"/>
              </w:rPr>
              <w:t>Insomnia is a common thyrotoxic symptom and improves with euthyroidism</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iodine intake (micrograms/day)</w:t>
            </w:r>
          </w:p>
        </w:tc>
        <w:tc>
          <w:tcPr>
            <w:tcW w:type="dxa" w:w="1655"/>
            <w:vAlign w:val="top"/>
          </w:tcPr>
          <w:p>
            <w:pPr>
              <w:spacing w:after="40" w:before="0" w:line="259" w:lineRule="auto"/>
            </w:pPr>
            <w:r>
              <w:rPr>
                <w:rFonts w:ascii="Calibri" w:hAnsi="Calibri"/>
                <w:b w:val="0"/>
                <w:i w:val="0"/>
                <w:color w:val="212121"/>
                <w:sz w:val="19"/>
              </w:rPr>
              <w:t>Susceptible adults</w:t>
            </w:r>
          </w:p>
        </w:tc>
        <w:tc>
          <w:tcPr>
            <w:tcW w:type="dxa" w:w="1512"/>
            <w:vAlign w:val="top"/>
          </w:tcPr>
          <w:p>
            <w:pPr>
              <w:spacing w:after="40" w:before="0" w:line="259" w:lineRule="auto"/>
            </w:pPr>
            <w:r>
              <w:rPr>
                <w:rFonts w:ascii="Calibri" w:hAnsi="Calibri"/>
                <w:b w:val="0"/>
                <w:i w:val="0"/>
                <w:color w:val="212121"/>
                <w:sz w:val="19"/>
              </w:rPr>
              <w:t>~150 micrograms/day (RDA)</w:t>
            </w:r>
          </w:p>
        </w:tc>
        <w:tc>
          <w:tcPr>
            <w:tcW w:type="dxa" w:w="1512"/>
            <w:vAlign w:val="top"/>
          </w:tcPr>
          <w:p>
            <w:pPr>
              <w:spacing w:after="40" w:before="0" w:line="259" w:lineRule="auto"/>
            </w:pPr>
            <w:r>
              <w:rPr>
                <w:rFonts w:ascii="Calibri" w:hAnsi="Calibri"/>
                <w:b w:val="0"/>
                <w:i w:val="0"/>
                <w:color w:val="212121"/>
                <w:sz w:val="19"/>
              </w:rPr>
              <w:t>Iodine load (kelp/supplements, amiodarone, contrast)</w:t>
            </w:r>
          </w:p>
        </w:tc>
        <w:tc>
          <w:tcPr>
            <w:tcW w:type="dxa" w:w="1468"/>
            <w:vAlign w:val="top"/>
          </w:tcPr>
          <w:p>
            <w:pPr>
              <w:spacing w:after="60" w:line="259" w:lineRule="auto"/>
            </w:pPr>
            <w:r>
              <w:rPr>
                <w:rFonts w:ascii="Calibri" w:hAnsi="Calibri"/>
                <w:b w:val="0"/>
                <w:i w:val="0"/>
                <w:color w:val="212121"/>
                <w:sz w:val="19"/>
              </w:rPr>
              <w:t>Sudden iodine excess can precipitate hyperthyroidism (Jod-Basedow)</w:t>
            </w:r>
          </w:p>
          <w:p>
            <w:pPr>
              <w:spacing w:after="40" w:line="252" w:lineRule="auto"/>
            </w:pPr>
            <w:hyperlink r:id="rId9">
              <w:r>
                <w:rPr>
                  <w:rFonts w:ascii="Calibri" w:hAnsi="Calibri" w:cs="Calibri"/>
                  <w:sz w:val="18"/>
                  <w:color w:val="1155CC"/>
                  <w:u w:val="single"/>
                </w:rPr>
                <w:t xml:space="preserve">https://www.ncbi.nlm.nih.gov/books/NBK448195/</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stress / stressful life events</w:t>
            </w:r>
          </w:p>
        </w:tc>
        <w:tc>
          <w:tcPr>
            <w:tcW w:type="dxa" w:w="1655"/>
            <w:vAlign w:val="top"/>
          </w:tcPr>
          <w:p>
            <w:pPr>
              <w:spacing w:after="40" w:before="0" w:line="259" w:lineRule="auto"/>
            </w:pPr>
            <w:r>
              <w:rPr>
                <w:rFonts w:ascii="Calibri" w:hAnsi="Calibri"/>
                <w:b w:val="0"/>
                <w:i w:val="0"/>
                <w:color w:val="212121"/>
                <w:sz w:val="19"/>
              </w:rPr>
              <w:t>Adults, women of reproductive age</w:t>
            </w:r>
          </w:p>
        </w:tc>
        <w:tc>
          <w:tcPr>
            <w:tcW w:type="dxa" w:w="1512"/>
            <w:vAlign w:val="top"/>
          </w:tcPr>
          <w:p>
            <w:pPr>
              <w:spacing w:after="40" w:before="0" w:line="259" w:lineRule="auto"/>
            </w:pPr>
            <w:r>
              <w:rPr>
                <w:rFonts w:ascii="Calibri" w:hAnsi="Calibri"/>
                <w:b w:val="0"/>
                <w:i w:val="0"/>
                <w:color w:val="212121"/>
                <w:sz w:val="19"/>
              </w:rPr>
              <w:t>Low, well-managed stress</w:t>
            </w:r>
          </w:p>
        </w:tc>
        <w:tc>
          <w:tcPr>
            <w:tcW w:type="dxa" w:w="1512"/>
            <w:vAlign w:val="top"/>
          </w:tcPr>
          <w:p>
            <w:pPr>
              <w:spacing w:after="40" w:before="0" w:line="259" w:lineRule="auto"/>
            </w:pPr>
            <w:r>
              <w:rPr>
                <w:rFonts w:ascii="Calibri" w:hAnsi="Calibri"/>
                <w:b w:val="0"/>
                <w:i w:val="0"/>
                <w:color w:val="212121"/>
                <w:sz w:val="19"/>
              </w:rPr>
              <w:t>Major recent stressful life event(s)</w:t>
            </w:r>
          </w:p>
        </w:tc>
        <w:tc>
          <w:tcPr>
            <w:tcW w:type="dxa" w:w="1468"/>
            <w:vAlign w:val="top"/>
          </w:tcPr>
          <w:p>
            <w:pPr>
              <w:spacing w:after="60" w:line="259" w:lineRule="auto"/>
            </w:pPr>
            <w:r>
              <w:rPr>
                <w:rFonts w:ascii="Calibri" w:hAnsi="Calibri"/>
                <w:b w:val="0"/>
                <w:i w:val="0"/>
                <w:color w:val="212121"/>
                <w:sz w:val="19"/>
              </w:rPr>
              <w:t>Strongly associated with disease onset (d = 1.81); stress management supports care</w:t>
            </w:r>
          </w:p>
          <w:p>
            <w:pPr>
              <w:spacing w:after="40" w:line="252" w:lineRule="auto"/>
            </w:pPr>
            <w:hyperlink r:id="rId13">
              <w:r>
                <w:rPr>
                  <w:rFonts w:ascii="Calibri" w:hAnsi="Calibri" w:cs="Calibri"/>
                  <w:sz w:val="18"/>
                  <w:color w:val="1155CC"/>
                  <w:u w:val="single"/>
                </w:rPr>
                <w:t xml:space="preserve">https://link.springer.com/article/10.1186/s12902-023-01450-y</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Adults with palpitations/tremor</w:t>
            </w:r>
          </w:p>
        </w:tc>
        <w:tc>
          <w:tcPr>
            <w:tcW w:type="dxa" w:w="1512"/>
            <w:vAlign w:val="top"/>
          </w:tcPr>
          <w:p>
            <w:pPr>
              <w:spacing w:after="40" w:before="0" w:line="259" w:lineRule="auto"/>
            </w:pPr>
            <w:r>
              <w:rPr>
                <w:rFonts w:ascii="Calibri" w:hAnsi="Calibri"/>
                <w:b w:val="0"/>
                <w:i w:val="0"/>
                <w:color w:val="212121"/>
                <w:sz w:val="19"/>
              </w:rPr>
              <w:t>&lt; 200 mg/day during active disease</w:t>
            </w:r>
          </w:p>
        </w:tc>
        <w:tc>
          <w:tcPr>
            <w:tcW w:type="dxa" w:w="1512"/>
            <w:vAlign w:val="top"/>
          </w:tcPr>
          <w:p>
            <w:pPr>
              <w:spacing w:after="40" w:before="0" w:line="259" w:lineRule="auto"/>
            </w:pPr>
            <w:r>
              <w:rPr>
                <w:rFonts w:ascii="Calibri" w:hAnsi="Calibri"/>
                <w:b w:val="0"/>
                <w:i w:val="0"/>
                <w:color w:val="212121"/>
                <w:sz w:val="19"/>
              </w:rPr>
              <w:t>High intake worsening palpitations/tremor</w:t>
            </w:r>
          </w:p>
        </w:tc>
        <w:tc>
          <w:tcPr>
            <w:tcW w:type="dxa" w:w="1468"/>
            <w:vAlign w:val="top"/>
          </w:tcPr>
          <w:p>
            <w:pPr>
              <w:spacing w:after="40" w:before="0" w:line="259" w:lineRule="auto"/>
            </w:pPr>
            <w:r>
              <w:rPr>
                <w:rFonts w:ascii="Calibri" w:hAnsi="Calibri"/>
                <w:b w:val="0"/>
                <w:i w:val="0"/>
                <w:color w:val="212121"/>
                <w:sz w:val="19"/>
              </w:rPr>
              <w:t>Caffeine aggravates thyrotoxic symptoms; reduce while uncontrolled</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Proptosis - Hertel exophthalmometry (mm)</w:t>
            </w:r>
          </w:p>
        </w:tc>
        <w:tc>
          <w:tcPr>
            <w:tcW w:type="dxa" w:w="1655"/>
            <w:vAlign w:val="top"/>
          </w:tcPr>
          <w:p>
            <w:pPr>
              <w:spacing w:after="40" w:before="0" w:line="259" w:lineRule="auto"/>
            </w:pPr>
            <w:r>
              <w:rPr>
                <w:rFonts w:ascii="Calibri" w:hAnsi="Calibri"/>
                <w:b w:val="0"/>
                <w:i w:val="0"/>
                <w:color w:val="212121"/>
                <w:sz w:val="19"/>
              </w:rPr>
              <w:t>Patients with orbitopathy</w:t>
            </w:r>
          </w:p>
        </w:tc>
        <w:tc>
          <w:tcPr>
            <w:tcW w:type="dxa" w:w="1512"/>
            <w:vAlign w:val="top"/>
          </w:tcPr>
          <w:p>
            <w:pPr>
              <w:spacing w:after="40" w:before="0" w:line="259" w:lineRule="auto"/>
            </w:pPr>
            <w:r>
              <w:rPr>
                <w:rFonts w:ascii="Calibri" w:hAnsi="Calibri"/>
                <w:b w:val="0"/>
                <w:i w:val="0"/>
                <w:color w:val="212121"/>
                <w:sz w:val="19"/>
              </w:rPr>
              <w:t>Within normal for population (Indians often &lt; 18-20 mm)</w:t>
            </w:r>
          </w:p>
        </w:tc>
        <w:tc>
          <w:tcPr>
            <w:tcW w:type="dxa" w:w="1512"/>
            <w:vAlign w:val="top"/>
          </w:tcPr>
          <w:p>
            <w:pPr>
              <w:spacing w:after="40" w:before="0" w:line="259" w:lineRule="auto"/>
            </w:pPr>
            <w:r>
              <w:rPr>
                <w:rFonts w:ascii="Calibri" w:hAnsi="Calibri"/>
                <w:b w:val="0"/>
                <w:i w:val="0"/>
                <w:color w:val="212121"/>
                <w:sz w:val="19"/>
              </w:rPr>
              <w:t>Asymmetry &gt; 2 mm or progressive increase</w:t>
            </w:r>
          </w:p>
        </w:tc>
        <w:tc>
          <w:tcPr>
            <w:tcW w:type="dxa" w:w="1468"/>
            <w:vAlign w:val="top"/>
          </w:tcPr>
          <w:p>
            <w:pPr>
              <w:spacing w:after="60" w:line="259" w:lineRule="auto"/>
            </w:pPr>
            <w:r>
              <w:rPr>
                <w:rFonts w:ascii="Calibri" w:hAnsi="Calibri"/>
                <w:b w:val="0"/>
                <w:i w:val="0"/>
                <w:color w:val="212121"/>
                <w:sz w:val="19"/>
              </w:rPr>
              <w:t>Rising proptosis signals active orbitopathy; head elevation eases periorbital oedema</w:t>
            </w:r>
          </w:p>
          <w:p>
            <w:pPr>
              <w:spacing w:after="40" w:line="252" w:lineRule="auto"/>
            </w:pPr>
            <w:hyperlink r:id="rId16">
              <w:r>
                <w:rPr>
                  <w:rFonts w:ascii="Calibri" w:hAnsi="Calibri" w:cs="Calibri"/>
                  <w:sz w:val="18"/>
                  <w:color w:val="1155CC"/>
                  <w:u w:val="single"/>
                </w:rPr>
                <w:t xml:space="preserve">https://pubmed.ncbi.nlm.nih.gov/24604044/</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TSH</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Suppressed (&lt; 0.1 mIU/L, often undetectable)</w:t>
            </w:r>
          </w:p>
        </w:tc>
        <w:tc>
          <w:tcPr>
            <w:tcW w:type="dxa" w:w="1036"/>
            <w:vAlign w:val="top"/>
          </w:tcPr>
          <w:p>
            <w:pPr>
              <w:spacing w:after="40" w:before="0" w:line="259" w:lineRule="auto"/>
            </w:pPr>
            <w:r>
              <w:rPr>
                <w:rFonts w:ascii="Calibri" w:hAnsi="Calibri"/>
                <w:b w:val="0"/>
                <w:i w:val="0"/>
                <w:color w:val="212121"/>
                <w:sz w:val="16"/>
              </w:rPr>
              <w:t>Suppressed TSH is the most sensitive screen for hyperthyroidism</w:t>
            </w:r>
          </w:p>
        </w:tc>
        <w:tc>
          <w:tcPr>
            <w:tcW w:type="dxa" w:w="1036"/>
            <w:vAlign w:val="top"/>
          </w:tcPr>
          <w:p>
            <w:pPr>
              <w:spacing w:after="40" w:before="0" w:line="259" w:lineRule="auto"/>
            </w:pPr>
            <w:r>
              <w:rPr>
                <w:rFonts w:ascii="Calibri" w:hAnsi="Calibri"/>
                <w:b w:val="0"/>
                <w:i w:val="0"/>
                <w:color w:val="212121"/>
                <w:sz w:val="16"/>
              </w:rPr>
              <w:t>All suspected thyrotoxicosis, women of reproductive age, elderly with AF</w:t>
            </w:r>
          </w:p>
        </w:tc>
        <w:tc>
          <w:tcPr>
            <w:tcW w:type="dxa" w:w="720"/>
            <w:vAlign w:val="top"/>
          </w:tcPr>
          <w:p>
            <w:pPr>
              <w:spacing w:after="40" w:before="0" w:line="259" w:lineRule="auto"/>
            </w:pPr>
            <w:r>
              <w:rPr>
                <w:rFonts w:ascii="Calibri" w:hAnsi="Calibri"/>
                <w:b w:val="0"/>
                <w:i w:val="0"/>
                <w:color w:val="212121"/>
                <w:sz w:val="16"/>
              </w:rPr>
              <w:t>Provoking factors; Mental health</w:t>
            </w:r>
          </w:p>
        </w:tc>
        <w:tc>
          <w:tcPr>
            <w:tcW w:type="dxa" w:w="720"/>
            <w:vAlign w:val="top"/>
          </w:tcPr>
          <w:p>
            <w:pPr>
              <w:spacing w:after="40" w:before="0" w:line="259" w:lineRule="auto"/>
            </w:pPr>
            <w:r>
              <w:rPr>
                <w:rFonts w:ascii="Calibri" w:hAnsi="Calibri"/>
                <w:b w:val="0"/>
                <w:i w:val="0"/>
                <w:color w:val="212121"/>
                <w:sz w:val="16"/>
              </w:rPr>
              <w:t>Gold standard (first-line screen)</w:t>
            </w:r>
          </w:p>
        </w:tc>
        <w:tc>
          <w:tcPr>
            <w:tcW w:type="dxa" w:w="720"/>
            <w:vAlign w:val="top"/>
          </w:tcPr>
          <w:p>
            <w:pPr>
              <w:spacing w:after="40" w:before="0" w:line="259" w:lineRule="auto"/>
            </w:pPr>
            <w:r>
              <w:rPr>
                <w:rFonts w:ascii="Calibri" w:hAnsi="Calibri"/>
                <w:b w:val="0"/>
                <w:i w:val="0"/>
                <w:color w:val="212121"/>
                <w:sz w:val="16"/>
              </w:rPr>
              <w:t>Single most sensitive initial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Free 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~0.8-1.8 ng/dL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Confirms overt hyperthyroidism when TSH is suppressed</w:t>
            </w:r>
          </w:p>
        </w:tc>
        <w:tc>
          <w:tcPr>
            <w:tcW w:type="dxa" w:w="1036"/>
            <w:vAlign w:val="top"/>
          </w:tcPr>
          <w:p>
            <w:pPr>
              <w:spacing w:after="40" w:before="0" w:line="259" w:lineRule="auto"/>
            </w:pPr>
            <w:r>
              <w:rPr>
                <w:rFonts w:ascii="Calibri" w:hAnsi="Calibri"/>
                <w:b w:val="0"/>
                <w:i w:val="0"/>
                <w:color w:val="212121"/>
                <w:sz w:val="16"/>
              </w:rPr>
              <w:t>Patients with suppressed TSH</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Interpret with free T3; assay ranges vary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Free T3</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~2.3-4.2 pg/mL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Detects T3-toxicosis where free T4 may be normal; often disproportionately high in Graves'</w:t>
            </w:r>
          </w:p>
        </w:tc>
        <w:tc>
          <w:tcPr>
            <w:tcW w:type="dxa" w:w="1036"/>
            <w:vAlign w:val="top"/>
          </w:tcPr>
          <w:p>
            <w:pPr>
              <w:spacing w:after="40" w:before="0" w:line="259" w:lineRule="auto"/>
            </w:pPr>
            <w:r>
              <w:rPr>
                <w:rFonts w:ascii="Calibri" w:hAnsi="Calibri"/>
                <w:b w:val="0"/>
                <w:i w:val="0"/>
                <w:color w:val="212121"/>
                <w:sz w:val="16"/>
              </w:rPr>
              <w:t>Suspected Graves', T3-toxicosis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Helps distinguish Graves' from thyroiditis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TSH-receptor antibody (TRAb / TSI)</w:t>
            </w:r>
          </w:p>
        </w:tc>
        <w:tc>
          <w:tcPr>
            <w:tcW w:type="dxa" w:w="892"/>
            <w:vAlign w:val="top"/>
          </w:tcPr>
          <w:p>
            <w:pPr>
              <w:spacing w:after="40" w:before="0" w:line="259" w:lineRule="auto"/>
            </w:pPr>
            <w:r>
              <w:rPr>
                <w:rFonts w:ascii="Calibri" w:hAnsi="Calibri"/>
                <w:b w:val="0"/>
                <w:i w:val="0"/>
                <w:color w:val="212121"/>
                <w:sz w:val="16"/>
              </w:rPr>
              <w:t>Autoantibody Assay</w:t>
            </w:r>
          </w:p>
        </w:tc>
        <w:tc>
          <w:tcPr>
            <w:tcW w:type="dxa" w:w="950"/>
            <w:vAlign w:val="top"/>
          </w:tcPr>
          <w:p>
            <w:pPr>
              <w:spacing w:after="40" w:before="0" w:line="259" w:lineRule="auto"/>
            </w:pPr>
            <w:r>
              <w:rPr>
                <w:rFonts w:ascii="Calibri" w:hAnsi="Calibri"/>
                <w:b w:val="0"/>
                <w:i w:val="0"/>
                <w:color w:val="212121"/>
                <w:sz w:val="16"/>
              </w:rPr>
              <w:t>Negative / below assay cut-off</w:t>
            </w:r>
          </w:p>
        </w:tc>
        <w:tc>
          <w:tcPr>
            <w:tcW w:type="dxa" w:w="950"/>
            <w:vAlign w:val="top"/>
          </w:tcPr>
          <w:p>
            <w:pPr>
              <w:spacing w:after="40" w:before="0" w:line="259" w:lineRule="auto"/>
            </w:pPr>
            <w:r>
              <w:rPr>
                <w:rFonts w:ascii="Calibri" w:hAnsi="Calibri"/>
                <w:b w:val="0"/>
                <w:i w:val="0"/>
                <w:color w:val="212121"/>
                <w:sz w:val="16"/>
              </w:rPr>
              <w:t>Positive (elevated titre)</w:t>
            </w:r>
          </w:p>
        </w:tc>
        <w:tc>
          <w:tcPr>
            <w:tcW w:type="dxa" w:w="1036"/>
            <w:vAlign w:val="top"/>
          </w:tcPr>
          <w:p>
            <w:pPr>
              <w:spacing w:after="40" w:before="0" w:line="259" w:lineRule="auto"/>
            </w:pPr>
            <w:r>
              <w:rPr>
                <w:rFonts w:ascii="Calibri" w:hAnsi="Calibri"/>
                <w:b w:val="0"/>
                <w:i w:val="0"/>
                <w:color w:val="212121"/>
                <w:sz w:val="16"/>
              </w:rPr>
              <w:t>Confirms autoimmune Graves' aetiology; high titre predicts relapse and fetal risk in pregnancy</w:t>
            </w:r>
          </w:p>
        </w:tc>
        <w:tc>
          <w:tcPr>
            <w:tcW w:type="dxa" w:w="1036"/>
            <w:vAlign w:val="top"/>
          </w:tcPr>
          <w:p>
            <w:pPr>
              <w:spacing w:after="40" w:before="0" w:line="259" w:lineRule="auto"/>
            </w:pPr>
            <w:r>
              <w:rPr>
                <w:rFonts w:ascii="Calibri" w:hAnsi="Calibri"/>
                <w:b w:val="0"/>
                <w:i w:val="0"/>
                <w:color w:val="212121"/>
                <w:sz w:val="16"/>
              </w:rPr>
              <w:t>All suspected Graves', pregnant women with Graves'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(confirmatory)</w:t>
            </w:r>
          </w:p>
        </w:tc>
        <w:tc>
          <w:tcPr>
            <w:tcW w:type="dxa" w:w="720"/>
            <w:vAlign w:val="top"/>
          </w:tcPr>
          <w:p>
            <w:pPr>
              <w:spacing w:after="40" w:before="0" w:line="259" w:lineRule="auto"/>
            </w:pPr>
            <w:r>
              <w:rPr>
                <w:rFonts w:ascii="Calibri" w:hAnsi="Calibri"/>
                <w:b w:val="0"/>
                <w:i w:val="0"/>
                <w:color w:val="212121"/>
                <w:sz w:val="16"/>
              </w:rPr>
              <w:t>Sensitivity ~97%, specificity ~99%</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Anti-thyroid peroxidase (anti-TPO)</w:t>
            </w:r>
          </w:p>
        </w:tc>
        <w:tc>
          <w:tcPr>
            <w:tcW w:type="dxa" w:w="892"/>
            <w:vAlign w:val="top"/>
          </w:tcPr>
          <w:p>
            <w:pPr>
              <w:spacing w:after="40" w:before="0" w:line="259" w:lineRule="auto"/>
            </w:pPr>
            <w:r>
              <w:rPr>
                <w:rFonts w:ascii="Calibri" w:hAnsi="Calibri"/>
                <w:b w:val="0"/>
                <w:i w:val="0"/>
                <w:color w:val="212121"/>
                <w:sz w:val="16"/>
              </w:rPr>
              <w:t>Autoantibody Assay</w:t>
            </w:r>
          </w:p>
        </w:tc>
        <w:tc>
          <w:tcPr>
            <w:tcW w:type="dxa" w:w="950"/>
            <w:vAlign w:val="top"/>
          </w:tcPr>
          <w:p>
            <w:pPr>
              <w:spacing w:after="40" w:before="0" w:line="259" w:lineRule="auto"/>
            </w:pPr>
            <w:r>
              <w:rPr>
                <w:rFonts w:ascii="Calibri" w:hAnsi="Calibri"/>
                <w:b w:val="0"/>
                <w:i w:val="0"/>
                <w:color w:val="212121"/>
                <w:sz w:val="16"/>
              </w:rPr>
              <w:t>Negative / low titre</w:t>
            </w:r>
          </w:p>
        </w:tc>
        <w:tc>
          <w:tcPr>
            <w:tcW w:type="dxa" w:w="950"/>
            <w:vAlign w:val="top"/>
          </w:tcPr>
          <w:p>
            <w:pPr>
              <w:spacing w:after="40" w:before="0" w:line="259" w:lineRule="auto"/>
            </w:pPr>
            <w:r>
              <w:rPr>
                <w:rFonts w:ascii="Calibri" w:hAnsi="Calibri"/>
                <w:b w:val="0"/>
                <w:i w:val="0"/>
                <w:color w:val="212121"/>
                <w:sz w:val="16"/>
              </w:rPr>
              <w:t>Positive in ~80% of Graves' patients</w:t>
            </w:r>
          </w:p>
        </w:tc>
        <w:tc>
          <w:tcPr>
            <w:tcW w:type="dxa" w:w="1036"/>
            <w:vAlign w:val="top"/>
          </w:tcPr>
          <w:p>
            <w:pPr>
              <w:spacing w:after="40" w:before="0" w:line="259" w:lineRule="auto"/>
            </w:pPr>
            <w:r>
              <w:rPr>
                <w:rFonts w:ascii="Calibri" w:hAnsi="Calibri"/>
                <w:b w:val="0"/>
                <w:i w:val="0"/>
                <w:color w:val="212121"/>
                <w:sz w:val="16"/>
              </w:rPr>
              <w:t>Supports autoimmune thyroid disease; not specific to Graves'</w:t>
            </w:r>
          </w:p>
        </w:tc>
        <w:tc>
          <w:tcPr>
            <w:tcW w:type="dxa" w:w="1036"/>
            <w:vAlign w:val="top"/>
          </w:tcPr>
          <w:p>
            <w:pPr>
              <w:spacing w:after="40" w:before="0" w:line="259" w:lineRule="auto"/>
            </w:pPr>
            <w:r>
              <w:rPr>
                <w:rFonts w:ascii="Calibri" w:hAnsi="Calibri"/>
                <w:b w:val="0"/>
                <w:i w:val="0"/>
                <w:color w:val="212121"/>
                <w:sz w:val="16"/>
              </w:rPr>
              <w:t>Suspected autoimmune thyroid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positive in Hashimoto's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Nuclear medicine</w:t>
            </w:r>
          </w:p>
        </w:tc>
        <w:tc>
          <w:tcPr>
            <w:tcW w:type="dxa" w:w="1036"/>
            <w:vAlign w:val="top"/>
          </w:tcPr>
          <w:p>
            <w:pPr>
              <w:spacing w:after="40" w:before="0" w:line="259" w:lineRule="auto"/>
            </w:pPr>
            <w:r>
              <w:rPr>
                <w:rFonts w:ascii="Calibri" w:hAnsi="Calibri"/>
                <w:b w:val="0"/>
                <w:i w:val="0"/>
                <w:color w:val="212121"/>
                <w:sz w:val="16"/>
              </w:rPr>
              <w:t>Radioactive iodine uptake &amp; scan (RAIU)</w:t>
            </w:r>
          </w:p>
        </w:tc>
        <w:tc>
          <w:tcPr>
            <w:tcW w:type="dxa" w:w="892"/>
            <w:vAlign w:val="top"/>
          </w:tcPr>
          <w:p>
            <w:pPr>
              <w:spacing w:after="40" w:before="0" w:line="259" w:lineRule="auto"/>
            </w:pPr>
            <w:r>
              <w:rPr>
                <w:rFonts w:ascii="Calibri" w:hAnsi="Calibri"/>
                <w:b w:val="0"/>
                <w:i w:val="0"/>
                <w:color w:val="212121"/>
                <w:sz w:val="16"/>
              </w:rPr>
              <w:t>Thyroid Scintigraphy</w:t>
            </w:r>
          </w:p>
        </w:tc>
        <w:tc>
          <w:tcPr>
            <w:tcW w:type="dxa" w:w="950"/>
            <w:vAlign w:val="top"/>
          </w:tcPr>
          <w:p>
            <w:pPr>
              <w:spacing w:after="40" w:before="0" w:line="259" w:lineRule="auto"/>
            </w:pPr>
            <w:r>
              <w:rPr>
                <w:rFonts w:ascii="Calibri" w:hAnsi="Calibri"/>
                <w:b w:val="0"/>
                <w:i w:val="0"/>
                <w:color w:val="212121"/>
                <w:sz w:val="16"/>
              </w:rPr>
              <w:t>Normal uptake, no diffuse hyperfunction</w:t>
            </w:r>
          </w:p>
        </w:tc>
        <w:tc>
          <w:tcPr>
            <w:tcW w:type="dxa" w:w="950"/>
            <w:vAlign w:val="top"/>
          </w:tcPr>
          <w:p>
            <w:pPr>
              <w:spacing w:after="40" w:before="0" w:line="259" w:lineRule="auto"/>
            </w:pPr>
            <w:r>
              <w:rPr>
                <w:rFonts w:ascii="Calibri" w:hAnsi="Calibri"/>
                <w:b w:val="0"/>
                <w:i w:val="0"/>
                <w:color w:val="212121"/>
                <w:sz w:val="16"/>
              </w:rPr>
              <w:t>High, diffuse uptake</w:t>
            </w:r>
          </w:p>
        </w:tc>
        <w:tc>
          <w:tcPr>
            <w:tcW w:type="dxa" w:w="1036"/>
            <w:vAlign w:val="top"/>
          </w:tcPr>
          <w:p>
            <w:pPr>
              <w:spacing w:after="40" w:before="0" w:line="259" w:lineRule="auto"/>
            </w:pPr>
            <w:r>
              <w:rPr>
                <w:rFonts w:ascii="Calibri" w:hAnsi="Calibri"/>
                <w:b w:val="0"/>
                <w:i w:val="0"/>
                <w:color w:val="212121"/>
                <w:sz w:val="16"/>
              </w:rPr>
              <w:t>Diffuse high uptake confirms Graves'; low uptake indicates thyroiditis, focal uptake indicates toxic nodule</w:t>
            </w:r>
          </w:p>
        </w:tc>
        <w:tc>
          <w:tcPr>
            <w:tcW w:type="dxa" w:w="1036"/>
            <w:vAlign w:val="top"/>
          </w:tcPr>
          <w:p>
            <w:pPr>
              <w:spacing w:after="40" w:before="0" w:line="259" w:lineRule="auto"/>
            </w:pPr>
            <w:r>
              <w:rPr>
                <w:rFonts w:ascii="Calibri" w:hAnsi="Calibri"/>
                <w:b w:val="0"/>
                <w:i w:val="0"/>
                <w:color w:val="212121"/>
                <w:sz w:val="16"/>
              </w:rPr>
              <w:t>When TRAb equivocal/unavailable, nodular gland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(differentiator)</w:t>
            </w:r>
          </w:p>
        </w:tc>
        <w:tc>
          <w:tcPr>
            <w:tcW w:type="dxa" w:w="720"/>
            <w:vAlign w:val="top"/>
          </w:tcPr>
          <w:p>
            <w:pPr>
              <w:spacing w:after="40" w:before="0" w:line="259" w:lineRule="auto"/>
            </w:pPr>
            <w:r>
              <w:rPr>
                <w:rFonts w:ascii="Calibri" w:hAnsi="Calibri"/>
                <w:b w:val="0"/>
                <w:i w:val="0"/>
                <w:color w:val="212121"/>
                <w:sz w:val="16"/>
              </w:rPr>
              <w:t>Contraindicated in pregnancy and lactation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Thyroid ultrasound with colour Doppler</w:t>
            </w:r>
          </w:p>
        </w:tc>
        <w:tc>
          <w:tcPr>
            <w:tcW w:type="dxa" w:w="892"/>
            <w:vAlign w:val="top"/>
          </w:tcPr>
          <w:p>
            <w:pPr>
              <w:spacing w:after="40" w:before="0" w:line="259" w:lineRule="auto"/>
            </w:pPr>
            <w:r>
              <w:rPr>
                <w:rFonts w:ascii="Calibri" w:hAnsi="Calibri"/>
                <w:b w:val="0"/>
                <w:i w:val="0"/>
                <w:color w:val="212121"/>
                <w:sz w:val="16"/>
              </w:rPr>
              <w:t>Ultrasonography</w:t>
            </w:r>
          </w:p>
        </w:tc>
        <w:tc>
          <w:tcPr>
            <w:tcW w:type="dxa" w:w="950"/>
            <w:vAlign w:val="top"/>
          </w:tcPr>
          <w:p>
            <w:pPr>
              <w:spacing w:after="40" w:before="0" w:line="259" w:lineRule="auto"/>
            </w:pPr>
            <w:r>
              <w:rPr>
                <w:rFonts w:ascii="Calibri" w:hAnsi="Calibri"/>
                <w:b w:val="0"/>
                <w:i w:val="0"/>
                <w:color w:val="212121"/>
                <w:sz w:val="16"/>
              </w:rPr>
              <w:t>Normal size and vascularity</w:t>
            </w:r>
          </w:p>
        </w:tc>
        <w:tc>
          <w:tcPr>
            <w:tcW w:type="dxa" w:w="950"/>
            <w:vAlign w:val="top"/>
          </w:tcPr>
          <w:p>
            <w:pPr>
              <w:spacing w:after="40" w:before="0" w:line="259" w:lineRule="auto"/>
            </w:pPr>
            <w:r>
              <w:rPr>
                <w:rFonts w:ascii="Calibri" w:hAnsi="Calibri"/>
                <w:b w:val="0"/>
                <w:i w:val="0"/>
                <w:color w:val="212121"/>
                <w:sz w:val="16"/>
              </w:rPr>
              <w:t>Diffuse enlargement with markedly increased vascularity ('thyroid inferno')</w:t>
            </w:r>
          </w:p>
        </w:tc>
        <w:tc>
          <w:tcPr>
            <w:tcW w:type="dxa" w:w="1036"/>
            <w:vAlign w:val="top"/>
          </w:tcPr>
          <w:p>
            <w:pPr>
              <w:spacing w:after="40" w:before="0" w:line="259" w:lineRule="auto"/>
            </w:pPr>
            <w:r>
              <w:rPr>
                <w:rFonts w:ascii="Calibri" w:hAnsi="Calibri"/>
                <w:b w:val="0"/>
                <w:i w:val="0"/>
                <w:color w:val="212121"/>
                <w:sz w:val="16"/>
              </w:rPr>
              <w:t>Supports Graves' and excludes suspicious nodules; safe alternative to RAIU in pregnancy</w:t>
            </w:r>
          </w:p>
        </w:tc>
        <w:tc>
          <w:tcPr>
            <w:tcW w:type="dxa" w:w="1036"/>
            <w:vAlign w:val="top"/>
          </w:tcPr>
          <w:p>
            <w:pPr>
              <w:spacing w:after="40" w:before="0" w:line="259" w:lineRule="auto"/>
            </w:pPr>
            <w:r>
              <w:rPr>
                <w:rFonts w:ascii="Calibri" w:hAnsi="Calibri"/>
                <w:b w:val="0"/>
                <w:i w:val="0"/>
                <w:color w:val="212121"/>
                <w:sz w:val="16"/>
              </w:rPr>
              <w:t>Pregnant/lactating patients, nodular glands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Operator dependent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Heat intolerance, palpitations, weight loss, tremor, anxiety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Cardinal symptoms of thyrotoxicosis</w:t>
            </w:r>
          </w:p>
        </w:tc>
        <w:tc>
          <w:tcPr>
            <w:tcW w:type="dxa" w:w="1036"/>
            <w:vAlign w:val="top"/>
          </w:tcPr>
          <w:p>
            <w:pPr>
              <w:spacing w:after="40" w:before="0" w:line="259" w:lineRule="auto"/>
            </w:pPr>
            <w:r>
              <w:rPr>
                <w:rFonts w:ascii="Calibri" w:hAnsi="Calibri"/>
                <w:b w:val="0"/>
                <w:i w:val="0"/>
                <w:color w:val="212121"/>
                <w:sz w:val="16"/>
              </w:rPr>
              <w:t>Adults, young women, elderly with AF</w:t>
            </w:r>
          </w:p>
        </w:tc>
        <w:tc>
          <w:tcPr>
            <w:tcW w:type="dxa" w:w="720"/>
            <w:vAlign w:val="top"/>
          </w:tcPr>
          <w:p>
            <w:pPr>
              <w:spacing w:after="40" w:before="0" w:line="259" w:lineRule="auto"/>
            </w:pPr>
            <w:r>
              <w:rPr>
                <w:rFonts w:ascii="Calibri" w:hAnsi="Calibri"/>
                <w:b w:val="0"/>
                <w:i w:val="0"/>
                <w:color w:val="212121"/>
                <w:sz w:val="16"/>
              </w:rPr>
              <w:t>Mental health;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May be subtle (apathetic) in the elderly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 risk history</w:t>
            </w:r>
          </w:p>
        </w:tc>
        <w:tc>
          <w:tcPr>
            <w:tcW w:type="dxa" w:w="979"/>
            <w:vAlign w:val="top"/>
          </w:tcPr>
          <w:p>
            <w:pPr>
              <w:spacing w:after="40" w:before="0" w:line="259" w:lineRule="auto"/>
            </w:pPr>
            <w:r>
              <w:rPr>
                <w:rFonts w:ascii="Calibri" w:hAnsi="Calibri"/>
                <w:b w:val="0"/>
                <w:i w:val="0"/>
                <w:color w:val="212121"/>
                <w:sz w:val="16"/>
              </w:rPr>
              <w:t>Stressful life events, post-partum state, smoking, iodine/amiodarone, family history</w:t>
            </w:r>
          </w:p>
        </w:tc>
        <w:tc>
          <w:tcPr>
            <w:tcW w:type="dxa" w:w="950"/>
            <w:vAlign w:val="top"/>
          </w:tcPr>
          <w:p>
            <w:pPr>
              <w:spacing w:after="40" w:before="0" w:line="259" w:lineRule="auto"/>
            </w:pPr>
            <w:r>
              <w:rPr>
                <w:rFonts w:ascii="Calibri" w:hAnsi="Calibri"/>
                <w:b w:val="0"/>
                <w:i w:val="0"/>
                <w:color w:val="212121"/>
                <w:sz w:val="16"/>
              </w:rPr>
              <w:t>None identified</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Identifies precipitants and predisposition guiding counselling</w:t>
            </w:r>
          </w:p>
        </w:tc>
        <w:tc>
          <w:tcPr>
            <w:tcW w:type="dxa" w:w="1036"/>
            <w:vAlign w:val="top"/>
          </w:tcPr>
          <w:p>
            <w:pPr>
              <w:spacing w:after="40" w:before="0" w:line="259" w:lineRule="auto"/>
            </w:pPr>
            <w:r>
              <w:rPr>
                <w:rFonts w:ascii="Calibri" w:hAnsi="Calibri"/>
                <w:b w:val="0"/>
                <w:i w:val="0"/>
                <w:color w:val="212121"/>
                <w:sz w:val="16"/>
              </w:rPr>
              <w:t>Women of reproductive age, smokers, relatives of thyroid patients</w:t>
            </w:r>
          </w:p>
        </w:tc>
        <w:tc>
          <w:tcPr>
            <w:tcW w:type="dxa" w:w="720"/>
            <w:vAlign w:val="top"/>
          </w:tcPr>
          <w:p>
            <w:pPr>
              <w:spacing w:after="40" w:before="0" w:line="259" w:lineRule="auto"/>
            </w:pPr>
            <w:r>
              <w:rPr>
                <w:rFonts w:ascii="Calibri" w:hAnsi="Calibri"/>
                <w:b w:val="0"/>
                <w:i w:val="0"/>
                <w:color w:val="212121"/>
                <w:sz w:val="16"/>
              </w:rPr>
              <w:t>Provoking factors; Smoking; 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post-partum timing and drug exposures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Thyroid (neck) examination</w:t>
            </w:r>
          </w:p>
        </w:tc>
        <w:tc>
          <w:tcPr>
            <w:tcW w:type="dxa" w:w="979"/>
            <w:vAlign w:val="top"/>
          </w:tcPr>
          <w:p>
            <w:pPr>
              <w:spacing w:after="40" w:before="0" w:line="259" w:lineRule="auto"/>
            </w:pPr>
            <w:r>
              <w:rPr>
                <w:rFonts w:ascii="Calibri" w:hAnsi="Calibri"/>
                <w:b w:val="0"/>
                <w:i w:val="0"/>
                <w:color w:val="212121"/>
                <w:sz w:val="16"/>
              </w:rPr>
              <w:t>Diffuse goiter with bruit / thrill</w:t>
            </w:r>
          </w:p>
        </w:tc>
        <w:tc>
          <w:tcPr>
            <w:tcW w:type="dxa" w:w="950"/>
            <w:vAlign w:val="top"/>
          </w:tcPr>
          <w:p>
            <w:pPr>
              <w:spacing w:after="40" w:before="0" w:line="259" w:lineRule="auto"/>
            </w:pPr>
            <w:r>
              <w:rPr>
                <w:rFonts w:ascii="Calibri" w:hAnsi="Calibri"/>
                <w:b w:val="0"/>
                <w:i w:val="0"/>
                <w:color w:val="212121"/>
                <w:sz w:val="16"/>
              </w:rPr>
              <w:t>Normal-size, non-tender gland, no bruit</w:t>
            </w:r>
          </w:p>
        </w:tc>
        <w:tc>
          <w:tcPr>
            <w:tcW w:type="dxa" w:w="950"/>
            <w:vAlign w:val="top"/>
          </w:tcPr>
          <w:p>
            <w:pPr>
              <w:spacing w:after="40" w:before="0" w:line="259" w:lineRule="auto"/>
            </w:pPr>
            <w:r>
              <w:rPr>
                <w:rFonts w:ascii="Calibri" w:hAnsi="Calibri"/>
                <w:b w:val="0"/>
                <w:i w:val="0"/>
                <w:color w:val="212121"/>
                <w:sz w:val="16"/>
              </w:rPr>
              <w:t>Diffusely enlarged, vascular gland with audible bruit</w:t>
            </w:r>
          </w:p>
        </w:tc>
        <w:tc>
          <w:tcPr>
            <w:tcW w:type="dxa" w:w="1036"/>
            <w:vAlign w:val="top"/>
          </w:tcPr>
          <w:p>
            <w:pPr>
              <w:spacing w:after="40" w:before="0" w:line="259" w:lineRule="auto"/>
            </w:pPr>
            <w:r>
              <w:rPr>
                <w:rFonts w:ascii="Calibri" w:hAnsi="Calibri"/>
                <w:b w:val="0"/>
                <w:i w:val="0"/>
                <w:color w:val="212121"/>
                <w:sz w:val="16"/>
              </w:rPr>
              <w:t>Diffuse vascular goiter is characteristic of Graves'</w:t>
            </w:r>
          </w:p>
        </w:tc>
        <w:tc>
          <w:tcPr>
            <w:tcW w:type="dxa" w:w="1036"/>
            <w:vAlign w:val="top"/>
          </w:tcPr>
          <w:p>
            <w:pPr>
              <w:spacing w:after="40" w:before="0" w:line="259" w:lineRule="auto"/>
            </w:pPr>
            <w:r>
              <w:rPr>
                <w:rFonts w:ascii="Calibri" w:hAnsi="Calibri"/>
                <w:b w:val="0"/>
                <w:i w:val="0"/>
                <w:color w:val="212121"/>
                <w:sz w:val="16"/>
              </w:rPr>
              <w:t>Suspected Graves'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bruit reflects hypervascularity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Ocular examination</w:t>
            </w:r>
          </w:p>
        </w:tc>
        <w:tc>
          <w:tcPr>
            <w:tcW w:type="dxa" w:w="979"/>
            <w:vAlign w:val="top"/>
          </w:tcPr>
          <w:p>
            <w:pPr>
              <w:spacing w:after="40" w:before="0" w:line="259" w:lineRule="auto"/>
            </w:pPr>
            <w:r>
              <w:rPr>
                <w:rFonts w:ascii="Calibri" w:hAnsi="Calibri"/>
                <w:b w:val="0"/>
                <w:i w:val="0"/>
                <w:color w:val="212121"/>
                <w:sz w:val="16"/>
              </w:rPr>
              <w:t>Lid retraction, lid lag, proptosis, chemosis, restricted eye movements</w:t>
            </w:r>
          </w:p>
        </w:tc>
        <w:tc>
          <w:tcPr>
            <w:tcW w:type="dxa" w:w="950"/>
            <w:vAlign w:val="top"/>
          </w:tcPr>
          <w:p>
            <w:pPr>
              <w:spacing w:after="40" w:before="0" w:line="259" w:lineRule="auto"/>
            </w:pPr>
            <w:r>
              <w:rPr>
                <w:rFonts w:ascii="Calibri" w:hAnsi="Calibri"/>
                <w:b w:val="0"/>
                <w:i w:val="0"/>
                <w:color w:val="212121"/>
                <w:sz w:val="16"/>
              </w:rPr>
              <w:t>No eye signs</w:t>
            </w:r>
          </w:p>
        </w:tc>
        <w:tc>
          <w:tcPr>
            <w:tcW w:type="dxa" w:w="950"/>
            <w:vAlign w:val="top"/>
          </w:tcPr>
          <w:p>
            <w:pPr>
              <w:spacing w:after="40" w:before="0" w:line="259" w:lineRule="auto"/>
            </w:pPr>
            <w:r>
              <w:rPr>
                <w:rFonts w:ascii="Calibri" w:hAnsi="Calibri"/>
                <w:b w:val="0"/>
                <w:i w:val="0"/>
                <w:color w:val="212121"/>
                <w:sz w:val="16"/>
              </w:rPr>
              <w:t>Any orbitopathy sign; sight-threatening if optic-nerve involvement</w:t>
            </w:r>
          </w:p>
        </w:tc>
        <w:tc>
          <w:tcPr>
            <w:tcW w:type="dxa" w:w="1036"/>
            <w:vAlign w:val="top"/>
          </w:tcPr>
          <w:p>
            <w:pPr>
              <w:spacing w:after="40" w:before="0" w:line="259" w:lineRule="auto"/>
            </w:pPr>
            <w:r>
              <w:rPr>
                <w:rFonts w:ascii="Calibri" w:hAnsi="Calibri"/>
                <w:b w:val="0"/>
                <w:i w:val="0"/>
                <w:color w:val="212121"/>
                <w:sz w:val="16"/>
              </w:rPr>
              <w:t>Detects and grades Graves' orbitopathy (activity + severity)</w:t>
            </w:r>
          </w:p>
        </w:tc>
        <w:tc>
          <w:tcPr>
            <w:tcW w:type="dxa" w:w="1036"/>
            <w:vAlign w:val="top"/>
          </w:tcPr>
          <w:p>
            <w:pPr>
              <w:spacing w:after="40" w:before="0" w:line="259" w:lineRule="auto"/>
            </w:pPr>
            <w:r>
              <w:rPr>
                <w:rFonts w:ascii="Calibri" w:hAnsi="Calibri"/>
                <w:b w:val="0"/>
                <w:i w:val="0"/>
                <w:color w:val="212121"/>
                <w:sz w:val="16"/>
              </w:rPr>
              <w:t>Smokers, patients with active Graves'</w:t>
            </w:r>
          </w:p>
        </w:tc>
        <w:tc>
          <w:tcPr>
            <w:tcW w:type="dxa" w:w="720"/>
            <w:vAlign w:val="top"/>
          </w:tcPr>
          <w:p>
            <w:pPr>
              <w:spacing w:after="40" w:before="0" w:line="259" w:lineRule="auto"/>
            </w:pPr>
            <w:r>
              <w:rPr>
                <w:rFonts w:ascii="Calibri" w:hAnsi="Calibri"/>
                <w:b w:val="0"/>
                <w:i w:val="0"/>
                <w:color w:val="212121"/>
                <w:sz w:val="16"/>
              </w:rPr>
              <w:t>Smoking; Posture</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Assess CAS and visual acuity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Cardiovascular examination</w:t>
            </w:r>
          </w:p>
        </w:tc>
        <w:tc>
          <w:tcPr>
            <w:tcW w:type="dxa" w:w="979"/>
            <w:vAlign w:val="top"/>
          </w:tcPr>
          <w:p>
            <w:pPr>
              <w:spacing w:after="40" w:before="0" w:line="259" w:lineRule="auto"/>
            </w:pPr>
            <w:r>
              <w:rPr>
                <w:rFonts w:ascii="Calibri" w:hAnsi="Calibri"/>
                <w:b w:val="0"/>
                <w:i w:val="0"/>
                <w:color w:val="212121"/>
                <w:sz w:val="16"/>
              </w:rPr>
              <w:t>Pulse rate/rhythm, wide pulse pressure, signs of heart failure</w:t>
            </w:r>
          </w:p>
        </w:tc>
        <w:tc>
          <w:tcPr>
            <w:tcW w:type="dxa" w:w="950"/>
            <w:vAlign w:val="top"/>
          </w:tcPr>
          <w:p>
            <w:pPr>
              <w:spacing w:after="40" w:before="0" w:line="259" w:lineRule="auto"/>
            </w:pPr>
            <w:r>
              <w:rPr>
                <w:rFonts w:ascii="Calibri" w:hAnsi="Calibri"/>
                <w:b w:val="0"/>
                <w:i w:val="0"/>
                <w:color w:val="212121"/>
                <w:sz w:val="16"/>
              </w:rPr>
              <w:t>Regular rate 60-100, no failure</w:t>
            </w:r>
          </w:p>
        </w:tc>
        <w:tc>
          <w:tcPr>
            <w:tcW w:type="dxa" w:w="950"/>
            <w:vAlign w:val="top"/>
          </w:tcPr>
          <w:p>
            <w:pPr>
              <w:spacing w:after="40" w:before="0" w:line="259" w:lineRule="auto"/>
            </w:pPr>
            <w:r>
              <w:rPr>
                <w:rFonts w:ascii="Calibri" w:hAnsi="Calibri"/>
                <w:b w:val="0"/>
                <w:i w:val="0"/>
                <w:color w:val="212121"/>
                <w:sz w:val="16"/>
              </w:rPr>
              <w:t>Tachycardia, atrial fibrillation, wide pulse pressure, failure</w:t>
            </w:r>
          </w:p>
        </w:tc>
        <w:tc>
          <w:tcPr>
            <w:tcW w:type="dxa" w:w="1036"/>
            <w:vAlign w:val="top"/>
          </w:tcPr>
          <w:p>
            <w:pPr>
              <w:spacing w:after="40" w:before="0" w:line="259" w:lineRule="auto"/>
            </w:pPr>
            <w:r>
              <w:rPr>
                <w:rFonts w:ascii="Calibri" w:hAnsi="Calibri"/>
                <w:b w:val="0"/>
                <w:i w:val="0"/>
                <w:color w:val="212121"/>
                <w:sz w:val="16"/>
              </w:rPr>
              <w:t>Detects thyrotoxic cardiac complications needing urgent control</w:t>
            </w:r>
          </w:p>
        </w:tc>
        <w:tc>
          <w:tcPr>
            <w:tcW w:type="dxa" w:w="1036"/>
            <w:vAlign w:val="top"/>
          </w:tcPr>
          <w:p>
            <w:pPr>
              <w:spacing w:after="40" w:before="0" w:line="259" w:lineRule="auto"/>
            </w:pPr>
            <w:r>
              <w:rPr>
                <w:rFonts w:ascii="Calibri" w:hAnsi="Calibri"/>
                <w:b w:val="0"/>
                <w:i w:val="0"/>
                <w:color w:val="212121"/>
                <w:sz w:val="16"/>
              </w:rPr>
              <w:t>Elderly, longstanding untreated disease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 / risk stratification</w:t>
            </w:r>
          </w:p>
        </w:tc>
        <w:tc>
          <w:tcPr>
            <w:tcW w:type="dxa" w:w="720"/>
            <w:vAlign w:val="top"/>
          </w:tcPr>
          <w:p>
            <w:pPr>
              <w:spacing w:after="40" w:before="0" w:line="259" w:lineRule="auto"/>
            </w:pPr>
            <w:r>
              <w:rPr>
                <w:rFonts w:ascii="Calibri" w:hAnsi="Calibri"/>
                <w:b w:val="0"/>
                <w:i w:val="0"/>
                <w:color w:val="212121"/>
                <w:sz w:val="16"/>
              </w:rPr>
              <w:t>AF risk rises sharply with age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Neuromuscular examination</w:t>
            </w:r>
          </w:p>
        </w:tc>
        <w:tc>
          <w:tcPr>
            <w:tcW w:type="dxa" w:w="979"/>
            <w:vAlign w:val="top"/>
          </w:tcPr>
          <w:p>
            <w:pPr>
              <w:spacing w:after="40" w:before="0" w:line="259" w:lineRule="auto"/>
            </w:pPr>
            <w:r>
              <w:rPr>
                <w:rFonts w:ascii="Calibri" w:hAnsi="Calibri"/>
                <w:b w:val="0"/>
                <w:i w:val="0"/>
                <w:color w:val="212121"/>
                <w:sz w:val="16"/>
              </w:rPr>
              <w:t>Fine tremor, brisk reflexes, proximal muscle weakness</w:t>
            </w:r>
          </w:p>
        </w:tc>
        <w:tc>
          <w:tcPr>
            <w:tcW w:type="dxa" w:w="950"/>
            <w:vAlign w:val="top"/>
          </w:tcPr>
          <w:p>
            <w:pPr>
              <w:spacing w:after="40" w:before="0" w:line="259" w:lineRule="auto"/>
            </w:pPr>
            <w:r>
              <w:rPr>
                <w:rFonts w:ascii="Calibri" w:hAnsi="Calibri"/>
                <w:b w:val="0"/>
                <w:i w:val="0"/>
                <w:color w:val="212121"/>
                <w:sz w:val="16"/>
              </w:rPr>
              <w:t>No tremor, normal power/reflexes</w:t>
            </w:r>
          </w:p>
        </w:tc>
        <w:tc>
          <w:tcPr>
            <w:tcW w:type="dxa" w:w="950"/>
            <w:vAlign w:val="top"/>
          </w:tcPr>
          <w:p>
            <w:pPr>
              <w:spacing w:after="40" w:before="0" w:line="259" w:lineRule="auto"/>
            </w:pPr>
            <w:r>
              <w:rPr>
                <w:rFonts w:ascii="Calibri" w:hAnsi="Calibri"/>
                <w:b w:val="0"/>
                <w:i w:val="0"/>
                <w:color w:val="212121"/>
                <w:sz w:val="16"/>
              </w:rPr>
              <w:t>Fine tremor, hyperreflexia, proximal myopathy</w:t>
            </w:r>
          </w:p>
        </w:tc>
        <w:tc>
          <w:tcPr>
            <w:tcW w:type="dxa" w:w="1036"/>
            <w:vAlign w:val="top"/>
          </w:tcPr>
          <w:p>
            <w:pPr>
              <w:spacing w:after="40" w:before="0" w:line="259" w:lineRule="auto"/>
            </w:pPr>
            <w:r>
              <w:rPr>
                <w:rFonts w:ascii="Calibri" w:hAnsi="Calibri"/>
                <w:b w:val="0"/>
                <w:i w:val="0"/>
                <w:color w:val="212121"/>
                <w:sz w:val="16"/>
              </w:rPr>
              <w:t>Reflects catabolic, sympathetic-overdrive state of thyrotoxicosis</w:t>
            </w:r>
          </w:p>
        </w:tc>
        <w:tc>
          <w:tcPr>
            <w:tcW w:type="dxa" w:w="1036"/>
            <w:vAlign w:val="top"/>
          </w:tcPr>
          <w:p>
            <w:pPr>
              <w:spacing w:after="40" w:before="0" w:line="259" w:lineRule="auto"/>
            </w:pPr>
            <w:r>
              <w:rPr>
                <w:rFonts w:ascii="Calibri" w:hAnsi="Calibri"/>
                <w:b w:val="0"/>
                <w:i w:val="0"/>
                <w:color w:val="212121"/>
                <w:sz w:val="16"/>
              </w:rPr>
              <w:t>Adults with thyrotoxicosis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Thyrotoxic periodic paralysis is a rare emergency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Skin &amp; extremity examination</w:t>
            </w:r>
          </w:p>
        </w:tc>
        <w:tc>
          <w:tcPr>
            <w:tcW w:type="dxa" w:w="979"/>
            <w:vAlign w:val="top"/>
          </w:tcPr>
          <w:p>
            <w:pPr>
              <w:spacing w:after="40" w:before="0" w:line="259" w:lineRule="auto"/>
            </w:pPr>
            <w:r>
              <w:rPr>
                <w:rFonts w:ascii="Calibri" w:hAnsi="Calibri"/>
                <w:b w:val="0"/>
                <w:i w:val="0"/>
                <w:color w:val="212121"/>
                <w:sz w:val="16"/>
              </w:rPr>
              <w:t>Warm moist skin, palmar erythema, onycholysis, pretibial myxedema, acropachy</w:t>
            </w:r>
          </w:p>
        </w:tc>
        <w:tc>
          <w:tcPr>
            <w:tcW w:type="dxa" w:w="950"/>
            <w:vAlign w:val="top"/>
          </w:tcPr>
          <w:p>
            <w:pPr>
              <w:spacing w:after="40" w:before="0" w:line="259" w:lineRule="auto"/>
            </w:pPr>
            <w:r>
              <w:rPr>
                <w:rFonts w:ascii="Calibri" w:hAnsi="Calibri"/>
                <w:b w:val="0"/>
                <w:i w:val="0"/>
                <w:color w:val="212121"/>
                <w:sz w:val="16"/>
              </w:rPr>
              <w:t>Normal skin and nails</w:t>
            </w:r>
          </w:p>
        </w:tc>
        <w:tc>
          <w:tcPr>
            <w:tcW w:type="dxa" w:w="950"/>
            <w:vAlign w:val="top"/>
          </w:tcPr>
          <w:p>
            <w:pPr>
              <w:spacing w:after="40" w:before="0" w:line="259" w:lineRule="auto"/>
            </w:pPr>
            <w:r>
              <w:rPr>
                <w:rFonts w:ascii="Calibri" w:hAnsi="Calibri"/>
                <w:b w:val="0"/>
                <w:i w:val="0"/>
                <w:color w:val="212121"/>
                <w:sz w:val="16"/>
              </w:rPr>
              <w:t>Warm sweaty skin; rarely pretibial myxedema or acropachy</w:t>
            </w:r>
          </w:p>
        </w:tc>
        <w:tc>
          <w:tcPr>
            <w:tcW w:type="dxa" w:w="1036"/>
            <w:vAlign w:val="top"/>
          </w:tcPr>
          <w:p>
            <w:pPr>
              <w:spacing w:after="40" w:before="0" w:line="259" w:lineRule="auto"/>
            </w:pPr>
            <w:r>
              <w:rPr>
                <w:rFonts w:ascii="Calibri" w:hAnsi="Calibri"/>
                <w:b w:val="0"/>
                <w:i w:val="0"/>
                <w:color w:val="212121"/>
                <w:sz w:val="16"/>
              </w:rPr>
              <w:t>Skin signs support thyrotoxicosis; dermopathy/acropachy mark severe TRAb disease</w:t>
            </w:r>
          </w:p>
        </w:tc>
        <w:tc>
          <w:tcPr>
            <w:tcW w:type="dxa" w:w="1036"/>
            <w:vAlign w:val="top"/>
          </w:tcPr>
          <w:p>
            <w:pPr>
              <w:spacing w:after="40" w:before="0" w:line="259" w:lineRule="auto"/>
            </w:pPr>
            <w:r>
              <w:rPr>
                <w:rFonts w:ascii="Calibri" w:hAnsi="Calibri"/>
                <w:b w:val="0"/>
                <w:i w:val="0"/>
                <w:color w:val="212121"/>
                <w:sz w:val="16"/>
              </w:rPr>
              <w:t>Severe Graves' with orbitopathy</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Pretibial myxedema occurs in ~0.5-4.3%</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Heat intolerance &amp; excessive sweating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Raised metabolic rate increases heat production and skin blood flow.</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Thyroid hormone increases heart rate and contractility; may herald atrial fibrillation.</w:t>
            </w:r>
          </w:p>
        </w:tc>
      </w:tr>
      <w:tr>
        <w:trPr>
          <w:cantSplit/>
        </w:trPr>
        <w:tc>
          <w:tcPr>
            <w:tcW w:type="dxa" w:w="2304"/>
            <w:vAlign w:val="top"/>
          </w:tcPr>
          <w:p>
            <w:pPr>
              <w:spacing w:after="40" w:before="0" w:line="259" w:lineRule="auto"/>
            </w:pPr>
            <w:r>
              <w:rPr>
                <w:rFonts w:ascii="Calibri" w:hAnsi="Calibri"/>
                <w:b/>
                <w:i w:val="0"/>
                <w:color w:val="212121"/>
                <w:sz w:val="19"/>
              </w:rPr>
              <w:t>Unintentional weight loss despite good appetite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Hypermetabolism and catabolism outstrip increased food intake.</w:t>
            </w:r>
          </w:p>
        </w:tc>
      </w:tr>
      <w:tr>
        <w:trPr>
          <w:cantSplit/>
        </w:trPr>
        <w:tc>
          <w:tcPr>
            <w:tcW w:type="dxa" w:w="2304"/>
            <w:vAlign w:val="top"/>
          </w:tcPr>
          <w:p>
            <w:pPr>
              <w:spacing w:after="40" w:before="0" w:line="259" w:lineRule="auto"/>
            </w:pPr>
            <w:r>
              <w:rPr>
                <w:rFonts w:ascii="Calibri" w:hAnsi="Calibri"/>
                <w:b/>
                <w:i w:val="0"/>
                <w:color w:val="212121"/>
                <w:sz w:val="19"/>
              </w:rPr>
              <w:t>Fine tremor &amp; nervousness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Sympathetic overactivity produces tremor, restlessness and irritability.</w:t>
            </w:r>
          </w:p>
        </w:tc>
      </w:tr>
      <w:tr>
        <w:trPr>
          <w:cantSplit/>
        </w:trPr>
        <w:tc>
          <w:tcPr>
            <w:tcW w:type="dxa" w:w="2304"/>
            <w:vAlign w:val="top"/>
          </w:tcPr>
          <w:p>
            <w:pPr>
              <w:spacing w:after="40" w:before="0" w:line="259" w:lineRule="auto"/>
            </w:pPr>
            <w:r>
              <w:rPr>
                <w:rFonts w:ascii="Calibri" w:hAnsi="Calibri"/>
                <w:b/>
                <w:i w:val="0"/>
                <w:color w:val="212121"/>
                <w:sz w:val="19"/>
              </w:rPr>
              <w:t>Anxiety, irritability &amp; emotional lability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Thyrotoxicosis heightens arousal and mood instability.</w:t>
            </w:r>
          </w:p>
        </w:tc>
      </w:tr>
      <w:tr>
        <w:trPr>
          <w:cantSplit/>
        </w:trPr>
        <w:tc>
          <w:tcPr>
            <w:tcW w:type="dxa" w:w="2304"/>
            <w:vAlign w:val="top"/>
          </w:tcPr>
          <w:p>
            <w:pPr>
              <w:spacing w:after="40" w:before="0" w:line="259" w:lineRule="auto"/>
            </w:pPr>
            <w:r>
              <w:rPr>
                <w:rFonts w:ascii="Calibri" w:hAnsi="Calibri"/>
                <w:b/>
                <w:i w:val="0"/>
                <w:color w:val="212121"/>
                <w:sz w:val="19"/>
              </w:rPr>
              <w:t>Fatigue &amp; muscle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Proximal myopathy and catabolism cause tiredness and difficulty climbing stairs.</w:t>
            </w:r>
          </w:p>
        </w:tc>
      </w:tr>
      <w:tr>
        <w:trPr>
          <w:cantSplit/>
        </w:trPr>
        <w:tc>
          <w:tcPr>
            <w:tcW w:type="dxa" w:w="2304"/>
            <w:vAlign w:val="top"/>
          </w:tcPr>
          <w:p>
            <w:pPr>
              <w:spacing w:after="40" w:before="0" w:line="259" w:lineRule="auto"/>
            </w:pPr>
            <w:r>
              <w:rPr>
                <w:rFonts w:ascii="Calibri" w:hAnsi="Calibri"/>
                <w:b/>
                <w:i w:val="0"/>
                <w:color w:val="212121"/>
                <w:sz w:val="19"/>
              </w:rPr>
              <w:t>Increased bowel frequency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Accelerated gut transit causes frequent, loose stools (rarely frank diarrhoea).</w:t>
            </w:r>
          </w:p>
        </w:tc>
      </w:tr>
      <w:tr>
        <w:trPr>
          <w:cantSplit/>
        </w:trPr>
        <w:tc>
          <w:tcPr>
            <w:tcW w:type="dxa" w:w="2304"/>
            <w:vAlign w:val="top"/>
          </w:tcPr>
          <w:p>
            <w:pPr>
              <w:spacing w:after="40" w:before="0" w:line="259" w:lineRule="auto"/>
            </w:pPr>
            <w:r>
              <w:rPr>
                <w:rFonts w:ascii="Calibri" w:hAnsi="Calibri"/>
                <w:b/>
                <w:i w:val="0"/>
                <w:color w:val="212121"/>
                <w:sz w:val="19"/>
              </w:rPr>
              <w:t>Insomnia &amp; restlessness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Heightened metabolic and sympathetic tone disturbs sleep.</w:t>
            </w:r>
          </w:p>
        </w:tc>
      </w:tr>
      <w:tr>
        <w:trPr>
          <w:cantSplit/>
        </w:trPr>
        <w:tc>
          <w:tcPr>
            <w:tcW w:type="dxa" w:w="2304"/>
            <w:vAlign w:val="top"/>
          </w:tcPr>
          <w:p>
            <w:pPr>
              <w:spacing w:after="40" w:before="0" w:line="259" w:lineRule="auto"/>
            </w:pPr>
            <w:r>
              <w:rPr>
                <w:rFonts w:ascii="Calibri" w:hAnsi="Calibri"/>
                <w:b/>
                <w:i w:val="0"/>
                <w:color w:val="212121"/>
                <w:sz w:val="19"/>
              </w:rPr>
              <w:t>Neck swelling (goiter)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Diffuse thyroid enlargement may be visible or felt as fullness.</w:t>
            </w:r>
          </w:p>
        </w:tc>
      </w:tr>
      <w:tr>
        <w:trPr>
          <w:cantSplit/>
        </w:trPr>
        <w:tc>
          <w:tcPr>
            <w:tcW w:type="dxa" w:w="2304"/>
            <w:vAlign w:val="top"/>
          </w:tcPr>
          <w:p>
            <w:pPr>
              <w:spacing w:after="40" w:before="0" w:line="259" w:lineRule="auto"/>
            </w:pPr>
            <w:r>
              <w:rPr>
                <w:rFonts w:ascii="Calibri" w:hAnsi="Calibri"/>
                <w:b/>
                <w:i w:val="0"/>
                <w:color w:val="212121"/>
                <w:sz w:val="19"/>
              </w:rPr>
              <w:t>Menstrual irregularity / oligomenorrhoea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Thyrotoxicosis disrupts the hypothalamic-pituitary-ovarian axis in women.</w:t>
            </w:r>
          </w:p>
        </w:tc>
      </w:tr>
      <w:tr>
        <w:trPr>
          <w:cantSplit/>
        </w:trPr>
        <w:tc>
          <w:tcPr>
            <w:tcW w:type="dxa" w:w="2304"/>
            <w:vAlign w:val="top"/>
          </w:tcPr>
          <w:p>
            <w:pPr>
              <w:spacing w:after="40" w:before="0" w:line="259" w:lineRule="auto"/>
            </w:pPr>
            <w:r>
              <w:rPr>
                <w:rFonts w:ascii="Calibri" w:hAnsi="Calibri"/>
                <w:b/>
                <w:i w:val="0"/>
                <w:color w:val="212121"/>
                <w:sz w:val="19"/>
              </w:rPr>
              <w:t>Gritty, red or bulging eyes / double vision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Features of Graves' orbitopathy; grittiness, tearing, proptosis and diplopia.</w:t>
            </w:r>
          </w:p>
        </w:tc>
      </w:tr>
      <w:tr>
        <w:trPr>
          <w:cantSplit/>
        </w:trPr>
        <w:tc>
          <w:tcPr>
            <w:tcW w:type="dxa" w:w="2304"/>
            <w:vAlign w:val="top"/>
          </w:tcPr>
          <w:p>
            <w:pPr>
              <w:spacing w:after="40" w:before="0" w:line="259" w:lineRule="auto"/>
            </w:pPr>
            <w:r>
              <w:rPr>
                <w:rFonts w:ascii="Calibri" w:hAnsi="Calibri"/>
                <w:b/>
                <w:i w:val="0"/>
                <w:color w:val="212121"/>
                <w:sz w:val="19"/>
              </w:rPr>
              <w:t>Breathlessness on exertion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tachycardia, high-output state, respiratory-muscle weakness or heart failure.</w:t>
            </w:r>
          </w:p>
        </w:tc>
      </w:tr>
      <w:tr>
        <w:trPr>
          <w:cantSplit/>
        </w:trPr>
        <w:tc>
          <w:tcPr>
            <w:tcW w:type="dxa" w:w="2304"/>
            <w:vAlign w:val="top"/>
          </w:tcPr>
          <w:p>
            <w:pPr>
              <w:spacing w:after="40" w:before="0" w:line="259" w:lineRule="auto"/>
            </w:pPr>
            <w:r>
              <w:rPr>
                <w:rFonts w:ascii="Calibri" w:hAnsi="Calibri"/>
                <w:b/>
                <w:i w:val="0"/>
                <w:color w:val="212121"/>
                <w:sz w:val="19"/>
              </w:rPr>
              <w:t>Itchy thickened shin skin (pretibial myxedema)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Raised, non-pitting plaques over the shins; marks severe TRAb-driven disease.</w:t>
            </w:r>
          </w:p>
        </w:tc>
      </w:tr>
      <w:tr>
        <w:trPr>
          <w:cantSplit/>
        </w:trPr>
        <w:tc>
          <w:tcPr>
            <w:tcW w:type="dxa" w:w="2304"/>
            <w:vAlign w:val="top"/>
          </w:tcPr>
          <w:p>
            <w:pPr>
              <w:spacing w:after="40" w:before="0" w:line="259" w:lineRule="auto"/>
            </w:pPr>
            <w:r>
              <w:rPr>
                <w:rFonts w:ascii="Calibri" w:hAnsi="Calibri"/>
                <w:b/>
                <w:i w:val="0"/>
                <w:color w:val="212121"/>
                <w:sz w:val="19"/>
              </w:rPr>
              <w:t>Sudden profound limb weakness (thyrotoxic periodic paralysis)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Hypokalaemic paralysis, more frequent in Asian men - an acute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Tachycardia / atrial fibrillation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Resting tachycardia is typical; new atrial fibrillation is common in the elderly.</w:t>
            </w:r>
          </w:p>
        </w:tc>
      </w:tr>
      <w:tr>
        <w:trPr>
          <w:cantSplit/>
        </w:trPr>
        <w:tc>
          <w:tcPr>
            <w:tcW w:type="dxa" w:w="3456"/>
            <w:vAlign w:val="top"/>
          </w:tcPr>
          <w:p>
            <w:pPr>
              <w:spacing w:after="40" w:before="0" w:line="259" w:lineRule="auto"/>
            </w:pPr>
            <w:r>
              <w:rPr>
                <w:rFonts w:ascii="Calibri" w:hAnsi="Calibri"/>
                <w:b/>
                <w:i w:val="0"/>
                <w:color w:val="212121"/>
                <w:sz w:val="19"/>
              </w:rPr>
              <w:t>Fine tremor of outstretched hands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Sympathetic overactivity; classic bedside sign.</w:t>
            </w:r>
          </w:p>
        </w:tc>
      </w:tr>
      <w:tr>
        <w:trPr>
          <w:cantSplit/>
        </w:trPr>
        <w:tc>
          <w:tcPr>
            <w:tcW w:type="dxa" w:w="3456"/>
            <w:vAlign w:val="top"/>
          </w:tcPr>
          <w:p>
            <w:pPr>
              <w:spacing w:after="40" w:before="0" w:line="259" w:lineRule="auto"/>
            </w:pPr>
            <w:r>
              <w:rPr>
                <w:rFonts w:ascii="Calibri" w:hAnsi="Calibri"/>
                <w:b/>
                <w:i w:val="0"/>
                <w:color w:val="212121"/>
                <w:sz w:val="19"/>
              </w:rPr>
              <w:t>Warm, moist skin &amp; palmar erythema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Peripheral vasodilatation and sweating from the hypermetabolic state.</w:t>
            </w:r>
          </w:p>
        </w:tc>
      </w:tr>
      <w:tr>
        <w:trPr>
          <w:cantSplit/>
        </w:trPr>
        <w:tc>
          <w:tcPr>
            <w:tcW w:type="dxa" w:w="3456"/>
            <w:vAlign w:val="top"/>
          </w:tcPr>
          <w:p>
            <w:pPr>
              <w:spacing w:after="40" w:before="0" w:line="259" w:lineRule="auto"/>
            </w:pPr>
            <w:r>
              <w:rPr>
                <w:rFonts w:ascii="Calibri" w:hAnsi="Calibri"/>
                <w:b/>
                <w:i w:val="0"/>
                <w:color w:val="212121"/>
                <w:sz w:val="19"/>
              </w:rPr>
              <w:t>Diffuse goiter with bruit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Symmetrical vascular enlargement; an audible bruit reflects hypervascularity.</w:t>
            </w:r>
          </w:p>
        </w:tc>
      </w:tr>
      <w:tr>
        <w:trPr>
          <w:cantSplit/>
        </w:trPr>
        <w:tc>
          <w:tcPr>
            <w:tcW w:type="dxa" w:w="3456"/>
            <w:vAlign w:val="top"/>
          </w:tcPr>
          <w:p>
            <w:pPr>
              <w:spacing w:after="40" w:before="0" w:line="259" w:lineRule="auto"/>
            </w:pPr>
            <w:r>
              <w:rPr>
                <w:rFonts w:ascii="Calibri" w:hAnsi="Calibri"/>
                <w:b/>
                <w:i w:val="0"/>
                <w:color w:val="212121"/>
                <w:sz w:val="19"/>
              </w:rPr>
              <w:t>Lid retraction &amp; lid lag (von Graefe's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Sympathetic-driven eyelid signs; present in thyrotoxicosis of any cause but prominent in Graves'.</w:t>
            </w:r>
          </w:p>
        </w:tc>
      </w:tr>
      <w:tr>
        <w:trPr>
          <w:cantSplit/>
        </w:trPr>
        <w:tc>
          <w:tcPr>
            <w:tcW w:type="dxa" w:w="3456"/>
            <w:vAlign w:val="top"/>
          </w:tcPr>
          <w:p>
            <w:pPr>
              <w:spacing w:after="40" w:before="0" w:line="259" w:lineRule="auto"/>
            </w:pPr>
            <w:r>
              <w:rPr>
                <w:rFonts w:ascii="Calibri" w:hAnsi="Calibri"/>
                <w:b/>
                <w:i w:val="0"/>
                <w:color w:val="212121"/>
                <w:sz w:val="19"/>
              </w:rPr>
              <w:t>Proptosis / exophthalmos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Forward eye displacement from orbital inflammation - specific to Graves' orbitopathy.</w:t>
            </w:r>
          </w:p>
        </w:tc>
      </w:tr>
      <w:tr>
        <w:trPr>
          <w:cantSplit/>
        </w:trPr>
        <w:tc>
          <w:tcPr>
            <w:tcW w:type="dxa" w:w="3456"/>
            <w:vAlign w:val="top"/>
          </w:tcPr>
          <w:p>
            <w:pPr>
              <w:spacing w:after="40" w:before="0" w:line="259" w:lineRule="auto"/>
            </w:pPr>
            <w:r>
              <w:rPr>
                <w:rFonts w:ascii="Calibri" w:hAnsi="Calibri"/>
                <w:b/>
                <w:i w:val="0"/>
                <w:color w:val="212121"/>
                <w:sz w:val="19"/>
              </w:rPr>
              <w:t>Hyperreflexia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Brisk deep-tendon reflexes with quick relaxation phase.</w:t>
            </w:r>
          </w:p>
        </w:tc>
      </w:tr>
      <w:tr>
        <w:trPr>
          <w:cantSplit/>
        </w:trPr>
        <w:tc>
          <w:tcPr>
            <w:tcW w:type="dxa" w:w="3456"/>
            <w:vAlign w:val="top"/>
          </w:tcPr>
          <w:p>
            <w:pPr>
              <w:spacing w:after="40" w:before="0" w:line="259" w:lineRule="auto"/>
            </w:pPr>
            <w:r>
              <w:rPr>
                <w:rFonts w:ascii="Calibri" w:hAnsi="Calibri"/>
                <w:b/>
                <w:i w:val="0"/>
                <w:color w:val="212121"/>
                <w:sz w:val="19"/>
              </w:rPr>
              <w:t>Wide pulse pressure / systolic hypertension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High-output circulatory state raises systolic pressure and pulse pressure.</w:t>
            </w:r>
          </w:p>
        </w:tc>
      </w:tr>
      <w:tr>
        <w:trPr>
          <w:cantSplit/>
        </w:trPr>
        <w:tc>
          <w:tcPr>
            <w:tcW w:type="dxa" w:w="3456"/>
            <w:vAlign w:val="top"/>
          </w:tcPr>
          <w:p>
            <w:pPr>
              <w:spacing w:after="40" w:before="0" w:line="259" w:lineRule="auto"/>
            </w:pPr>
            <w:r>
              <w:rPr>
                <w:rFonts w:ascii="Calibri" w:hAnsi="Calibri"/>
                <w:b/>
                <w:i w:val="0"/>
                <w:color w:val="212121"/>
                <w:sz w:val="19"/>
              </w:rPr>
              <w:t>Proximal muscle wasting / weakness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Thyrotoxic myopathy, best shown by difficulty rising from squatting.</w:t>
            </w:r>
          </w:p>
        </w:tc>
      </w:tr>
      <w:tr>
        <w:trPr>
          <w:cantSplit/>
        </w:trPr>
        <w:tc>
          <w:tcPr>
            <w:tcW w:type="dxa" w:w="3456"/>
            <w:vAlign w:val="top"/>
          </w:tcPr>
          <w:p>
            <w:pPr>
              <w:spacing w:after="40" w:before="0" w:line="259" w:lineRule="auto"/>
            </w:pPr>
            <w:r>
              <w:rPr>
                <w:rFonts w:ascii="Calibri" w:hAnsi="Calibri"/>
                <w:b/>
                <w:i w:val="0"/>
                <w:color w:val="212121"/>
                <w:sz w:val="19"/>
              </w:rPr>
              <w:t>Onycholysis (Plummer's nails)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Separation of the nail from its bed, associated with thyrotoxicosis.</w:t>
            </w:r>
          </w:p>
        </w:tc>
      </w:tr>
      <w:tr>
        <w:trPr>
          <w:cantSplit/>
        </w:trPr>
        <w:tc>
          <w:tcPr>
            <w:tcW w:type="dxa" w:w="3456"/>
            <w:vAlign w:val="top"/>
          </w:tcPr>
          <w:p>
            <w:pPr>
              <w:spacing w:after="40" w:before="0" w:line="259" w:lineRule="auto"/>
            </w:pPr>
            <w:r>
              <w:rPr>
                <w:rFonts w:ascii="Calibri" w:hAnsi="Calibri"/>
                <w:b/>
                <w:i w:val="0"/>
                <w:color w:val="212121"/>
                <w:sz w:val="19"/>
              </w:rPr>
              <w:t>Pretibial myxedema / thyroid acropachy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Non-pitting shin plaques and clubbing-like digital changes; signal severe Graves' with orbitopathy.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Thyroid storm (decompensated, life-threatening thyrotoxicosis)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Atrial fibrillation and atrial flutter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Thyrotoxic (hypokalaemic) periodic paralysis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High-output cardiac state</w:t>
            </w:r>
          </w:p>
        </w:tc>
        <w:tc>
          <w:tcPr>
            <w:tcW w:type="dxa" w:w="2980"/>
            <w:vAlign w:val="top"/>
          </w:tcPr>
          <w:p>
            <w:pPr>
              <w:spacing w:after="40" w:before="0" w:line="259" w:lineRule="auto"/>
            </w:pPr>
            <w:r>
              <w:rPr>
                <w:rFonts w:ascii="Calibri" w:hAnsi="Calibri"/>
                <w:b w:val="0"/>
                <w:i w:val="0"/>
                <w:color w:val="212121"/>
                <w:sz w:val="19"/>
              </w:rPr>
              <w:t>Acute, direct consequences of severe or decompensated thyrotoxicosis; thyroid storm carries a mortality of roughly 8-25%.</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Graves' orbitopathy (thyroid eye disease), including corneal exposure and optic-nerve compression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Osteoporosis and increased fracture risk from accelerated bone turnover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Thyrotoxic cardiomyopathy and congestive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Muscle wasting (thyrotoxic myopathy)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pregnancy outcomes (miscarriage, preterm birth, fetal/neonatal thyrotoxicosis)</w:t>
            </w:r>
          </w:p>
        </w:tc>
        <w:tc>
          <w:tcPr>
            <w:tcW w:type="dxa" w:w="2980"/>
            <w:vAlign w:val="top"/>
          </w:tcPr>
          <w:p>
            <w:pPr>
              <w:spacing w:after="40" w:before="0" w:line="259" w:lineRule="auto"/>
            </w:pPr>
            <w:r>
              <w:rPr>
                <w:rFonts w:ascii="Calibri" w:hAnsi="Calibri"/>
                <w:b w:val="0"/>
                <w:i w:val="0"/>
                <w:color w:val="212121"/>
                <w:sz w:val="19"/>
              </w:rPr>
              <w:t>Result from sustained hyperthyroidism and TRAb-mediated extrathyroidal disease.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Vision loss from optic neuropathy or exposure keratopathy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Stroke and systemic thromboembolism from atrial fibrillation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hypothyroidism requiring lifelong levothyroxine after radioactive iodine or thyroidectomy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Disfiguring proptosis and diplopia requiring orbital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Fragility fractures and vertebral collapse</w:t>
            </w:r>
          </w:p>
        </w:tc>
        <w:tc>
          <w:tcPr>
            <w:tcW w:type="dxa" w:w="2980"/>
            <w:vAlign w:val="top"/>
          </w:tcPr>
          <w:p>
            <w:pPr>
              <w:spacing w:after="40" w:before="0" w:line="259" w:lineRule="auto"/>
            </w:pPr>
            <w:r>
              <w:rPr>
                <w:rFonts w:ascii="Calibri" w:hAnsi="Calibri"/>
                <w:b w:val="0"/>
                <w:i w:val="0"/>
                <w:color w:val="212121"/>
                <w:sz w:val="19"/>
              </w:rPr>
              <w:t>Irreversible or disabling end-stage outcomes of longstanding disease or of definitive 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Graves' orbitopathy (thyroid eye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TRAb-driven orbital inflammation; the major extrathyroidal manifestation, worsened by smoking and by radioactive-iodine therapy. In India usually mild and inactive.</w:t>
            </w:r>
          </w:p>
          <w:p>
            <w:pPr>
              <w:spacing w:after="40" w:before="0" w:line="259" w:lineRule="auto"/>
            </w:pPr>
            <w:r>
              <w:rPr>
                <w:rFonts w:ascii="Calibri" w:hAnsi="Calibri"/>
                <w:b/>
                <w:i w:val="0"/>
                <w:color w:val="212121"/>
                <w:sz w:val="19"/>
              </w:rPr>
              <w:t>~28% (north India cohort)</w:t>
            </w:r>
          </w:p>
        </w:tc>
      </w:tr>
      <w:tr>
        <w:trPr>
          <w:cantSplit/>
        </w:trPr>
        <w:tc>
          <w:tcPr>
            <w:tcW w:type="dxa" w:w="2232"/>
            <w:vAlign w:val="top"/>
          </w:tcPr>
          <w:p>
            <w:pPr>
              <w:spacing w:after="40" w:before="0" w:line="259" w:lineRule="auto"/>
            </w:pPr>
            <w:r>
              <w:rPr>
                <w:rFonts w:ascii="Calibri" w:hAnsi="Calibri"/>
                <w:b/>
                <w:i w:val="0"/>
                <w:color w:val="212121"/>
                <w:sz w:val="19"/>
              </w:rPr>
              <w:t>Atrial fibrillation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Thyroid hormone excess shortens atrial refractoriness; AF risk rises sharply with age and often reverts once euthyroid, but carries stroke risk meanwhile.</w:t>
            </w:r>
          </w:p>
          <w:p>
            <w:pPr>
              <w:spacing w:after="40" w:before="0" w:line="259" w:lineRule="auto"/>
            </w:pPr>
            <w:r>
              <w:rPr>
                <w:rFonts w:ascii="Calibri" w:hAnsi="Calibri"/>
                <w:b/>
                <w:i w:val="0"/>
                <w:color w:val="212121"/>
                <w:sz w:val="19"/>
              </w:rPr>
              <w:t>~10-15% of overt cases (rises with age)</w:t>
            </w:r>
          </w:p>
        </w:tc>
      </w:tr>
      <w:tr>
        <w:trPr>
          <w:cantSplit/>
        </w:trPr>
        <w:tc>
          <w:tcPr>
            <w:tcW w:type="dxa" w:w="2232"/>
            <w:vAlign w:val="top"/>
          </w:tcPr>
          <w:p>
            <w:pPr>
              <w:spacing w:after="40" w:before="0" w:line="259" w:lineRule="auto"/>
            </w:pPr>
            <w:r>
              <w:rPr>
                <w:rFonts w:ascii="Calibri" w:hAnsi="Calibri"/>
                <w:b/>
                <w:i w:val="0"/>
                <w:color w:val="212121"/>
                <w:sz w:val="19"/>
              </w:rPr>
              <w:t>Osteoporosis / fragility fracture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Thyrotoxicosis accelerates bone turnover and lowers bone mineral density, raising fracture risk, especially in post-menopausal women.</w:t>
            </w:r>
          </w:p>
        </w:tc>
      </w:tr>
      <w:tr>
        <w:trPr>
          <w:cantSplit/>
        </w:trPr>
        <w:tc>
          <w:tcPr>
            <w:tcW w:type="dxa" w:w="2232"/>
            <w:vAlign w:val="top"/>
          </w:tcPr>
          <w:p>
            <w:pPr>
              <w:spacing w:after="40" w:before="0" w:line="259" w:lineRule="auto"/>
            </w:pPr>
            <w:r>
              <w:rPr>
                <w:rFonts w:ascii="Calibri" w:hAnsi="Calibri"/>
                <w:b/>
                <w:i w:val="0"/>
                <w:color w:val="212121"/>
                <w:sz w:val="19"/>
              </w:rPr>
              <w:t>Type 1 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HLA and PTPN22 susceptibility; may coexist within autoimmune polyglandular syndrome and complicates glycaemic control during thyrotoxicosis.</w:t>
            </w:r>
          </w:p>
        </w:tc>
      </w:tr>
      <w:tr>
        <w:trPr>
          <w:cantSplit/>
        </w:trPr>
        <w:tc>
          <w:tcPr>
            <w:tcW w:type="dxa" w:w="2232"/>
            <w:vAlign w:val="top"/>
          </w:tcPr>
          <w:p>
            <w:pPr>
              <w:spacing w:after="40" w:before="0" w:line="259" w:lineRule="auto"/>
            </w:pPr>
            <w:r>
              <w:rPr>
                <w:rFonts w:ascii="Calibri" w:hAnsi="Calibri"/>
                <w:b/>
                <w:i w:val="0"/>
                <w:color w:val="212121"/>
                <w:sz w:val="19"/>
              </w:rPr>
              <w:t>Rheumatoid arthritis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The most common autoimmune disorder coexisting with Graves' disease, reflecting shared immune dysregulation.</w:t>
            </w:r>
          </w:p>
        </w:tc>
      </w:tr>
      <w:tr>
        <w:trPr>
          <w:cantSplit/>
        </w:trPr>
        <w:tc>
          <w:tcPr>
            <w:tcW w:type="dxa" w:w="2232"/>
            <w:vAlign w:val="top"/>
          </w:tcPr>
          <w:p>
            <w:pPr>
              <w:spacing w:after="40" w:before="0" w:line="259" w:lineRule="auto"/>
            </w:pPr>
            <w:r>
              <w:rPr>
                <w:rFonts w:ascii="Calibri" w:hAnsi="Calibri"/>
                <w:b/>
                <w:i w:val="0"/>
                <w:color w:val="212121"/>
                <w:sz w:val="19"/>
              </w:rPr>
              <w:t>Vitiligo</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Organ-specific autoimmunity against melanocytes frequently clusters with autoimmune thyroid disease.</w:t>
            </w:r>
          </w:p>
        </w:tc>
      </w:tr>
      <w:tr>
        <w:trPr>
          <w:cantSplit/>
        </w:trPr>
        <w:tc>
          <w:tcPr>
            <w:tcW w:type="dxa" w:w="2232"/>
            <w:vAlign w:val="top"/>
          </w:tcPr>
          <w:p>
            <w:pPr>
              <w:spacing w:after="40" w:before="0" w:line="259" w:lineRule="auto"/>
            </w:pPr>
            <w:r>
              <w:rPr>
                <w:rFonts w:ascii="Calibri" w:hAnsi="Calibri"/>
                <w:b/>
                <w:i w:val="0"/>
                <w:color w:val="212121"/>
                <w:sz w:val="19"/>
              </w:rPr>
              <w:t>Pernicious anemia (autoimmune gastritis / B12 deficiency)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autoimmune predisposition; warrants B12 screening in symptomatic Graves' patients.</w:t>
            </w:r>
          </w:p>
        </w:tc>
      </w:tr>
      <w:tr>
        <w:trPr>
          <w:cantSplit/>
        </w:trPr>
        <w:tc>
          <w:tcPr>
            <w:tcW w:type="dxa" w:w="2232"/>
            <w:vAlign w:val="top"/>
          </w:tcPr>
          <w:p>
            <w:pPr>
              <w:spacing w:after="40" w:before="0" w:line="259" w:lineRule="auto"/>
            </w:pPr>
            <w:r>
              <w:rPr>
                <w:rFonts w:ascii="Calibri" w:hAnsi="Calibri"/>
                <w:b/>
                <w:i w:val="0"/>
                <w:color w:val="212121"/>
                <w:sz w:val="19"/>
              </w:rPr>
              <w:t>Celiac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autoimmune co-occurrence that can impair absorption of thyroid medication and nutrients, altering management.</w:t>
            </w:r>
          </w:p>
        </w:tc>
      </w:tr>
      <w:tr>
        <w:trPr>
          <w:cantSplit/>
        </w:trPr>
        <w:tc>
          <w:tcPr>
            <w:tcW w:type="dxa" w:w="2232"/>
            <w:vAlign w:val="top"/>
          </w:tcPr>
          <w:p>
            <w:pPr>
              <w:spacing w:after="40" w:before="0" w:line="259" w:lineRule="auto"/>
            </w:pPr>
            <w:r>
              <w:rPr>
                <w:rFonts w:ascii="Calibri" w:hAnsi="Calibri"/>
                <w:b/>
                <w:i w:val="0"/>
                <w:color w:val="212121"/>
                <w:sz w:val="19"/>
              </w:rPr>
              <w:t>Myasthenia gravis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Coexisting autoimmune neuromuscular disorder, over-represented in men with Graves'; overlapping ocular symptoms complicate assessment.</w:t>
            </w:r>
          </w:p>
        </w:tc>
      </w:tr>
      <w:tr>
        <w:trPr>
          <w:cantSplit/>
        </w:trPr>
        <w:tc>
          <w:tcPr>
            <w:tcW w:type="dxa" w:w="2232"/>
            <w:vAlign w:val="top"/>
          </w:tcPr>
          <w:p>
            <w:pPr>
              <w:spacing w:after="40" w:before="0" w:line="259" w:lineRule="auto"/>
            </w:pPr>
            <w:r>
              <w:rPr>
                <w:rFonts w:ascii="Calibri" w:hAnsi="Calibri"/>
                <w:b/>
                <w:i w:val="0"/>
                <w:color w:val="212121"/>
                <w:sz w:val="19"/>
              </w:rPr>
              <w:t>Anxiety and 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Thyrotoxicosis produces anxiety, irritability and mood disturbance, while stress can trigger and perpetuate disease - a bidirectional relationship.</w:t>
            </w:r>
          </w:p>
        </w:tc>
      </w:tr>
      <w:tr>
        <w:trPr>
          <w:cantSplit/>
        </w:trPr>
        <w:tc>
          <w:tcPr>
            <w:tcW w:type="dxa" w:w="2232"/>
            <w:vAlign w:val="top"/>
          </w:tcPr>
          <w:p>
            <w:pPr>
              <w:spacing w:after="40" w:before="0" w:line="259" w:lineRule="auto"/>
            </w:pPr>
            <w:r>
              <w:rPr>
                <w:rFonts w:ascii="Calibri" w:hAnsi="Calibri"/>
                <w:b/>
                <w:i w:val="0"/>
                <w:color w:val="212121"/>
                <w:sz w:val="19"/>
              </w:rPr>
              <w:t>Autoimmune adrenal insufficiency (Addison's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Part of autoimmune polyglandular syndrome; unrecognised co-existence can precipitate crisis during thyrotoxic stress.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features - unexplained weight loss with good appetite, palpitations, heat intolerance, tremor, anxiety and neck swelling - and seek thyroid testing.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personal risk factors: family history of thyroid or autoimmune disease, female sex, the post-partum year, and smoking.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unnecessary iodine loads (kelp/seaweed supplements, high-dose iodine) and tell clinicians about thyroid disease before iodinated contrast scans or amiodarone.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 should have thyroid status and TRAb assessed, as Graves' affects both mother and baby.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smoking strongly worsens Graves' disease and especially the eye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reproductive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Relatives of thyroid/autoimmune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Post-partum women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start smoking; avoid second-hand smoke, which also raises orbitopathy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existing smokers, complete cessation is the single most effective step to lower Graves' and eye-disease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structured cessation support (counselling, nicotine replacement, quit-lines) at every visit.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at risk of orbitopathy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 of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Emphasise that quitting slows progression of Graves' orbitopathy and improves response to eye-disease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Time smoking cessation before any planned radioactive-iodine therapy, which can otherwise worsen eye disease in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orbitopathy care (lubricants, selenium in mild disease, specialist referral for moderate-severe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Graves' orbitopathy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undergoing radioactive-iodine therapy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stress-management skills (relaxation, breathing, yoga, mindfulness), as major stressful life events are strongly linked to disease onset.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early support during high-stress periods, particularly post-partum, in those with a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routines, adequate sleep and social support to buffer 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in the post-partum period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that anxiety, irritability and mood swings are often symptoms of thyrotoxicosis that improve once euthyroid.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and, where needed, psychological support alongside antithyroid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coexisting anxiety or depression, which affect adherence and quality of life.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thyrotoxicosis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coexisting anxiety/depression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excess iodine from kelp, seaweed and iodine supplements, which can precipitate hyperthyroidism in susceptible people.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iodine intake around the recommended daily amount rather than mega-doses.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vitamin D and selenium as part of a balanced diet to protect bone and thyroid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Susceptible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Supplement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before contrast imaging or amiodarone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active thyrotoxicosis, ensure adequate calories and protein to offset the catabolic, hypermetabolic state.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bone health with calcium and vitamin D, given the elevated osteoporosis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selenium supplementation in mild orbitopathy, where a trial showed improved quality of life and slowed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and stimulants that worsen palpitations, tremor and insomnia while thyrotoxic.</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thyrotoxicosis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osteoporosis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mild orbitopathy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strenuous or high-intensity exercise while thyrotoxicosis is uncontrolled, because of arrhythmia and heart-strain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graded aerobic and resistance activity once euthyroid to rebuild muscle and protect bone.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weight-bearing exercise to counter thyrotoxicosis-related bone loss.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toward euthyroidism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thyrotoxic myopathy or low bone density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that insomnia and restlessness usually improve as thyroid levels normalise with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and limit evening caffeine and stimulants during active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orbitopathy, elevate the head of the bed to reduce overnight periorbital swelling.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thyrotoxic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orbitopathy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heavy drinking is discouraged despite an observed inverse association with Graves'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alcohol to self-treat anxiety or insomnia related to thyrotoxicosis.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alcohol can mask or mimic thyrotoxic symptoms such as tremor and palpitations.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thyrotoxic symptoms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48195/" TargetMode="External"/><Relationship Id="rId10" Type="http://schemas.openxmlformats.org/officeDocument/2006/relationships/hyperlink" Target="https://academic.oup.com/pmj/article-abstract/102/1207/392/8406481" TargetMode="External"/><Relationship Id="rId11" Type="http://schemas.openxmlformats.org/officeDocument/2006/relationships/hyperlink" Target="https://www.ncbi.nlm.nih.gov/books/NBK279107/" TargetMode="External"/><Relationship Id="rId12" Type="http://schemas.openxmlformats.org/officeDocument/2006/relationships/hyperlink" Target="https://academic.oup.com/ejendo/article-abstract/146/2/153/6753447" TargetMode="External"/><Relationship Id="rId13" Type="http://schemas.openxmlformats.org/officeDocument/2006/relationships/hyperlink" Target="https://link.springer.com/article/10.1186/s12902-023-01450-y" TargetMode="External"/><Relationship Id="rId14" Type="http://schemas.openxmlformats.org/officeDocument/2006/relationships/hyperlink" Target="https://www.nejm.org/doi/full/10.1056/NEJMoa1012985" TargetMode="External"/><Relationship Id="rId15" Type="http://schemas.openxmlformats.org/officeDocument/2006/relationships/hyperlink" Target="https://www.thyroid.org/patient-thyroid-information/ct-for-patients/vol-3-issue-4/vol-3-issue-4-p-7-8/" TargetMode="External"/><Relationship Id="rId16" Type="http://schemas.openxmlformats.org/officeDocument/2006/relationships/hyperlink" Target="https://pubmed.ncbi.nlm.nih.gov/246040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