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Thyroid Nodules</w:t>
      </w:r>
    </w:p>
    <w:p>
      <w:pPr>
        <w:spacing w:before="0" w:after="160"/>
      </w:pPr>
      <w:r>
        <w:rPr>
          <w:rFonts w:ascii="Calibri" w:hAnsi="Calibri"/>
          <w:b/>
          <w:i w:val="0"/>
          <w:color w:val="212121"/>
          <w:sz w:val="22"/>
        </w:rPr>
        <w:t xml:space="preserve">AKA </w:t>
      </w:r>
      <w:r>
        <w:rPr>
          <w:rFonts w:ascii="Calibri" w:hAnsi="Calibri"/>
          <w:b w:val="0"/>
          <w:i w:val="0"/>
          <w:color w:val="212121"/>
          <w:sz w:val="22"/>
        </w:rPr>
        <w:t>i.e., Thyroid lump, Thyroid swelling, Nodular goitre, Solitary thyroid nodule (STN), Thyroid incidentaloma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thyroid nodule is a discrete lesion within the thyroid gland that is radiologically distinct from the surrounding thyroid parenchyma. Nodules may be solitary or multiple (multinodular goitre), solid or cystic, and functioning ('hot'/autonomous) or non-functioning ('cold'). The overwhelming majority are benign colloid nodules, adenomas or thyroiditis-related lesions; a minority (about 5-15%) harbour thyroid malignancy, which is the principal clinical concern that drives evaluation.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Thyroid nodules are common: roughly 5-10% of Indian adults have a palpable nodule, but high-resolution ultrasound uncovers nodules in a far larger share of the population - about one-third to two-thirds of adults - with prevalence rising with age and three to four times higher in women. India carries a large thyroid-disease burden overall (an estimated 42 million people), palpable goitre affects around 12% of adults, and thyroid-cancer incidence is climbing, especially in coastal and urban South India (age-adjusted rates up to ~10.9 per 100,000 in Thiruvananthapuram). About 90-95% of nodules are benign; only ~5-15% harbour malignancy, which is the main reason nodules are worked up.</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Evaluation of a thyroid nodule is driven by two aims: to exclude malignancy and to detect autonomous (hyperfunctioning) nodules. Assessment combines biochemistry, imaging with structured risk stratification, and cytology: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TSH is the first-line test; a low TSH points to a possibly autonomous ('hot') nodule and prompts a radionuclide scan, whereas a normal or high TSH prompts ultrasound-based assessment.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High-resolution neck ultrasound characterises each nodule (size, composition, echogenicity, margins, shape, calcifications) and assigns a malignancy-risk category using ACR TI-RADS or EU-TIRADS.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Radionuclide (Tc-99m or I-123) thyroid scintigraphy is used when TSH is low, to separate autonomously functioning nodules (rarely malignant) from hypofunctioning ('cold') nodules.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Ultrasound-guided fine-needle aspiration cytology (FNAC) is the definitive test for malignancy risk, with size thresholds set by TI-RADS category; results are reported by the Bethesda System for Reporting Thyroid Cytopathology (categories I-VI).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calcitonin is measured selectively when medullary thyroid carcinoma is suspected (family history, MEN2, suspicious features); a markedly raised level is diagnostic.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testing (e.g., BRAF, RAS, RET/PTC) can refine risk in indeterminate cytology (Bethesda III/IV) to guide surgery versus surveillance.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Thyroid nodules are classified along several practical axes - number and structure, function, imaging risk, cytology and histopathology:</w:t>
      </w:r>
    </w:p>
    <w:p>
      <w:pPr>
        <w:spacing w:before="0" w:after="80"/>
      </w:pPr>
      <w:r>
        <w:rPr>
          <w:rFonts w:ascii="Calibri" w:hAnsi="Calibri"/>
          <w:b w:val="0"/>
          <w:i w:val="0"/>
          <w:color w:val="212121"/>
          <w:sz w:val="21"/>
        </w:rPr>
        <w:t>(1) By number and structure: a solitary thyroid nodule versus a multinodular goitre; nodules may be solid, purely cystic, or mixed solid-cystic.</w:t>
      </w:r>
    </w:p>
    <w:p>
      <w:pPr>
        <w:spacing w:before="0" w:after="80"/>
      </w:pPr>
      <w:r>
        <w:rPr>
          <w:rFonts w:ascii="Calibri" w:hAnsi="Calibri"/>
          <w:b w:val="0"/>
          <w:i w:val="0"/>
          <w:color w:val="212121"/>
          <w:sz w:val="21"/>
        </w:rPr>
        <w:t>(2) By function: hyperfunctioning ('hot'/autonomous) nodules that concentrate tracer and are malignant in under ~1% of cases, versus hypofunctioning ('cold') nodules that carry most of the malignancy risk.</w:t>
      </w:r>
    </w:p>
    <w:p>
      <w:pPr>
        <w:spacing w:before="0" w:after="80"/>
      </w:pPr>
      <w:r>
        <w:rPr>
          <w:rFonts w:ascii="Calibri" w:hAnsi="Calibri"/>
          <w:b w:val="0"/>
          <w:i w:val="0"/>
          <w:color w:val="212121"/>
          <w:sz w:val="21"/>
        </w:rPr>
        <w:t>(3) By ultrasound risk (ACR TI-RADS TR1-TR5 or EU-TIRADS 1-5): categories graded from benign to highly suspicious based on composition, echogenicity, shape, margin and echogenic foci, which set the size threshold for biopsy.</w:t>
      </w:r>
    </w:p>
    <w:p>
      <w:pPr>
        <w:spacing w:before="0" w:after="80"/>
      </w:pPr>
      <w:r>
        <w:rPr>
          <w:rFonts w:ascii="Calibri" w:hAnsi="Calibri"/>
          <w:b w:val="0"/>
          <w:i w:val="0"/>
          <w:color w:val="212121"/>
          <w:sz w:val="21"/>
        </w:rPr>
        <w:t>(4) By cytology (Bethesda System I-VI): I nondiagnostic, II benign, III atypia/follicular lesion of undetermined significance (AUS/FLUS), IV follicular neoplasm, V suspicious for malignancy, VI malignant - each with an associated malignancy risk and defined management.</w:t>
      </w:r>
    </w:p>
    <w:p>
      <w:pPr>
        <w:spacing w:before="0" w:after="80"/>
      </w:pPr>
      <w:r>
        <w:rPr>
          <w:rFonts w:ascii="Calibri" w:hAnsi="Calibri"/>
          <w:b w:val="0"/>
          <w:i w:val="0"/>
          <w:color w:val="212121"/>
          <w:sz w:val="21"/>
        </w:rPr>
        <w:t>(5) By histopathology: benign colloid/adenomatous nodules, follicular adenoma, thyroid cysts and thyroiditis-related nodules; and malignant lesions - papillary (most common, &gt;85% in India), follicular, medullary and anaplastic carcinoma, and thyroid lymphoma.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Iodine status: Both chronic iodine deficiency (endemic colloid/multinodular goitre) and iodine excess after salt iodisation can drive nodule formation and autoimmune thyroiditis.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Radiation exposure: Ionising radiation to the head and neck - especially in childhood - is the strongest environmental risk factor for nodular disease and thyroid malignancy.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Female sex and oestrogen: Higher nodule prevalence in women reflects oestrogen-receptor effects on thyrocyte proliferation and pregnancy-related thyroid stimulation.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and chronic TSH stimulation: Cumulative thyrocyte proliferation and sustained TSH drive increase nodule number and size with advancing age.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Autoimmune thyroiditis: Hashimoto's thyroiditis produces inflammatory pseudonodules and true nodules and modestly raises papillary-carcinoma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and syndromes: Family history of thyroid nodules/cancer and syndromes such as MEN2 (RET), familial papillary carcinoma, Cowden (PTEN) and familial adenomatous polyposis.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Insulin resistance and metabolic factors: Obesity, hyperinsulinaemia and IGF-1 signalling promote thyrocyte growth and are linked to higher nodule prevalence.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Nodule prevalence climbs steadily through adult life as cumulative TSH stimulation and thyrocyte proliferation increase, and most Indian thyroid cancers present in this age band. Adults are the group in which incidental ultrasound nodules are most often first detected.</w:t>
            </w:r>
          </w:p>
          <w:p>
            <w:pPr>
              <w:spacing w:after="40" w:before="60" w:line="259" w:lineRule="auto"/>
            </w:pPr>
            <w:r>
              <w:rPr>
                <w:rFonts w:ascii="Calibri" w:hAnsi="Calibri"/>
                <w:b w:val="0"/>
                <w:i w:val="0"/>
                <w:color w:val="212121"/>
                <w:sz w:val="19"/>
              </w:rPr>
              <w:t>In India, thyroid cancer typically presents between 30 and 50 years of age, and incidental nodules are increasingly found on imaging in this group.</w:t>
            </w:r>
          </w:p>
          <w:p>
            <w:pPr>
              <w:spacing w:after="40" w:line="252" w:lineRule="auto"/>
            </w:pPr>
            <w:hyperlink r:id="rId9">
              <w:r>
                <w:rPr>
                  <w:rFonts w:ascii="Calibri" w:hAnsi="Calibri" w:cs="Calibri"/>
                  <w:sz w:val="18"/>
                  <w:color w:val="1155CC"/>
                  <w:u w:val="single"/>
                </w:rPr>
                <w:t xml:space="preserve">researchsquare.com - thyroid cancer statistics in India</w:t>
              </w:r>
            </w:hyperlink>
          </w:p>
          <w:p>
            <w:pPr>
              <w:spacing w:before="60" w:after="40"/>
            </w:pPr>
            <w:r>
              <w:rPr>
                <w:rFonts w:ascii="Calibri" w:hAnsi="Calibri"/>
                <w:b w:val="0"/>
                <w:i w:val="0"/>
                <w:color w:val="5A5A5A"/>
                <w:sz w:val="18"/>
              </w:rPr>
              <w:t>#thyroidnodule  #incidentaloma  #TSHdrive  #adults  #ultrasound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Nodule prevalence rises with age; by the sixth-seventh decades a majority have ultrasound-detectable nodules. In older adults nodules are more often multinodular, and the small malignant fraction plus autonomous (toxic) nodules become more clinically relevant.</w:t>
            </w:r>
          </w:p>
          <w:p>
            <w:pPr>
              <w:spacing w:after="40" w:before="60" w:line="259" w:lineRule="auto"/>
            </w:pPr>
            <w:r>
              <w:rPr>
                <w:rFonts w:ascii="Calibri" w:hAnsi="Calibri"/>
                <w:b w:val="0"/>
                <w:i w:val="0"/>
                <w:color w:val="212121"/>
                <w:sz w:val="19"/>
              </w:rPr>
              <w:t>High-resolution ultrasound detects thyroid nodules in roughly 34-66% of adults, with prevalence increasing with older age and higher body-mass index.</w:t>
            </w:r>
          </w:p>
          <w:p>
            <w:pPr>
              <w:spacing w:after="40" w:line="252" w:lineRule="auto"/>
            </w:pPr>
            <w:hyperlink r:id="rId10">
              <w:r>
                <w:rPr>
                  <w:rFonts w:ascii="Calibri" w:hAnsi="Calibri" w:cs="Calibri"/>
                  <w:sz w:val="18"/>
                  <w:color w:val="1155CC"/>
                  <w:u w:val="single"/>
                </w:rPr>
                <w:t xml:space="preserve">ncbi.nlm.nih.gov (PMC) - thyroid nodules global burden</w:t>
              </w:r>
            </w:hyperlink>
          </w:p>
          <w:p>
            <w:pPr>
              <w:spacing w:before="60" w:after="40"/>
            </w:pPr>
            <w:r>
              <w:rPr>
                <w:rFonts w:ascii="Calibri" w:hAnsi="Calibri"/>
                <w:b w:val="0"/>
                <w:i w:val="0"/>
                <w:color w:val="5A5A5A"/>
                <w:sz w:val="18"/>
              </w:rPr>
              <w:t>#ageing  #multinodular  #toxicnodule  #autonomy  #ultrasound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develop thyroid nodules 3-4 times more often than men, reflecting oestrogen-driven thyrocyte proliferation, pregnancy-related thyroid stimulation and higher autoimmune-thyroiditis rates. Female sex also carries most of the rising thyroid-cancer incidence.</w:t>
            </w:r>
          </w:p>
          <w:p>
            <w:pPr>
              <w:spacing w:after="40" w:before="60" w:line="259" w:lineRule="auto"/>
            </w:pPr>
            <w:r>
              <w:rPr>
                <w:rFonts w:ascii="Calibri" w:hAnsi="Calibri"/>
                <w:b w:val="0"/>
                <w:i w:val="0"/>
                <w:color w:val="212121"/>
                <w:sz w:val="19"/>
              </w:rPr>
              <w:t>The female-to-male ratio for thyroid nodules is about 3:1 globally; in Indian clinical series it is even higher (up to ~4.7:1), and Indian women have far higher thyroid-disease rates than men (hypothyroidism 11.4% vs 6.2%).</w:t>
            </w:r>
          </w:p>
          <w:p>
            <w:pPr>
              <w:spacing w:after="40" w:line="252" w:lineRule="auto"/>
            </w:pPr>
            <w:hyperlink r:id="rId11">
              <w:r>
                <w:rPr>
                  <w:rFonts w:ascii="Calibri" w:hAnsi="Calibri" w:cs="Calibri"/>
                  <w:sz w:val="18"/>
                  <w:color w:val="1155CC"/>
                  <w:u w:val="single"/>
                </w:rPr>
                <w:t xml:space="preserve">ncbi.nlm.nih.gov (PMC) - thyroid disorders in India (IJEM 2011)</w:t>
              </w:r>
            </w:hyperlink>
          </w:p>
          <w:p>
            <w:pPr>
              <w:spacing w:before="60" w:after="40"/>
            </w:pPr>
            <w:r>
              <w:rPr>
                <w:rFonts w:ascii="Calibri" w:hAnsi="Calibri"/>
                <w:b w:val="0"/>
                <w:i w:val="0"/>
                <w:color w:val="5A5A5A"/>
                <w:sz w:val="18"/>
              </w:rPr>
              <w:t>#female  #estrogen  #pregnancy  #autoimmune  #higherrisk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Although nodules are less common in men, a solitary nodule in a male carries a higher probability of malignancy than in a female, so male sex is itself a suspicious feature during risk assessment.</w:t>
            </w:r>
          </w:p>
          <w:p>
            <w:pPr>
              <w:spacing w:after="40" w:before="60" w:line="259" w:lineRule="auto"/>
            </w:pPr>
            <w:r>
              <w:rPr>
                <w:rFonts w:ascii="Calibri" w:hAnsi="Calibri"/>
                <w:b w:val="0"/>
                <w:i w:val="0"/>
                <w:color w:val="212121"/>
                <w:sz w:val="19"/>
              </w:rPr>
              <w:t>Male sex, along with age under 20 or over 60, raises the malignancy probability of any given nodule and lowers the size threshold for biopsy.</w:t>
            </w:r>
          </w:p>
          <w:p>
            <w:pPr>
              <w:spacing w:before="60" w:after="40"/>
            </w:pPr>
            <w:r>
              <w:rPr>
                <w:rFonts w:ascii="Calibri" w:hAnsi="Calibri"/>
                <w:b w:val="0"/>
                <w:i w:val="0"/>
                <w:color w:val="5A5A5A"/>
                <w:sz w:val="18"/>
              </w:rPr>
              <w:t>#male  #malignancyrisk  #solitarynodule  #redflag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poor vs urban affluent</w:t>
            </w:r>
          </w:p>
        </w:tc>
        <w:tc>
          <w:tcPr>
            <w:tcW w:type="dxa" w:w="4276"/>
            <w:vAlign w:val="top"/>
          </w:tcPr>
          <w:p>
            <w:pPr>
              <w:spacing w:after="60" w:line="259" w:lineRule="auto"/>
            </w:pPr>
            <w:r>
              <w:rPr>
                <w:rFonts w:ascii="Calibri" w:hAnsi="Calibri"/>
                <w:b w:val="0"/>
                <w:i w:val="0"/>
                <w:color w:val="212121"/>
                <w:sz w:val="19"/>
              </w:rPr>
              <w:t>Lower-income and remote rural populations bear more iodine-deficiency nodular goitre, while higher-income urban groups show more incidental nodules and thyroid cancer detected through greater access to ultrasound and health checks (detection bias / 'overdiagnosis').</w:t>
            </w:r>
          </w:p>
          <w:p>
            <w:pPr>
              <w:spacing w:after="40" w:before="60" w:line="259" w:lineRule="auto"/>
            </w:pPr>
            <w:r>
              <w:rPr>
                <w:rFonts w:ascii="Calibri" w:hAnsi="Calibri"/>
                <w:b w:val="0"/>
                <w:i w:val="0"/>
                <w:color w:val="212121"/>
                <w:sz w:val="19"/>
              </w:rPr>
              <w:t>Thyroid-cancer age-adjusted incidence is far higher in urban centres (e.g., 10.9 per 100,000 in Thiruvananthapuram) than in rural areas (1.2-1.6 in Dibrugarh/Barshi), partly reflecting detection intensity.</w:t>
            </w:r>
          </w:p>
          <w:p>
            <w:pPr>
              <w:spacing w:after="40" w:line="252" w:lineRule="auto"/>
            </w:pPr>
            <w:hyperlink r:id="rId9">
              <w:r>
                <w:rPr>
                  <w:rFonts w:ascii="Calibri" w:hAnsi="Calibri" w:cs="Calibri"/>
                  <w:sz w:val="18"/>
                  <w:color w:val="1155CC"/>
                  <w:u w:val="single"/>
                </w:rPr>
                <w:t xml:space="preserve">researchsquare.com - regional disparities in India</w:t>
              </w:r>
            </w:hyperlink>
          </w:p>
          <w:p>
            <w:pPr>
              <w:spacing w:before="60" w:after="40"/>
            </w:pPr>
            <w:r>
              <w:rPr>
                <w:rFonts w:ascii="Calibri" w:hAnsi="Calibri"/>
                <w:b w:val="0"/>
                <w:i w:val="0"/>
                <w:color w:val="5A5A5A"/>
                <w:sz w:val="18"/>
              </w:rPr>
              <w:t>#accesstocare  #overdiagnosis  #urbanrural  #screening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Sub-Himalayan goitre-belt residents</w:t>
            </w:r>
          </w:p>
        </w:tc>
        <w:tc>
          <w:tcPr>
            <w:tcW w:type="dxa" w:w="4276"/>
            <w:vAlign w:val="top"/>
          </w:tcPr>
          <w:p>
            <w:pPr>
              <w:spacing w:after="60" w:line="259" w:lineRule="auto"/>
            </w:pPr>
            <w:r>
              <w:rPr>
                <w:rFonts w:ascii="Calibri" w:hAnsi="Calibri"/>
                <w:b w:val="0"/>
                <w:i w:val="0"/>
                <w:color w:val="212121"/>
                <w:sz w:val="19"/>
              </w:rPr>
              <w:t>India's classical endemic goitre belt spans the sub-Himalayan and hilly regions (Himachal, Uttarakhand, the North-East, sub-Himalayan Terai) where soil and water iodine are low, producing colloid and multinodular goitre. Iodine deficiency remains the leading cause of nodular thyroid enlargement here.</w:t>
            </w:r>
          </w:p>
          <w:p>
            <w:pPr>
              <w:spacing w:after="40" w:before="60" w:line="259" w:lineRule="auto"/>
            </w:pPr>
            <w:r>
              <w:rPr>
                <w:rFonts w:ascii="Calibri" w:hAnsi="Calibri"/>
                <w:b w:val="0"/>
                <w:i w:val="0"/>
                <w:color w:val="212121"/>
                <w:sz w:val="19"/>
              </w:rPr>
              <w:t>Palpable goitre affects about 12% of Indian adults, and pockets of iodine deficiency persist despite universal salt iodisation.</w:t>
            </w:r>
          </w:p>
          <w:p>
            <w:pPr>
              <w:spacing w:after="40" w:line="252" w:lineRule="auto"/>
            </w:pPr>
            <w:hyperlink r:id="rId11">
              <w:r>
                <w:rPr>
                  <w:rFonts w:ascii="Calibri" w:hAnsi="Calibri" w:cs="Calibri"/>
                  <w:sz w:val="18"/>
                  <w:color w:val="1155CC"/>
                  <w:u w:val="single"/>
                </w:rPr>
                <w:t xml:space="preserve">ncbi.nlm.nih.gov (PMC) - thyroid disorders in India (IJEM 2011)</w:t>
              </w:r>
            </w:hyperlink>
          </w:p>
          <w:p>
            <w:pPr>
              <w:spacing w:before="60" w:after="40"/>
            </w:pPr>
            <w:r>
              <w:rPr>
                <w:rFonts w:ascii="Calibri" w:hAnsi="Calibri"/>
                <w:b w:val="0"/>
                <w:i w:val="0"/>
                <w:color w:val="5A5A5A"/>
                <w:sz w:val="18"/>
              </w:rPr>
              <w:t>#endemicgoitre  #iodinedeficiency  #subhimalayan  #goitrebelt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Coastal &amp; urban South India (e.g., Kerala)</w:t>
            </w:r>
          </w:p>
        </w:tc>
        <w:tc>
          <w:tcPr>
            <w:tcW w:type="dxa" w:w="4276"/>
            <w:vAlign w:val="top"/>
          </w:tcPr>
          <w:p>
            <w:pPr>
              <w:spacing w:after="60" w:line="259" w:lineRule="auto"/>
            </w:pPr>
            <w:r>
              <w:rPr>
                <w:rFonts w:ascii="Calibri" w:hAnsi="Calibri"/>
                <w:b w:val="0"/>
                <w:i w:val="0"/>
                <w:color w:val="212121"/>
                <w:sz w:val="19"/>
              </w:rPr>
              <w:t>Coastal and urban South India - notably Kerala - reports the country's highest thyroid-nodule referral and thyroid-cancer rates, linked to iodine-replete/high-iodine intake, dense health-check access and possibly environmental factors.</w:t>
            </w:r>
          </w:p>
          <w:p>
            <w:pPr>
              <w:spacing w:after="40" w:before="60" w:line="259" w:lineRule="auto"/>
            </w:pPr>
            <w:r>
              <w:rPr>
                <w:rFonts w:ascii="Calibri" w:hAnsi="Calibri"/>
                <w:b w:val="0"/>
                <w:i w:val="0"/>
                <w:color w:val="212121"/>
                <w:sz w:val="19"/>
              </w:rPr>
              <w:t>Thiruvananthapuram records India's highest thyroid-cancer age-adjusted rates (up to ~5.7 per 100,000 in women), with other urban South-Indian cities also high (Bengaluru 8.4, Chennai 7.3).</w:t>
            </w:r>
          </w:p>
          <w:p>
            <w:pPr>
              <w:spacing w:after="40" w:line="252" w:lineRule="auto"/>
            </w:pPr>
            <w:hyperlink r:id="rId9">
              <w:r>
                <w:rPr>
                  <w:rFonts w:ascii="Calibri" w:hAnsi="Calibri" w:cs="Calibri"/>
                  <w:sz w:val="18"/>
                  <w:color w:val="1155CC"/>
                  <w:u w:val="single"/>
                </w:rPr>
                <w:t xml:space="preserve">researchsquare.com - regional thyroid-cancer rates, India</w:t>
              </w:r>
            </w:hyperlink>
          </w:p>
          <w:p>
            <w:pPr>
              <w:spacing w:before="60" w:after="40"/>
            </w:pPr>
            <w:r>
              <w:rPr>
                <w:rFonts w:ascii="Calibri" w:hAnsi="Calibri"/>
                <w:b w:val="0"/>
                <w:i w:val="0"/>
                <w:color w:val="5A5A5A"/>
                <w:sz w:val="18"/>
              </w:rPr>
              <w:t>#kerala  #coastal  #thyroidcancer  #hotspot  #urbansouth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Radiation exposure</w:t>
            </w:r>
          </w:p>
        </w:tc>
        <w:tc>
          <w:tcPr>
            <w:tcW w:type="dxa" w:w="2160"/>
            <w:vAlign w:val="top"/>
          </w:tcPr>
          <w:p>
            <w:pPr>
              <w:spacing w:after="40" w:before="0" w:line="259" w:lineRule="auto"/>
            </w:pPr>
            <w:r>
              <w:rPr>
                <w:rFonts w:ascii="Calibri" w:hAnsi="Calibri"/>
                <w:b w:val="0"/>
                <w:i w:val="0"/>
                <w:color w:val="212121"/>
                <w:sz w:val="19"/>
              </w:rPr>
              <w:t>Childhood neck radiation, radiotherapy survivors, radiation workers</w:t>
            </w:r>
          </w:p>
        </w:tc>
        <w:tc>
          <w:tcPr>
            <w:tcW w:type="dxa" w:w="4276"/>
            <w:vAlign w:val="top"/>
          </w:tcPr>
          <w:p>
            <w:pPr>
              <w:spacing w:after="60" w:line="259" w:lineRule="auto"/>
            </w:pPr>
            <w:r>
              <w:rPr>
                <w:rFonts w:ascii="Calibri" w:hAnsi="Calibri"/>
                <w:b w:val="0"/>
                <w:i w:val="0"/>
                <w:color w:val="212121"/>
                <w:sz w:val="19"/>
              </w:rPr>
              <w:t>Ionising radiation to the thyroid - childhood radiotherapy, repeated diagnostic exposure or nuclear fallout - is the best-established environmental cause of thyroid nodules and papillary carcinoma, with risk highest when exposure occurs in childhood.</w:t>
            </w:r>
          </w:p>
          <w:p>
            <w:pPr>
              <w:spacing w:after="40" w:before="60" w:line="259" w:lineRule="auto"/>
            </w:pPr>
            <w:r>
              <w:rPr>
                <w:rFonts w:ascii="Calibri" w:hAnsi="Calibri"/>
                <w:b w:val="0"/>
                <w:i w:val="0"/>
                <w:color w:val="212121"/>
                <w:sz w:val="19"/>
              </w:rPr>
              <w:t>Radiation-induced nodules can appear years to decades after exposure; papillary carcinoma is the predominant radiation-associated thyroid malignancy.</w:t>
            </w:r>
          </w:p>
          <w:p>
            <w:pPr>
              <w:spacing w:before="60" w:after="40"/>
            </w:pPr>
            <w:r>
              <w:rPr>
                <w:rFonts w:ascii="Calibri" w:hAnsi="Calibri"/>
                <w:b w:val="0"/>
                <w:i w:val="0"/>
                <w:color w:val="5A5A5A"/>
                <w:sz w:val="18"/>
              </w:rPr>
              <w:t>#radiation  #papillary  #childhoodexposure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is associated with larger thyroid volume and higher rates of multinodular goitre; thiocyanate in tobacco smoke acts as a goitrogen by competing with iodide uptake, while (paradoxically) lowering autoimmune-antibody levels.</w:t>
            </w:r>
          </w:p>
          <w:p>
            <w:pPr>
              <w:spacing w:after="40" w:before="60" w:line="259" w:lineRule="auto"/>
            </w:pPr>
            <w:r>
              <w:rPr>
                <w:rFonts w:ascii="Calibri" w:hAnsi="Calibri"/>
                <w:b w:val="0"/>
                <w:i w:val="0"/>
                <w:color w:val="212121"/>
                <w:sz w:val="19"/>
              </w:rPr>
              <w:t>Tobacco thiocyanate impairs thyroidal iodide uptake, an effect that is amplified where dietary iodine intake is marginal.</w:t>
            </w:r>
          </w:p>
          <w:p>
            <w:pPr>
              <w:spacing w:before="60" w:after="40"/>
            </w:pPr>
            <w:r>
              <w:rPr>
                <w:rFonts w:ascii="Calibri" w:hAnsi="Calibri"/>
                <w:b w:val="0"/>
                <w:i w:val="0"/>
                <w:color w:val="5A5A5A"/>
                <w:sz w:val="18"/>
              </w:rPr>
              <w:t>#smoking  #thiocyanate  #goitrogen  #multinodular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Physically inactive, overweight and obese adults</w:t>
            </w:r>
          </w:p>
        </w:tc>
        <w:tc>
          <w:tcPr>
            <w:tcW w:type="dxa" w:w="4276"/>
            <w:vAlign w:val="top"/>
          </w:tcPr>
          <w:p>
            <w:pPr>
              <w:spacing w:after="60" w:line="259" w:lineRule="auto"/>
            </w:pPr>
            <w:r>
              <w:rPr>
                <w:rFonts w:ascii="Calibri" w:hAnsi="Calibri"/>
                <w:b w:val="0"/>
                <w:i w:val="0"/>
                <w:color w:val="212121"/>
                <w:sz w:val="19"/>
              </w:rPr>
              <w:t>Obesity, physical inactivity and the accompanying hyperinsulinaemia raise circulating insulin and IGF-1, which stimulate thyrocyte proliferation - linked to higher nodule prevalence and larger nodules.</w:t>
            </w:r>
          </w:p>
          <w:p>
            <w:pPr>
              <w:spacing w:after="40" w:before="60" w:line="259" w:lineRule="auto"/>
            </w:pPr>
            <w:r>
              <w:rPr>
                <w:rFonts w:ascii="Calibri" w:hAnsi="Calibri"/>
                <w:b w:val="0"/>
                <w:i w:val="0"/>
                <w:color w:val="212121"/>
                <w:sz w:val="19"/>
              </w:rPr>
              <w:t>Higher body-mass index is independently associated with a greater prevalence of thyroid nodules; in a large ultrasound cohort nodules were found in 48.4% overall and rose with BMI in men.</w:t>
            </w:r>
          </w:p>
          <w:p>
            <w:pPr>
              <w:spacing w:after="40" w:line="252" w:lineRule="auto"/>
            </w:pPr>
            <w:hyperlink r:id="rId12">
              <w:r>
                <w:rPr>
                  <w:rFonts w:ascii="Calibri" w:hAnsi="Calibri" w:cs="Calibri"/>
                  <w:sz w:val="18"/>
                  <w:color w:val="1155CC"/>
                  <w:u w:val="single"/>
                </w:rPr>
                <w:t xml:space="preserve">dovepress.com - prevalence &amp; correlates of thyroid nodules</w:t>
              </w:r>
            </w:hyperlink>
          </w:p>
          <w:p>
            <w:pPr>
              <w:spacing w:before="60" w:after="40"/>
            </w:pPr>
            <w:r>
              <w:rPr>
                <w:rFonts w:ascii="Calibri" w:hAnsi="Calibri"/>
                <w:b w:val="0"/>
                <w:i w:val="0"/>
                <w:color w:val="5A5A5A"/>
                <w:sz w:val="18"/>
              </w:rPr>
              <w:t>#obesity  #insulin  #IGF1  #sedentary  #metabolic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Iodine intake</w:t>
            </w:r>
          </w:p>
        </w:tc>
        <w:tc>
          <w:tcPr>
            <w:tcW w:type="dxa" w:w="2160"/>
            <w:vAlign w:val="top"/>
          </w:tcPr>
          <w:p>
            <w:pPr>
              <w:spacing w:after="40" w:before="0" w:line="259" w:lineRule="auto"/>
            </w:pPr>
            <w:r>
              <w:rPr>
                <w:rFonts w:ascii="Calibri" w:hAnsi="Calibri"/>
                <w:b w:val="0"/>
                <w:i w:val="0"/>
                <w:color w:val="212121"/>
                <w:sz w:val="19"/>
              </w:rPr>
              <w:t>Low-iodine diets, non-iodised-salt users</w:t>
            </w:r>
          </w:p>
        </w:tc>
        <w:tc>
          <w:tcPr>
            <w:tcW w:type="dxa" w:w="4276"/>
            <w:vAlign w:val="top"/>
          </w:tcPr>
          <w:p>
            <w:pPr>
              <w:spacing w:after="60" w:line="259" w:lineRule="auto"/>
            </w:pPr>
            <w:r>
              <w:rPr>
                <w:rFonts w:ascii="Calibri" w:hAnsi="Calibri"/>
                <w:b w:val="0"/>
                <w:i w:val="0"/>
                <w:color w:val="212121"/>
                <w:sz w:val="19"/>
              </w:rPr>
              <w:t>Chronic dietary iodine deficiency lowers thyroid hormone output, raises TSH and drives compensatory thyrocyte hyperplasia - the classic pathway to colloid and multinodular goitre.</w:t>
            </w:r>
          </w:p>
          <w:p>
            <w:pPr>
              <w:spacing w:after="40" w:before="60" w:line="259" w:lineRule="auto"/>
            </w:pPr>
            <w:r>
              <w:rPr>
                <w:rFonts w:ascii="Calibri" w:hAnsi="Calibri"/>
                <w:b w:val="0"/>
                <w:i w:val="0"/>
                <w:color w:val="212121"/>
                <w:sz w:val="19"/>
              </w:rPr>
              <w:t>Palpable goitre affects roughly 12% of Indian adults; iodine deficiency persists in pockets despite salt iodisation.</w:t>
            </w:r>
          </w:p>
          <w:p>
            <w:pPr>
              <w:spacing w:after="40" w:line="252" w:lineRule="auto"/>
            </w:pPr>
            <w:hyperlink r:id="rId11">
              <w:r>
                <w:rPr>
                  <w:rFonts w:ascii="Calibri" w:hAnsi="Calibri" w:cs="Calibri"/>
                  <w:sz w:val="18"/>
                  <w:color w:val="1155CC"/>
                  <w:u w:val="single"/>
                </w:rPr>
                <w:t xml:space="preserve">ncbi.nlm.nih.gov (PMC) - thyroid disorders in India (IJEM 2011)</w:t>
              </w:r>
            </w:hyperlink>
          </w:p>
          <w:p>
            <w:pPr>
              <w:spacing w:before="60" w:after="40"/>
            </w:pPr>
            <w:r>
              <w:rPr>
                <w:rFonts w:ascii="Calibri" w:hAnsi="Calibri"/>
                <w:b w:val="0"/>
                <w:i w:val="0"/>
                <w:color w:val="5A5A5A"/>
                <w:sz w:val="18"/>
              </w:rPr>
              <w:t>#iodinedeficiency  #colloidgoitre  #TSH  #saltiodisation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Goitrogens</w:t>
            </w:r>
          </w:p>
        </w:tc>
        <w:tc>
          <w:tcPr>
            <w:tcW w:type="dxa" w:w="2160"/>
            <w:vAlign w:val="top"/>
          </w:tcPr>
          <w:p>
            <w:pPr>
              <w:spacing w:after="40" w:before="0" w:line="259" w:lineRule="auto"/>
            </w:pPr>
            <w:r>
              <w:rPr>
                <w:rFonts w:ascii="Calibri" w:hAnsi="Calibri"/>
                <w:b w:val="0"/>
                <w:i w:val="0"/>
                <w:color w:val="212121"/>
                <w:sz w:val="19"/>
              </w:rPr>
              <w:t>High-goitrogen diets (cassava, cruciferous, soy, bajra)</w:t>
            </w:r>
          </w:p>
        </w:tc>
        <w:tc>
          <w:tcPr>
            <w:tcW w:type="dxa" w:w="4276"/>
            <w:vAlign w:val="top"/>
          </w:tcPr>
          <w:p>
            <w:pPr>
              <w:spacing w:after="60" w:line="259" w:lineRule="auto"/>
            </w:pPr>
            <w:r>
              <w:rPr>
                <w:rFonts w:ascii="Calibri" w:hAnsi="Calibri"/>
                <w:b w:val="0"/>
                <w:i w:val="0"/>
                <w:color w:val="212121"/>
                <w:sz w:val="19"/>
              </w:rPr>
              <w:t>Goitrogens in cassava/tapioca, cruciferous vegetables, soy and pearl millet (bajra), plus tobacco thiocyanate, impair iodide uptake and organification, aggravating goitre where iodine intake is marginal.</w:t>
            </w:r>
          </w:p>
          <w:p>
            <w:pPr>
              <w:spacing w:after="40" w:before="60" w:line="259" w:lineRule="auto"/>
            </w:pPr>
            <w:r>
              <w:rPr>
                <w:rFonts w:ascii="Calibri" w:hAnsi="Calibri"/>
                <w:b w:val="0"/>
                <w:i w:val="0"/>
                <w:color w:val="212121"/>
                <w:sz w:val="19"/>
              </w:rPr>
              <w:t>Goitrogen effects are clinically important mainly when consumed in large amounts against a background of low iodine intake.</w:t>
            </w:r>
          </w:p>
          <w:p>
            <w:pPr>
              <w:spacing w:before="60" w:after="40"/>
            </w:pPr>
            <w:r>
              <w:rPr>
                <w:rFonts w:ascii="Calibri" w:hAnsi="Calibri"/>
                <w:b w:val="0"/>
                <w:i w:val="0"/>
                <w:color w:val="5A5A5A"/>
                <w:sz w:val="18"/>
              </w:rPr>
              <w:t>#goitrogens  #cassava  #cruciferous  #bajra  #soy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Iodine excess</w:t>
            </w:r>
          </w:p>
        </w:tc>
        <w:tc>
          <w:tcPr>
            <w:tcW w:type="dxa" w:w="2160"/>
            <w:vAlign w:val="top"/>
          </w:tcPr>
          <w:p>
            <w:pPr>
              <w:spacing w:after="40" w:before="0" w:line="259" w:lineRule="auto"/>
            </w:pPr>
            <w:r>
              <w:rPr>
                <w:rFonts w:ascii="Calibri" w:hAnsi="Calibri"/>
                <w:b w:val="0"/>
                <w:i w:val="0"/>
                <w:color w:val="212121"/>
                <w:sz w:val="19"/>
              </w:rPr>
              <w:t>High-iodine intake, post-iodisation populations</w:t>
            </w:r>
          </w:p>
        </w:tc>
        <w:tc>
          <w:tcPr>
            <w:tcW w:type="dxa" w:w="4276"/>
            <w:vAlign w:val="top"/>
          </w:tcPr>
          <w:p>
            <w:pPr>
              <w:spacing w:after="60" w:line="259" w:lineRule="auto"/>
            </w:pPr>
            <w:r>
              <w:rPr>
                <w:rFonts w:ascii="Calibri" w:hAnsi="Calibri"/>
                <w:b w:val="0"/>
                <w:i w:val="0"/>
                <w:color w:val="212121"/>
                <w:sz w:val="19"/>
              </w:rPr>
              <w:t>Excess iodine (over-iodised salt, seafood-rich coastal diets, iodine-containing drugs or radiocontrast) can precipitate autoimmune thyroiditis and nodular change, and can trigger hyperthyroidism in autonomous nodules (Jod-Basedow phenomenon).</w:t>
            </w:r>
          </w:p>
          <w:p>
            <w:pPr>
              <w:spacing w:after="40" w:before="60" w:line="259" w:lineRule="auto"/>
            </w:pPr>
            <w:r>
              <w:rPr>
                <w:rFonts w:ascii="Calibri" w:hAnsi="Calibri"/>
                <w:b w:val="0"/>
                <w:i w:val="0"/>
                <w:color w:val="212121"/>
                <w:sz w:val="19"/>
              </w:rPr>
              <w:t>In a post-iodisation Indian study about 23% of children still showed goitre, illustrating that both deficiency and excess contribute to thyroid morbidity.</w:t>
            </w:r>
          </w:p>
          <w:p>
            <w:pPr>
              <w:spacing w:after="40" w:line="252" w:lineRule="auto"/>
            </w:pPr>
            <w:hyperlink r:id="rId11">
              <w:r>
                <w:rPr>
                  <w:rFonts w:ascii="Calibri" w:hAnsi="Calibri" w:cs="Calibri"/>
                  <w:sz w:val="18"/>
                  <w:color w:val="1155CC"/>
                  <w:u w:val="single"/>
                </w:rPr>
                <w:t xml:space="preserve">ncbi.nlm.nih.gov (PMC) - thyroid disorders in India (IJEM 2011)</w:t>
              </w:r>
            </w:hyperlink>
          </w:p>
          <w:p>
            <w:pPr>
              <w:spacing w:before="60" w:after="40"/>
            </w:pPr>
            <w:r>
              <w:rPr>
                <w:rFonts w:ascii="Calibri" w:hAnsi="Calibri"/>
                <w:b w:val="0"/>
                <w:i w:val="0"/>
                <w:color w:val="5A5A5A"/>
                <w:sz w:val="18"/>
              </w:rPr>
              <w:t>#iodineexcess  #JodBasedow  #autoimmune  #postiodisation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thyroid nodules/cancer; MEN2, Cowden, FAP families</w:t>
            </w:r>
          </w:p>
        </w:tc>
        <w:tc>
          <w:tcPr>
            <w:tcW w:type="dxa" w:w="4276"/>
            <w:vAlign w:val="top"/>
          </w:tcPr>
          <w:p>
            <w:pPr>
              <w:spacing w:after="60" w:line="259" w:lineRule="auto"/>
            </w:pPr>
            <w:r>
              <w:rPr>
                <w:rFonts w:ascii="Calibri" w:hAnsi="Calibri"/>
                <w:b w:val="0"/>
                <w:i w:val="0"/>
                <w:color w:val="212121"/>
                <w:sz w:val="19"/>
              </w:rPr>
              <w:t>A family history of thyroid nodules or cancer, and hereditary syndromes - MEN2 (RET) for medullary carcinoma, familial papillary carcinoma, Cowden syndrome (PTEN) and familial adenomatous polyposis - substantially increase nodular and malignant thyroid disease.</w:t>
            </w:r>
          </w:p>
          <w:p>
            <w:pPr>
              <w:spacing w:after="40" w:before="60" w:line="259" w:lineRule="auto"/>
            </w:pPr>
            <w:r>
              <w:rPr>
                <w:rFonts w:ascii="Calibri" w:hAnsi="Calibri"/>
                <w:b w:val="0"/>
                <w:i w:val="0"/>
                <w:color w:val="212121"/>
                <w:sz w:val="19"/>
              </w:rPr>
              <w:t>Hereditary medullary carcinoma (MEN2) is driven by germline RET mutations and warrants calcitonin screening and consideration of prophylactic thyroidectomy in gene carriers.</w:t>
            </w:r>
          </w:p>
          <w:p>
            <w:pPr>
              <w:spacing w:before="60" w:after="40"/>
            </w:pPr>
            <w:r>
              <w:rPr>
                <w:rFonts w:ascii="Calibri" w:hAnsi="Calibri"/>
                <w:b w:val="0"/>
                <w:i w:val="0"/>
                <w:color w:val="5A5A5A"/>
                <w:sz w:val="18"/>
              </w:rPr>
              <w:t>#familyhistory  #MEN2  #RET  #hereditary  #syndromic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Hashimoto's thyroiditis</w:t>
            </w:r>
          </w:p>
        </w:tc>
        <w:tc>
          <w:tcPr>
            <w:tcW w:type="dxa" w:w="2160"/>
            <w:vAlign w:val="top"/>
          </w:tcPr>
          <w:p>
            <w:pPr>
              <w:spacing w:after="40" w:before="0" w:line="259" w:lineRule="auto"/>
            </w:pPr>
            <w:r>
              <w:rPr>
                <w:rFonts w:ascii="Calibri" w:hAnsi="Calibri"/>
                <w:b w:val="0"/>
                <w:i w:val="0"/>
                <w:color w:val="212121"/>
                <w:sz w:val="19"/>
              </w:rPr>
              <w:t>Patients with autoimmune (Hashimoto's) thyroiditis</w:t>
            </w:r>
          </w:p>
        </w:tc>
        <w:tc>
          <w:tcPr>
            <w:tcW w:type="dxa" w:w="4276"/>
            <w:vAlign w:val="top"/>
          </w:tcPr>
          <w:p>
            <w:pPr>
              <w:spacing w:after="60" w:line="259" w:lineRule="auto"/>
            </w:pPr>
            <w:r>
              <w:rPr>
                <w:rFonts w:ascii="Calibri" w:hAnsi="Calibri"/>
                <w:b w:val="0"/>
                <w:i w:val="0"/>
                <w:color w:val="212121"/>
                <w:sz w:val="19"/>
              </w:rPr>
              <w:t>Chronic lymphocytic (Hashimoto's) thyroiditis produces inflammatory pseudonodules and true nodules, complicates ultrasound and cytology interpretation, and modestly raises the risk of papillary carcinoma and thyroid lymphoma.</w:t>
            </w:r>
          </w:p>
          <w:p>
            <w:pPr>
              <w:spacing w:after="40" w:before="60" w:line="259" w:lineRule="auto"/>
            </w:pPr>
            <w:r>
              <w:rPr>
                <w:rFonts w:ascii="Calibri" w:hAnsi="Calibri"/>
                <w:b w:val="0"/>
                <w:i w:val="0"/>
                <w:color w:val="212121"/>
                <w:sz w:val="19"/>
              </w:rPr>
              <w:t>Thyroid autoimmunity is common in India - anti-TPO antibodies are positive in about 16.7% of adults - and frequently coexists with nodular change.</w:t>
            </w:r>
          </w:p>
          <w:p>
            <w:pPr>
              <w:spacing w:after="40" w:line="252" w:lineRule="auto"/>
            </w:pPr>
            <w:hyperlink r:id="rId11">
              <w:r>
                <w:rPr>
                  <w:rFonts w:ascii="Calibri" w:hAnsi="Calibri" w:cs="Calibri"/>
                  <w:sz w:val="18"/>
                  <w:color w:val="1155CC"/>
                  <w:u w:val="single"/>
                </w:rPr>
                <w:t xml:space="preserve">ncbi.nlm.nih.gov (PMC) - thyroid disorders in India (IJEM 2011)</w:t>
              </w:r>
            </w:hyperlink>
          </w:p>
          <w:p>
            <w:pPr>
              <w:spacing w:before="60" w:after="40"/>
            </w:pPr>
            <w:r>
              <w:rPr>
                <w:rFonts w:ascii="Calibri" w:hAnsi="Calibri"/>
                <w:b w:val="0"/>
                <w:i w:val="0"/>
                <w:color w:val="5A5A5A"/>
                <w:sz w:val="18"/>
              </w:rPr>
              <w:t>#Hashimoto  #antiTPO  #autoimmune  #pseudonodule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Metabolic syndrome</w:t>
            </w:r>
          </w:p>
        </w:tc>
        <w:tc>
          <w:tcPr>
            <w:tcW w:type="dxa" w:w="2160"/>
            <w:vAlign w:val="top"/>
          </w:tcPr>
          <w:p>
            <w:pPr>
              <w:spacing w:after="40" w:before="0" w:line="259" w:lineRule="auto"/>
            </w:pPr>
            <w:r>
              <w:rPr>
                <w:rFonts w:ascii="Calibri" w:hAnsi="Calibri"/>
                <w:b w:val="0"/>
                <w:i w:val="0"/>
                <w:color w:val="212121"/>
                <w:sz w:val="19"/>
              </w:rPr>
              <w:t>Adults with obesity or metabolic syndrome</w:t>
            </w:r>
          </w:p>
        </w:tc>
        <w:tc>
          <w:tcPr>
            <w:tcW w:type="dxa" w:w="4276"/>
            <w:vAlign w:val="top"/>
          </w:tcPr>
          <w:p>
            <w:pPr>
              <w:spacing w:after="60" w:line="259" w:lineRule="auto"/>
            </w:pPr>
            <w:r>
              <w:rPr>
                <w:rFonts w:ascii="Calibri" w:hAnsi="Calibri"/>
                <w:b w:val="0"/>
                <w:i w:val="0"/>
                <w:color w:val="212121"/>
                <w:sz w:val="19"/>
              </w:rPr>
              <w:t>Metabolic syndrome - central obesity, insulin resistance and dyslipidaemia - is associated with higher thyroid-nodule prevalence and size through insulin/IGF-1-mediated thyrocyte growth and low-grade inflammation.</w:t>
            </w:r>
          </w:p>
          <w:p>
            <w:pPr>
              <w:spacing w:after="40" w:before="60" w:line="259" w:lineRule="auto"/>
            </w:pPr>
            <w:r>
              <w:rPr>
                <w:rFonts w:ascii="Calibri" w:hAnsi="Calibri"/>
                <w:b w:val="0"/>
                <w:i w:val="0"/>
                <w:color w:val="212121"/>
                <w:sz w:val="19"/>
              </w:rPr>
              <w:t>In a large ultrasound cohort thyroid nodules were present in 48.4% and were positively associated with hypertension, hyperglycaemia and adverse lipids.</w:t>
            </w:r>
          </w:p>
          <w:p>
            <w:pPr>
              <w:spacing w:after="40" w:line="252" w:lineRule="auto"/>
            </w:pPr>
            <w:hyperlink r:id="rId12">
              <w:r>
                <w:rPr>
                  <w:rFonts w:ascii="Calibri" w:hAnsi="Calibri" w:cs="Calibri"/>
                  <w:sz w:val="18"/>
                  <w:color w:val="1155CC"/>
                  <w:u w:val="single"/>
                </w:rPr>
                <w:t xml:space="preserve">dovepress.com - thyroid nodules &amp; metabolic factors</w:t>
              </w:r>
            </w:hyperlink>
          </w:p>
          <w:p>
            <w:pPr>
              <w:spacing w:before="60" w:after="40"/>
            </w:pPr>
            <w:r>
              <w:rPr>
                <w:rFonts w:ascii="Calibri" w:hAnsi="Calibri"/>
                <w:b w:val="0"/>
                <w:i w:val="0"/>
                <w:color w:val="5A5A5A"/>
                <w:sz w:val="18"/>
              </w:rPr>
              <w:t>#metabolicsyndrome  #obesity  #insulinresistance  #IGF1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Patients with type 2 diabetes / hyperglycaemia</w:t>
            </w:r>
          </w:p>
        </w:tc>
        <w:tc>
          <w:tcPr>
            <w:tcW w:type="dxa" w:w="4276"/>
            <w:vAlign w:val="top"/>
          </w:tcPr>
          <w:p>
            <w:pPr>
              <w:spacing w:after="60" w:line="259" w:lineRule="auto"/>
            </w:pPr>
            <w:r>
              <w:rPr>
                <w:rFonts w:ascii="Calibri" w:hAnsi="Calibri"/>
                <w:b w:val="0"/>
                <w:i w:val="0"/>
                <w:color w:val="212121"/>
                <w:sz w:val="19"/>
              </w:rPr>
              <w:t>Hyperglycaemia and hyperinsulinaemia in type 2 diabetes stimulate thyrocyte proliferation; diabetes is consistently associated with higher thyroid-nodule prevalence and, in some studies, greater nodule growth.</w:t>
            </w:r>
          </w:p>
          <w:p>
            <w:pPr>
              <w:spacing w:after="40" w:before="60" w:line="259" w:lineRule="auto"/>
            </w:pPr>
            <w:r>
              <w:rPr>
                <w:rFonts w:ascii="Calibri" w:hAnsi="Calibri"/>
                <w:b w:val="0"/>
                <w:i w:val="0"/>
                <w:color w:val="212121"/>
                <w:sz w:val="19"/>
              </w:rPr>
              <w:t>Hyperglycaemia was positively associated with thyroid nodules in both sexes in a large ultrasound study (overall nodule prevalence 48.4%).</w:t>
            </w:r>
          </w:p>
          <w:p>
            <w:pPr>
              <w:spacing w:after="40" w:line="252" w:lineRule="auto"/>
            </w:pPr>
            <w:hyperlink r:id="rId12">
              <w:r>
                <w:rPr>
                  <w:rFonts w:ascii="Calibri" w:hAnsi="Calibri" w:cs="Calibri"/>
                  <w:sz w:val="18"/>
                  <w:color w:val="1155CC"/>
                  <w:u w:val="single"/>
                </w:rPr>
                <w:t xml:space="preserve">dovepress.com - hyperglycaemia &amp; thyroid nodules</w:t>
              </w:r>
            </w:hyperlink>
          </w:p>
          <w:p>
            <w:pPr>
              <w:spacing w:before="60" w:after="40"/>
            </w:pPr>
            <w:r>
              <w:rPr>
                <w:rFonts w:ascii="Calibri" w:hAnsi="Calibri"/>
                <w:b w:val="0"/>
                <w:i w:val="0"/>
                <w:color w:val="5A5A5A"/>
                <w:sz w:val="18"/>
              </w:rPr>
              <w:t>#diabetes  #hyperglycaemia  #insulin  #nodulegrowth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Adults with hypertension</w:t>
            </w:r>
          </w:p>
        </w:tc>
        <w:tc>
          <w:tcPr>
            <w:tcW w:type="dxa" w:w="4276"/>
            <w:vAlign w:val="top"/>
          </w:tcPr>
          <w:p>
            <w:pPr>
              <w:spacing w:after="60" w:line="259" w:lineRule="auto"/>
            </w:pPr>
            <w:r>
              <w:rPr>
                <w:rFonts w:ascii="Calibri" w:hAnsi="Calibri"/>
                <w:b w:val="0"/>
                <w:i w:val="0"/>
                <w:color w:val="212121"/>
                <w:sz w:val="19"/>
              </w:rPr>
              <w:t>Hypertension clusters with insulin resistance and the metabolic syndrome and is independently associated with a higher prevalence of thyroid nodules in population ultrasound studies.</w:t>
            </w:r>
          </w:p>
          <w:p>
            <w:pPr>
              <w:spacing w:after="40" w:before="60" w:line="259" w:lineRule="auto"/>
            </w:pPr>
            <w:r>
              <w:rPr>
                <w:rFonts w:ascii="Calibri" w:hAnsi="Calibri"/>
                <w:b w:val="0"/>
                <w:i w:val="0"/>
                <w:color w:val="212121"/>
                <w:sz w:val="19"/>
              </w:rPr>
              <w:t>Hypertension showed a positive association with thyroid nodules in both men and women in a cohort of 16,784 adults screened by ultrasound.</w:t>
            </w:r>
          </w:p>
          <w:p>
            <w:pPr>
              <w:spacing w:after="40" w:line="252" w:lineRule="auto"/>
            </w:pPr>
            <w:hyperlink r:id="rId12">
              <w:r>
                <w:rPr>
                  <w:rFonts w:ascii="Calibri" w:hAnsi="Calibri" w:cs="Calibri"/>
                  <w:sz w:val="18"/>
                  <w:color w:val="1155CC"/>
                  <w:u w:val="single"/>
                </w:rPr>
                <w:t xml:space="preserve">dovepress.com - hypertension &amp; thyroid nodules</w:t>
              </w:r>
            </w:hyperlink>
          </w:p>
          <w:p>
            <w:pPr>
              <w:spacing w:before="60" w:after="40"/>
            </w:pPr>
            <w:r>
              <w:rPr>
                <w:rFonts w:ascii="Calibri" w:hAnsi="Calibri"/>
                <w:b w:val="0"/>
                <w:i w:val="0"/>
                <w:color w:val="5A5A5A"/>
                <w:sz w:val="18"/>
              </w:rPr>
              <w:t>#hypertension  #metabolic  #vascular  #association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Acromegaly</w:t>
            </w:r>
          </w:p>
        </w:tc>
        <w:tc>
          <w:tcPr>
            <w:tcW w:type="dxa" w:w="2160"/>
            <w:vAlign w:val="top"/>
          </w:tcPr>
          <w:p>
            <w:pPr>
              <w:spacing w:after="40" w:before="0" w:line="259" w:lineRule="auto"/>
            </w:pPr>
            <w:r>
              <w:rPr>
                <w:rFonts w:ascii="Calibri" w:hAnsi="Calibri"/>
                <w:b w:val="0"/>
                <w:i w:val="0"/>
                <w:color w:val="212121"/>
                <w:sz w:val="19"/>
              </w:rPr>
              <w:t>Patients with acromegaly (GH/IGF-1 excess)</w:t>
            </w:r>
          </w:p>
        </w:tc>
        <w:tc>
          <w:tcPr>
            <w:tcW w:type="dxa" w:w="4276"/>
            <w:vAlign w:val="top"/>
          </w:tcPr>
          <w:p>
            <w:pPr>
              <w:spacing w:after="60" w:line="259" w:lineRule="auto"/>
            </w:pPr>
            <w:r>
              <w:rPr>
                <w:rFonts w:ascii="Calibri" w:hAnsi="Calibri"/>
                <w:b w:val="0"/>
                <w:i w:val="0"/>
                <w:color w:val="212121"/>
                <w:sz w:val="19"/>
              </w:rPr>
              <w:t>Chronic growth-hormone/IGF-1 excess in acromegaly markedly increases thyroid volume and the prevalence of diffuse and nodular goitre, and raises thyroid-cancer risk - warranting routine thyroid surveillance.</w:t>
            </w:r>
          </w:p>
          <w:p>
            <w:pPr>
              <w:spacing w:after="40" w:before="60" w:line="259" w:lineRule="auto"/>
            </w:pPr>
            <w:r>
              <w:rPr>
                <w:rFonts w:ascii="Calibri" w:hAnsi="Calibri"/>
                <w:b w:val="0"/>
                <w:i w:val="0"/>
                <w:color w:val="212121"/>
                <w:sz w:val="19"/>
              </w:rPr>
              <w:t>Diffuse and nodular goitre is among the most common GH/IGF-1-driven manifestations of acromegaly, prompting periodic thyroid ultrasound surveillance.</w:t>
            </w:r>
          </w:p>
          <w:p>
            <w:pPr>
              <w:spacing w:before="60" w:after="40"/>
            </w:pPr>
            <w:r>
              <w:rPr>
                <w:rFonts w:ascii="Calibri" w:hAnsi="Calibri"/>
                <w:b w:val="0"/>
                <w:i w:val="0"/>
                <w:color w:val="5A5A5A"/>
                <w:sz w:val="18"/>
              </w:rPr>
              <w:t>#acromegaly  #IGF1  #goitre  #surveillance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raise insulin and IGF-1, which stimulate thyrocyte proliferation and are linked to higher nodule prevalence and size; weight control and regular activity may modestly reduce this metabolic drive.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iodine is the dominant modifiable factor: both deficiency (colloid/multinodular goitre) and excess (autoimmune thyroiditis, autonomous-nodule hyperthyroidism) promote nodular disease, and goitrogenic foods add risk where iodine intake is marginal.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linking sleep to nodule formation is limited; disturbed sleep likely acts indirectly through metabolic and stress pathways rather than causing nodules.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thiocyanate is goitrogenic, increasing thyroid volume and multinodular goitre while lowering autoimmune-antibody titres; smoking also worsens Graves' orbitopathy where autonomy coexists.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Observational data suggest a modest inverse association between moderate alcohol intake and thyroid nodules/cancer, but the evidence is weak and not a basis for any recommendation.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and depression influence the HPA-thyroid axis and health-seeking behaviour, but a direct causal link to nodule formation is not established; anxiety after diagnosis is common.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Drinking-water iodine content, and local goitrogens or contaminants (e.g., high nitrate and certain minerals), contribute to endemic goitre in iodine-poor belts.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thyroid-nodule development; any effect is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a relevant factor in the development of thyroid nodules.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Neck irradiation, abrupt changes in iodine intake, and iodine-containing drugs or radiocontrast can provoke nodule formation, growth, or autonomous hyperthyroidism (Jod-Basedow).</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Median urinary iodine concentration (µg/L)</w:t>
            </w:r>
          </w:p>
        </w:tc>
        <w:tc>
          <w:tcPr>
            <w:tcW w:type="dxa" w:w="1655"/>
            <w:vAlign w:val="top"/>
          </w:tcPr>
          <w:p>
            <w:pPr>
              <w:spacing w:after="40" w:before="0" w:line="259" w:lineRule="auto"/>
            </w:pPr>
            <w:r>
              <w:rPr>
                <w:rFonts w:ascii="Calibri" w:hAnsi="Calibri"/>
                <w:b w:val="0"/>
                <w:i w:val="0"/>
                <w:color w:val="212121"/>
                <w:sz w:val="19"/>
              </w:rPr>
              <w:t>Population, pregnant women</w:t>
            </w:r>
          </w:p>
        </w:tc>
        <w:tc>
          <w:tcPr>
            <w:tcW w:type="dxa" w:w="1512"/>
            <w:vAlign w:val="top"/>
          </w:tcPr>
          <w:p>
            <w:pPr>
              <w:spacing w:after="40" w:before="0" w:line="259" w:lineRule="auto"/>
            </w:pPr>
            <w:r>
              <w:rPr>
                <w:rFonts w:ascii="Calibri" w:hAnsi="Calibri"/>
                <w:b w:val="0"/>
                <w:i w:val="0"/>
                <w:color w:val="212121"/>
                <w:sz w:val="19"/>
              </w:rPr>
              <w:t>100-199 µg/L (adults); 150-249 (pregnancy)</w:t>
            </w:r>
          </w:p>
        </w:tc>
        <w:tc>
          <w:tcPr>
            <w:tcW w:type="dxa" w:w="1512"/>
            <w:vAlign w:val="top"/>
          </w:tcPr>
          <w:p>
            <w:pPr>
              <w:spacing w:after="40" w:before="0" w:line="259" w:lineRule="auto"/>
            </w:pPr>
            <w:r>
              <w:rPr>
                <w:rFonts w:ascii="Calibri" w:hAnsi="Calibri"/>
                <w:b w:val="0"/>
                <w:i w:val="0"/>
                <w:color w:val="212121"/>
                <w:sz w:val="19"/>
              </w:rPr>
              <w:t>&lt; 100 (deficiency) or &gt; 300 (excess)</w:t>
            </w:r>
          </w:p>
        </w:tc>
        <w:tc>
          <w:tcPr>
            <w:tcW w:type="dxa" w:w="1468"/>
            <w:vAlign w:val="top"/>
          </w:tcPr>
          <w:p>
            <w:pPr>
              <w:spacing w:after="40" w:before="0" w:line="259" w:lineRule="auto"/>
            </w:pPr>
            <w:r>
              <w:rPr>
                <w:rFonts w:ascii="Calibri" w:hAnsi="Calibri"/>
                <w:b w:val="0"/>
                <w:i w:val="0"/>
                <w:color w:val="212121"/>
                <w:sz w:val="19"/>
              </w:rPr>
              <w:t>WHO population indicator of iodine status; both extremes drive nodular/autoimmune disease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iodine intake (µg/day)</w:t>
            </w:r>
          </w:p>
        </w:tc>
        <w:tc>
          <w:tcPr>
            <w:tcW w:type="dxa" w:w="1655"/>
            <w:vAlign w:val="top"/>
          </w:tcPr>
          <w:p>
            <w:pPr>
              <w:spacing w:after="40" w:before="0" w:line="259" w:lineRule="auto"/>
            </w:pPr>
            <w:r>
              <w:rPr>
                <w:rFonts w:ascii="Calibri" w:hAnsi="Calibri"/>
                <w:b w:val="0"/>
                <w:i w:val="0"/>
                <w:color w:val="212121"/>
                <w:sz w:val="19"/>
              </w:rPr>
              <w:t>Adults, pregnant, lactating</w:t>
            </w:r>
          </w:p>
        </w:tc>
        <w:tc>
          <w:tcPr>
            <w:tcW w:type="dxa" w:w="1512"/>
            <w:vAlign w:val="top"/>
          </w:tcPr>
          <w:p>
            <w:pPr>
              <w:spacing w:after="40" w:before="0" w:line="259" w:lineRule="auto"/>
            </w:pPr>
            <w:r>
              <w:rPr>
                <w:rFonts w:ascii="Calibri" w:hAnsi="Calibri"/>
                <w:b w:val="0"/>
                <w:i w:val="0"/>
                <w:color w:val="212121"/>
                <w:sz w:val="19"/>
              </w:rPr>
              <w:t>150 µg/day adults (250 pregnancy; 290 lactation)</w:t>
            </w:r>
          </w:p>
        </w:tc>
        <w:tc>
          <w:tcPr>
            <w:tcW w:type="dxa" w:w="1512"/>
            <w:vAlign w:val="top"/>
          </w:tcPr>
          <w:p>
            <w:pPr>
              <w:spacing w:after="40" w:before="0" w:line="259" w:lineRule="auto"/>
            </w:pPr>
            <w:r>
              <w:rPr>
                <w:rFonts w:ascii="Calibri" w:hAnsi="Calibri"/>
                <w:b w:val="0"/>
                <w:i w:val="0"/>
                <w:color w:val="212121"/>
                <w:sz w:val="19"/>
              </w:rPr>
              <w:t>&lt; 100 or chronically &gt; 1100 µg/day</w:t>
            </w:r>
          </w:p>
        </w:tc>
        <w:tc>
          <w:tcPr>
            <w:tcW w:type="dxa" w:w="1468"/>
            <w:vAlign w:val="top"/>
          </w:tcPr>
          <w:p>
            <w:pPr>
              <w:spacing w:after="40" w:before="0" w:line="259" w:lineRule="auto"/>
            </w:pPr>
            <w:r>
              <w:rPr>
                <w:rFonts w:ascii="Calibri" w:hAnsi="Calibri"/>
                <w:b w:val="0"/>
                <w:i w:val="0"/>
                <w:color w:val="212121"/>
                <w:sz w:val="19"/>
              </w:rPr>
              <w:t>Deficiency causes goitre; chronic excess can trigger thyroiditis and autonomy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Iodine content of iodised salt (ppm)</w:t>
            </w:r>
          </w:p>
        </w:tc>
        <w:tc>
          <w:tcPr>
            <w:tcW w:type="dxa" w:w="1655"/>
            <w:vAlign w:val="top"/>
          </w:tcPr>
          <w:p>
            <w:pPr>
              <w:spacing w:after="40" w:before="0" w:line="259" w:lineRule="auto"/>
            </w:pPr>
            <w:r>
              <w:rPr>
                <w:rFonts w:ascii="Calibri" w:hAnsi="Calibri"/>
                <w:b w:val="0"/>
                <w:i w:val="0"/>
                <w:color w:val="212121"/>
                <w:sz w:val="19"/>
              </w:rPr>
              <w:t>Households</w:t>
            </w:r>
          </w:p>
        </w:tc>
        <w:tc>
          <w:tcPr>
            <w:tcW w:type="dxa" w:w="1512"/>
            <w:vAlign w:val="top"/>
          </w:tcPr>
          <w:p>
            <w:pPr>
              <w:spacing w:after="40" w:before="0" w:line="259" w:lineRule="auto"/>
            </w:pPr>
            <w:r>
              <w:rPr>
                <w:rFonts w:ascii="Calibri" w:hAnsi="Calibri"/>
                <w:b w:val="0"/>
                <w:i w:val="0"/>
                <w:color w:val="212121"/>
                <w:sz w:val="19"/>
              </w:rPr>
              <w:t>&gt;= 15 ppm at consumer level</w:t>
            </w:r>
          </w:p>
        </w:tc>
        <w:tc>
          <w:tcPr>
            <w:tcW w:type="dxa" w:w="1512"/>
            <w:vAlign w:val="top"/>
          </w:tcPr>
          <w:p>
            <w:pPr>
              <w:spacing w:after="40" w:before="0" w:line="259" w:lineRule="auto"/>
            </w:pPr>
            <w:r>
              <w:rPr>
                <w:rFonts w:ascii="Calibri" w:hAnsi="Calibri"/>
                <w:b w:val="0"/>
                <w:i w:val="0"/>
                <w:color w:val="212121"/>
                <w:sz w:val="19"/>
              </w:rPr>
              <w:t>&lt; 15 ppm</w:t>
            </w:r>
          </w:p>
        </w:tc>
        <w:tc>
          <w:tcPr>
            <w:tcW w:type="dxa" w:w="1468"/>
            <w:vAlign w:val="top"/>
          </w:tcPr>
          <w:p>
            <w:pPr>
              <w:spacing w:after="40" w:before="0" w:line="259" w:lineRule="auto"/>
            </w:pPr>
            <w:r>
              <w:rPr>
                <w:rFonts w:ascii="Calibri" w:hAnsi="Calibri"/>
                <w:b w:val="0"/>
                <w:i w:val="0"/>
                <w:color w:val="212121"/>
                <w:sz w:val="19"/>
              </w:rPr>
              <w:t>Universal salt iodisation target for goitre prevention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 (mIU/L)</w:t>
            </w:r>
          </w:p>
        </w:tc>
        <w:tc>
          <w:tcPr>
            <w:tcW w:type="dxa" w:w="1655"/>
            <w:vAlign w:val="top"/>
          </w:tcPr>
          <w:p>
            <w:pPr>
              <w:spacing w:after="40" w:before="0" w:line="259" w:lineRule="auto"/>
            </w:pPr>
            <w:r>
              <w:rPr>
                <w:rFonts w:ascii="Calibri" w:hAnsi="Calibri"/>
                <w:b w:val="0"/>
                <w:i w:val="0"/>
                <w:color w:val="212121"/>
                <w:sz w:val="19"/>
              </w:rPr>
              <w:t>Adults with a nodule</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&lt; 0.4 (possible autonomy) or &gt; 4.0 (thyroiditis/hypothyroidism)</w:t>
            </w:r>
          </w:p>
        </w:tc>
        <w:tc>
          <w:tcPr>
            <w:tcW w:type="dxa" w:w="1468"/>
            <w:vAlign w:val="top"/>
          </w:tcPr>
          <w:p>
            <w:pPr>
              <w:spacing w:after="40" w:before="0" w:line="259" w:lineRule="auto"/>
            </w:pPr>
            <w:r>
              <w:rPr>
                <w:rFonts w:ascii="Calibri" w:hAnsi="Calibri"/>
                <w:b w:val="0"/>
                <w:i w:val="0"/>
                <w:color w:val="212121"/>
                <w:sz w:val="19"/>
              </w:rPr>
              <w:t>First-line function test; low TSH prompts a scan, high TSH prompts ultrasound and antibodies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Anti-TPO antibody (IU/mL)</w:t>
            </w:r>
          </w:p>
        </w:tc>
        <w:tc>
          <w:tcPr>
            <w:tcW w:type="dxa" w:w="1655"/>
            <w:vAlign w:val="top"/>
          </w:tcPr>
          <w:p>
            <w:pPr>
              <w:spacing w:after="40" w:before="0" w:line="259" w:lineRule="auto"/>
            </w:pPr>
            <w:r>
              <w:rPr>
                <w:rFonts w:ascii="Calibri" w:hAnsi="Calibri"/>
                <w:b w:val="0"/>
                <w:i w:val="0"/>
                <w:color w:val="212121"/>
                <w:sz w:val="19"/>
              </w:rPr>
              <w:t>Adults with diffuse/nodular change</w:t>
            </w:r>
          </w:p>
        </w:tc>
        <w:tc>
          <w:tcPr>
            <w:tcW w:type="dxa" w:w="1512"/>
            <w:vAlign w:val="top"/>
          </w:tcPr>
          <w:p>
            <w:pPr>
              <w:spacing w:after="40" w:before="0" w:line="259" w:lineRule="auto"/>
            </w:pPr>
            <w:r>
              <w:rPr>
                <w:rFonts w:ascii="Calibri" w:hAnsi="Calibri"/>
                <w:b w:val="0"/>
                <w:i w:val="0"/>
                <w:color w:val="212121"/>
                <w:sz w:val="19"/>
              </w:rPr>
              <w:t>Negative (&lt; 35 IU/mL)</w:t>
            </w:r>
          </w:p>
        </w:tc>
        <w:tc>
          <w:tcPr>
            <w:tcW w:type="dxa" w:w="1512"/>
            <w:vAlign w:val="top"/>
          </w:tcPr>
          <w:p>
            <w:pPr>
              <w:spacing w:after="40" w:before="0" w:line="259" w:lineRule="auto"/>
            </w:pPr>
            <w:r>
              <w:rPr>
                <w:rFonts w:ascii="Calibri" w:hAnsi="Calibri"/>
                <w:b w:val="0"/>
                <w:i w:val="0"/>
                <w:color w:val="212121"/>
                <w:sz w:val="19"/>
              </w:rPr>
              <w:t>Positive (&gt;= 35 IU/mL)</w:t>
            </w:r>
          </w:p>
        </w:tc>
        <w:tc>
          <w:tcPr>
            <w:tcW w:type="dxa" w:w="1468"/>
            <w:vAlign w:val="top"/>
          </w:tcPr>
          <w:p>
            <w:pPr>
              <w:spacing w:after="60" w:line="259" w:lineRule="auto"/>
            </w:pPr>
            <w:r>
              <w:rPr>
                <w:rFonts w:ascii="Calibri" w:hAnsi="Calibri"/>
                <w:b w:val="0"/>
                <w:i w:val="0"/>
                <w:color w:val="212121"/>
                <w:sz w:val="19"/>
              </w:rPr>
              <w:t>Marks autoimmune thyroiditis coexisting with nodules; positive in ~16.7% of Indian adults</w:t>
            </w:r>
          </w:p>
          <w:p>
            <w:pPr>
              <w:spacing w:after="40" w:line="252" w:lineRule="auto"/>
            </w:pPr>
            <w:hyperlink r:id="rId11">
              <w:r>
                <w:rPr>
                  <w:rFonts w:ascii="Calibri" w:hAnsi="Calibri" w:cs="Calibri"/>
                  <w:sz w:val="18"/>
                  <w:color w:val="1155CC"/>
                  <w:u w:val="single"/>
                </w:rPr>
                <w:t xml:space="preserve">https://pmc.ncbi.nlm.nih.gov/articles/PMC3169866/</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(Asian-Indian)</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Higher BMI raises insulin/IGF-1 drive and thyroid-nodule prevalence</w:t>
            </w:r>
          </w:p>
          <w:p>
            <w:pPr>
              <w:spacing w:after="40" w:line="252" w:lineRule="auto"/>
            </w:pPr>
            <w:hyperlink r:id="rId12">
              <w:r>
                <w:rPr>
                  <w:rFonts w:ascii="Calibri" w:hAnsi="Calibri" w:cs="Calibri"/>
                  <w:sz w:val="18"/>
                  <w:color w:val="1155CC"/>
                  <w:u w:val="single"/>
                </w:rPr>
                <w:t xml:space="preserve">https://www.dovepress.com/prevalence-of-thyroid-nodules-and-associated-clinical-characteristics--peer-reviewed-fulltext-article-RMHP</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F &lt; 80 (Asian)</w:t>
            </w:r>
          </w:p>
        </w:tc>
        <w:tc>
          <w:tcPr>
            <w:tcW w:type="dxa" w:w="1512"/>
            <w:vAlign w:val="top"/>
          </w:tcPr>
          <w:p>
            <w:pPr>
              <w:spacing w:after="40" w:before="0" w:line="259" w:lineRule="auto"/>
            </w:pPr>
            <w:r>
              <w:rPr>
                <w:rFonts w:ascii="Calibri" w:hAnsi="Calibri"/>
                <w:b w:val="0"/>
                <w:i w:val="0"/>
                <w:color w:val="212121"/>
                <w:sz w:val="19"/>
              </w:rPr>
              <w:t>M &gt;= 90; F &gt;= 80</w:t>
            </w:r>
          </w:p>
        </w:tc>
        <w:tc>
          <w:tcPr>
            <w:tcW w:type="dxa" w:w="1468"/>
            <w:vAlign w:val="top"/>
          </w:tcPr>
          <w:p>
            <w:pPr>
              <w:spacing w:after="40" w:before="0" w:line="259" w:lineRule="auto"/>
            </w:pPr>
            <w:r>
              <w:rPr>
                <w:rFonts w:ascii="Calibri" w:hAnsi="Calibri"/>
                <w:b w:val="0"/>
                <w:i w:val="0"/>
                <w:color w:val="212121"/>
                <w:sz w:val="19"/>
              </w:rPr>
              <w:t>Central adiposity marks insulin resistance linked to nodules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Thiocyanate is goitrogenic; smoking enlarges the thyroid and multinodular goitre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Prior head/neck ionising radiation</w:t>
            </w:r>
          </w:p>
        </w:tc>
        <w:tc>
          <w:tcPr>
            <w:tcW w:type="dxa" w:w="1655"/>
            <w:vAlign w:val="top"/>
          </w:tcPr>
          <w:p>
            <w:pPr>
              <w:spacing w:after="40" w:before="0" w:line="259" w:lineRule="auto"/>
            </w:pPr>
            <w:r>
              <w:rPr>
                <w:rFonts w:ascii="Calibri" w:hAnsi="Calibri"/>
                <w:b w:val="0"/>
                <w:i w:val="0"/>
                <w:color w:val="212121"/>
                <w:sz w:val="19"/>
              </w:rPr>
              <w:t>Children, cancer survivors, radiation workers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childhood head-and-neck irradiation or nuclear fallout exposure</w:t>
            </w:r>
          </w:p>
        </w:tc>
        <w:tc>
          <w:tcPr>
            <w:tcW w:type="dxa" w:w="1468"/>
            <w:vAlign w:val="top"/>
          </w:tcPr>
          <w:p>
            <w:pPr>
              <w:spacing w:after="40" w:before="0" w:line="259" w:lineRule="auto"/>
            </w:pPr>
            <w:r>
              <w:rPr>
                <w:rFonts w:ascii="Calibri" w:hAnsi="Calibri"/>
                <w:b w:val="0"/>
                <w:i w:val="0"/>
                <w:color w:val="212121"/>
                <w:sz w:val="19"/>
              </w:rPr>
              <w:t>Strongest environmental risk factor for nodules and papillary carcinoma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Nodule size on ultrasound (cm)</w:t>
            </w:r>
          </w:p>
        </w:tc>
        <w:tc>
          <w:tcPr>
            <w:tcW w:type="dxa" w:w="1655"/>
            <w:vAlign w:val="top"/>
          </w:tcPr>
          <w:p>
            <w:pPr>
              <w:spacing w:after="40" w:before="0" w:line="259" w:lineRule="auto"/>
            </w:pPr>
            <w:r>
              <w:rPr>
                <w:rFonts w:ascii="Calibri" w:hAnsi="Calibri"/>
                <w:b w:val="0"/>
                <w:i w:val="0"/>
                <w:color w:val="212121"/>
                <w:sz w:val="19"/>
              </w:rPr>
              <w:t>Adults with a nodule</w:t>
            </w:r>
          </w:p>
        </w:tc>
        <w:tc>
          <w:tcPr>
            <w:tcW w:type="dxa" w:w="1512"/>
            <w:vAlign w:val="top"/>
          </w:tcPr>
          <w:p>
            <w:pPr>
              <w:spacing w:after="40" w:before="0" w:line="259" w:lineRule="auto"/>
            </w:pPr>
            <w:r>
              <w:rPr>
                <w:rFonts w:ascii="Calibri" w:hAnsi="Calibri"/>
                <w:b w:val="0"/>
                <w:i w:val="0"/>
                <w:color w:val="212121"/>
                <w:sz w:val="19"/>
              </w:rPr>
              <w:t>&lt; 1 cm low-risk (observe)</w:t>
            </w:r>
          </w:p>
        </w:tc>
        <w:tc>
          <w:tcPr>
            <w:tcW w:type="dxa" w:w="1512"/>
            <w:vAlign w:val="top"/>
          </w:tcPr>
          <w:p>
            <w:pPr>
              <w:spacing w:after="40" w:before="0" w:line="259" w:lineRule="auto"/>
            </w:pPr>
            <w:r>
              <w:rPr>
                <w:rFonts w:ascii="Calibri" w:hAnsi="Calibri"/>
                <w:b w:val="0"/>
                <w:i w:val="0"/>
                <w:color w:val="212121"/>
                <w:sz w:val="19"/>
              </w:rPr>
              <w:t>FNAC if &gt;= 1-1.5 cm (high-risk) or &gt;= 2 cm (low-risk) by TI-RADS</w:t>
            </w:r>
          </w:p>
        </w:tc>
        <w:tc>
          <w:tcPr>
            <w:tcW w:type="dxa" w:w="1468"/>
            <w:vAlign w:val="top"/>
          </w:tcPr>
          <w:p>
            <w:pPr>
              <w:spacing w:after="40" w:before="0" w:line="259" w:lineRule="auto"/>
            </w:pPr>
            <w:r>
              <w:rPr>
                <w:rFonts w:ascii="Calibri" w:hAnsi="Calibri"/>
                <w:b w:val="0"/>
                <w:i w:val="0"/>
                <w:color w:val="212121"/>
                <w:sz w:val="19"/>
              </w:rPr>
              <w:t>Biopsy threshold is set by TI-RADS category, not size alone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ACR TI-RADS category</w:t>
            </w:r>
          </w:p>
        </w:tc>
        <w:tc>
          <w:tcPr>
            <w:tcW w:type="dxa" w:w="1655"/>
            <w:vAlign w:val="top"/>
          </w:tcPr>
          <w:p>
            <w:pPr>
              <w:spacing w:after="40" w:before="0" w:line="259" w:lineRule="auto"/>
            </w:pPr>
            <w:r>
              <w:rPr>
                <w:rFonts w:ascii="Calibri" w:hAnsi="Calibri"/>
                <w:b w:val="0"/>
                <w:i w:val="0"/>
                <w:color w:val="212121"/>
                <w:sz w:val="19"/>
              </w:rPr>
              <w:t>Adults with a nodule</w:t>
            </w:r>
          </w:p>
        </w:tc>
        <w:tc>
          <w:tcPr>
            <w:tcW w:type="dxa" w:w="1512"/>
            <w:vAlign w:val="top"/>
          </w:tcPr>
          <w:p>
            <w:pPr>
              <w:spacing w:after="40" w:before="0" w:line="259" w:lineRule="auto"/>
            </w:pPr>
            <w:r>
              <w:rPr>
                <w:rFonts w:ascii="Calibri" w:hAnsi="Calibri"/>
                <w:b w:val="0"/>
                <w:i w:val="0"/>
                <w:color w:val="212121"/>
                <w:sz w:val="19"/>
              </w:rPr>
              <w:t>TR1-TR2 (benign)</w:t>
            </w:r>
          </w:p>
        </w:tc>
        <w:tc>
          <w:tcPr>
            <w:tcW w:type="dxa" w:w="1512"/>
            <w:vAlign w:val="top"/>
          </w:tcPr>
          <w:p>
            <w:pPr>
              <w:spacing w:after="40" w:before="0" w:line="259" w:lineRule="auto"/>
            </w:pPr>
            <w:r>
              <w:rPr>
                <w:rFonts w:ascii="Calibri" w:hAnsi="Calibri"/>
                <w:b w:val="0"/>
                <w:i w:val="0"/>
                <w:color w:val="212121"/>
                <w:sz w:val="19"/>
              </w:rPr>
              <w:t>TR4-TR5 (suspicious/highly suspicious)</w:t>
            </w:r>
          </w:p>
        </w:tc>
        <w:tc>
          <w:tcPr>
            <w:tcW w:type="dxa" w:w="1468"/>
            <w:vAlign w:val="top"/>
          </w:tcPr>
          <w:p>
            <w:pPr>
              <w:spacing w:after="40" w:before="0" w:line="259" w:lineRule="auto"/>
            </w:pPr>
            <w:r>
              <w:rPr>
                <w:rFonts w:ascii="Calibri" w:hAnsi="Calibri"/>
                <w:b w:val="0"/>
                <w:i w:val="0"/>
                <w:color w:val="212121"/>
                <w:sz w:val="19"/>
              </w:rPr>
              <w:t>Structured ultrasound malignancy-risk stratification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Heavy intake</w:t>
            </w:r>
          </w:p>
        </w:tc>
        <w:tc>
          <w:tcPr>
            <w:tcW w:type="dxa" w:w="1468"/>
            <w:vAlign w:val="top"/>
          </w:tcPr>
          <w:p>
            <w:pPr>
              <w:spacing w:after="40" w:before="0" w:line="259" w:lineRule="auto"/>
            </w:pPr>
            <w:r>
              <w:rPr>
                <w:rFonts w:ascii="Calibri" w:hAnsi="Calibri"/>
                <w:b w:val="0"/>
                <w:i w:val="0"/>
                <w:color w:val="212121"/>
                <w:sz w:val="19"/>
              </w:rPr>
              <w:t>Weak inverse association with nodules; not a recommendation given other harms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First-line; low suggests an autonomous nodule, high suggests thyroiditis/hypothyroidism</w:t>
            </w:r>
          </w:p>
        </w:tc>
        <w:tc>
          <w:tcPr>
            <w:tcW w:type="dxa" w:w="1036"/>
            <w:vAlign w:val="top"/>
          </w:tcPr>
          <w:p>
            <w:pPr>
              <w:spacing w:after="40" w:before="0" w:line="259" w:lineRule="auto"/>
            </w:pPr>
            <w:r>
              <w:rPr>
                <w:rFonts w:ascii="Calibri" w:hAnsi="Calibri"/>
                <w:b w:val="0"/>
                <w:i w:val="0"/>
                <w:color w:val="212121"/>
                <w:sz w:val="16"/>
              </w:rPr>
              <w:t>All patients with a thyroid nodule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 (first-line)</w:t>
            </w:r>
          </w:p>
        </w:tc>
        <w:tc>
          <w:tcPr>
            <w:tcW w:type="dxa" w:w="720"/>
            <w:vAlign w:val="top"/>
          </w:tcPr>
          <w:p>
            <w:pPr>
              <w:spacing w:after="40" w:before="0" w:line="259" w:lineRule="auto"/>
            </w:pPr>
            <w:r>
              <w:rPr>
                <w:rFonts w:ascii="Calibri" w:hAnsi="Calibri"/>
                <w:b w:val="0"/>
                <w:i w:val="0"/>
                <w:color w:val="212121"/>
                <w:sz w:val="16"/>
              </w:rPr>
              <w:t>Directs whether to proceed to radionuclide scan or ultrasound-based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T4 (and T3)</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FT4 ~0.8-1.8 ng/dL</w:t>
            </w:r>
          </w:p>
        </w:tc>
        <w:tc>
          <w:tcPr>
            <w:tcW w:type="dxa" w:w="950"/>
            <w:vAlign w:val="top"/>
          </w:tcPr>
          <w:p>
            <w:pPr>
              <w:spacing w:after="40" w:before="0" w:line="259" w:lineRule="auto"/>
            </w:pPr>
            <w:r>
              <w:rPr>
                <w:rFonts w:ascii="Calibri" w:hAnsi="Calibri"/>
                <w:b w:val="0"/>
                <w:i w:val="0"/>
                <w:color w:val="212121"/>
                <w:sz w:val="16"/>
              </w:rPr>
              <w:t>Outside reference range</w:t>
            </w:r>
          </w:p>
        </w:tc>
        <w:tc>
          <w:tcPr>
            <w:tcW w:type="dxa" w:w="1036"/>
            <w:vAlign w:val="top"/>
          </w:tcPr>
          <w:p>
            <w:pPr>
              <w:spacing w:after="40" w:before="0" w:line="259" w:lineRule="auto"/>
            </w:pPr>
            <w:r>
              <w:rPr>
                <w:rFonts w:ascii="Calibri" w:hAnsi="Calibri"/>
                <w:b w:val="0"/>
                <w:i w:val="0"/>
                <w:color w:val="212121"/>
                <w:sz w:val="16"/>
              </w:rPr>
              <w:t>Quantifies hyper- or hypothyroidism when TSH is abnormal</w:t>
            </w:r>
          </w:p>
        </w:tc>
        <w:tc>
          <w:tcPr>
            <w:tcW w:type="dxa" w:w="1036"/>
            <w:vAlign w:val="top"/>
          </w:tcPr>
          <w:p>
            <w:pPr>
              <w:spacing w:after="40" w:before="0" w:line="259" w:lineRule="auto"/>
            </w:pPr>
            <w:r>
              <w:rPr>
                <w:rFonts w:ascii="Calibri" w:hAnsi="Calibri"/>
                <w:b w:val="0"/>
                <w:i w:val="0"/>
                <w:color w:val="212121"/>
                <w:sz w:val="16"/>
              </w:rPr>
              <w:t>Nodule with abnormal TSH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Add FT3 if hyperthyroidism suspected (T3-toxicosis)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Anti-TPO antibodies</w:t>
            </w:r>
          </w:p>
        </w:tc>
        <w:tc>
          <w:tcPr>
            <w:tcW w:type="dxa" w:w="892"/>
            <w:vAlign w:val="top"/>
          </w:tcPr>
          <w:p>
            <w:pPr>
              <w:spacing w:after="40" w:before="0" w:line="259" w:lineRule="auto"/>
            </w:pPr>
            <w:r>
              <w:rPr>
                <w:rFonts w:ascii="Calibri" w:hAnsi="Calibri"/>
                <w:b w:val="0"/>
                <w:i w:val="0"/>
                <w:color w:val="212121"/>
                <w:sz w:val="16"/>
              </w:rPr>
              <w:t>Autoimmune panel</w:t>
            </w:r>
          </w:p>
        </w:tc>
        <w:tc>
          <w:tcPr>
            <w:tcW w:type="dxa" w:w="950"/>
            <w:vAlign w:val="top"/>
          </w:tcPr>
          <w:p>
            <w:pPr>
              <w:spacing w:after="40" w:before="0" w:line="259" w:lineRule="auto"/>
            </w:pPr>
            <w:r>
              <w:rPr>
                <w:rFonts w:ascii="Calibri" w:hAnsi="Calibri"/>
                <w:b w:val="0"/>
                <w:i w:val="0"/>
                <w:color w:val="212121"/>
                <w:sz w:val="16"/>
              </w:rPr>
              <w:t>&lt; 35 IU/mL</w:t>
            </w:r>
          </w:p>
        </w:tc>
        <w:tc>
          <w:tcPr>
            <w:tcW w:type="dxa" w:w="950"/>
            <w:vAlign w:val="top"/>
          </w:tcPr>
          <w:p>
            <w:pPr>
              <w:spacing w:after="40" w:before="0" w:line="259" w:lineRule="auto"/>
            </w:pPr>
            <w:r>
              <w:rPr>
                <w:rFonts w:ascii="Calibri" w:hAnsi="Calibri"/>
                <w:b w:val="0"/>
                <w:i w:val="0"/>
                <w:color w:val="212121"/>
                <w:sz w:val="16"/>
              </w:rPr>
              <w:t>&gt;= 35 IU/mL</w:t>
            </w:r>
          </w:p>
        </w:tc>
        <w:tc>
          <w:tcPr>
            <w:tcW w:type="dxa" w:w="1036"/>
            <w:vAlign w:val="top"/>
          </w:tcPr>
          <w:p>
            <w:pPr>
              <w:spacing w:after="40" w:before="0" w:line="259" w:lineRule="auto"/>
            </w:pPr>
            <w:r>
              <w:rPr>
                <w:rFonts w:ascii="Calibri" w:hAnsi="Calibri"/>
                <w:b w:val="0"/>
                <w:i w:val="0"/>
                <w:color w:val="212121"/>
                <w:sz w:val="16"/>
              </w:rPr>
              <w:t>Confirms autoimmune (Hashimoto's) thyroiditis underlying nodular change</w:t>
            </w:r>
          </w:p>
        </w:tc>
        <w:tc>
          <w:tcPr>
            <w:tcW w:type="dxa" w:w="1036"/>
            <w:vAlign w:val="top"/>
          </w:tcPr>
          <w:p>
            <w:pPr>
              <w:spacing w:after="40" w:before="0" w:line="259" w:lineRule="auto"/>
            </w:pPr>
            <w:r>
              <w:rPr>
                <w:rFonts w:ascii="Calibri" w:hAnsi="Calibri"/>
                <w:b w:val="0"/>
                <w:i w:val="0"/>
                <w:color w:val="212121"/>
                <w:sz w:val="16"/>
              </w:rPr>
              <w:t>Nodule with high TSH or diffuse hypoechoic gland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Positive in about 16.7% of Indian adults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calcitonin</w:t>
            </w:r>
          </w:p>
        </w:tc>
        <w:tc>
          <w:tcPr>
            <w:tcW w:type="dxa" w:w="892"/>
            <w:vAlign w:val="top"/>
          </w:tcPr>
          <w:p>
            <w:pPr>
              <w:spacing w:after="40" w:before="0" w:line="259" w:lineRule="auto"/>
            </w:pPr>
            <w:r>
              <w:rPr>
                <w:rFonts w:ascii="Calibri" w:hAnsi="Calibri"/>
                <w:b w:val="0"/>
                <w:i w:val="0"/>
                <w:color w:val="212121"/>
                <w:sz w:val="16"/>
              </w:rPr>
              <w:t>Tumour marker</w:t>
            </w:r>
          </w:p>
        </w:tc>
        <w:tc>
          <w:tcPr>
            <w:tcW w:type="dxa" w:w="950"/>
            <w:vAlign w:val="top"/>
          </w:tcPr>
          <w:p>
            <w:pPr>
              <w:spacing w:after="40" w:before="0" w:line="259" w:lineRule="auto"/>
            </w:pPr>
            <w:r>
              <w:rPr>
                <w:rFonts w:ascii="Calibri" w:hAnsi="Calibri"/>
                <w:b w:val="0"/>
                <w:i w:val="0"/>
                <w:color w:val="212121"/>
                <w:sz w:val="16"/>
              </w:rPr>
              <w:t>&lt; 10 pg/mL</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Screens for medullary thyroid carcinoma</w:t>
            </w:r>
          </w:p>
        </w:tc>
        <w:tc>
          <w:tcPr>
            <w:tcW w:type="dxa" w:w="1036"/>
            <w:vAlign w:val="top"/>
          </w:tcPr>
          <w:p>
            <w:pPr>
              <w:spacing w:after="40" w:before="0" w:line="259" w:lineRule="auto"/>
            </w:pPr>
            <w:r>
              <w:rPr>
                <w:rFonts w:ascii="Calibri" w:hAnsi="Calibri"/>
                <w:b w:val="0"/>
                <w:i w:val="0"/>
                <w:color w:val="212121"/>
                <w:sz w:val="16"/>
              </w:rPr>
              <w:t>Family history/MEN2, suspicious nodule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Very high levels are diagnostic; use selectively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Thyroid ultrasound (TI-RADS)</w:t>
            </w:r>
          </w:p>
        </w:tc>
        <w:tc>
          <w:tcPr>
            <w:tcW w:type="dxa" w:w="892"/>
            <w:vAlign w:val="top"/>
          </w:tcPr>
          <w:p>
            <w:pPr>
              <w:spacing w:after="40" w:before="0" w:line="259" w:lineRule="auto"/>
            </w:pPr>
            <w:r>
              <w:rPr>
                <w:rFonts w:ascii="Calibri" w:hAnsi="Calibri"/>
                <w:b w:val="0"/>
                <w:i w:val="0"/>
                <w:color w:val="212121"/>
                <w:sz w:val="16"/>
              </w:rPr>
              <w:t>Neck ultrasonography</w:t>
            </w:r>
          </w:p>
        </w:tc>
        <w:tc>
          <w:tcPr>
            <w:tcW w:type="dxa" w:w="950"/>
            <w:vAlign w:val="top"/>
          </w:tcPr>
          <w:p>
            <w:pPr>
              <w:spacing w:after="40" w:before="0" w:line="259" w:lineRule="auto"/>
            </w:pPr>
            <w:r>
              <w:rPr>
                <w:rFonts w:ascii="Calibri" w:hAnsi="Calibri"/>
                <w:b w:val="0"/>
                <w:i w:val="0"/>
                <w:color w:val="212121"/>
                <w:sz w:val="16"/>
              </w:rPr>
              <w:t>TR1-TR2 (benign pattern)</w:t>
            </w:r>
          </w:p>
        </w:tc>
        <w:tc>
          <w:tcPr>
            <w:tcW w:type="dxa" w:w="950"/>
            <w:vAlign w:val="top"/>
          </w:tcPr>
          <w:p>
            <w:pPr>
              <w:spacing w:after="40" w:before="0" w:line="259" w:lineRule="auto"/>
            </w:pPr>
            <w:r>
              <w:rPr>
                <w:rFonts w:ascii="Calibri" w:hAnsi="Calibri"/>
                <w:b w:val="0"/>
                <w:i w:val="0"/>
                <w:color w:val="212121"/>
                <w:sz w:val="16"/>
              </w:rPr>
              <w:t>TR4-TR5 (suspicious)</w:t>
            </w:r>
          </w:p>
        </w:tc>
        <w:tc>
          <w:tcPr>
            <w:tcW w:type="dxa" w:w="1036"/>
            <w:vAlign w:val="top"/>
          </w:tcPr>
          <w:p>
            <w:pPr>
              <w:spacing w:after="40" w:before="0" w:line="259" w:lineRule="auto"/>
            </w:pPr>
            <w:r>
              <w:rPr>
                <w:rFonts w:ascii="Calibri" w:hAnsi="Calibri"/>
                <w:b w:val="0"/>
                <w:i w:val="0"/>
                <w:color w:val="212121"/>
                <w:sz w:val="16"/>
              </w:rPr>
              <w:t>Risk-stratifies the nodule and sets the biopsy threshold</w:t>
            </w:r>
          </w:p>
        </w:tc>
        <w:tc>
          <w:tcPr>
            <w:tcW w:type="dxa" w:w="1036"/>
            <w:vAlign w:val="top"/>
          </w:tcPr>
          <w:p>
            <w:pPr>
              <w:spacing w:after="40" w:before="0" w:line="259" w:lineRule="auto"/>
            </w:pPr>
            <w:r>
              <w:rPr>
                <w:rFonts w:ascii="Calibri" w:hAnsi="Calibri"/>
                <w:b w:val="0"/>
                <w:i w:val="0"/>
                <w:color w:val="212121"/>
                <w:sz w:val="16"/>
              </w:rPr>
              <w:t>All palpable or incidental nodules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Assess composition, echogenicity, margins, shape, foci and cervical nodes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Radionuclide scan (Tc-99m / I-123)</w:t>
            </w:r>
          </w:p>
        </w:tc>
        <w:tc>
          <w:tcPr>
            <w:tcW w:type="dxa" w:w="892"/>
            <w:vAlign w:val="top"/>
          </w:tcPr>
          <w:p>
            <w:pPr>
              <w:spacing w:after="40" w:before="0" w:line="259" w:lineRule="auto"/>
            </w:pPr>
            <w:r>
              <w:rPr>
                <w:rFonts w:ascii="Calibri" w:hAnsi="Calibri"/>
                <w:b w:val="0"/>
                <w:i w:val="0"/>
                <w:color w:val="212121"/>
                <w:sz w:val="16"/>
              </w:rPr>
              <w:t>Thyroid scintigraphy</w:t>
            </w:r>
          </w:p>
        </w:tc>
        <w:tc>
          <w:tcPr>
            <w:tcW w:type="dxa" w:w="950"/>
            <w:vAlign w:val="top"/>
          </w:tcPr>
          <w:p>
            <w:pPr>
              <w:spacing w:after="40" w:before="0" w:line="259" w:lineRule="auto"/>
            </w:pPr>
            <w:r>
              <w:rPr>
                <w:rFonts w:ascii="Calibri" w:hAnsi="Calibri"/>
                <w:b w:val="0"/>
                <w:i w:val="0"/>
                <w:color w:val="212121"/>
                <w:sz w:val="16"/>
              </w:rPr>
              <w:t>No autonomous focus</w:t>
            </w:r>
          </w:p>
        </w:tc>
        <w:tc>
          <w:tcPr>
            <w:tcW w:type="dxa" w:w="950"/>
            <w:vAlign w:val="top"/>
          </w:tcPr>
          <w:p>
            <w:pPr>
              <w:spacing w:after="40" w:before="0" w:line="259" w:lineRule="auto"/>
            </w:pPr>
            <w:r>
              <w:rPr>
                <w:rFonts w:ascii="Calibri" w:hAnsi="Calibri"/>
                <w:b w:val="0"/>
                <w:i w:val="0"/>
                <w:color w:val="212121"/>
                <w:sz w:val="16"/>
              </w:rPr>
              <w:t>Hot (autonomous) or cold nodule</w:t>
            </w:r>
          </w:p>
        </w:tc>
        <w:tc>
          <w:tcPr>
            <w:tcW w:type="dxa" w:w="1036"/>
            <w:vAlign w:val="top"/>
          </w:tcPr>
          <w:p>
            <w:pPr>
              <w:spacing w:after="40" w:before="0" w:line="259" w:lineRule="auto"/>
            </w:pPr>
            <w:r>
              <w:rPr>
                <w:rFonts w:ascii="Calibri" w:hAnsi="Calibri"/>
                <w:b w:val="0"/>
                <w:i w:val="0"/>
                <w:color w:val="212121"/>
                <w:sz w:val="16"/>
              </w:rPr>
              <w:t>Hot nodules are rarely malignant; cold nodules require cytology</w:t>
            </w:r>
          </w:p>
        </w:tc>
        <w:tc>
          <w:tcPr>
            <w:tcW w:type="dxa" w:w="1036"/>
            <w:vAlign w:val="top"/>
          </w:tcPr>
          <w:p>
            <w:pPr>
              <w:spacing w:after="40" w:before="0" w:line="259" w:lineRule="auto"/>
            </w:pPr>
            <w:r>
              <w:rPr>
                <w:rFonts w:ascii="Calibri" w:hAnsi="Calibri"/>
                <w:b w:val="0"/>
                <w:i w:val="0"/>
                <w:color w:val="212121"/>
                <w:sz w:val="16"/>
              </w:rPr>
              <w:t>Nodule with a low TSH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informative when TSH is 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FNAC (Bethesda I-VI)</w:t>
            </w:r>
          </w:p>
        </w:tc>
        <w:tc>
          <w:tcPr>
            <w:tcW w:type="dxa" w:w="892"/>
            <w:vAlign w:val="top"/>
          </w:tcPr>
          <w:p>
            <w:pPr>
              <w:spacing w:after="40" w:before="0" w:line="259" w:lineRule="auto"/>
            </w:pPr>
            <w:r>
              <w:rPr>
                <w:rFonts w:ascii="Calibri" w:hAnsi="Calibri"/>
                <w:b w:val="0"/>
                <w:i w:val="0"/>
                <w:color w:val="212121"/>
                <w:sz w:val="16"/>
              </w:rPr>
              <w:t>US-guided fine-needle aspiration</w:t>
            </w:r>
          </w:p>
        </w:tc>
        <w:tc>
          <w:tcPr>
            <w:tcW w:type="dxa" w:w="950"/>
            <w:vAlign w:val="top"/>
          </w:tcPr>
          <w:p>
            <w:pPr>
              <w:spacing w:after="40" w:before="0" w:line="259" w:lineRule="auto"/>
            </w:pPr>
            <w:r>
              <w:rPr>
                <w:rFonts w:ascii="Calibri" w:hAnsi="Calibri"/>
                <w:b w:val="0"/>
                <w:i w:val="0"/>
                <w:color w:val="212121"/>
                <w:sz w:val="16"/>
              </w:rPr>
              <w:t>Bethesda II (benign)</w:t>
            </w:r>
          </w:p>
        </w:tc>
        <w:tc>
          <w:tcPr>
            <w:tcW w:type="dxa" w:w="950"/>
            <w:vAlign w:val="top"/>
          </w:tcPr>
          <w:p>
            <w:pPr>
              <w:spacing w:after="40" w:before="0" w:line="259" w:lineRule="auto"/>
            </w:pPr>
            <w:r>
              <w:rPr>
                <w:rFonts w:ascii="Calibri" w:hAnsi="Calibri"/>
                <w:b w:val="0"/>
                <w:i w:val="0"/>
                <w:color w:val="212121"/>
                <w:sz w:val="16"/>
              </w:rPr>
              <w:t>Bethesda IV-VI</w:t>
            </w:r>
          </w:p>
        </w:tc>
        <w:tc>
          <w:tcPr>
            <w:tcW w:type="dxa" w:w="1036"/>
            <w:vAlign w:val="top"/>
          </w:tcPr>
          <w:p>
            <w:pPr>
              <w:spacing w:after="40" w:before="0" w:line="259" w:lineRule="auto"/>
            </w:pPr>
            <w:r>
              <w:rPr>
                <w:rFonts w:ascii="Calibri" w:hAnsi="Calibri"/>
                <w:b w:val="0"/>
                <w:i w:val="0"/>
                <w:color w:val="212121"/>
                <w:sz w:val="16"/>
              </w:rPr>
              <w:t>Definitive malignancy-risk assessment of the nodule</w:t>
            </w:r>
          </w:p>
        </w:tc>
        <w:tc>
          <w:tcPr>
            <w:tcW w:type="dxa" w:w="1036"/>
            <w:vAlign w:val="top"/>
          </w:tcPr>
          <w:p>
            <w:pPr>
              <w:spacing w:after="40" w:before="0" w:line="259" w:lineRule="auto"/>
            </w:pPr>
            <w:r>
              <w:rPr>
                <w:rFonts w:ascii="Calibri" w:hAnsi="Calibri"/>
                <w:b w:val="0"/>
                <w:i w:val="0"/>
                <w:color w:val="212121"/>
                <w:sz w:val="16"/>
              </w:rPr>
              <w:t>Nodules meeting TI-RADS size thresholds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Bethesda III/IV are indeterminate - repeat or molecular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thyroglobulin</w:t>
            </w:r>
          </w:p>
        </w:tc>
        <w:tc>
          <w:tcPr>
            <w:tcW w:type="dxa" w:w="892"/>
            <w:vAlign w:val="top"/>
          </w:tcPr>
          <w:p>
            <w:pPr>
              <w:spacing w:after="40" w:before="0" w:line="259" w:lineRule="auto"/>
            </w:pPr>
            <w:r>
              <w:rPr>
                <w:rFonts w:ascii="Calibri" w:hAnsi="Calibri"/>
                <w:b w:val="0"/>
                <w:i w:val="0"/>
                <w:color w:val="212121"/>
                <w:sz w:val="16"/>
              </w:rPr>
              <w:t>Tumour marker (monitoring)</w:t>
            </w:r>
          </w:p>
        </w:tc>
        <w:tc>
          <w:tcPr>
            <w:tcW w:type="dxa" w:w="950"/>
            <w:vAlign w:val="top"/>
          </w:tcPr>
          <w:p>
            <w:pPr>
              <w:spacing w:after="40" w:before="0" w:line="259" w:lineRule="auto"/>
            </w:pPr>
            <w:r>
              <w:rPr>
                <w:rFonts w:ascii="Calibri" w:hAnsi="Calibri"/>
                <w:b w:val="0"/>
                <w:i w:val="0"/>
                <w:color w:val="212121"/>
                <w:sz w:val="16"/>
              </w:rPr>
              <w:t>Low / stable</w:t>
            </w:r>
          </w:p>
        </w:tc>
        <w:tc>
          <w:tcPr>
            <w:tcW w:type="dxa" w:w="950"/>
            <w:vAlign w:val="top"/>
          </w:tcPr>
          <w:p>
            <w:pPr>
              <w:spacing w:after="40" w:before="0" w:line="259" w:lineRule="auto"/>
            </w:pPr>
            <w:r>
              <w:rPr>
                <w:rFonts w:ascii="Calibri" w:hAnsi="Calibri"/>
                <w:b w:val="0"/>
                <w:i w:val="0"/>
                <w:color w:val="212121"/>
                <w:sz w:val="16"/>
              </w:rPr>
              <w:t>Rising after total thyroidectomy</w:t>
            </w:r>
          </w:p>
        </w:tc>
        <w:tc>
          <w:tcPr>
            <w:tcW w:type="dxa" w:w="1036"/>
            <w:vAlign w:val="top"/>
          </w:tcPr>
          <w:p>
            <w:pPr>
              <w:spacing w:after="40" w:before="0" w:line="259" w:lineRule="auto"/>
            </w:pPr>
            <w:r>
              <w:rPr>
                <w:rFonts w:ascii="Calibri" w:hAnsi="Calibri"/>
                <w:b w:val="0"/>
                <w:i w:val="0"/>
                <w:color w:val="212121"/>
                <w:sz w:val="16"/>
              </w:rPr>
              <w:t>Recurrence marker for differentiated thyroid cancer</w:t>
            </w:r>
          </w:p>
        </w:tc>
        <w:tc>
          <w:tcPr>
            <w:tcW w:type="dxa" w:w="1036"/>
            <w:vAlign w:val="top"/>
          </w:tcPr>
          <w:p>
            <w:pPr>
              <w:spacing w:after="40" w:before="0" w:line="259" w:lineRule="auto"/>
            </w:pPr>
            <w:r>
              <w:rPr>
                <w:rFonts w:ascii="Calibri" w:hAnsi="Calibri"/>
                <w:b w:val="0"/>
                <w:i w:val="0"/>
                <w:color w:val="212121"/>
                <w:sz w:val="16"/>
              </w:rPr>
              <w:t>Post-thyroidectomy differentiated cancer</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Not a diagnostic test for the initial nodule; interpret with anti-Tg antibodies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Neck swelling / lump</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Palpable or visible anterior neck mass</w:t>
            </w:r>
          </w:p>
        </w:tc>
        <w:tc>
          <w:tcPr>
            <w:tcW w:type="dxa" w:w="1036"/>
            <w:vAlign w:val="top"/>
          </w:tcPr>
          <w:p>
            <w:pPr>
              <w:spacing w:after="40" w:before="0" w:line="259" w:lineRule="auto"/>
            </w:pPr>
            <w:r>
              <w:rPr>
                <w:rFonts w:ascii="Calibri" w:hAnsi="Calibri"/>
                <w:b w:val="0"/>
                <w:i w:val="0"/>
                <w:color w:val="212121"/>
                <w:sz w:val="16"/>
              </w:rPr>
              <w:t>Most nodules present as a painless anterior neck swelling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found incidentally on imaging done for other reasons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Compressive symptoms</w:t>
            </w:r>
          </w:p>
        </w:tc>
        <w:tc>
          <w:tcPr>
            <w:tcW w:type="dxa" w:w="979"/>
            <w:vAlign w:val="top"/>
          </w:tcPr>
          <w:p>
            <w:pPr>
              <w:spacing w:after="40" w:before="0" w:line="259" w:lineRule="auto"/>
            </w:pPr>
            <w:r>
              <w:rPr>
                <w:rFonts w:ascii="Calibri" w:hAnsi="Calibri"/>
                <w:b w:val="0"/>
                <w:i w:val="0"/>
                <w:color w:val="212121"/>
                <w:sz w:val="16"/>
              </w:rPr>
              <w:t>Dysphagia, dyspnoea, voice change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Suggest a large or retrosternal goitre, or local invasion</w:t>
            </w:r>
          </w:p>
        </w:tc>
        <w:tc>
          <w:tcPr>
            <w:tcW w:type="dxa" w:w="1036"/>
            <w:vAlign w:val="top"/>
          </w:tcPr>
          <w:p>
            <w:pPr>
              <w:spacing w:after="40" w:before="0" w:line="259" w:lineRule="auto"/>
            </w:pPr>
            <w:r>
              <w:rPr>
                <w:rFonts w:ascii="Calibri" w:hAnsi="Calibri"/>
                <w:b w:val="0"/>
                <w:i w:val="0"/>
                <w:color w:val="212121"/>
                <w:sz w:val="16"/>
              </w:rPr>
              <w:t>Large multinodular/retrosternal goitre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Hoarseness raises concern for recurrent laryngeal nerve involvement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Malignancy-risk history</w:t>
            </w:r>
          </w:p>
        </w:tc>
        <w:tc>
          <w:tcPr>
            <w:tcW w:type="dxa" w:w="979"/>
            <w:vAlign w:val="top"/>
          </w:tcPr>
          <w:p>
            <w:pPr>
              <w:spacing w:after="40" w:before="0" w:line="259" w:lineRule="auto"/>
            </w:pPr>
            <w:r>
              <w:rPr>
                <w:rFonts w:ascii="Calibri" w:hAnsi="Calibri"/>
                <w:b w:val="0"/>
                <w:i w:val="0"/>
                <w:color w:val="212121"/>
                <w:sz w:val="16"/>
              </w:rPr>
              <w:t>Childhood neck radiation, rapid growth, FH thyroid cancer/MEN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Raises the pre-test probability of malignancy</w:t>
            </w:r>
          </w:p>
        </w:tc>
        <w:tc>
          <w:tcPr>
            <w:tcW w:type="dxa" w:w="1036"/>
            <w:vAlign w:val="top"/>
          </w:tcPr>
          <w:p>
            <w:pPr>
              <w:spacing w:after="40" w:before="0" w:line="259" w:lineRule="auto"/>
            </w:pPr>
            <w:r>
              <w:rPr>
                <w:rFonts w:ascii="Calibri" w:hAnsi="Calibri"/>
                <w:b w:val="0"/>
                <w:i w:val="0"/>
                <w:color w:val="212121"/>
                <w:sz w:val="16"/>
              </w:rPr>
              <w:t>Radiation-exposed, syndromic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Age &lt; 20 or &gt; 60 and male sex add further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Thyroid-function symptoms</w:t>
            </w:r>
          </w:p>
        </w:tc>
        <w:tc>
          <w:tcPr>
            <w:tcW w:type="dxa" w:w="979"/>
            <w:vAlign w:val="top"/>
          </w:tcPr>
          <w:p>
            <w:pPr>
              <w:spacing w:after="40" w:before="0" w:line="259" w:lineRule="auto"/>
            </w:pPr>
            <w:r>
              <w:rPr>
                <w:rFonts w:ascii="Calibri" w:hAnsi="Calibri"/>
                <w:b w:val="0"/>
                <w:i w:val="0"/>
                <w:color w:val="212121"/>
                <w:sz w:val="16"/>
              </w:rPr>
              <w:t>Hyper- or hypothyroid features</w:t>
            </w:r>
          </w:p>
        </w:tc>
        <w:tc>
          <w:tcPr>
            <w:tcW w:type="dxa" w:w="950"/>
            <w:vAlign w:val="top"/>
          </w:tcPr>
          <w:p>
            <w:pPr>
              <w:spacing w:after="40" w:before="0" w:line="259" w:lineRule="auto"/>
            </w:pPr>
            <w:r>
              <w:rPr>
                <w:rFonts w:ascii="Calibri" w:hAnsi="Calibri"/>
                <w:b w:val="0"/>
                <w:i w:val="0"/>
                <w:color w:val="212121"/>
                <w:sz w:val="16"/>
              </w:rPr>
              <w:t>Euthyroid</w:t>
            </w:r>
          </w:p>
        </w:tc>
        <w:tc>
          <w:tcPr>
            <w:tcW w:type="dxa" w:w="950"/>
            <w:vAlign w:val="top"/>
          </w:tcPr>
          <w:p>
            <w:pPr>
              <w:spacing w:after="40" w:before="0" w:line="259" w:lineRule="auto"/>
            </w:pPr>
            <w:r>
              <w:rPr>
                <w:rFonts w:ascii="Calibri" w:hAnsi="Calibri"/>
                <w:b w:val="0"/>
                <w:i w:val="0"/>
                <w:color w:val="212121"/>
                <w:sz w:val="16"/>
              </w:rPr>
              <w:t>Thyrotoxic or hypothyroid symptoms</w:t>
            </w:r>
          </w:p>
        </w:tc>
        <w:tc>
          <w:tcPr>
            <w:tcW w:type="dxa" w:w="1036"/>
            <w:vAlign w:val="top"/>
          </w:tcPr>
          <w:p>
            <w:pPr>
              <w:spacing w:after="40" w:before="0" w:line="259" w:lineRule="auto"/>
            </w:pPr>
            <w:r>
              <w:rPr>
                <w:rFonts w:ascii="Calibri" w:hAnsi="Calibri"/>
                <w:b w:val="0"/>
                <w:i w:val="0"/>
                <w:color w:val="212121"/>
                <w:sz w:val="16"/>
              </w:rPr>
              <w:t>Point to a toxic nodule or coexisting thyroiditis</w:t>
            </w:r>
          </w:p>
        </w:tc>
        <w:tc>
          <w:tcPr>
            <w:tcW w:type="dxa" w:w="1036"/>
            <w:vAlign w:val="top"/>
          </w:tcPr>
          <w:p>
            <w:pPr>
              <w:spacing w:after="40" w:before="0" w:line="259" w:lineRule="auto"/>
            </w:pPr>
            <w:r>
              <w:rPr>
                <w:rFonts w:ascii="Calibri" w:hAnsi="Calibri"/>
                <w:b w:val="0"/>
                <w:i w:val="0"/>
                <w:color w:val="212121"/>
                <w:sz w:val="16"/>
              </w:rPr>
              <w:t>Toxic adenoma/MNG, Hashimoto's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Palpitations, weight loss and heat intolerance suggest autonomy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Neck palpation</w:t>
            </w:r>
          </w:p>
        </w:tc>
        <w:tc>
          <w:tcPr>
            <w:tcW w:type="dxa" w:w="979"/>
            <w:vAlign w:val="top"/>
          </w:tcPr>
          <w:p>
            <w:pPr>
              <w:spacing w:after="40" w:before="0" w:line="259" w:lineRule="auto"/>
            </w:pPr>
            <w:r>
              <w:rPr>
                <w:rFonts w:ascii="Calibri" w:hAnsi="Calibri"/>
                <w:b w:val="0"/>
                <w:i w:val="0"/>
                <w:color w:val="212121"/>
                <w:sz w:val="16"/>
              </w:rPr>
              <w:t>Nodule size, consistency, mobility, fixity</w:t>
            </w:r>
          </w:p>
        </w:tc>
        <w:tc>
          <w:tcPr>
            <w:tcW w:type="dxa" w:w="950"/>
            <w:vAlign w:val="top"/>
          </w:tcPr>
          <w:p>
            <w:pPr>
              <w:spacing w:after="40" w:before="0" w:line="259" w:lineRule="auto"/>
            </w:pPr>
            <w:r>
              <w:rPr>
                <w:rFonts w:ascii="Calibri" w:hAnsi="Calibri"/>
                <w:b w:val="0"/>
                <w:i w:val="0"/>
                <w:color w:val="212121"/>
                <w:sz w:val="16"/>
              </w:rPr>
              <w:t>Soft, mobile, moves on swallowing</w:t>
            </w:r>
          </w:p>
        </w:tc>
        <w:tc>
          <w:tcPr>
            <w:tcW w:type="dxa" w:w="950"/>
            <w:vAlign w:val="top"/>
          </w:tcPr>
          <w:p>
            <w:pPr>
              <w:spacing w:after="40" w:before="0" w:line="259" w:lineRule="auto"/>
            </w:pPr>
            <w:r>
              <w:rPr>
                <w:rFonts w:ascii="Calibri" w:hAnsi="Calibri"/>
                <w:b w:val="0"/>
                <w:i w:val="0"/>
                <w:color w:val="212121"/>
                <w:sz w:val="16"/>
              </w:rPr>
              <w:t>Hard, fixed, irregular</w:t>
            </w:r>
          </w:p>
        </w:tc>
        <w:tc>
          <w:tcPr>
            <w:tcW w:type="dxa" w:w="1036"/>
            <w:vAlign w:val="top"/>
          </w:tcPr>
          <w:p>
            <w:pPr>
              <w:spacing w:after="40" w:before="0" w:line="259" w:lineRule="auto"/>
            </w:pPr>
            <w:r>
              <w:rPr>
                <w:rFonts w:ascii="Calibri" w:hAnsi="Calibri"/>
                <w:b w:val="0"/>
                <w:i w:val="0"/>
                <w:color w:val="212121"/>
                <w:sz w:val="16"/>
              </w:rPr>
              <w:t>A firm, fixed, rapidly enlarging nodule is suspicious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for tracheal deviation; nodule moves up with swallowing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Cervical lymph nodes</w:t>
            </w:r>
          </w:p>
        </w:tc>
        <w:tc>
          <w:tcPr>
            <w:tcW w:type="dxa" w:w="979"/>
            <w:vAlign w:val="top"/>
          </w:tcPr>
          <w:p>
            <w:pPr>
              <w:spacing w:after="40" w:before="0" w:line="259" w:lineRule="auto"/>
            </w:pPr>
            <w:r>
              <w:rPr>
                <w:rFonts w:ascii="Calibri" w:hAnsi="Calibri"/>
                <w:b w:val="0"/>
                <w:i w:val="0"/>
                <w:color w:val="212121"/>
                <w:sz w:val="16"/>
              </w:rPr>
              <w:t>Neck node examination</w:t>
            </w:r>
          </w:p>
        </w:tc>
        <w:tc>
          <w:tcPr>
            <w:tcW w:type="dxa" w:w="950"/>
            <w:vAlign w:val="top"/>
          </w:tcPr>
          <w:p>
            <w:pPr>
              <w:spacing w:after="40" w:before="0" w:line="259" w:lineRule="auto"/>
            </w:pPr>
            <w:r>
              <w:rPr>
                <w:rFonts w:ascii="Calibri" w:hAnsi="Calibri"/>
                <w:b w:val="0"/>
                <w:i w:val="0"/>
                <w:color w:val="212121"/>
                <w:sz w:val="16"/>
              </w:rPr>
              <w:t>None palpable</w:t>
            </w:r>
          </w:p>
        </w:tc>
        <w:tc>
          <w:tcPr>
            <w:tcW w:type="dxa" w:w="950"/>
            <w:vAlign w:val="top"/>
          </w:tcPr>
          <w:p>
            <w:pPr>
              <w:spacing w:after="40" w:before="0" w:line="259" w:lineRule="auto"/>
            </w:pPr>
            <w:r>
              <w:rPr>
                <w:rFonts w:ascii="Calibri" w:hAnsi="Calibri"/>
                <w:b w:val="0"/>
                <w:i w:val="0"/>
                <w:color w:val="212121"/>
                <w:sz w:val="16"/>
              </w:rPr>
              <w:t>Firm or fixed cervical nodes</w:t>
            </w:r>
          </w:p>
        </w:tc>
        <w:tc>
          <w:tcPr>
            <w:tcW w:type="dxa" w:w="1036"/>
            <w:vAlign w:val="top"/>
          </w:tcPr>
          <w:p>
            <w:pPr>
              <w:spacing w:after="40" w:before="0" w:line="259" w:lineRule="auto"/>
            </w:pPr>
            <w:r>
              <w:rPr>
                <w:rFonts w:ascii="Calibri" w:hAnsi="Calibri"/>
                <w:b w:val="0"/>
                <w:i w:val="0"/>
                <w:color w:val="212121"/>
                <w:sz w:val="16"/>
              </w:rPr>
              <w:t>Suspicious for metastatic thyroid cancer</w:t>
            </w:r>
          </w:p>
        </w:tc>
        <w:tc>
          <w:tcPr>
            <w:tcW w:type="dxa" w:w="1036"/>
            <w:vAlign w:val="top"/>
          </w:tcPr>
          <w:p>
            <w:pPr>
              <w:spacing w:after="40" w:before="0" w:line="259" w:lineRule="auto"/>
            </w:pPr>
            <w:r>
              <w:rPr>
                <w:rFonts w:ascii="Calibri" w:hAnsi="Calibri"/>
                <w:b w:val="0"/>
                <w:i w:val="0"/>
                <w:color w:val="212121"/>
                <w:sz w:val="16"/>
              </w:rPr>
              <w:t>Suspected 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Levels III, IV and VI are most relevant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Pemberton's sign / airway</w:t>
            </w:r>
          </w:p>
        </w:tc>
        <w:tc>
          <w:tcPr>
            <w:tcW w:type="dxa" w:w="979"/>
            <w:vAlign w:val="top"/>
          </w:tcPr>
          <w:p>
            <w:pPr>
              <w:spacing w:after="40" w:before="0" w:line="259" w:lineRule="auto"/>
            </w:pPr>
            <w:r>
              <w:rPr>
                <w:rFonts w:ascii="Calibri" w:hAnsi="Calibri"/>
                <w:b w:val="0"/>
                <w:i w:val="0"/>
                <w:color w:val="212121"/>
                <w:sz w:val="16"/>
              </w:rPr>
              <w:t>Retrosternal-goitre &amp; voice assessment</w:t>
            </w:r>
          </w:p>
        </w:tc>
        <w:tc>
          <w:tcPr>
            <w:tcW w:type="dxa" w:w="950"/>
            <w:vAlign w:val="top"/>
          </w:tcPr>
          <w:p>
            <w:pPr>
              <w:spacing w:after="40" w:before="0" w:line="259" w:lineRule="auto"/>
            </w:pPr>
            <w:r>
              <w:rPr>
                <w:rFonts w:ascii="Calibri" w:hAnsi="Calibri"/>
                <w:b w:val="0"/>
                <w:i w:val="0"/>
                <w:color w:val="212121"/>
                <w:sz w:val="16"/>
              </w:rPr>
              <w:t>Negative; normal voice</w:t>
            </w:r>
          </w:p>
        </w:tc>
        <w:tc>
          <w:tcPr>
            <w:tcW w:type="dxa" w:w="950"/>
            <w:vAlign w:val="top"/>
          </w:tcPr>
          <w:p>
            <w:pPr>
              <w:spacing w:after="40" w:before="0" w:line="259" w:lineRule="auto"/>
            </w:pPr>
            <w:r>
              <w:rPr>
                <w:rFonts w:ascii="Calibri" w:hAnsi="Calibri"/>
                <w:b w:val="0"/>
                <w:i w:val="0"/>
                <w:color w:val="212121"/>
                <w:sz w:val="16"/>
              </w:rPr>
              <w:t>Facial plethora on arm elevation; hoarse voice</w:t>
            </w:r>
          </w:p>
        </w:tc>
        <w:tc>
          <w:tcPr>
            <w:tcW w:type="dxa" w:w="1036"/>
            <w:vAlign w:val="top"/>
          </w:tcPr>
          <w:p>
            <w:pPr>
              <w:spacing w:after="40" w:before="0" w:line="259" w:lineRule="auto"/>
            </w:pPr>
            <w:r>
              <w:rPr>
                <w:rFonts w:ascii="Calibri" w:hAnsi="Calibri"/>
                <w:b w:val="0"/>
                <w:i w:val="0"/>
                <w:color w:val="212121"/>
                <w:sz w:val="16"/>
              </w:rPr>
              <w:t>Indicates thoracic-inlet obstruction or nerve involvement by goitre</w:t>
            </w:r>
          </w:p>
        </w:tc>
        <w:tc>
          <w:tcPr>
            <w:tcW w:type="dxa" w:w="1036"/>
            <w:vAlign w:val="top"/>
          </w:tcPr>
          <w:p>
            <w:pPr>
              <w:spacing w:after="40" w:before="0" w:line="259" w:lineRule="auto"/>
            </w:pPr>
            <w:r>
              <w:rPr>
                <w:rFonts w:ascii="Calibri" w:hAnsi="Calibri"/>
                <w:b w:val="0"/>
                <w:i w:val="0"/>
                <w:color w:val="212121"/>
                <w:sz w:val="16"/>
              </w:rPr>
              <w:t>Large/retrosternal goitre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vocal cords before any planned thyroid surgery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Painless neck swelling /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commonest presentation; a visible or palpable lump in the front of the neck that moves on swallowing.</w:t>
            </w:r>
          </w:p>
        </w:tc>
      </w:tr>
      <w:tr>
        <w:trPr>
          <w:cantSplit/>
        </w:trPr>
        <w:tc>
          <w:tcPr>
            <w:tcW w:type="dxa" w:w="2304"/>
            <w:vAlign w:val="top"/>
          </w:tcPr>
          <w:p>
            <w:pPr>
              <w:spacing w:after="40" w:before="0" w:line="259" w:lineRule="auto"/>
            </w:pPr>
            <w:r>
              <w:rPr>
                <w:rFonts w:ascii="Calibri" w:hAnsi="Calibri"/>
                <w:b/>
                <w:i w:val="0"/>
                <w:color w:val="212121"/>
                <w:sz w:val="19"/>
              </w:rPr>
              <w:t>Asymptomatic /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nodules cause no symptoms and are discovered incidentally on imaging (ultrasound, CT, carotid Doppler) done for other reasons.</w:t>
            </w:r>
          </w:p>
        </w:tc>
      </w:tr>
      <w:tr>
        <w:trPr>
          <w:cantSplit/>
        </w:trPr>
        <w:tc>
          <w:tcPr>
            <w:tcW w:type="dxa" w:w="2304"/>
            <w:vAlign w:val="top"/>
          </w:tcPr>
          <w:p>
            <w:pPr>
              <w:spacing w:after="40" w:before="0" w:line="259" w:lineRule="auto"/>
            </w:pPr>
            <w:r>
              <w:rPr>
                <w:rFonts w:ascii="Calibri" w:hAnsi="Calibri"/>
                <w:b/>
                <w:i w:val="0"/>
                <w:color w:val="212121"/>
                <w:sz w:val="19"/>
              </w:rPr>
              <w:t>Neck pressure or tightness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sensation of fullness or tightness as a nodule or multinodular goitre enlarges.</w:t>
            </w:r>
          </w:p>
        </w:tc>
      </w:tr>
      <w:tr>
        <w:trPr>
          <w:cantSplit/>
        </w:trPr>
        <w:tc>
          <w:tcPr>
            <w:tcW w:type="dxa" w:w="2304"/>
            <w:vAlign w:val="top"/>
          </w:tcPr>
          <w:p>
            <w:pPr>
              <w:spacing w:after="40" w:before="0" w:line="259" w:lineRule="auto"/>
            </w:pPr>
            <w:r>
              <w:rPr>
                <w:rFonts w:ascii="Calibri" w:hAnsi="Calibri"/>
                <w:b/>
                <w:i w:val="0"/>
                <w:color w:val="212121"/>
                <w:sz w:val="19"/>
              </w:rPr>
              <w:t>Difficulty swallowing (dysphagia)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Large nodules or goitre compress the oesophagus, causing a sensation of food sticking.</w:t>
            </w:r>
          </w:p>
        </w:tc>
      </w:tr>
      <w:tr>
        <w:trPr>
          <w:cantSplit/>
        </w:trPr>
        <w:tc>
          <w:tcPr>
            <w:tcW w:type="dxa" w:w="2304"/>
            <w:vAlign w:val="top"/>
          </w:tcPr>
          <w:p>
            <w:pPr>
              <w:spacing w:after="40" w:before="0" w:line="259" w:lineRule="auto"/>
            </w:pPr>
            <w:r>
              <w:rPr>
                <w:rFonts w:ascii="Calibri" w:hAnsi="Calibri"/>
                <w:b/>
                <w:i w:val="0"/>
                <w:color w:val="212121"/>
                <w:sz w:val="19"/>
              </w:rPr>
              <w:t>Globus / foreign-body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Persistent sensation of a lump in the throat without true dysphagia.</w:t>
            </w:r>
          </w:p>
        </w:tc>
      </w:tr>
      <w:tr>
        <w:trPr>
          <w:cantSplit/>
        </w:trPr>
        <w:tc>
          <w:tcPr>
            <w:tcW w:type="dxa" w:w="2304"/>
            <w:vAlign w:val="top"/>
          </w:tcPr>
          <w:p>
            <w:pPr>
              <w:spacing w:after="40" w:before="0" w:line="259" w:lineRule="auto"/>
            </w:pPr>
            <w:r>
              <w:rPr>
                <w:rFonts w:ascii="Calibri" w:hAnsi="Calibri"/>
                <w:b/>
                <w:i w:val="0"/>
                <w:color w:val="212121"/>
                <w:sz w:val="19"/>
              </w:rPr>
              <w:t>Hoarseness or voice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a large goitre or, concerningly, recurrent laryngeal nerve involvement by a malignant nodule.</w:t>
            </w:r>
          </w:p>
        </w:tc>
      </w:tr>
      <w:tr>
        <w:trPr>
          <w:cantSplit/>
        </w:trPr>
        <w:tc>
          <w:tcPr>
            <w:tcW w:type="dxa" w:w="2304"/>
            <w:vAlign w:val="top"/>
          </w:tcPr>
          <w:p>
            <w:pPr>
              <w:spacing w:after="40" w:before="0" w:line="259" w:lineRule="auto"/>
            </w:pPr>
            <w:r>
              <w:rPr>
                <w:rFonts w:ascii="Calibri" w:hAnsi="Calibri"/>
                <w:b/>
                <w:i w:val="0"/>
                <w:color w:val="212121"/>
                <w:sz w:val="19"/>
              </w:rPr>
              <w:t>Breathlessness, especially lying flat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Tracheal compression by a large or retrosternal goitre causes positional dyspnoea.</w:t>
            </w:r>
          </w:p>
        </w:tc>
      </w:tr>
      <w:tr>
        <w:trPr>
          <w:cantSplit/>
        </w:trPr>
        <w:tc>
          <w:tcPr>
            <w:tcW w:type="dxa" w:w="2304"/>
            <w:vAlign w:val="top"/>
          </w:tcPr>
          <w:p>
            <w:pPr>
              <w:spacing w:after="40" w:before="0" w:line="259" w:lineRule="auto"/>
            </w:pPr>
            <w:r>
              <w:rPr>
                <w:rFonts w:ascii="Calibri" w:hAnsi="Calibri"/>
                <w:b/>
                <w:i w:val="0"/>
                <w:color w:val="212121"/>
                <w:sz w:val="19"/>
              </w:rPr>
              <w:t>Palpitations, tremor, heat intolerance,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Hyperthyroid symptoms from an autonomously functioning ('hot') toxic nodule or toxic multinodular goitre.</w:t>
            </w:r>
          </w:p>
        </w:tc>
      </w:tr>
      <w:tr>
        <w:trPr>
          <w:cantSplit/>
        </w:trPr>
        <w:tc>
          <w:tcPr>
            <w:tcW w:type="dxa" w:w="2304"/>
            <w:vAlign w:val="top"/>
          </w:tcPr>
          <w:p>
            <w:pPr>
              <w:spacing w:after="40" w:before="0" w:line="259" w:lineRule="auto"/>
            </w:pPr>
            <w:r>
              <w:rPr>
                <w:rFonts w:ascii="Calibri" w:hAnsi="Calibri"/>
                <w:b/>
                <w:i w:val="0"/>
                <w:color w:val="212121"/>
                <w:sz w:val="19"/>
              </w:rPr>
              <w:t>Fatigue, weight gain, cold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Hypothyroid symptoms when nodules coexist with Hashimoto's thyroiditis.</w:t>
            </w:r>
          </w:p>
        </w:tc>
      </w:tr>
      <w:tr>
        <w:trPr>
          <w:cantSplit/>
        </w:trPr>
        <w:tc>
          <w:tcPr>
            <w:tcW w:type="dxa" w:w="2304"/>
            <w:vAlign w:val="top"/>
          </w:tcPr>
          <w:p>
            <w:pPr>
              <w:spacing w:after="40" w:before="0" w:line="259" w:lineRule="auto"/>
            </w:pPr>
            <w:r>
              <w:rPr>
                <w:rFonts w:ascii="Calibri" w:hAnsi="Calibri"/>
                <w:b/>
                <w:i w:val="0"/>
                <w:color w:val="212121"/>
                <w:sz w:val="19"/>
              </w:rPr>
              <w:t>Sudden painful neck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enlargement with pain usually indicates haemorrhage into a nodule or cyst.</w:t>
            </w:r>
          </w:p>
        </w:tc>
      </w:tr>
      <w:tr>
        <w:trPr>
          <w:cantSplit/>
        </w:trPr>
        <w:tc>
          <w:tcPr>
            <w:tcW w:type="dxa" w:w="2304"/>
            <w:vAlign w:val="top"/>
          </w:tcPr>
          <w:p>
            <w:pPr>
              <w:spacing w:after="40" w:before="0" w:line="259" w:lineRule="auto"/>
            </w:pPr>
            <w:r>
              <w:rPr>
                <w:rFonts w:ascii="Calibri" w:hAnsi="Calibri"/>
                <w:b/>
                <w:i w:val="0"/>
                <w:color w:val="212121"/>
                <w:sz w:val="19"/>
              </w:rPr>
              <w:t>Rapidly enlarging, fixed neck mass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Rapid growth, fixation and voice change raise concern for aggressive malignancy such as anaplastic carcinoma or lymphoma.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thyroid nodule /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Discrete lump within the thyroid that moves upward with swallowing (but not with tongue protrusion).</w:t>
            </w:r>
          </w:p>
        </w:tc>
      </w:tr>
      <w:tr>
        <w:trPr>
          <w:cantSplit/>
        </w:trPr>
        <w:tc>
          <w:tcPr>
            <w:tcW w:type="dxa" w:w="3456"/>
            <w:vAlign w:val="top"/>
          </w:tcPr>
          <w:p>
            <w:pPr>
              <w:spacing w:after="40" w:before="0" w:line="259" w:lineRule="auto"/>
            </w:pPr>
            <w:r>
              <w:rPr>
                <w:rFonts w:ascii="Calibri" w:hAnsi="Calibri"/>
                <w:b/>
                <w:i w:val="0"/>
                <w:color w:val="212121"/>
                <w:sz w:val="19"/>
              </w:rPr>
              <w:t>Multinodular goitre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Diffusely enlarged gland with multiple palpable nodules, typical of iodine-deficiency and long-standing disease.</w:t>
            </w:r>
          </w:p>
        </w:tc>
      </w:tr>
      <w:tr>
        <w:trPr>
          <w:cantSplit/>
        </w:trPr>
        <w:tc>
          <w:tcPr>
            <w:tcW w:type="dxa" w:w="3456"/>
            <w:vAlign w:val="top"/>
          </w:tcPr>
          <w:p>
            <w:pPr>
              <w:spacing w:after="40" w:before="0" w:line="259" w:lineRule="auto"/>
            </w:pPr>
            <w:r>
              <w:rPr>
                <w:rFonts w:ascii="Calibri" w:hAnsi="Calibri"/>
                <w:b/>
                <w:i w:val="0"/>
                <w:color w:val="212121"/>
                <w:sz w:val="19"/>
              </w:rPr>
              <w:t>Firm, hard or fixed nodule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Hard, irregular or fixed consistency is a red flag for malignancy.</w:t>
            </w:r>
          </w:p>
        </w:tc>
      </w:tr>
      <w:tr>
        <w:trPr>
          <w:cantSplit/>
        </w:trPr>
        <w:tc>
          <w:tcPr>
            <w:tcW w:type="dxa" w:w="3456"/>
            <w:vAlign w:val="top"/>
          </w:tcPr>
          <w:p>
            <w:pPr>
              <w:spacing w:after="40" w:before="0" w:line="259" w:lineRule="auto"/>
            </w:pPr>
            <w:r>
              <w:rPr>
                <w:rFonts w:ascii="Calibri" w:hAnsi="Calibri"/>
                <w:b/>
                <w:i w:val="0"/>
                <w:color w:val="212121"/>
                <w:sz w:val="19"/>
              </w:rPr>
              <w:t>Cervical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or fixed neck nodes suggest metastatic thyroid carcinoma.</w:t>
            </w:r>
          </w:p>
        </w:tc>
      </w:tr>
      <w:tr>
        <w:trPr>
          <w:cantSplit/>
        </w:trPr>
        <w:tc>
          <w:tcPr>
            <w:tcW w:type="dxa" w:w="3456"/>
            <w:vAlign w:val="top"/>
          </w:tcPr>
          <w:p>
            <w:pPr>
              <w:spacing w:after="40" w:before="0" w:line="259" w:lineRule="auto"/>
            </w:pPr>
            <w:r>
              <w:rPr>
                <w:rFonts w:ascii="Calibri" w:hAnsi="Calibri"/>
                <w:b/>
                <w:i w:val="0"/>
                <w:color w:val="212121"/>
                <w:sz w:val="19"/>
              </w:rPr>
              <w:t>Tracheal deviation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large or asymmetric goitre displaces the trachea; assess clinically and on imaging.</w:t>
            </w:r>
          </w:p>
        </w:tc>
      </w:tr>
      <w:tr>
        <w:trPr>
          <w:cantSplit/>
        </w:trPr>
        <w:tc>
          <w:tcPr>
            <w:tcW w:type="dxa" w:w="3456"/>
            <w:vAlign w:val="top"/>
          </w:tcPr>
          <w:p>
            <w:pPr>
              <w:spacing w:after="40" w:before="0" w:line="259" w:lineRule="auto"/>
            </w:pPr>
            <w:r>
              <w:rPr>
                <w:rFonts w:ascii="Calibri" w:hAnsi="Calibri"/>
                <w:b/>
                <w:i w:val="0"/>
                <w:color w:val="212121"/>
                <w:sz w:val="19"/>
              </w:rPr>
              <w:t>Signs of thyrotoxicosis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Tachycardia, fine tremor, warm moist skin and lid lag from a toxic autonomous nodule.</w:t>
            </w:r>
          </w:p>
        </w:tc>
      </w:tr>
      <w:tr>
        <w:trPr>
          <w:cantSplit/>
        </w:trPr>
        <w:tc>
          <w:tcPr>
            <w:tcW w:type="dxa" w:w="3456"/>
            <w:vAlign w:val="top"/>
          </w:tcPr>
          <w:p>
            <w:pPr>
              <w:spacing w:after="40" w:before="0" w:line="259" w:lineRule="auto"/>
            </w:pPr>
            <w:r>
              <w:rPr>
                <w:rFonts w:ascii="Calibri" w:hAnsi="Calibri"/>
                <w:b/>
                <w:i w:val="0"/>
                <w:color w:val="212121"/>
                <w:sz w:val="19"/>
              </w:rPr>
              <w:t>Signs of hypothyroidism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Bradycardia, dry skin and delayed reflexes when nodules coexist with Hashimoto's thyroiditis.</w:t>
            </w:r>
          </w:p>
        </w:tc>
      </w:tr>
      <w:tr>
        <w:trPr>
          <w:cantSplit/>
        </w:trPr>
        <w:tc>
          <w:tcPr>
            <w:tcW w:type="dxa" w:w="3456"/>
            <w:vAlign w:val="top"/>
          </w:tcPr>
          <w:p>
            <w:pPr>
              <w:spacing w:after="40" w:before="0" w:line="259" w:lineRule="auto"/>
            </w:pPr>
            <w:r>
              <w:rPr>
                <w:rFonts w:ascii="Calibri" w:hAnsi="Calibri"/>
                <w:b/>
                <w:i w:val="0"/>
                <w:color w:val="212121"/>
                <w:sz w:val="19"/>
              </w:rPr>
              <w:t>Positive Pemberton's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Facial congestion and venous distension on raising both arms - thoracic-inlet obstruction by a retrosternal goitre.</w:t>
            </w:r>
          </w:p>
        </w:tc>
      </w:tr>
      <w:tr>
        <w:trPr>
          <w:cantSplit/>
        </w:trPr>
        <w:tc>
          <w:tcPr>
            <w:tcW w:type="dxa" w:w="3456"/>
            <w:vAlign w:val="top"/>
          </w:tcPr>
          <w:p>
            <w:pPr>
              <w:spacing w:after="40" w:before="0" w:line="259" w:lineRule="auto"/>
            </w:pPr>
            <w:r>
              <w:rPr>
                <w:rFonts w:ascii="Calibri" w:hAnsi="Calibri"/>
                <w:b/>
                <w:i w:val="0"/>
                <w:color w:val="212121"/>
                <w:sz w:val="19"/>
              </w:rPr>
              <w:t>Vocal-cord palsy / hoarse voice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Recurrent laryngeal nerve involvement, suspicious for malignant invasion; confirm on laryngoscopy.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compression - tracheal or oesophageal compression causing dyspnoea and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laryngeal nerve pressure with hoarseness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Autonomous (toxic) nodule causing subclinical or overt hyperthyroidism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Intranodular haemorrhage with sudden painful enlargement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disfigurement and thoracic-inlet (retrosternal) obstruction</w:t>
            </w:r>
          </w:p>
        </w:tc>
        <w:tc>
          <w:tcPr>
            <w:tcW w:type="dxa" w:w="2980"/>
            <w:vAlign w:val="top"/>
          </w:tcPr>
          <w:p>
            <w:pPr>
              <w:spacing w:after="40" w:before="0" w:line="259" w:lineRule="auto"/>
            </w:pPr>
            <w:r>
              <w:rPr>
                <w:rFonts w:ascii="Calibri" w:hAnsi="Calibri"/>
                <w:b w:val="0"/>
                <w:i w:val="0"/>
                <w:color w:val="212121"/>
                <w:sz w:val="19"/>
              </w:rPr>
              <w:t>Direct local and functional consequences of the nodule or goitre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Differentiated thyroid carcinoma (papillary, follicular) arising in or presenting as a nodule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Medullary and, rarely, anaplastic carcinoma or thyroid lymphoma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Toxic multinodular goitre with atrial fibrillation and accelerated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Regional (cervical lymph node) spread of thyroid cancer</w:t>
            </w:r>
          </w:p>
        </w:tc>
        <w:tc>
          <w:tcPr>
            <w:tcW w:type="dxa" w:w="2980"/>
            <w:vAlign w:val="top"/>
          </w:tcPr>
          <w:p>
            <w:pPr>
              <w:spacing w:after="40" w:before="0" w:line="259" w:lineRule="auto"/>
            </w:pPr>
            <w:r>
              <w:rPr>
                <w:rFonts w:ascii="Calibri" w:hAnsi="Calibri"/>
                <w:b w:val="0"/>
                <w:i w:val="0"/>
                <w:color w:val="212121"/>
                <w:sz w:val="19"/>
              </w:rPr>
              <w:t>Malignant transformation/harbouring and thyrotoxic organ effects of nodular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Metastatic thyroid cancer (lung, bone) and cancer-related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Airway obstruction from a massive or retrosternal goitre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sequelae - permanent hypoparathyroidism, recurrent laryngeal nerve palsy, lifelong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radioactive-iodine therapy and post-treatment recurrence</w:t>
            </w:r>
          </w:p>
        </w:tc>
        <w:tc>
          <w:tcPr>
            <w:tcW w:type="dxa" w:w="2980"/>
            <w:vAlign w:val="top"/>
          </w:tcPr>
          <w:p>
            <w:pPr>
              <w:spacing w:after="40" w:before="0" w:line="259" w:lineRule="auto"/>
            </w:pPr>
            <w:r>
              <w:rPr>
                <w:rFonts w:ascii="Calibri" w:hAnsi="Calibri"/>
                <w:b w:val="0"/>
                <w:i w:val="0"/>
                <w:color w:val="212121"/>
                <w:sz w:val="19"/>
              </w:rPr>
              <w:t>Irreversible, disabling or fatal outcomes of advanced disease or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Hashimoto's (chronic lymphocytic) thyroiditis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Autoimmune thyroiditis produces pseudonodules and true nodules, complicates cytology, and modestly raises papillary-carcinoma and thyroid-lymphoma risk.</w:t>
            </w:r>
          </w:p>
        </w:tc>
      </w:tr>
      <w:tr>
        <w:trPr>
          <w:cantSplit/>
        </w:trPr>
        <w:tc>
          <w:tcPr>
            <w:tcW w:type="dxa" w:w="2232"/>
            <w:vAlign w:val="top"/>
          </w:tcPr>
          <w:p>
            <w:pPr>
              <w:spacing w:after="40" w:before="0" w:line="259" w:lineRule="auto"/>
            </w:pPr>
            <w:r>
              <w:rPr>
                <w:rFonts w:ascii="Calibri" w:hAnsi="Calibri"/>
                <w:b/>
                <w:i w:val="0"/>
                <w:color w:val="212121"/>
                <w:sz w:val="19"/>
              </w:rPr>
              <w:t>Iodine-deficiency multinodular goitre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Iodine deficiency drives compensatory thyrocyte hyperplasia and is the leading cause of nodular goitre in India's endemic belts.</w:t>
            </w:r>
          </w:p>
          <w:p>
            <w:pPr>
              <w:spacing w:after="40" w:before="0" w:line="259" w:lineRule="auto"/>
            </w:pPr>
            <w:r>
              <w:rPr>
                <w:rFonts w:ascii="Calibri" w:hAnsi="Calibri"/>
                <w:b/>
                <w:i w:val="0"/>
                <w:color w:val="212121"/>
                <w:sz w:val="19"/>
              </w:rPr>
              <w:t>~12% (palpable goitre in adults)</w:t>
            </w:r>
          </w:p>
        </w:tc>
      </w:tr>
      <w:tr>
        <w:trPr>
          <w:cantSplit/>
        </w:trPr>
        <w:tc>
          <w:tcPr>
            <w:tcW w:type="dxa" w:w="2232"/>
            <w:vAlign w:val="top"/>
          </w:tcPr>
          <w:p>
            <w:pPr>
              <w:spacing w:after="40" w:before="0" w:line="259" w:lineRule="auto"/>
            </w:pPr>
            <w:r>
              <w:rPr>
                <w:rFonts w:ascii="Calibri" w:hAnsi="Calibri"/>
                <w:b/>
                <w:i w:val="0"/>
                <w:color w:val="212121"/>
                <w:sz w:val="19"/>
              </w:rPr>
              <w:t>Thyroid carcinoma (papillary/follicular/medullary)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key concern driving nodule evaluation; papillary carcinoma accounts for over 85% of Indian thyroid cancers.</w:t>
            </w:r>
          </w:p>
          <w:p>
            <w:pPr>
              <w:spacing w:after="40" w:before="0" w:line="259" w:lineRule="auto"/>
            </w:pPr>
            <w:r>
              <w:rPr>
                <w:rFonts w:ascii="Calibri" w:hAnsi="Calibri"/>
                <w:b/>
                <w:i w:val="0"/>
                <w:color w:val="212121"/>
                <w:sz w:val="19"/>
              </w:rPr>
              <w:t>~5-15% of nodules</w:t>
            </w:r>
          </w:p>
        </w:tc>
      </w:tr>
      <w:tr>
        <w:trPr>
          <w:cantSplit/>
        </w:trPr>
        <w:tc>
          <w:tcPr>
            <w:tcW w:type="dxa" w:w="2232"/>
            <w:vAlign w:val="top"/>
          </w:tcPr>
          <w:p>
            <w:pPr>
              <w:spacing w:after="40" w:before="0" w:line="259" w:lineRule="auto"/>
            </w:pPr>
            <w:r>
              <w:rPr>
                <w:rFonts w:ascii="Calibri" w:hAnsi="Calibri"/>
                <w:b/>
                <w:i w:val="0"/>
                <w:color w:val="212121"/>
                <w:sz w:val="19"/>
              </w:rPr>
              <w:t>Hyperthyroidism / toxic nodular goitre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Autonomous nodules can cause subclinical or overt thyrotoxicosis, more so in older, iodine-replete patients.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May coexist (Hashimoto's) or follow treatment (thyroidectomy, radioiodine), requiring lifelong levothyroxine replacement.</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Insulin and IGF-1 excess promote thyrocyte growth; associated with higher nodule prevalence and size.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Hyperinsulinaemia and hyperglycaemia are linked to higher nodule prevalence and, in some studies, greater nodule growth.</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Clusters with insulin resistance; independently associated with thyroid nodules in ultrasound cohorts.</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Adverse lipids (high LDL/triglycerides) associate with nodules, especially in women; thyroid dysfunction also alters lipids.</w:t>
            </w:r>
          </w:p>
        </w:tc>
      </w:tr>
      <w:tr>
        <w:trPr>
          <w:cantSplit/>
        </w:trPr>
        <w:tc>
          <w:tcPr>
            <w:tcW w:type="dxa" w:w="2232"/>
            <w:vAlign w:val="top"/>
          </w:tcPr>
          <w:p>
            <w:pPr>
              <w:spacing w:after="40" w:before="0" w:line="259" w:lineRule="auto"/>
            </w:pPr>
            <w:r>
              <w:rPr>
                <w:rFonts w:ascii="Calibri" w:hAnsi="Calibri"/>
                <w:b/>
                <w:i w:val="0"/>
                <w:color w:val="212121"/>
                <w:sz w:val="19"/>
              </w:rPr>
              <w:t>Acromegaly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GH/IGF-1 excess greatly increases diffuse and nodular goitre and thyroid-cancer risk; warrants thyroid surveillance.</w:t>
            </w:r>
          </w:p>
        </w:tc>
      </w:tr>
      <w:tr>
        <w:trPr>
          <w:cantSplit/>
        </w:trPr>
        <w:tc>
          <w:tcPr>
            <w:tcW w:type="dxa" w:w="2232"/>
            <w:vAlign w:val="top"/>
          </w:tcPr>
          <w:p>
            <w:pPr>
              <w:spacing w:after="40" w:before="0" w:line="259" w:lineRule="auto"/>
            </w:pPr>
            <w:r>
              <w:rPr>
                <w:rFonts w:ascii="Calibri" w:hAnsi="Calibri"/>
                <w:b/>
                <w:i w:val="0"/>
                <w:color w:val="212121"/>
                <w:sz w:val="19"/>
              </w:rPr>
              <w:t>MEN type 2 / familial medullary thyroid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Germline RET mutations cause medullary carcinoma and change screening (calcitonin) and prophylactic-surgery decisions.</w:t>
            </w:r>
          </w:p>
        </w:tc>
      </w:tr>
      <w:tr>
        <w:trPr>
          <w:cantSplit/>
        </w:trPr>
        <w:tc>
          <w:tcPr>
            <w:tcW w:type="dxa" w:w="2232"/>
            <w:vAlign w:val="top"/>
          </w:tcPr>
          <w:p>
            <w:pPr>
              <w:spacing w:after="40" w:before="0" w:line="259" w:lineRule="auto"/>
            </w:pPr>
            <w:r>
              <w:rPr>
                <w:rFonts w:ascii="Calibri" w:hAnsi="Calibri"/>
                <w:b/>
                <w:i w:val="0"/>
                <w:color w:val="212121"/>
                <w:sz w:val="19"/>
              </w:rPr>
              <w:t>Primary hyperparathyroidism</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Coexists in MEN2A and incidentally; a parathyroid adenoma can mimic a thyroid nodule on ultrasound, altering the work-up.</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thyroid nodules are common and usually benign - most need only periodic ultrasound monitoring rather than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that warrant prompt evaluation: a rapidly growing lump, a hard or fixed swelling, hoarseness, difficulty swallowing or breathing, or neck nodes.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but not excessive iodine by using iodised salt; avoid unprescribed iodine or kelp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any childhood head-or-neck radiation and any family history of thyroid cancer or MEN syndromes, as these change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recommended follow-up ultrasound and thyroid-function tests so the small proportion of changing or functioning nodules is caught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your FNAC/Bethesda result and its management implication (observe, repeat, molecular test, or surgery) before deciding.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a nodule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Endemic-goitre-belt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Radiation-exposed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thyroid cancer/MEN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(Asian-Indian BMI 18.5-22.9) to lower the insulin/IGF-1 drive on thyroid tissue.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plus resistance training twice weekly.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central obesity, which is linked with higher nodule prevalence and metabolic comorbidity.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dietary change for a sustained 5-10% weight loss in overweight or obese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iodised salt to prevent iodine-deficiency goitre, but avoid excess iodine from supplements, kelp and over-fortified products.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marginal-iodine areas, limit heavy reliance on goitrogenic staples (cassava/tapioca, raw cruciferous vegetables, soy, pearl millet), especially when eaten raw and in large amounts.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selenium, iron and zinc, which support normal thyroid metabolism.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fibre-rich, whole-food pattern and limit refined carbohydrates and sugary drinks to reduce insulin/IGF-1 stimulation.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lactating women should ensure recommended iodine intake (250-290 µg/day) under medical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Endemic-goitre-belt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High-goitrogen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 confirmed autonomous ('hot') nodule, avoid iodine-loading (iodinated contrast, amiodarone, iodine supplements) that can precipitate hyperthyroidism.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coexisting Hashimoto's hypothyroidism, take levothyroxine on an empty stomach and separate it from calcium, iron and soy by about 4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iodine deficiency under medical guidance rather than self-medicating with high-dose iodine.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Toxic nodular goitre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Hashimoto's with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Documented iodine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to support metabolic and endocrine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obstructive sleep apnoea, common with large goitres and obesity, which worsens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weight gain that accompanies chronic sleep deprivation and adds to nodule-associated 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Large goitre with airway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tobacco thiocyanate is goitrogenic and enlarges the thyroid and multinodular goitre.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in iodine-deficient households and around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Graves' disease or orbitopathy coexists with autonomy, cessation is especially important as smoking worsens eye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Multinodular goitre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in goitre-endemic areas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heavy drinking harms overall metabolic and liver health even though light intake shows a weak inverse link with nodules.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or increase alcohol for any presumed thyroid benefit - the evidence does not support 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nodules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that often follows finding a thyroid nodule by understanding that the great majority are benign.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clear communication of ultrasound and FNAC risk categories to reduce distress and avoid unnecessary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thyrotoxicosis-related anxiety or hypothyroid-related low mood when nodules affect thyroid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stress-reduction techniques (breathing exercises, yoga, mindfulness) during the monitoring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awaiting FNAC results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functioning nodules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square.com/article/rs-6667454/v1" TargetMode="External"/><Relationship Id="rId10" Type="http://schemas.openxmlformats.org/officeDocument/2006/relationships/hyperlink" Target="https://pmc.ncbi.nlm.nih.gov/articles/PMC9899850/" TargetMode="External"/><Relationship Id="rId11" Type="http://schemas.openxmlformats.org/officeDocument/2006/relationships/hyperlink" Target="https://pmc.ncbi.nlm.nih.gov/articles/PMC3169866/" TargetMode="External"/><Relationship Id="rId12" Type="http://schemas.openxmlformats.org/officeDocument/2006/relationships/hyperlink" Target="https://www.dovepress.com/prevalence-of-thyroid-nodules-and-associated-clinical-characteristics--peer-reviewed-fulltext-article-RM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