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Hyperprolactinemia / Prolactinoma</w:t>
      </w:r>
    </w:p>
    <w:p>
      <w:pPr>
        <w:spacing w:before="0" w:after="160"/>
      </w:pPr>
      <w:r>
        <w:rPr>
          <w:rFonts w:ascii="Calibri" w:hAnsi="Calibri"/>
          <w:b/>
          <w:i w:val="0"/>
          <w:color w:val="212121"/>
          <w:sz w:val="22"/>
        </w:rPr>
        <w:t xml:space="preserve">AKA </w:t>
      </w:r>
      <w:r>
        <w:rPr>
          <w:rFonts w:ascii="Calibri" w:hAnsi="Calibri"/>
          <w:b w:val="0"/>
          <w:i w:val="0"/>
          <w:color w:val="212121"/>
          <w:sz w:val="22"/>
        </w:rPr>
        <w:t>i.e., High prolactin, Raised serum prolactin, Prolactin-secreting pituitary adenoma, Lactotroph adenoma, PRL-secreting adenoma, Milk hormone excess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Hyperprolactinemia is a sustained elevation of serum prolactin above the laboratory upper limit. Prolactin is secreted by lactotroph cells of the anterior pituitary and is held in check by tonic dopaminergic inhibition delivered from the hypothalamus down the pituitary stalk; anything that raises prolactin production or removes this dopamine brake produces hyperprolactinemia. Causes span physiological states (pregnancy, lactation, stress), drugs (dopamine-antagonist medicines), and pathology - most importantly a prolactinoma, a benign prolactin-secreting pituitary adenoma (lactotroph adenoma) that is the commonest functioning pituitary tumour. Excess prolactin suppresses the gonadotrophin (GnRH-LH/FSH) axis, causing hypogonadism - menstrual disturbance, galactorrhoea, infertility and low libido - while a large tumour adds mass effects such as headache and visual-field loss.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Prolactinoma is the most common functioning pituitary tumour and accounts for up to about 40% of all pituitary adenomas; population prevalence is roughly 30 per 100,000 women and 10 per 100,000 men, peaking in women aged 25-44. Overt hyperprolactinemia affects under 1% of the general adult population but is far commoner in defined groups. In a large Indian cohort of 1,229 patients tested for hyperprolactinemia (1,038 women, 191 men; mean age about 30 years), the leading reasons for testing were polycystic ovary syndrome (32.7%), pituitary adenoma (25.9%), drug-induced causes (18.2%) and infertility (10.3%), while biologically inactive macroprolactin explained 13.7% of raised results - underscoring that a reproductive-age woman with menstrual disturbance is the archetypal Indian patient. Women present earlier and mostly with microadenomas, whereas about 60% of affected men present with macroadenomas and mass effects.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Diagnosis rests on confirming a true, sustained rise in serum prolactin, systematically excluding physiological, pharmacological and secondary medical causes, and imaging the pituitary: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single fasting, mid-morning, non-stressed serum prolactin above the laboratory upper limit (roughly &gt; 25 ng/mL in women and &gt; 20 ng/mL in men) confirms hyperprolactinemia; because venepuncture stress alone rarely pushes prolactin above ~40 ng/mL, a modest elevation is often repeated before further work-up.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Exclude physiological causes first: pregnancy (check beta-hCG), lactation, recent nipple or chest-wall stimulation, breast examination, strenuous exercise, stress, sleep and coitus.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Review medicines - the leading non-tumoral cause: antipsychotics (risperidone, amisulpride, haloperidol), antiemetics (metoclopramide, domperidone), some antidepressants (SSRIs), verapamil, oestrogens and opioids.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Exclude secondary systemic causes: primary hypothyroidism (TSH, free T4), chronic kidney disease (creatinine/eGFR), cirrhosis (LFTs) and polycystic ovary syndrome.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Test for macroprolactin by polyethylene-glycol (PEG) precipitation when an asymptomatic patient has a raised prolactin, to avoid over-investigating biologically inactive high-molecular-weight 'big-big' prolactin.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When a large pituitary mass is seen with only a mildly raised or 'normal' prolactin, request a 1:100 serum dilution to exclude the high-dose 'hook' effect that can falsely lower the assay reading.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Pituitary MRI with contrast is the imaging modality of choice to detect and size a microadenoma (&lt; 10 mm) or macroadenoma (&gt;= 10 mm); the degree of elevation broadly tracks tumour size, and a level above ~200-250 ng/mL strongly suggests a prolactinoma (levels this high are rarely due to other causes).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any macroadenoma, assess mass effect with formal visual-field perimetry and screen the other anterior-pituitary axes (cortisol/ACTH, IGF-1, gonadotrophins, free T4) for hypopituitarism.</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Hyperprolactinemia is classified by its cause, and prolactinomas are further classified by size and invasiveness:</w:t>
      </w:r>
    </w:p>
    <w:p>
      <w:pPr>
        <w:spacing w:before="0" w:after="80"/>
      </w:pPr>
      <w:r>
        <w:rPr>
          <w:rFonts w:ascii="Calibri" w:hAnsi="Calibri"/>
          <w:b w:val="0"/>
          <w:i w:val="0"/>
          <w:color w:val="212121"/>
          <w:sz w:val="21"/>
        </w:rPr>
        <w:t>(1) Physiological hyperprolactinemia - pregnancy, lactation, nipple stimulation, stress, sleep, exercise and coitus; transient and requiring no treatment.</w:t>
      </w:r>
    </w:p>
    <w:p>
      <w:pPr>
        <w:spacing w:before="0" w:after="80"/>
      </w:pPr>
      <w:r>
        <w:rPr>
          <w:rFonts w:ascii="Calibri" w:hAnsi="Calibri"/>
          <w:b w:val="0"/>
          <w:i w:val="0"/>
          <w:color w:val="212121"/>
          <w:sz w:val="21"/>
        </w:rPr>
        <w:t>(2) Pharmacological hyperprolactinemia - the commonest non-tumoral cause; dopamine-receptor antagonists (antipsychotics, metoclopramide, domperidone), oestrogens, verapamil, opioids and some antidepressants, usually producing levels below ~100-150 ng/mL.</w:t>
      </w:r>
    </w:p>
    <w:p>
      <w:pPr>
        <w:spacing w:before="0" w:after="80"/>
      </w:pPr>
      <w:r>
        <w:rPr>
          <w:rFonts w:ascii="Calibri" w:hAnsi="Calibri"/>
          <w:b w:val="0"/>
          <w:i w:val="0"/>
          <w:color w:val="212121"/>
          <w:sz w:val="21"/>
        </w:rPr>
        <w:t>(3) Pathological non-tumoral hyperprolactinemia - primary hypothyroidism (raised TRH), chronic kidney disease, cirrhosis, chest-wall or spinal-cord lesions, PCOS, and 'stalk-effect' hyperprolactinemia in which any sellar mass compresses the pituitary stalk and interrupts dopamine delivery.</w:t>
      </w:r>
    </w:p>
    <w:p>
      <w:pPr>
        <w:spacing w:before="0" w:after="80"/>
      </w:pPr>
      <w:r>
        <w:rPr>
          <w:rFonts w:ascii="Calibri" w:hAnsi="Calibri"/>
          <w:b w:val="0"/>
          <w:i w:val="0"/>
          <w:color w:val="212121"/>
          <w:sz w:val="21"/>
        </w:rPr>
        <w:t>(4) Prolactinoma (lactotroph adenoma) - graded by size into microprolactinoma (&lt; 10 mm), macroprolactinoma (&gt;= 10 mm) and giant prolactinoma (&gt; 40 mm); women typically present with microadenomas and men more often with macroadenomas.</w:t>
      </w:r>
    </w:p>
    <w:p>
      <w:pPr>
        <w:spacing w:before="0" w:after="80"/>
      </w:pPr>
      <w:r>
        <w:rPr>
          <w:rFonts w:ascii="Calibri" w:hAnsi="Calibri"/>
          <w:b w:val="0"/>
          <w:i w:val="0"/>
          <w:color w:val="212121"/>
          <w:sz w:val="21"/>
        </w:rPr>
        <w:t>(5) Macroprolactinemia - predominance of biologically inactive high-molecular-weight 'big-big' prolactin (macroprolactin), a laboratory phenomenon causing few or no symptoms and detected by PEG precipitation.</w:t>
      </w:r>
    </w:p>
    <w:p>
      <w:pPr>
        <w:spacing w:before="0" w:after="80"/>
      </w:pPr>
      <w:r>
        <w:rPr>
          <w:rFonts w:ascii="Calibri" w:hAnsi="Calibri"/>
          <w:b w:val="0"/>
          <w:i w:val="0"/>
          <w:color w:val="212121"/>
          <w:sz w:val="21"/>
        </w:rPr>
        <w:t>(6) Idiopathic hyperprolactinemia - persistent elevation with no identifiable cause and a normal or non-diagnostic pituitary MRI.</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Prolactinoma (lactotroph adenoma): Monoclonal expansion of pituitary lactotrophs autonomously secreting prolactin; the commonest tumoral cause and the most common functioning pituitary adenoma.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Dopamine-antagonist drugs: Antipsychotics and antiemetics block D2 receptors on lactotrophs, removing the tonic dopaminergic brake - the leading non-tumoral cause of hyperprolactinemia.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Pituitary-stalk interruption ('stalk effect'): Any sellar or suprasellar mass, infiltrative disease, trauma or surgery that stops hypothalamic dopamine reaching lactotrophs disinhibits prolactin secretion.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Primary hypothyroidism: Sustained TRH drive stimulates lactotrophs (and thyrotroph hyperplasia), a common and fully reversible cause.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Systemic disease: Chronic kidney disease (reduced prolactin clearance) and cirrhosis raise circulating prolactin.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Physiological and oestrogenic states: Pregnancy and lactation drive oestrogen-mediated lactotroph hyperplasia; PCOS is frequently associated.</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predisposition: Germline MEN1 (menin) mutations and, rarely, familial isolated pituitary adenoma (AIP) predispose to prolactinomas.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 age, 20-50 y)</w:t>
            </w:r>
          </w:p>
        </w:tc>
        <w:tc>
          <w:tcPr>
            <w:tcW w:type="dxa" w:w="4276"/>
            <w:vAlign w:val="top"/>
          </w:tcPr>
          <w:p>
            <w:pPr>
              <w:spacing w:after="60" w:line="259" w:lineRule="auto"/>
            </w:pPr>
            <w:r>
              <w:rPr>
                <w:rFonts w:ascii="Calibri" w:hAnsi="Calibri"/>
                <w:b w:val="0"/>
                <w:i w:val="0"/>
                <w:color w:val="212121"/>
                <w:sz w:val="19"/>
              </w:rPr>
              <w:t>Prolactinomas and hyperprolactinemic hypogonadism peak in the reproductive years, when GnRH suppression is most clinically obvious as menstrual disturbance, galactorrhoea, subfertility and low libido. This is the age band in which most microprolactinomas are diagnosed.</w:t>
            </w:r>
          </w:p>
          <w:p>
            <w:pPr>
              <w:spacing w:after="40" w:before="60" w:line="259" w:lineRule="auto"/>
            </w:pPr>
            <w:r>
              <w:rPr>
                <w:rFonts w:ascii="Calibri" w:hAnsi="Calibri"/>
                <w:b w:val="0"/>
                <w:i w:val="0"/>
                <w:color w:val="212121"/>
                <w:sz w:val="19"/>
              </w:rPr>
              <w:t>Prolactinoma prevalence peaks in women aged 25-44; population prevalence is about 30 per 100,000 women and 10 per 100,000 men.</w:t>
            </w:r>
          </w:p>
          <w:p>
            <w:pPr>
              <w:spacing w:after="40" w:line="252" w:lineRule="auto"/>
            </w:pPr>
            <w:hyperlink r:id="rId9">
              <w:r>
                <w:rPr>
                  <w:rFonts w:ascii="Calibri" w:hAnsi="Calibri" w:cs="Calibri"/>
                  <w:sz w:val="18"/>
                  <w:color w:val="1155CC"/>
                  <w:u w:val="single"/>
                </w:rPr>
                <w:t xml:space="preserve">ncbi.nlm.nih.gov - StatPearls: Prolactinoma</w:t>
              </w:r>
            </w:hyperlink>
          </w:p>
          <w:p>
            <w:pPr>
              <w:spacing w:before="60" w:after="40"/>
            </w:pPr>
            <w:r>
              <w:rPr>
                <w:rFonts w:ascii="Calibri" w:hAnsi="Calibri"/>
                <w:b w:val="0"/>
                <w:i w:val="0"/>
                <w:color w:val="5A5A5A"/>
                <w:sz w:val="18"/>
              </w:rPr>
              <w:t>#prolactin  #reproductiveage  #hypogonadism  #microadenoma  #galactorrhoea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Hyperprolactinemia in older adults is more often drug-induced (antipsychotics, metoclopramide, domperidone) or reflects 'stalk-effect' elevation from a non-functioning pituitary macroadenoma; true prolactinomas presenting late tend to be larger with mass effects. Hypogonadal symptoms are easily missed against age-related change.</w:t>
            </w:r>
          </w:p>
          <w:p>
            <w:pPr>
              <w:spacing w:after="40" w:before="60" w:line="259" w:lineRule="auto"/>
            </w:pPr>
            <w:r>
              <w:rPr>
                <w:rFonts w:ascii="Calibri" w:hAnsi="Calibri"/>
                <w:b w:val="0"/>
                <w:i w:val="0"/>
                <w:color w:val="212121"/>
                <w:sz w:val="19"/>
              </w:rPr>
              <w:t>About 60% of men with prolactinoma present with macroadenomas, and late presentation with mass effects is commoner with advancing age.</w:t>
            </w:r>
          </w:p>
          <w:p>
            <w:pPr>
              <w:spacing w:after="40" w:line="252" w:lineRule="auto"/>
            </w:pPr>
            <w:hyperlink r:id="rId9">
              <w:r>
                <w:rPr>
                  <w:rFonts w:ascii="Calibri" w:hAnsi="Calibri" w:cs="Calibri"/>
                  <w:sz w:val="18"/>
                  <w:color w:val="1155CC"/>
                  <w:u w:val="single"/>
                </w:rPr>
                <w:t xml:space="preserve">ncbi.nlm.nih.gov - StatPearls: Prolactinoma</w:t>
              </w:r>
            </w:hyperlink>
          </w:p>
          <w:p>
            <w:pPr>
              <w:spacing w:before="60" w:after="40"/>
            </w:pPr>
            <w:r>
              <w:rPr>
                <w:rFonts w:ascii="Calibri" w:hAnsi="Calibri"/>
                <w:b w:val="0"/>
                <w:i w:val="0"/>
                <w:color w:val="5A5A5A"/>
                <w:sz w:val="18"/>
              </w:rPr>
              <w:t>#elderly  #stalkeffect  #macroadenoma  #druginduced  #masseffect</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develop clinically apparent hyperprolactinemia several times more often than men and present early, because even small rises disrupt the menstrual cycle and cause galactorrhoea. Most are microprolactinomas detected during work-up of oligomenorrhoea, galactorrhoea or infertility.</w:t>
            </w:r>
          </w:p>
          <w:p>
            <w:pPr>
              <w:spacing w:after="40" w:before="60" w:line="259" w:lineRule="auto"/>
            </w:pPr>
            <w:r>
              <w:rPr>
                <w:rFonts w:ascii="Calibri" w:hAnsi="Calibri"/>
                <w:b w:val="0"/>
                <w:i w:val="0"/>
                <w:color w:val="212121"/>
                <w:sz w:val="19"/>
              </w:rPr>
              <w:t>In an Indian cohort of 1,229 hyperprolactinemic patients, 1,038 (84%) were women versus 191 men (about a 5.4:1 female predominance).</w:t>
            </w:r>
          </w:p>
          <w:p>
            <w:pPr>
              <w:spacing w:after="40" w:line="252" w:lineRule="auto"/>
            </w:pPr>
            <w:hyperlink r:id="rId10">
              <w:r>
                <w:rPr>
                  <w:rFonts w:ascii="Calibri" w:hAnsi="Calibri" w:cs="Calibri"/>
                  <w:sz w:val="18"/>
                  <w:color w:val="1155CC"/>
                  <w:u w:val="single"/>
                </w:rPr>
                <w:t xml:space="preserve">pubmed.ncbi.nlm.nih.gov/34975255 - macroprolactinemia in India</w:t>
              </w:r>
            </w:hyperlink>
          </w:p>
          <w:p>
            <w:pPr>
              <w:spacing w:before="60" w:after="40"/>
            </w:pPr>
            <w:r>
              <w:rPr>
                <w:rFonts w:ascii="Calibri" w:hAnsi="Calibri"/>
                <w:b w:val="0"/>
                <w:i w:val="0"/>
                <w:color w:val="5A5A5A"/>
                <w:sz w:val="18"/>
              </w:rPr>
              <w:t>#female  #amenorrhoea  #galactorrhoea  #infertility  #microadenoma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present later and with larger tumours, because reduced libido and erectile dysfunction are under-reported and there is no menstrual signal to prompt early testing. As a result men more often have macroadenomas with headache, visual-field loss and hypopituitarism at diagnosis.</w:t>
            </w:r>
          </w:p>
          <w:p>
            <w:pPr>
              <w:spacing w:after="40" w:before="60" w:line="259" w:lineRule="auto"/>
            </w:pPr>
            <w:r>
              <w:rPr>
                <w:rFonts w:ascii="Calibri" w:hAnsi="Calibri"/>
                <w:b w:val="0"/>
                <w:i w:val="0"/>
                <w:color w:val="212121"/>
                <w:sz w:val="19"/>
              </w:rPr>
              <w:t>Around 60% of men with a prolactinoma present with a macroprolactinoma, compared with about 90% of women presenting with a microprolactinoma.</w:t>
            </w:r>
          </w:p>
          <w:p>
            <w:pPr>
              <w:spacing w:after="40" w:line="252" w:lineRule="auto"/>
            </w:pPr>
            <w:hyperlink r:id="rId9">
              <w:r>
                <w:rPr>
                  <w:rFonts w:ascii="Calibri" w:hAnsi="Calibri" w:cs="Calibri"/>
                  <w:sz w:val="18"/>
                  <w:color w:val="1155CC"/>
                  <w:u w:val="single"/>
                </w:rPr>
                <w:t xml:space="preserve">ncbi.nlm.nih.gov - StatPearls: Prolactinoma</w:t>
              </w:r>
            </w:hyperlink>
          </w:p>
          <w:p>
            <w:pPr>
              <w:spacing w:before="60" w:after="40"/>
            </w:pPr>
            <w:r>
              <w:rPr>
                <w:rFonts w:ascii="Calibri" w:hAnsi="Calibri"/>
                <w:b w:val="0"/>
                <w:i w:val="0"/>
                <w:color w:val="5A5A5A"/>
                <w:sz w:val="18"/>
              </w:rPr>
              <w:t>#male  #macroadenoma  #erectiledysfunction  #latepresentation  #masseffect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Low-access / rural populations &amp; patients on chronic psychotropics</w:t>
            </w:r>
          </w:p>
        </w:tc>
        <w:tc>
          <w:tcPr>
            <w:tcW w:type="dxa" w:w="4276"/>
            <w:vAlign w:val="top"/>
          </w:tcPr>
          <w:p>
            <w:pPr>
              <w:spacing w:after="60" w:line="259" w:lineRule="auto"/>
            </w:pPr>
            <w:r>
              <w:rPr>
                <w:rFonts w:ascii="Calibri" w:hAnsi="Calibri"/>
                <w:b w:val="0"/>
                <w:i w:val="0"/>
                <w:color w:val="212121"/>
                <w:sz w:val="19"/>
              </w:rPr>
              <w:t>Limited access to endocrine care and MRI delays diagnosis, so tumours are larger and mass effects more advanced at presentation. Patients on long-term antipsychotics for chronic mental illness are an important, often-overlooked group with drug-induced hyperprolactinemia.</w:t>
            </w:r>
          </w:p>
          <w:p>
            <w:pPr>
              <w:spacing w:after="40" w:before="60" w:line="259" w:lineRule="auto"/>
            </w:pPr>
            <w:r>
              <w:rPr>
                <w:rFonts w:ascii="Calibri" w:hAnsi="Calibri"/>
                <w:b w:val="0"/>
                <w:i w:val="0"/>
                <w:color w:val="212121"/>
                <w:sz w:val="19"/>
              </w:rPr>
              <w:t>Drug-induced causes accounted for 18.2% of hyperprolactinemia testing in a large Indian cohort.</w:t>
            </w:r>
          </w:p>
          <w:p>
            <w:pPr>
              <w:spacing w:after="40" w:line="252" w:lineRule="auto"/>
            </w:pPr>
            <w:hyperlink r:id="rId10">
              <w:r>
                <w:rPr>
                  <w:rFonts w:ascii="Calibri" w:hAnsi="Calibri" w:cs="Calibri"/>
                  <w:sz w:val="18"/>
                  <w:color w:val="1155CC"/>
                  <w:u w:val="single"/>
                </w:rPr>
                <w:t xml:space="preserve">pubmed.ncbi.nlm.nih.gov/34975255 - aetiologies of hyperprolactinemia, India</w:t>
              </w:r>
            </w:hyperlink>
          </w:p>
          <w:p>
            <w:pPr>
              <w:spacing w:before="60" w:after="40"/>
            </w:pPr>
            <w:r>
              <w:rPr>
                <w:rFonts w:ascii="Calibri" w:hAnsi="Calibri"/>
                <w:b w:val="0"/>
                <w:i w:val="0"/>
                <w:color w:val="5A5A5A"/>
                <w:sz w:val="18"/>
              </w:rPr>
              <w:t>#access  #ruralhealth  #antipsychotics  #delayeddiagnosis  #druginduced</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clinical setting</w:t>
            </w:r>
          </w:p>
        </w:tc>
        <w:tc>
          <w:tcPr>
            <w:tcW w:type="dxa" w:w="2160"/>
            <w:vAlign w:val="top"/>
          </w:tcPr>
          <w:p>
            <w:pPr>
              <w:spacing w:after="40" w:before="0" w:line="259" w:lineRule="auto"/>
            </w:pPr>
            <w:r>
              <w:rPr>
                <w:rFonts w:ascii="Calibri" w:hAnsi="Calibri"/>
                <w:b w:val="0"/>
                <w:i w:val="0"/>
                <w:color w:val="212121"/>
                <w:sz w:val="19"/>
              </w:rPr>
              <w:t>Indian endocrine &amp; infertility clinics</w:t>
            </w:r>
          </w:p>
        </w:tc>
        <w:tc>
          <w:tcPr>
            <w:tcW w:type="dxa" w:w="4276"/>
            <w:vAlign w:val="top"/>
          </w:tcPr>
          <w:p>
            <w:pPr>
              <w:spacing w:after="60" w:line="259" w:lineRule="auto"/>
            </w:pPr>
            <w:r>
              <w:rPr>
                <w:rFonts w:ascii="Calibri" w:hAnsi="Calibri"/>
                <w:b w:val="0"/>
                <w:i w:val="0"/>
                <w:color w:val="212121"/>
                <w:sz w:val="19"/>
              </w:rPr>
              <w:t>Across Indian series, prolactinoma is the commonest functioning pituitary tumour, and PCOS is the single most frequent reason for prolactin testing, reflecting the country's high burden of reproductive-endocrine disorders in young women. Macroprolactin is a common confounder that must be excluded before labelling a patient hyperprolactinemic.</w:t>
            </w:r>
          </w:p>
          <w:p>
            <w:pPr>
              <w:spacing w:after="40" w:before="60" w:line="259" w:lineRule="auto"/>
            </w:pPr>
            <w:r>
              <w:rPr>
                <w:rFonts w:ascii="Calibri" w:hAnsi="Calibri"/>
                <w:b w:val="0"/>
                <w:i w:val="0"/>
                <w:color w:val="212121"/>
                <w:sz w:val="19"/>
              </w:rPr>
              <w:t>In an Indian tertiary-care cohort, PCOS (32.7%) and pituitary adenoma (25.9%) were the two commonest reasons for hyperprolactinemia testing, and macroprolactinemia was found in 13.7%.</w:t>
            </w:r>
          </w:p>
          <w:p>
            <w:pPr>
              <w:spacing w:after="40" w:line="252" w:lineRule="auto"/>
            </w:pPr>
            <w:hyperlink r:id="rId10">
              <w:r>
                <w:rPr>
                  <w:rFonts w:ascii="Calibri" w:hAnsi="Calibri" w:cs="Calibri"/>
                  <w:sz w:val="18"/>
                  <w:color w:val="1155CC"/>
                  <w:u w:val="single"/>
                </w:rPr>
                <w:t xml:space="preserve">pubmed.ncbi.nlm.nih.gov/34975255 - Indian hyperprolactinemia cohort</w:t>
              </w:r>
            </w:hyperlink>
          </w:p>
          <w:p>
            <w:pPr>
              <w:spacing w:before="60" w:after="40"/>
            </w:pPr>
            <w:r>
              <w:rPr>
                <w:rFonts w:ascii="Calibri" w:hAnsi="Calibri"/>
                <w:b w:val="0"/>
                <w:i w:val="0"/>
                <w:color w:val="5A5A5A"/>
                <w:sz w:val="18"/>
              </w:rPr>
              <w:t>#india  #PCOS  #macroprolactin  #infertilityclinic  #endocrine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Chronic psychotropic drug use</w:t>
            </w:r>
          </w:p>
        </w:tc>
        <w:tc>
          <w:tcPr>
            <w:tcW w:type="dxa" w:w="2160"/>
            <w:vAlign w:val="top"/>
          </w:tcPr>
          <w:p>
            <w:pPr>
              <w:spacing w:after="40" w:before="0" w:line="259" w:lineRule="auto"/>
            </w:pPr>
            <w:r>
              <w:rPr>
                <w:rFonts w:ascii="Calibri" w:hAnsi="Calibri"/>
                <w:b w:val="0"/>
                <w:i w:val="0"/>
                <w:color w:val="212121"/>
                <w:sz w:val="19"/>
              </w:rPr>
              <w:t>Patients on antipsychotics / antiemetics</w:t>
            </w:r>
          </w:p>
        </w:tc>
        <w:tc>
          <w:tcPr>
            <w:tcW w:type="dxa" w:w="4276"/>
            <w:vAlign w:val="top"/>
          </w:tcPr>
          <w:p>
            <w:pPr>
              <w:spacing w:after="60" w:line="259" w:lineRule="auto"/>
            </w:pPr>
            <w:r>
              <w:rPr>
                <w:rFonts w:ascii="Calibri" w:hAnsi="Calibri"/>
                <w:b w:val="0"/>
                <w:i w:val="0"/>
                <w:color w:val="212121"/>
                <w:sz w:val="19"/>
              </w:rPr>
              <w:t>Dopamine-antagonist psychotropics (risperidone, amisulpride, haloperidol) and antiemetics (metoclopramide, domperidone) block lactotroph D2 receptors and are the leading non-tumoral cause of hyperprolactinemia. The effect is dose-related and reversible, but stopping the drug is often not possible in serious mental illness.</w:t>
            </w:r>
          </w:p>
          <w:p>
            <w:pPr>
              <w:spacing w:after="40" w:before="60" w:line="259" w:lineRule="auto"/>
            </w:pPr>
            <w:r>
              <w:rPr>
                <w:rFonts w:ascii="Calibri" w:hAnsi="Calibri"/>
                <w:b w:val="0"/>
                <w:i w:val="0"/>
                <w:color w:val="212121"/>
                <w:sz w:val="19"/>
              </w:rPr>
              <w:t>Drug-induced hyperprolactinemia made up 18.2% of tested patients in an Indian cohort; add-on aripiprazole is used to lower antipsychotic-induced prolactin in Indian practice.</w:t>
            </w:r>
          </w:p>
          <w:p>
            <w:pPr>
              <w:spacing w:after="40" w:line="252" w:lineRule="auto"/>
            </w:pPr>
            <w:hyperlink r:id="rId11">
              <w:r>
                <w:rPr>
                  <w:rFonts w:ascii="Calibri" w:hAnsi="Calibri" w:cs="Calibri"/>
                  <w:sz w:val="18"/>
                  <w:color w:val="1155CC"/>
                  <w:u w:val="single"/>
                </w:rPr>
                <w:t xml:space="preserve">pubmed.ncbi.nlm.nih.gov/29403128 - add-on aripiprazole, India</w:t>
              </w:r>
            </w:hyperlink>
          </w:p>
          <w:p>
            <w:pPr>
              <w:spacing w:before="60" w:after="40"/>
            </w:pPr>
            <w:r>
              <w:rPr>
                <w:rFonts w:ascii="Calibri" w:hAnsi="Calibri"/>
                <w:b w:val="0"/>
                <w:i w:val="0"/>
                <w:color w:val="5A5A5A"/>
                <w:sz w:val="18"/>
              </w:rPr>
              <w:t>#antipsychotics  #D2blockade  #metoclopramide  #druginduced  #aripiprazole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Physiological stressors</w:t>
            </w:r>
          </w:p>
        </w:tc>
        <w:tc>
          <w:tcPr>
            <w:tcW w:type="dxa" w:w="2160"/>
            <w:vAlign w:val="top"/>
          </w:tcPr>
          <w:p>
            <w:pPr>
              <w:spacing w:after="40" w:before="0" w:line="259" w:lineRule="auto"/>
            </w:pPr>
            <w:r>
              <w:rPr>
                <w:rFonts w:ascii="Calibri" w:hAnsi="Calibri"/>
                <w:b w:val="0"/>
                <w:i w:val="0"/>
                <w:color w:val="212121"/>
                <w:sz w:val="19"/>
              </w:rPr>
              <w:t>Acute stress, strenuous exercise, chest-wall stimulation</w:t>
            </w:r>
          </w:p>
        </w:tc>
        <w:tc>
          <w:tcPr>
            <w:tcW w:type="dxa" w:w="4276"/>
            <w:vAlign w:val="top"/>
          </w:tcPr>
          <w:p>
            <w:pPr>
              <w:spacing w:after="60" w:line="259" w:lineRule="auto"/>
            </w:pPr>
            <w:r>
              <w:rPr>
                <w:rFonts w:ascii="Calibri" w:hAnsi="Calibri"/>
                <w:b w:val="0"/>
                <w:i w:val="0"/>
                <w:color w:val="212121"/>
                <w:sz w:val="19"/>
              </w:rPr>
              <w:t>Prolactin is a stress hormone: acute physical or psychological stress, vigorous exercise, seizures, and nipple or chest-wall stimulation (including herpes-zoster or thoracotomy scars) transiently raise it. These are the commonest reasons for a mildly abnormal reading that normalises on a properly rested, repeat sample.</w:t>
            </w:r>
          </w:p>
          <w:p>
            <w:pPr>
              <w:spacing w:after="40" w:before="60" w:line="259" w:lineRule="auto"/>
            </w:pPr>
            <w:r>
              <w:rPr>
                <w:rFonts w:ascii="Calibri" w:hAnsi="Calibri"/>
                <w:b w:val="0"/>
                <w:i w:val="0"/>
                <w:color w:val="212121"/>
                <w:sz w:val="19"/>
              </w:rPr>
              <w:t>Stress-related rises are usually modest and rarely exceed ~40 ng/mL, so mild elevations should be confirmed on a rested, mid-morning repeat sample.</w:t>
            </w:r>
          </w:p>
          <w:p>
            <w:pPr>
              <w:spacing w:after="40" w:line="252" w:lineRule="auto"/>
            </w:pPr>
            <w:hyperlink r:id="rId12">
              <w:r>
                <w:rPr>
                  <w:rFonts w:ascii="Calibri" w:hAnsi="Calibri" w:cs="Calibri"/>
                  <w:sz w:val="18"/>
                  <w:color w:val="1155CC"/>
                  <w:u w:val="single"/>
                </w:rPr>
                <w:t xml:space="preserve">ncbi.nlm.nih.gov - StatPearls: Hyperprolactinemia</w:t>
              </w:r>
            </w:hyperlink>
          </w:p>
          <w:p>
            <w:pPr>
              <w:spacing w:before="60" w:after="40"/>
            </w:pPr>
            <w:r>
              <w:rPr>
                <w:rFonts w:ascii="Calibri" w:hAnsi="Calibri"/>
                <w:b w:val="0"/>
                <w:i w:val="0"/>
                <w:color w:val="5A5A5A"/>
                <w:sz w:val="18"/>
              </w:rPr>
              <w:t>#stress  #exercise  #chestwall  #transient  #repeatsample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Alcohol intake</w:t>
            </w:r>
          </w:p>
        </w:tc>
        <w:tc>
          <w:tcPr>
            <w:tcW w:type="dxa" w:w="2160"/>
            <w:vAlign w:val="top"/>
          </w:tcPr>
          <w:p>
            <w:pPr>
              <w:spacing w:after="40" w:before="0" w:line="259" w:lineRule="auto"/>
            </w:pPr>
            <w:r>
              <w:rPr>
                <w:rFonts w:ascii="Calibri" w:hAnsi="Calibri"/>
                <w:b w:val="0"/>
                <w:i w:val="0"/>
                <w:color w:val="212121"/>
                <w:sz w:val="19"/>
              </w:rPr>
              <w:t>Heavy chronic drinkers / cirrhosis</w:t>
            </w:r>
          </w:p>
        </w:tc>
        <w:tc>
          <w:tcPr>
            <w:tcW w:type="dxa" w:w="4276"/>
            <w:vAlign w:val="top"/>
          </w:tcPr>
          <w:p>
            <w:pPr>
              <w:spacing w:after="60" w:line="259" w:lineRule="auto"/>
            </w:pPr>
            <w:r>
              <w:rPr>
                <w:rFonts w:ascii="Calibri" w:hAnsi="Calibri"/>
                <w:b w:val="0"/>
                <w:i w:val="0"/>
                <w:color w:val="212121"/>
                <w:sz w:val="19"/>
              </w:rPr>
              <w:t>Chronic heavy alcohol use leading to cirrhosis raises prolactin through impaired hepatic clearance and altered central dopamine tone. Diet is otherwise a weak direct driver of prolactin, though sampling should be done fasting because a heavy meal can nudge levels up.</w:t>
            </w:r>
          </w:p>
          <w:p>
            <w:pPr>
              <w:spacing w:after="40" w:before="60" w:line="259" w:lineRule="auto"/>
            </w:pPr>
            <w:r>
              <w:rPr>
                <w:rFonts w:ascii="Calibri" w:hAnsi="Calibri"/>
                <w:b w:val="0"/>
                <w:i w:val="0"/>
                <w:color w:val="212121"/>
                <w:sz w:val="19"/>
              </w:rPr>
              <w:t>Cirrhosis and chronic liver disease are recognised secondary causes of hyperprolactinemia via reduced prolactin clearance.</w:t>
            </w:r>
          </w:p>
          <w:p>
            <w:pPr>
              <w:spacing w:after="40" w:line="252" w:lineRule="auto"/>
            </w:pPr>
            <w:hyperlink r:id="rId12">
              <w:r>
                <w:rPr>
                  <w:rFonts w:ascii="Calibri" w:hAnsi="Calibri" w:cs="Calibri"/>
                  <w:sz w:val="18"/>
                  <w:color w:val="1155CC"/>
                  <w:u w:val="single"/>
                </w:rPr>
                <w:t xml:space="preserve">ncbi.nlm.nih.gov - StatPearls: Hyperprolactinemia</w:t>
              </w:r>
            </w:hyperlink>
          </w:p>
          <w:p>
            <w:pPr>
              <w:spacing w:before="60" w:after="40"/>
            </w:pPr>
            <w:r>
              <w:rPr>
                <w:rFonts w:ascii="Calibri" w:hAnsi="Calibri"/>
                <w:b w:val="0"/>
                <w:i w:val="0"/>
                <w:color w:val="5A5A5A"/>
                <w:sz w:val="18"/>
              </w:rPr>
              <w:t>#alcohol  #cirrhosis  #clearance  #liver  #secondarycause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Galactagogue foods &amp; herbs</w:t>
            </w:r>
          </w:p>
        </w:tc>
        <w:tc>
          <w:tcPr>
            <w:tcW w:type="dxa" w:w="2160"/>
            <w:vAlign w:val="top"/>
          </w:tcPr>
          <w:p>
            <w:pPr>
              <w:spacing w:after="40" w:before="0" w:line="259" w:lineRule="auto"/>
            </w:pPr>
            <w:r>
              <w:rPr>
                <w:rFonts w:ascii="Calibri" w:hAnsi="Calibri"/>
                <w:b w:val="0"/>
                <w:i w:val="0"/>
                <w:color w:val="212121"/>
                <w:sz w:val="19"/>
              </w:rPr>
              <w:t>Postpartum women using fenugreek / shatavari / fennel</w:t>
            </w:r>
          </w:p>
        </w:tc>
        <w:tc>
          <w:tcPr>
            <w:tcW w:type="dxa" w:w="4276"/>
            <w:vAlign w:val="top"/>
          </w:tcPr>
          <w:p>
            <w:pPr>
              <w:spacing w:after="60" w:line="259" w:lineRule="auto"/>
            </w:pPr>
            <w:r>
              <w:rPr>
                <w:rFonts w:ascii="Calibri" w:hAnsi="Calibri"/>
                <w:b w:val="0"/>
                <w:i w:val="0"/>
                <w:color w:val="212121"/>
                <w:sz w:val="19"/>
              </w:rPr>
              <w:t>Traditional Indian galactagogues used to boost lactation - fenugreek (methi), shatavari and fennel - are promoted for their prolactin-raising, milk-stimulating effect, and heavy use may transiently increase prolactin. This is physiological and reversible but can confuse interpretation if not disclosed.</w:t>
            </w:r>
          </w:p>
          <w:p>
            <w:pPr>
              <w:spacing w:before="60" w:after="40"/>
            </w:pPr>
            <w:r>
              <w:rPr>
                <w:rFonts w:ascii="Calibri" w:hAnsi="Calibri"/>
                <w:b w:val="0"/>
                <w:i w:val="0"/>
                <w:color w:val="5A5A5A"/>
                <w:sz w:val="18"/>
              </w:rPr>
              <w:t>#galactagogue  #fenugreek  #methi  #shatavari  #lactation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MEN1</w:t>
            </w:r>
          </w:p>
        </w:tc>
        <w:tc>
          <w:tcPr>
            <w:tcW w:type="dxa" w:w="2160"/>
            <w:vAlign w:val="top"/>
          </w:tcPr>
          <w:p>
            <w:pPr>
              <w:spacing w:after="40" w:before="0" w:line="259" w:lineRule="auto"/>
            </w:pPr>
            <w:r>
              <w:rPr>
                <w:rFonts w:ascii="Calibri" w:hAnsi="Calibri"/>
                <w:b w:val="0"/>
                <w:i w:val="0"/>
                <w:color w:val="212121"/>
                <w:sz w:val="19"/>
              </w:rPr>
              <w:t>MEN1 and familial pituitary-adenoma kindreds</w:t>
            </w:r>
          </w:p>
        </w:tc>
        <w:tc>
          <w:tcPr>
            <w:tcW w:type="dxa" w:w="4276"/>
            <w:vAlign w:val="top"/>
          </w:tcPr>
          <w:p>
            <w:pPr>
              <w:spacing w:after="60" w:line="259" w:lineRule="auto"/>
            </w:pPr>
            <w:r>
              <w:rPr>
                <w:rFonts w:ascii="Calibri" w:hAnsi="Calibri"/>
                <w:b w:val="0"/>
                <w:i w:val="0"/>
                <w:color w:val="212121"/>
                <w:sz w:val="19"/>
              </w:rPr>
              <w:t>Germline MEN1 (menin) mutations cause multiple endocrine tumours, and prolactinoma is a frequent pituitary component; familial isolated pituitary adenoma (AIP mutations) also predisposes to younger, larger, more aggressive prolactinomas. A family history changes screening for parathyroid and pancreatic tumours.</w:t>
            </w:r>
          </w:p>
          <w:p>
            <w:pPr>
              <w:spacing w:after="40" w:before="60" w:line="259" w:lineRule="auto"/>
            </w:pPr>
            <w:r>
              <w:rPr>
                <w:rFonts w:ascii="Calibri" w:hAnsi="Calibri"/>
                <w:b w:val="0"/>
                <w:i w:val="0"/>
                <w:color w:val="212121"/>
                <w:sz w:val="19"/>
              </w:rPr>
              <w:t>About 15-60% of patients with MEN1 develop a prolactinoma.</w:t>
            </w:r>
          </w:p>
          <w:p>
            <w:pPr>
              <w:spacing w:after="40" w:line="252" w:lineRule="auto"/>
            </w:pPr>
            <w:hyperlink r:id="rId9">
              <w:r>
                <w:rPr>
                  <w:rFonts w:ascii="Calibri" w:hAnsi="Calibri" w:cs="Calibri"/>
                  <w:sz w:val="18"/>
                  <w:color w:val="1155CC"/>
                  <w:u w:val="single"/>
                </w:rPr>
                <w:t xml:space="preserve">ncbi.nlm.nih.gov - StatPearls: Prolactinoma</w:t>
              </w:r>
            </w:hyperlink>
          </w:p>
          <w:p>
            <w:pPr>
              <w:spacing w:before="60" w:after="40"/>
            </w:pPr>
            <w:r>
              <w:rPr>
                <w:rFonts w:ascii="Calibri" w:hAnsi="Calibri"/>
                <w:b w:val="0"/>
                <w:i w:val="0"/>
                <w:color w:val="5A5A5A"/>
                <w:sz w:val="18"/>
              </w:rPr>
              <w:t>#MEN1  #menin  #AIP  #familial  #genetic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Primary / subclinical hypothyroidism</w:t>
            </w:r>
          </w:p>
        </w:tc>
        <w:tc>
          <w:tcPr>
            <w:tcW w:type="dxa" w:w="2160"/>
            <w:vAlign w:val="top"/>
          </w:tcPr>
          <w:p>
            <w:pPr>
              <w:spacing w:after="40" w:before="0" w:line="259" w:lineRule="auto"/>
            </w:pPr>
            <w:r>
              <w:rPr>
                <w:rFonts w:ascii="Calibri" w:hAnsi="Calibri"/>
                <w:b w:val="0"/>
                <w:i w:val="0"/>
                <w:color w:val="212121"/>
                <w:sz w:val="19"/>
              </w:rPr>
              <w:t>Patients with hypothyroidism</w:t>
            </w:r>
          </w:p>
        </w:tc>
        <w:tc>
          <w:tcPr>
            <w:tcW w:type="dxa" w:w="4276"/>
            <w:vAlign w:val="top"/>
          </w:tcPr>
          <w:p>
            <w:pPr>
              <w:spacing w:after="60" w:line="259" w:lineRule="auto"/>
            </w:pPr>
            <w:r>
              <w:rPr>
                <w:rFonts w:ascii="Calibri" w:hAnsi="Calibri"/>
                <w:b w:val="0"/>
                <w:i w:val="0"/>
                <w:color w:val="212121"/>
                <w:sz w:val="19"/>
              </w:rPr>
              <w:t>Low thyroid hormone raises hypothalamic TRH, which stimulates lactotrophs and can produce hyperprolactinemia (and pituitary/thyrotroph hyperplasia that mimics an adenoma). Because it is fully reversible with levothyroxine, thyroid status must be checked before any prolactinoma work-up.</w:t>
            </w:r>
          </w:p>
          <w:p>
            <w:pPr>
              <w:spacing w:after="40" w:before="60" w:line="259" w:lineRule="auto"/>
            </w:pPr>
            <w:r>
              <w:rPr>
                <w:rFonts w:ascii="Calibri" w:hAnsi="Calibri"/>
                <w:b w:val="0"/>
                <w:i w:val="0"/>
                <w:color w:val="212121"/>
                <w:sz w:val="19"/>
              </w:rPr>
              <w:t>In an Indian study, hyperprolactinemia occurred in 35.7% of women and 31.6% of men with subclinical hypothyroidism, rising to 61.4% when TSH exceeded 10 mIU/L.</w:t>
            </w:r>
          </w:p>
          <w:p>
            <w:pPr>
              <w:spacing w:after="40" w:line="252" w:lineRule="auto"/>
            </w:pPr>
            <w:hyperlink r:id="rId13">
              <w:r>
                <w:rPr>
                  <w:rFonts w:ascii="Calibri" w:hAnsi="Calibri" w:cs="Calibri"/>
                  <w:sz w:val="18"/>
                  <w:color w:val="1155CC"/>
                  <w:u w:val="single"/>
                </w:rPr>
                <w:t xml:space="preserve">pubmed.ncbi.nlm.nih.gov/27473607 - hyperprolactinemia in subclinical hypothyroidism, India</w:t>
              </w:r>
            </w:hyperlink>
          </w:p>
          <w:p>
            <w:pPr>
              <w:spacing w:before="60" w:after="40"/>
            </w:pPr>
            <w:r>
              <w:rPr>
                <w:rFonts w:ascii="Calibri" w:hAnsi="Calibri"/>
                <w:b w:val="0"/>
                <w:i w:val="0"/>
                <w:color w:val="5A5A5A"/>
                <w:sz w:val="18"/>
              </w:rPr>
              <w:t>#hypothyroidism  #TRH  #reversible  #TSH  #pseudoprolactinoma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Polycystic ovary syndrome</w:t>
            </w:r>
          </w:p>
        </w:tc>
        <w:tc>
          <w:tcPr>
            <w:tcW w:type="dxa" w:w="2160"/>
            <w:vAlign w:val="top"/>
          </w:tcPr>
          <w:p>
            <w:pPr>
              <w:spacing w:after="40" w:before="0" w:line="259" w:lineRule="auto"/>
            </w:pPr>
            <w:r>
              <w:rPr>
                <w:rFonts w:ascii="Calibri" w:hAnsi="Calibri"/>
                <w:b w:val="0"/>
                <w:i w:val="0"/>
                <w:color w:val="212121"/>
                <w:sz w:val="19"/>
              </w:rPr>
              <w:t>Women with PCOS</w:t>
            </w:r>
          </w:p>
        </w:tc>
        <w:tc>
          <w:tcPr>
            <w:tcW w:type="dxa" w:w="4276"/>
            <w:vAlign w:val="top"/>
          </w:tcPr>
          <w:p>
            <w:pPr>
              <w:spacing w:after="60" w:line="259" w:lineRule="auto"/>
            </w:pPr>
            <w:r>
              <w:rPr>
                <w:rFonts w:ascii="Calibri" w:hAnsi="Calibri"/>
                <w:b w:val="0"/>
                <w:i w:val="0"/>
                <w:color w:val="212121"/>
                <w:sz w:val="19"/>
              </w:rPr>
              <w:t>PCOS and hyperprolactinemia share overlapping menstrual and fertility disturbance and hypothalamic-pituitary-ovarian dysregulation, so PCOS is both a frequent association and the commonest trigger for prolactin testing in young Indian women. Mild elevations should prompt a search for macroprolactin or a coexisting prolactinoma.</w:t>
            </w:r>
          </w:p>
          <w:p>
            <w:pPr>
              <w:spacing w:after="40" w:before="60" w:line="259" w:lineRule="auto"/>
            </w:pPr>
            <w:r>
              <w:rPr>
                <w:rFonts w:ascii="Calibri" w:hAnsi="Calibri"/>
                <w:b w:val="0"/>
                <w:i w:val="0"/>
                <w:color w:val="212121"/>
                <w:sz w:val="19"/>
              </w:rPr>
              <w:t>PCOS was the single most common reason for hyperprolactinemia testing (32.7%) in a large Indian cohort.</w:t>
            </w:r>
          </w:p>
          <w:p>
            <w:pPr>
              <w:spacing w:after="40" w:line="252" w:lineRule="auto"/>
            </w:pPr>
            <w:hyperlink r:id="rId10">
              <w:r>
                <w:rPr>
                  <w:rFonts w:ascii="Calibri" w:hAnsi="Calibri" w:cs="Calibri"/>
                  <w:sz w:val="18"/>
                  <w:color w:val="1155CC"/>
                  <w:u w:val="single"/>
                </w:rPr>
                <w:t xml:space="preserve">pubmed.ncbi.nlm.nih.gov/34975255 - PCOS as leading cause, India</w:t>
              </w:r>
            </w:hyperlink>
          </w:p>
          <w:p>
            <w:pPr>
              <w:spacing w:before="60" w:after="40"/>
            </w:pPr>
            <w:r>
              <w:rPr>
                <w:rFonts w:ascii="Calibri" w:hAnsi="Calibri"/>
                <w:b w:val="0"/>
                <w:i w:val="0"/>
                <w:color w:val="5A5A5A"/>
                <w:sz w:val="18"/>
              </w:rPr>
              <w:t>#PCOS  #anovulation  #reproductive  #youngwomen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CKD / on dialysis</w:t>
            </w:r>
          </w:p>
        </w:tc>
        <w:tc>
          <w:tcPr>
            <w:tcW w:type="dxa" w:w="4276"/>
            <w:vAlign w:val="top"/>
          </w:tcPr>
          <w:p>
            <w:pPr>
              <w:spacing w:after="60" w:line="259" w:lineRule="auto"/>
            </w:pPr>
            <w:r>
              <w:rPr>
                <w:rFonts w:ascii="Calibri" w:hAnsi="Calibri"/>
                <w:b w:val="0"/>
                <w:i w:val="0"/>
                <w:color w:val="212121"/>
                <w:sz w:val="19"/>
              </w:rPr>
              <w:t>Reduced renal clearance and disturbed hypothalamic regulation raise prolactin in chronic kidney disease, contributing to the hypogonadism, low libido and infertility common in dialysis patients. Levels do not fully normalise with dopamine agonists in this setting.</w:t>
            </w:r>
          </w:p>
          <w:p>
            <w:pPr>
              <w:spacing w:after="40" w:before="60" w:line="259" w:lineRule="auto"/>
            </w:pPr>
            <w:r>
              <w:rPr>
                <w:rFonts w:ascii="Calibri" w:hAnsi="Calibri"/>
                <w:b w:val="0"/>
                <w:i w:val="0"/>
                <w:color w:val="212121"/>
                <w:sz w:val="19"/>
              </w:rPr>
              <w:t>Chronic kidney disease is an established secondary cause of hyperprolactinemia through impaired clearance.</w:t>
            </w:r>
          </w:p>
          <w:p>
            <w:pPr>
              <w:spacing w:after="40" w:line="252" w:lineRule="auto"/>
            </w:pPr>
            <w:hyperlink r:id="rId12">
              <w:r>
                <w:rPr>
                  <w:rFonts w:ascii="Calibri" w:hAnsi="Calibri" w:cs="Calibri"/>
                  <w:sz w:val="18"/>
                  <w:color w:val="1155CC"/>
                  <w:u w:val="single"/>
                </w:rPr>
                <w:t xml:space="preserve">ncbi.nlm.nih.gov - StatPearls: Hyperprolactinemia</w:t>
              </w:r>
            </w:hyperlink>
          </w:p>
          <w:p>
            <w:pPr>
              <w:spacing w:before="60" w:after="40"/>
            </w:pPr>
            <w:r>
              <w:rPr>
                <w:rFonts w:ascii="Calibri" w:hAnsi="Calibri"/>
                <w:b w:val="0"/>
                <w:i w:val="0"/>
                <w:color w:val="5A5A5A"/>
                <w:sz w:val="18"/>
              </w:rPr>
              <w:t>#CKD  #dialysis  #clearance  #hypogonadism  #secondarycause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Sellar mass / non-functioning adenoma</w:t>
            </w:r>
          </w:p>
        </w:tc>
        <w:tc>
          <w:tcPr>
            <w:tcW w:type="dxa" w:w="2160"/>
            <w:vAlign w:val="top"/>
          </w:tcPr>
          <w:p>
            <w:pPr>
              <w:spacing w:after="40" w:before="0" w:line="259" w:lineRule="auto"/>
            </w:pPr>
            <w:r>
              <w:rPr>
                <w:rFonts w:ascii="Calibri" w:hAnsi="Calibri"/>
                <w:b w:val="0"/>
                <w:i w:val="0"/>
                <w:color w:val="212121"/>
                <w:sz w:val="19"/>
              </w:rPr>
              <w:t>Patients with pituitary/hypothalamic masses</w:t>
            </w:r>
          </w:p>
        </w:tc>
        <w:tc>
          <w:tcPr>
            <w:tcW w:type="dxa" w:w="4276"/>
            <w:vAlign w:val="top"/>
          </w:tcPr>
          <w:p>
            <w:pPr>
              <w:spacing w:after="60" w:line="259" w:lineRule="auto"/>
            </w:pPr>
            <w:r>
              <w:rPr>
                <w:rFonts w:ascii="Calibri" w:hAnsi="Calibri"/>
                <w:b w:val="0"/>
                <w:i w:val="0"/>
                <w:color w:val="212121"/>
                <w:sz w:val="19"/>
              </w:rPr>
              <w:t>Any non-secreting sellar or suprasellar mass (non-functioning adenoma, craniopharyngioma, meningioma) can compress the pituitary stalk and cause 'stalk-effect' hyperprolactinemia, usually below ~100-150 ng/mL. Distinguishing this from a true macroprolactinoma is critical because management differs (surgery vs dopamine agonist).</w:t>
            </w:r>
          </w:p>
          <w:p>
            <w:pPr>
              <w:spacing w:after="40" w:before="60" w:line="259" w:lineRule="auto"/>
            </w:pPr>
            <w:r>
              <w:rPr>
                <w:rFonts w:ascii="Calibri" w:hAnsi="Calibri"/>
                <w:b w:val="0"/>
                <w:i w:val="0"/>
                <w:color w:val="212121"/>
                <w:sz w:val="19"/>
              </w:rPr>
              <w:t>Stalk-effect hyperprolactinemia from a non-secreting mass typically produces prolactin below ~150 ng/mL, unlike the very high levels of a macroprolactinoma.</w:t>
            </w:r>
          </w:p>
          <w:p>
            <w:pPr>
              <w:spacing w:after="40" w:line="252" w:lineRule="auto"/>
            </w:pPr>
            <w:hyperlink r:id="rId12">
              <w:r>
                <w:rPr>
                  <w:rFonts w:ascii="Calibri" w:hAnsi="Calibri" w:cs="Calibri"/>
                  <w:sz w:val="18"/>
                  <w:color w:val="1155CC"/>
                  <w:u w:val="single"/>
                </w:rPr>
                <w:t xml:space="preserve">ncbi.nlm.nih.gov - StatPearls: Hyperprolactinemia</w:t>
              </w:r>
            </w:hyperlink>
          </w:p>
          <w:p>
            <w:pPr>
              <w:spacing w:before="60" w:after="40"/>
            </w:pPr>
            <w:r>
              <w:rPr>
                <w:rFonts w:ascii="Calibri" w:hAnsi="Calibri"/>
                <w:b w:val="0"/>
                <w:i w:val="0"/>
                <w:color w:val="5A5A5A"/>
                <w:sz w:val="18"/>
              </w:rPr>
              <w:t>#stalkeffect  #nonfunctioning  #craniopharyngioma  #differential  #sellarmass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Osteoporosis / low bone mass</w:t>
            </w:r>
          </w:p>
        </w:tc>
        <w:tc>
          <w:tcPr>
            <w:tcW w:type="dxa" w:w="2160"/>
            <w:vAlign w:val="top"/>
          </w:tcPr>
          <w:p>
            <w:pPr>
              <w:spacing w:after="40" w:before="0" w:line="259" w:lineRule="auto"/>
            </w:pPr>
            <w:r>
              <w:rPr>
                <w:rFonts w:ascii="Calibri" w:hAnsi="Calibri"/>
                <w:b w:val="0"/>
                <w:i w:val="0"/>
                <w:color w:val="212121"/>
                <w:sz w:val="19"/>
              </w:rPr>
              <w:t>Chronically hypogonadal hyperprolactinemic patients</w:t>
            </w:r>
          </w:p>
        </w:tc>
        <w:tc>
          <w:tcPr>
            <w:tcW w:type="dxa" w:w="4276"/>
            <w:vAlign w:val="top"/>
          </w:tcPr>
          <w:p>
            <w:pPr>
              <w:spacing w:after="60" w:line="259" w:lineRule="auto"/>
            </w:pPr>
            <w:r>
              <w:rPr>
                <w:rFonts w:ascii="Calibri" w:hAnsi="Calibri"/>
                <w:b w:val="0"/>
                <w:i w:val="0"/>
                <w:color w:val="212121"/>
                <w:sz w:val="19"/>
              </w:rPr>
              <w:t>Long-standing hyperprolactinemia lowers oestrogen/testosterone and also acts directly on bone, increasing resorption and suppressing formation, so untreated patients accrue osteopenia, osteoporosis and fragility fractures. Bone loss is a key reason to treat even 'asymptomatic' microprolactinomas.</w:t>
            </w:r>
          </w:p>
          <w:p>
            <w:pPr>
              <w:spacing w:after="40" w:before="60" w:line="259" w:lineRule="auto"/>
            </w:pPr>
            <w:r>
              <w:rPr>
                <w:rFonts w:ascii="Calibri" w:hAnsi="Calibri"/>
                <w:b w:val="0"/>
                <w:i w:val="0"/>
                <w:color w:val="212121"/>
                <w:sz w:val="19"/>
              </w:rPr>
              <w:t>Hyperprolactinemia increases bone resorption while suppressing bone formation, and women with prolactinomas show high rates of osteoporosis.</w:t>
            </w:r>
          </w:p>
          <w:p>
            <w:pPr>
              <w:spacing w:after="40" w:line="252" w:lineRule="auto"/>
            </w:pPr>
            <w:hyperlink r:id="rId14">
              <w:r>
                <w:rPr>
                  <w:rFonts w:ascii="Calibri" w:hAnsi="Calibri" w:cs="Calibri"/>
                  <w:sz w:val="18"/>
                  <w:color w:val="1155CC"/>
                  <w:u w:val="single"/>
                </w:rPr>
                <w:t xml:space="preserve">pubmed.ncbi.nlm.nih.gov/32219718 - hyperprolactinemia and bone</w:t>
              </w:r>
            </w:hyperlink>
          </w:p>
          <w:p>
            <w:pPr>
              <w:spacing w:before="60" w:after="40"/>
            </w:pPr>
            <w:r>
              <w:rPr>
                <w:rFonts w:ascii="Calibri" w:hAnsi="Calibri"/>
                <w:b w:val="0"/>
                <w:i w:val="0"/>
                <w:color w:val="5A5A5A"/>
                <w:sz w:val="18"/>
              </w:rPr>
              <w:t>#osteoporosis  #boneloss  #hypogonadism  #fracture  #BMD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Acute strenuous exercise transiently raises prolactin as a stress response, so exertion should be avoided before sampling; habitual physical activity has no established role in causing prolactinoma, though weight-bearing exercise helps protect bone in hypogonadal patients.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dietary cause of hyperprolactinemia is established; a heavy meal and some traditional galactagogues (fenugreek) may transiently nudge prolactin, which is why the test is drawn fasting and mid-morning.</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Prolactin has a strong sleep-entrained circadian rhythm, peaking in the early hours and falling after waking; blood must be taken 2-3 hours after waking to avoid a spurious physiological elevation.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consistent causal link between tobacco smoking and hyperprolactinemia or prolactinoma, though cessation is advised for the bone and vascular health of hypogonadal patients.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chronic alcohol use causing cirrhosis raises prolactin through impaired hepatic clearance and altered dopamine tone; acute alcohol has only minor, transient effects.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Dopamine-antagonist antipsychotics and some antidepressants are a leading cause of drug-induced hyperprolactinemia, and acute psychological stress physiologically elevates prolactin; managing the psychiatric drug is central to control.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itself has no direct effect; severe chronic kidney disease that disturbs fluid handling raises prolactin only indirectly, through reduced clearance.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prolactin secretion or prolactinoma development.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Nipple, breast and chest-wall stimulation (including herpes-zoster and thoracotomy scars), venepuncture stress, seizures, pregnancy and dopamine-antagonist drugs all provoke prolactin rises and must be excluded or timed around.</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prolactin - women (ng/mL)</w:t>
            </w:r>
          </w:p>
        </w:tc>
        <w:tc>
          <w:tcPr>
            <w:tcW w:type="dxa" w:w="1655"/>
            <w:vAlign w:val="top"/>
          </w:tcPr>
          <w:p>
            <w:pPr>
              <w:spacing w:after="40" w:before="0" w:line="259" w:lineRule="auto"/>
            </w:pPr>
            <w:r>
              <w:rPr>
                <w:rFonts w:ascii="Calibri" w:hAnsi="Calibri"/>
                <w:b w:val="0"/>
                <w:i w:val="0"/>
                <w:color w:val="212121"/>
                <w:sz w:val="19"/>
              </w:rPr>
              <w:t>Non-pregnant women</w:t>
            </w:r>
          </w:p>
        </w:tc>
        <w:tc>
          <w:tcPr>
            <w:tcW w:type="dxa" w:w="1512"/>
            <w:vAlign w:val="top"/>
          </w:tcPr>
          <w:p>
            <w:pPr>
              <w:spacing w:after="40" w:before="0" w:line="259" w:lineRule="auto"/>
            </w:pPr>
            <w:r>
              <w:rPr>
                <w:rFonts w:ascii="Calibri" w:hAnsi="Calibri"/>
                <w:b w:val="0"/>
                <w:i w:val="0"/>
                <w:color w:val="212121"/>
                <w:sz w:val="19"/>
              </w:rPr>
              <w:t>&lt; 25 ng/mL</w:t>
            </w:r>
          </w:p>
        </w:tc>
        <w:tc>
          <w:tcPr>
            <w:tcW w:type="dxa" w:w="1512"/>
            <w:vAlign w:val="top"/>
          </w:tcPr>
          <w:p>
            <w:pPr>
              <w:spacing w:after="40" w:before="0" w:line="259" w:lineRule="auto"/>
            </w:pPr>
            <w:r>
              <w:rPr>
                <w:rFonts w:ascii="Calibri" w:hAnsi="Calibri"/>
                <w:b w:val="0"/>
                <w:i w:val="0"/>
                <w:color w:val="212121"/>
                <w:sz w:val="19"/>
              </w:rPr>
              <w:t>&gt; 25 ng/mL; &gt; 200-250 suggests prolactinoma</w:t>
            </w:r>
          </w:p>
        </w:tc>
        <w:tc>
          <w:tcPr>
            <w:tcW w:type="dxa" w:w="1468"/>
            <w:vAlign w:val="top"/>
          </w:tcPr>
          <w:p>
            <w:pPr>
              <w:spacing w:after="60" w:line="259" w:lineRule="auto"/>
            </w:pPr>
            <w:r>
              <w:rPr>
                <w:rFonts w:ascii="Calibri" w:hAnsi="Calibri"/>
                <w:b w:val="0"/>
                <w:i w:val="0"/>
                <w:color w:val="212121"/>
                <w:sz w:val="19"/>
              </w:rPr>
              <w:t>Draw fasting, mid-morning, rested and before any breast examination</w:t>
            </w:r>
          </w:p>
          <w:p>
            <w:pPr>
              <w:spacing w:after="40" w:line="252" w:lineRule="auto"/>
            </w:pPr>
            <w:hyperlink r:id="rId12">
              <w:r>
                <w:rPr>
                  <w:rFonts w:ascii="Calibri" w:hAnsi="Calibri" w:cs="Calibri"/>
                  <w:sz w:val="18"/>
                  <w:color w:val="1155CC"/>
                  <w:u w:val="single"/>
                </w:rPr>
                <w:t xml:space="preserve">https://www.ncbi.nlm.nih.gov/books/NBK537331/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prolactin - men (ng/mL)</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&lt; 20 ng/mL</w:t>
            </w:r>
          </w:p>
        </w:tc>
        <w:tc>
          <w:tcPr>
            <w:tcW w:type="dxa" w:w="1512"/>
            <w:vAlign w:val="top"/>
          </w:tcPr>
          <w:p>
            <w:pPr>
              <w:spacing w:after="40" w:before="0" w:line="259" w:lineRule="auto"/>
            </w:pPr>
            <w:r>
              <w:rPr>
                <w:rFonts w:ascii="Calibri" w:hAnsi="Calibri"/>
                <w:b w:val="0"/>
                <w:i w:val="0"/>
                <w:color w:val="212121"/>
                <w:sz w:val="19"/>
              </w:rPr>
              <w:t>&gt; 20 ng/mL; markedly high with macroadenoma</w:t>
            </w:r>
          </w:p>
        </w:tc>
        <w:tc>
          <w:tcPr>
            <w:tcW w:type="dxa" w:w="1468"/>
            <w:vAlign w:val="top"/>
          </w:tcPr>
          <w:p>
            <w:pPr>
              <w:spacing w:after="60" w:line="259" w:lineRule="auto"/>
            </w:pPr>
            <w:r>
              <w:rPr>
                <w:rFonts w:ascii="Calibri" w:hAnsi="Calibri"/>
                <w:b w:val="0"/>
                <w:i w:val="0"/>
                <w:color w:val="212121"/>
                <w:sz w:val="19"/>
              </w:rPr>
              <w:t>Persistent elevation in men warrants MRI given late, large-tumour presentation</w:t>
            </w:r>
          </w:p>
          <w:p>
            <w:pPr>
              <w:spacing w:after="40" w:line="252" w:lineRule="auto"/>
            </w:pPr>
            <w:hyperlink r:id="rId12">
              <w:r>
                <w:rPr>
                  <w:rFonts w:ascii="Calibri" w:hAnsi="Calibri" w:cs="Calibri"/>
                  <w:sz w:val="18"/>
                  <w:color w:val="1155CC"/>
                  <w:u w:val="single"/>
                </w:rPr>
                <w:t xml:space="preserve">https://www.ncbi.nlm.nih.gov/books/NBK537331/</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Timing of prolactin sampling</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2-3 h after waking (~09:00-11:00)</w:t>
            </w:r>
          </w:p>
        </w:tc>
        <w:tc>
          <w:tcPr>
            <w:tcW w:type="dxa" w:w="1512"/>
            <w:vAlign w:val="top"/>
          </w:tcPr>
          <w:p>
            <w:pPr>
              <w:spacing w:after="40" w:before="0" w:line="259" w:lineRule="auto"/>
            </w:pPr>
            <w:r>
              <w:rPr>
                <w:rFonts w:ascii="Calibri" w:hAnsi="Calibri"/>
                <w:b w:val="0"/>
                <w:i w:val="0"/>
                <w:color w:val="212121"/>
                <w:sz w:val="19"/>
              </w:rPr>
              <w:t>On waking, after stress, exercise or breast exam</w:t>
            </w:r>
          </w:p>
        </w:tc>
        <w:tc>
          <w:tcPr>
            <w:tcW w:type="dxa" w:w="1468"/>
            <w:vAlign w:val="top"/>
          </w:tcPr>
          <w:p>
            <w:pPr>
              <w:spacing w:after="40" w:before="0" w:line="259" w:lineRule="auto"/>
            </w:pPr>
            <w:r>
              <w:rPr>
                <w:rFonts w:ascii="Calibri" w:hAnsi="Calibri"/>
                <w:b w:val="0"/>
                <w:i w:val="0"/>
                <w:color w:val="212121"/>
                <w:sz w:val="19"/>
              </w:rPr>
              <w:t>Prolactin peaks in sleep; mistimed samples give false elevations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Sampling conditions</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Fasting, rested, venepuncture without stress</w:t>
            </w:r>
          </w:p>
        </w:tc>
        <w:tc>
          <w:tcPr>
            <w:tcW w:type="dxa" w:w="1512"/>
            <w:vAlign w:val="top"/>
          </w:tcPr>
          <w:p>
            <w:pPr>
              <w:spacing w:after="40" w:before="0" w:line="259" w:lineRule="auto"/>
            </w:pPr>
            <w:r>
              <w:rPr>
                <w:rFonts w:ascii="Calibri" w:hAnsi="Calibri"/>
                <w:b w:val="0"/>
                <w:i w:val="0"/>
                <w:color w:val="212121"/>
                <w:sz w:val="19"/>
              </w:rPr>
              <w:t>Post-prandial, post-exertion or post-examination draw</w:t>
            </w:r>
          </w:p>
        </w:tc>
        <w:tc>
          <w:tcPr>
            <w:tcW w:type="dxa" w:w="1468"/>
            <w:vAlign w:val="top"/>
          </w:tcPr>
          <w:p>
            <w:pPr>
              <w:spacing w:after="40" w:before="0" w:line="259" w:lineRule="auto"/>
            </w:pPr>
            <w:r>
              <w:rPr>
                <w:rFonts w:ascii="Calibri" w:hAnsi="Calibri"/>
                <w:b w:val="0"/>
                <w:i w:val="0"/>
                <w:color w:val="212121"/>
                <w:sz w:val="19"/>
              </w:rPr>
              <w:t>Confirm a modest rise on a properly taken repeat sample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Dopamine-antagonist drug exposure</w:t>
            </w:r>
          </w:p>
        </w:tc>
        <w:tc>
          <w:tcPr>
            <w:tcW w:type="dxa" w:w="1655"/>
            <w:vAlign w:val="top"/>
          </w:tcPr>
          <w:p>
            <w:pPr>
              <w:spacing w:after="40" w:before="0" w:line="259" w:lineRule="auto"/>
            </w:pPr>
            <w:r>
              <w:rPr>
                <w:rFonts w:ascii="Calibri" w:hAnsi="Calibri"/>
                <w:b w:val="0"/>
                <w:i w:val="0"/>
                <w:color w:val="212121"/>
                <w:sz w:val="19"/>
              </w:rPr>
              <w:t>Psychiatric / GI patients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Antipsychotics, metoclopramide or domperidone use</w:t>
            </w:r>
          </w:p>
        </w:tc>
        <w:tc>
          <w:tcPr>
            <w:tcW w:type="dxa" w:w="1468"/>
            <w:vAlign w:val="top"/>
          </w:tcPr>
          <w:p>
            <w:pPr>
              <w:spacing w:after="60" w:line="259" w:lineRule="auto"/>
            </w:pPr>
            <w:r>
              <w:rPr>
                <w:rFonts w:ascii="Calibri" w:hAnsi="Calibri"/>
                <w:b w:val="0"/>
                <w:i w:val="0"/>
                <w:color w:val="212121"/>
                <w:sz w:val="19"/>
              </w:rPr>
              <w:t>Commonest non-tumoral cause; review with the prescriber before extensive work-up</w:t>
            </w:r>
          </w:p>
          <w:p>
            <w:pPr>
              <w:spacing w:after="40" w:line="252" w:lineRule="auto"/>
            </w:pPr>
            <w:hyperlink r:id="rId11">
              <w:r>
                <w:rPr>
                  <w:rFonts w:ascii="Calibri" w:hAnsi="Calibri" w:cs="Calibri"/>
                  <w:sz w:val="18"/>
                  <w:color w:val="1155CC"/>
                  <w:u w:val="single"/>
                </w:rPr>
                <w:t xml:space="preserve">https://pubmed.ncbi.nlm.nih.gov/29403128/</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TSH (mIU/L)</w:t>
            </w:r>
          </w:p>
        </w:tc>
        <w:tc>
          <w:tcPr>
            <w:tcW w:type="dxa" w:w="1655"/>
            <w:vAlign w:val="top"/>
          </w:tcPr>
          <w:p>
            <w:pPr>
              <w:spacing w:after="40" w:before="0" w:line="259" w:lineRule="auto"/>
            </w:pPr>
            <w:r>
              <w:rPr>
                <w:rFonts w:ascii="Calibri" w:hAnsi="Calibri"/>
                <w:b w:val="0"/>
                <w:i w:val="0"/>
                <w:color w:val="212121"/>
                <w:sz w:val="19"/>
              </w:rPr>
              <w:t>All hyperprolactinemic patients</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&gt; 4.0 mIU/L (hypothyroidism)</w:t>
            </w:r>
          </w:p>
        </w:tc>
        <w:tc>
          <w:tcPr>
            <w:tcW w:type="dxa" w:w="1468"/>
            <w:vAlign w:val="top"/>
          </w:tcPr>
          <w:p>
            <w:pPr>
              <w:spacing w:after="60" w:line="259" w:lineRule="auto"/>
            </w:pPr>
            <w:r>
              <w:rPr>
                <w:rFonts w:ascii="Calibri" w:hAnsi="Calibri"/>
                <w:b w:val="0"/>
                <w:i w:val="0"/>
                <w:color w:val="212121"/>
                <w:sz w:val="19"/>
              </w:rPr>
              <w:t>Reversible cause; treat hypothyroidism before diagnosing a prolactinoma</w:t>
            </w:r>
          </w:p>
          <w:p>
            <w:pPr>
              <w:spacing w:after="40" w:line="252" w:lineRule="auto"/>
            </w:pPr>
            <w:hyperlink r:id="rId13">
              <w:r>
                <w:rPr>
                  <w:rFonts w:ascii="Calibri" w:hAnsi="Calibri" w:cs="Calibri"/>
                  <w:sz w:val="18"/>
                  <w:color w:val="1155CC"/>
                  <w:u w:val="single"/>
                </w:rPr>
                <w:t xml:space="preserve">https://pubmed.ncbi.nlm.nih.gov/27473607/</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Adenoma size on MRI (mm)</w:t>
            </w:r>
          </w:p>
        </w:tc>
        <w:tc>
          <w:tcPr>
            <w:tcW w:type="dxa" w:w="1655"/>
            <w:vAlign w:val="top"/>
          </w:tcPr>
          <w:p>
            <w:pPr>
              <w:spacing w:after="40" w:before="0" w:line="259" w:lineRule="auto"/>
            </w:pPr>
            <w:r>
              <w:rPr>
                <w:rFonts w:ascii="Calibri" w:hAnsi="Calibri"/>
                <w:b w:val="0"/>
                <w:i w:val="0"/>
                <w:color w:val="212121"/>
                <w:sz w:val="19"/>
              </w:rPr>
              <w:t>Patients with confirmed hyperprolactinemia</w:t>
            </w:r>
          </w:p>
        </w:tc>
        <w:tc>
          <w:tcPr>
            <w:tcW w:type="dxa" w:w="1512"/>
            <w:vAlign w:val="top"/>
          </w:tcPr>
          <w:p>
            <w:pPr>
              <w:spacing w:after="40" w:before="0" w:line="259" w:lineRule="auto"/>
            </w:pPr>
            <w:r>
              <w:rPr>
                <w:rFonts w:ascii="Calibri" w:hAnsi="Calibri"/>
                <w:b w:val="0"/>
                <w:i w:val="0"/>
                <w:color w:val="212121"/>
                <w:sz w:val="19"/>
              </w:rPr>
              <w:t>No adenoma</w:t>
            </w:r>
          </w:p>
        </w:tc>
        <w:tc>
          <w:tcPr>
            <w:tcW w:type="dxa" w:w="1512"/>
            <w:vAlign w:val="top"/>
          </w:tcPr>
          <w:p>
            <w:pPr>
              <w:spacing w:after="40" w:before="0" w:line="259" w:lineRule="auto"/>
            </w:pPr>
            <w:r>
              <w:rPr>
                <w:rFonts w:ascii="Calibri" w:hAnsi="Calibri"/>
                <w:b w:val="0"/>
                <w:i w:val="0"/>
                <w:color w:val="212121"/>
                <w:sz w:val="19"/>
              </w:rPr>
              <w:t>Micro &lt; 10 mm; macro &gt;= 10 mm; giant &gt; 40 mm</w:t>
            </w:r>
          </w:p>
        </w:tc>
        <w:tc>
          <w:tcPr>
            <w:tcW w:type="dxa" w:w="1468"/>
            <w:vAlign w:val="top"/>
          </w:tcPr>
          <w:p>
            <w:pPr>
              <w:spacing w:after="60" w:line="259" w:lineRule="auto"/>
            </w:pPr>
            <w:r>
              <w:rPr>
                <w:rFonts w:ascii="Calibri" w:hAnsi="Calibri"/>
                <w:b w:val="0"/>
                <w:i w:val="0"/>
                <w:color w:val="212121"/>
                <w:sz w:val="19"/>
              </w:rPr>
              <w:t>Degree of prolactin elevation broadly tracks tumour size</w:t>
            </w:r>
          </w:p>
          <w:p>
            <w:pPr>
              <w:spacing w:after="40" w:line="252" w:lineRule="auto"/>
            </w:pPr>
            <w:hyperlink r:id="rId9">
              <w:r>
                <w:rPr>
                  <w:rFonts w:ascii="Calibri" w:hAnsi="Calibri" w:cs="Calibri"/>
                  <w:sz w:val="18"/>
                  <w:color w:val="1155CC"/>
                  <w:u w:val="single"/>
                </w:rPr>
                <w:t xml:space="preserve">https://www.ncbi.nlm.nih.gov/books/NBK459347/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Macroprolactin (PEG recovery)</w:t>
            </w:r>
          </w:p>
        </w:tc>
        <w:tc>
          <w:tcPr>
            <w:tcW w:type="dxa" w:w="1655"/>
            <w:vAlign w:val="top"/>
          </w:tcPr>
          <w:p>
            <w:pPr>
              <w:spacing w:after="40" w:before="0" w:line="259" w:lineRule="auto"/>
            </w:pPr>
            <w:r>
              <w:rPr>
                <w:rFonts w:ascii="Calibri" w:hAnsi="Calibri"/>
                <w:b w:val="0"/>
                <w:i w:val="0"/>
                <w:color w:val="212121"/>
                <w:sz w:val="19"/>
              </w:rPr>
              <w:t>Asymptomatic raised prolactin</w:t>
            </w:r>
          </w:p>
        </w:tc>
        <w:tc>
          <w:tcPr>
            <w:tcW w:type="dxa" w:w="1512"/>
            <w:vAlign w:val="top"/>
          </w:tcPr>
          <w:p>
            <w:pPr>
              <w:spacing w:after="40" w:before="0" w:line="259" w:lineRule="auto"/>
            </w:pPr>
            <w:r>
              <w:rPr>
                <w:rFonts w:ascii="Calibri" w:hAnsi="Calibri"/>
                <w:b w:val="0"/>
                <w:i w:val="0"/>
                <w:color w:val="212121"/>
                <w:sz w:val="19"/>
              </w:rPr>
              <w:t>Monomeric prolactin recovery &gt; 65%</w:t>
            </w:r>
          </w:p>
        </w:tc>
        <w:tc>
          <w:tcPr>
            <w:tcW w:type="dxa" w:w="1512"/>
            <w:vAlign w:val="top"/>
          </w:tcPr>
          <w:p>
            <w:pPr>
              <w:spacing w:after="40" w:before="0" w:line="259" w:lineRule="auto"/>
            </w:pPr>
            <w:r>
              <w:rPr>
                <w:rFonts w:ascii="Calibri" w:hAnsi="Calibri"/>
                <w:b w:val="0"/>
                <w:i w:val="0"/>
                <w:color w:val="212121"/>
                <w:sz w:val="19"/>
              </w:rPr>
              <w:t>Recovery &lt; 40% (macroprolactin predominant)</w:t>
            </w:r>
          </w:p>
        </w:tc>
        <w:tc>
          <w:tcPr>
            <w:tcW w:type="dxa" w:w="1468"/>
            <w:vAlign w:val="top"/>
          </w:tcPr>
          <w:p>
            <w:pPr>
              <w:spacing w:after="60" w:line="259" w:lineRule="auto"/>
            </w:pPr>
            <w:r>
              <w:rPr>
                <w:rFonts w:ascii="Calibri" w:hAnsi="Calibri"/>
                <w:b w:val="0"/>
                <w:i w:val="0"/>
                <w:color w:val="212121"/>
                <w:sz w:val="19"/>
              </w:rPr>
              <w:t>Excludes biologically inactive big-big prolactin and prevents over-investigation</w:t>
            </w:r>
          </w:p>
          <w:p>
            <w:pPr>
              <w:spacing w:after="40" w:line="252" w:lineRule="auto"/>
            </w:pPr>
            <w:hyperlink r:id="rId10">
              <w:r>
                <w:rPr>
                  <w:rFonts w:ascii="Calibri" w:hAnsi="Calibri" w:cs="Calibri"/>
                  <w:sz w:val="18"/>
                  <w:color w:val="1155CC"/>
                  <w:u w:val="single"/>
                </w:rPr>
                <w:t xml:space="preserve">https://pubmed.ncbi.nlm.nih.gov/34975255/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Visual fields (perimetry)</w:t>
            </w:r>
          </w:p>
        </w:tc>
        <w:tc>
          <w:tcPr>
            <w:tcW w:type="dxa" w:w="1655"/>
            <w:vAlign w:val="top"/>
          </w:tcPr>
          <w:p>
            <w:pPr>
              <w:spacing w:after="40" w:before="0" w:line="259" w:lineRule="auto"/>
            </w:pPr>
            <w:r>
              <w:rPr>
                <w:rFonts w:ascii="Calibri" w:hAnsi="Calibri"/>
                <w:b w:val="0"/>
                <w:i w:val="0"/>
                <w:color w:val="212121"/>
                <w:sz w:val="19"/>
              </w:rPr>
              <w:t>Macroadenoma patients</w:t>
            </w:r>
          </w:p>
        </w:tc>
        <w:tc>
          <w:tcPr>
            <w:tcW w:type="dxa" w:w="1512"/>
            <w:vAlign w:val="top"/>
          </w:tcPr>
          <w:p>
            <w:pPr>
              <w:spacing w:after="40" w:before="0" w:line="259" w:lineRule="auto"/>
            </w:pPr>
            <w:r>
              <w:rPr>
                <w:rFonts w:ascii="Calibri" w:hAnsi="Calibri"/>
                <w:b w:val="0"/>
                <w:i w:val="0"/>
                <w:color w:val="212121"/>
                <w:sz w:val="19"/>
              </w:rPr>
              <w:t>Full fields</w:t>
            </w:r>
          </w:p>
        </w:tc>
        <w:tc>
          <w:tcPr>
            <w:tcW w:type="dxa" w:w="1512"/>
            <w:vAlign w:val="top"/>
          </w:tcPr>
          <w:p>
            <w:pPr>
              <w:spacing w:after="40" w:before="0" w:line="259" w:lineRule="auto"/>
            </w:pPr>
            <w:r>
              <w:rPr>
                <w:rFonts w:ascii="Calibri" w:hAnsi="Calibri"/>
                <w:b w:val="0"/>
                <w:i w:val="0"/>
                <w:color w:val="212121"/>
                <w:sz w:val="19"/>
              </w:rPr>
              <w:t>Bitemporal hemianopia or any defect</w:t>
            </w:r>
          </w:p>
        </w:tc>
        <w:tc>
          <w:tcPr>
            <w:tcW w:type="dxa" w:w="1468"/>
            <w:vAlign w:val="top"/>
          </w:tcPr>
          <w:p>
            <w:pPr>
              <w:spacing w:after="40" w:before="0" w:line="259" w:lineRule="auto"/>
            </w:pPr>
            <w:r>
              <w:rPr>
                <w:rFonts w:ascii="Calibri" w:hAnsi="Calibri"/>
                <w:b w:val="0"/>
                <w:i w:val="0"/>
                <w:color w:val="212121"/>
                <w:sz w:val="19"/>
              </w:rPr>
              <w:t>Optic-chiasm compression is an indication to treat and to monitor</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Bone mineral density (T-score)</w:t>
            </w:r>
          </w:p>
        </w:tc>
        <w:tc>
          <w:tcPr>
            <w:tcW w:type="dxa" w:w="1655"/>
            <w:vAlign w:val="top"/>
          </w:tcPr>
          <w:p>
            <w:pPr>
              <w:spacing w:after="40" w:before="0" w:line="259" w:lineRule="auto"/>
            </w:pPr>
            <w:r>
              <w:rPr>
                <w:rFonts w:ascii="Calibri" w:hAnsi="Calibri"/>
                <w:b w:val="0"/>
                <w:i w:val="0"/>
                <w:color w:val="212121"/>
                <w:sz w:val="19"/>
              </w:rPr>
              <w:t>Chronically hypogonadal patients</w:t>
            </w:r>
          </w:p>
        </w:tc>
        <w:tc>
          <w:tcPr>
            <w:tcW w:type="dxa" w:w="1512"/>
            <w:vAlign w:val="top"/>
          </w:tcPr>
          <w:p>
            <w:pPr>
              <w:spacing w:after="40" w:before="0" w:line="259" w:lineRule="auto"/>
            </w:pPr>
            <w:r>
              <w:rPr>
                <w:rFonts w:ascii="Calibri" w:hAnsi="Calibri"/>
                <w:b w:val="0"/>
                <w:i w:val="0"/>
                <w:color w:val="212121"/>
                <w:sz w:val="19"/>
              </w:rPr>
              <w:t>&gt; -1.0</w:t>
            </w:r>
          </w:p>
        </w:tc>
        <w:tc>
          <w:tcPr>
            <w:tcW w:type="dxa" w:w="1512"/>
            <w:vAlign w:val="top"/>
          </w:tcPr>
          <w:p>
            <w:pPr>
              <w:spacing w:after="40" w:before="0" w:line="259" w:lineRule="auto"/>
            </w:pPr>
            <w:r>
              <w:rPr>
                <w:rFonts w:ascii="Calibri" w:hAnsi="Calibri"/>
                <w:b w:val="0"/>
                <w:i w:val="0"/>
                <w:color w:val="212121"/>
                <w:sz w:val="19"/>
              </w:rPr>
              <w:t>&lt;= -2.5 (osteoporosis)</w:t>
            </w:r>
          </w:p>
        </w:tc>
        <w:tc>
          <w:tcPr>
            <w:tcW w:type="dxa" w:w="1468"/>
            <w:vAlign w:val="top"/>
          </w:tcPr>
          <w:p>
            <w:pPr>
              <w:spacing w:after="60" w:line="259" w:lineRule="auto"/>
            </w:pPr>
            <w:r>
              <w:rPr>
                <w:rFonts w:ascii="Calibri" w:hAnsi="Calibri"/>
                <w:b w:val="0"/>
                <w:i w:val="0"/>
                <w:color w:val="212121"/>
                <w:sz w:val="19"/>
              </w:rPr>
              <w:t>Chronic hyperprolactinemic hypogonadism reduces BMD; a reason to treat</w:t>
            </w:r>
          </w:p>
          <w:p>
            <w:pPr>
              <w:spacing w:after="40" w:line="252" w:lineRule="auto"/>
            </w:pPr>
            <w:hyperlink r:id="rId14">
              <w:r>
                <w:rPr>
                  <w:rFonts w:ascii="Calibri" w:hAnsi="Calibri" w:cs="Calibri"/>
                  <w:sz w:val="18"/>
                  <w:color w:val="1155CC"/>
                  <w:u w:val="single"/>
                </w:rPr>
                <w:t xml:space="preserve">https://pubmed.ncbi.nlm.nih.gov/32219718/</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Beta-hCG (pregnancy test)</w:t>
            </w:r>
          </w:p>
        </w:tc>
        <w:tc>
          <w:tcPr>
            <w:tcW w:type="dxa" w:w="1655"/>
            <w:vAlign w:val="top"/>
          </w:tcPr>
          <w:p>
            <w:pPr>
              <w:spacing w:after="40" w:before="0" w:line="259" w:lineRule="auto"/>
            </w:pPr>
            <w:r>
              <w:rPr>
                <w:rFonts w:ascii="Calibri" w:hAnsi="Calibri"/>
                <w:b w:val="0"/>
                <w:i w:val="0"/>
                <w:color w:val="212121"/>
                <w:sz w:val="19"/>
              </w:rPr>
              <w:t>Women of reproductive age</w:t>
            </w:r>
          </w:p>
        </w:tc>
        <w:tc>
          <w:tcPr>
            <w:tcW w:type="dxa" w:w="1512"/>
            <w:vAlign w:val="top"/>
          </w:tcPr>
          <w:p>
            <w:pPr>
              <w:spacing w:after="40" w:before="0" w:line="259" w:lineRule="auto"/>
            </w:pPr>
            <w:r>
              <w:rPr>
                <w:rFonts w:ascii="Calibri" w:hAnsi="Calibri"/>
                <w:b w:val="0"/>
                <w:i w:val="0"/>
                <w:color w:val="212121"/>
                <w:sz w:val="19"/>
              </w:rPr>
              <w:t>Negative</w:t>
            </w:r>
          </w:p>
        </w:tc>
        <w:tc>
          <w:tcPr>
            <w:tcW w:type="dxa" w:w="1512"/>
            <w:vAlign w:val="top"/>
          </w:tcPr>
          <w:p>
            <w:pPr>
              <w:spacing w:after="40" w:before="0" w:line="259" w:lineRule="auto"/>
            </w:pPr>
            <w:r>
              <w:rPr>
                <w:rFonts w:ascii="Calibri" w:hAnsi="Calibri"/>
                <w:b w:val="0"/>
                <w:i w:val="0"/>
                <w:color w:val="212121"/>
                <w:sz w:val="19"/>
              </w:rPr>
              <w:t>Positive</w:t>
            </w:r>
          </w:p>
        </w:tc>
        <w:tc>
          <w:tcPr>
            <w:tcW w:type="dxa" w:w="1468"/>
            <w:vAlign w:val="top"/>
          </w:tcPr>
          <w:p>
            <w:pPr>
              <w:spacing w:after="40" w:before="0" w:line="259" w:lineRule="auto"/>
            </w:pPr>
            <w:r>
              <w:rPr>
                <w:rFonts w:ascii="Calibri" w:hAnsi="Calibri"/>
                <w:b w:val="0"/>
                <w:i w:val="0"/>
                <w:color w:val="212121"/>
                <w:sz w:val="19"/>
              </w:rPr>
              <w:t>Always exclude pregnancy before investigating hyperprolactinemia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Basal serum prolactin</w:t>
            </w:r>
          </w:p>
        </w:tc>
        <w:tc>
          <w:tcPr>
            <w:tcW w:type="dxa" w:w="892"/>
            <w:vAlign w:val="top"/>
          </w:tcPr>
          <w:p>
            <w:pPr>
              <w:spacing w:after="40" w:before="0" w:line="259" w:lineRule="auto"/>
            </w:pPr>
            <w:r>
              <w:rPr>
                <w:rFonts w:ascii="Calibri" w:hAnsi="Calibri"/>
                <w:b w:val="0"/>
                <w:i w:val="0"/>
                <w:color w:val="212121"/>
                <w:sz w:val="16"/>
              </w:rPr>
              <w:t>Prolactin assay</w:t>
            </w:r>
          </w:p>
        </w:tc>
        <w:tc>
          <w:tcPr>
            <w:tcW w:type="dxa" w:w="950"/>
            <w:vAlign w:val="top"/>
          </w:tcPr>
          <w:p>
            <w:pPr>
              <w:spacing w:after="40" w:before="0" w:line="259" w:lineRule="auto"/>
            </w:pPr>
            <w:r>
              <w:rPr>
                <w:rFonts w:ascii="Calibri" w:hAnsi="Calibri"/>
                <w:b w:val="0"/>
                <w:i w:val="0"/>
                <w:color w:val="212121"/>
                <w:sz w:val="16"/>
              </w:rPr>
              <w:t>F &lt; 25 ng/mL; M &lt; 20 ng/mL</w:t>
            </w:r>
          </w:p>
        </w:tc>
        <w:tc>
          <w:tcPr>
            <w:tcW w:type="dxa" w:w="950"/>
            <w:vAlign w:val="top"/>
          </w:tcPr>
          <w:p>
            <w:pPr>
              <w:spacing w:after="40" w:before="0" w:line="259" w:lineRule="auto"/>
            </w:pPr>
            <w:r>
              <w:rPr>
                <w:rFonts w:ascii="Calibri" w:hAnsi="Calibri"/>
                <w:b w:val="0"/>
                <w:i w:val="0"/>
                <w:color w:val="212121"/>
                <w:sz w:val="16"/>
              </w:rPr>
              <w:t>Above the laboratory upper limit</w:t>
            </w:r>
          </w:p>
        </w:tc>
        <w:tc>
          <w:tcPr>
            <w:tcW w:type="dxa" w:w="1036"/>
            <w:vAlign w:val="top"/>
          </w:tcPr>
          <w:p>
            <w:pPr>
              <w:spacing w:after="40" w:before="0" w:line="259" w:lineRule="auto"/>
            </w:pPr>
            <w:r>
              <w:rPr>
                <w:rFonts w:ascii="Calibri" w:hAnsi="Calibri"/>
                <w:b w:val="0"/>
                <w:i w:val="0"/>
                <w:color w:val="212121"/>
                <w:sz w:val="16"/>
              </w:rPr>
              <w:t>Confirms hyperprolactinemia; &gt; 200-250 ng/mL strongly suggests a prolactinoma</w:t>
            </w:r>
          </w:p>
        </w:tc>
        <w:tc>
          <w:tcPr>
            <w:tcW w:type="dxa" w:w="1036"/>
            <w:vAlign w:val="top"/>
          </w:tcPr>
          <w:p>
            <w:pPr>
              <w:spacing w:after="40" w:before="0" w:line="259" w:lineRule="auto"/>
            </w:pPr>
            <w:r>
              <w:rPr>
                <w:rFonts w:ascii="Calibri" w:hAnsi="Calibri"/>
                <w:b w:val="0"/>
                <w:i w:val="0"/>
                <w:color w:val="212121"/>
                <w:sz w:val="16"/>
              </w:rPr>
              <w:t>All suspected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(first-line)</w:t>
            </w:r>
          </w:p>
        </w:tc>
        <w:tc>
          <w:tcPr>
            <w:tcW w:type="dxa" w:w="720"/>
            <w:vAlign w:val="top"/>
          </w:tcPr>
          <w:p>
            <w:pPr>
              <w:spacing w:after="40" w:before="0" w:line="259" w:lineRule="auto"/>
            </w:pPr>
            <w:r>
              <w:rPr>
                <w:rFonts w:ascii="Calibri" w:hAnsi="Calibri"/>
                <w:b w:val="0"/>
                <w:i w:val="0"/>
                <w:color w:val="212121"/>
                <w:sz w:val="16"/>
              </w:rPr>
              <w:t>Fasting, mid-morning, rested; avoid prior breast examination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Macroprolactin (PEG precipitation)</w:t>
            </w:r>
          </w:p>
        </w:tc>
        <w:tc>
          <w:tcPr>
            <w:tcW w:type="dxa" w:w="892"/>
            <w:vAlign w:val="top"/>
          </w:tcPr>
          <w:p>
            <w:pPr>
              <w:spacing w:after="40" w:before="0" w:line="259" w:lineRule="auto"/>
            </w:pPr>
            <w:r>
              <w:rPr>
                <w:rFonts w:ascii="Calibri" w:hAnsi="Calibri"/>
                <w:b w:val="0"/>
                <w:i w:val="0"/>
                <w:color w:val="212121"/>
                <w:sz w:val="16"/>
              </w:rPr>
              <w:t>Macroprolactin screen</w:t>
            </w:r>
          </w:p>
        </w:tc>
        <w:tc>
          <w:tcPr>
            <w:tcW w:type="dxa" w:w="950"/>
            <w:vAlign w:val="top"/>
          </w:tcPr>
          <w:p>
            <w:pPr>
              <w:spacing w:after="40" w:before="0" w:line="259" w:lineRule="auto"/>
            </w:pPr>
            <w:r>
              <w:rPr>
                <w:rFonts w:ascii="Calibri" w:hAnsi="Calibri"/>
                <w:b w:val="0"/>
                <w:i w:val="0"/>
                <w:color w:val="212121"/>
                <w:sz w:val="16"/>
              </w:rPr>
              <w:t>Monomeric prolactin predominant</w:t>
            </w:r>
          </w:p>
        </w:tc>
        <w:tc>
          <w:tcPr>
            <w:tcW w:type="dxa" w:w="950"/>
            <w:vAlign w:val="top"/>
          </w:tcPr>
          <w:p>
            <w:pPr>
              <w:spacing w:after="40" w:before="0" w:line="259" w:lineRule="auto"/>
            </w:pPr>
            <w:r>
              <w:rPr>
                <w:rFonts w:ascii="Calibri" w:hAnsi="Calibri"/>
                <w:b w:val="0"/>
                <w:i w:val="0"/>
                <w:color w:val="212121"/>
                <w:sz w:val="16"/>
              </w:rPr>
              <w:t>Macroprolactin (big-big) predominant</w:t>
            </w:r>
          </w:p>
        </w:tc>
        <w:tc>
          <w:tcPr>
            <w:tcW w:type="dxa" w:w="1036"/>
            <w:vAlign w:val="top"/>
          </w:tcPr>
          <w:p>
            <w:pPr>
              <w:spacing w:after="40" w:before="0" w:line="259" w:lineRule="auto"/>
            </w:pPr>
            <w:r>
              <w:rPr>
                <w:rFonts w:ascii="Calibri" w:hAnsi="Calibri"/>
                <w:b w:val="0"/>
                <w:i w:val="0"/>
                <w:color w:val="212121"/>
                <w:sz w:val="16"/>
              </w:rPr>
              <w:t>Identifies biologically inactive prolactin causing spurious 'hyperprolactinemia'</w:t>
            </w:r>
          </w:p>
        </w:tc>
        <w:tc>
          <w:tcPr>
            <w:tcW w:type="dxa" w:w="1036"/>
            <w:vAlign w:val="top"/>
          </w:tcPr>
          <w:p>
            <w:pPr>
              <w:spacing w:after="40" w:before="0" w:line="259" w:lineRule="auto"/>
            </w:pPr>
            <w:r>
              <w:rPr>
                <w:rFonts w:ascii="Calibri" w:hAnsi="Calibri"/>
                <w:b w:val="0"/>
                <w:i w:val="0"/>
                <w:color w:val="212121"/>
                <w:sz w:val="16"/>
              </w:rPr>
              <w:t>Asymptomatic patients with raised prolactin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Macroprolactinemia found in ~13.7% of an Indian hyperprolactinemic cohort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Diluted prolactin (1:100)</w:t>
            </w:r>
          </w:p>
        </w:tc>
        <w:tc>
          <w:tcPr>
            <w:tcW w:type="dxa" w:w="892"/>
            <w:vAlign w:val="top"/>
          </w:tcPr>
          <w:p>
            <w:pPr>
              <w:spacing w:after="40" w:before="0" w:line="259" w:lineRule="auto"/>
            </w:pPr>
            <w:r>
              <w:rPr>
                <w:rFonts w:ascii="Calibri" w:hAnsi="Calibri"/>
                <w:b w:val="0"/>
                <w:i w:val="0"/>
                <w:color w:val="212121"/>
                <w:sz w:val="16"/>
              </w:rPr>
              <w:t>Hook-effect exclusion</w:t>
            </w:r>
          </w:p>
        </w:tc>
        <w:tc>
          <w:tcPr>
            <w:tcW w:type="dxa" w:w="950"/>
            <w:vAlign w:val="top"/>
          </w:tcPr>
          <w:p>
            <w:pPr>
              <w:spacing w:after="40" w:before="0" w:line="259" w:lineRule="auto"/>
            </w:pPr>
            <w:r>
              <w:rPr>
                <w:rFonts w:ascii="Calibri" w:hAnsi="Calibri"/>
                <w:b w:val="0"/>
                <w:i w:val="0"/>
                <w:color w:val="212121"/>
                <w:sz w:val="16"/>
              </w:rPr>
              <w:t>Concordant with tumour size</w:t>
            </w:r>
          </w:p>
        </w:tc>
        <w:tc>
          <w:tcPr>
            <w:tcW w:type="dxa" w:w="950"/>
            <w:vAlign w:val="top"/>
          </w:tcPr>
          <w:p>
            <w:pPr>
              <w:spacing w:after="40" w:before="0" w:line="259" w:lineRule="auto"/>
            </w:pPr>
            <w:r>
              <w:rPr>
                <w:rFonts w:ascii="Calibri" w:hAnsi="Calibri"/>
                <w:b w:val="0"/>
                <w:i w:val="0"/>
                <w:color w:val="212121"/>
                <w:sz w:val="16"/>
              </w:rPr>
              <w:t>Markedly higher after dilution</w:t>
            </w:r>
          </w:p>
        </w:tc>
        <w:tc>
          <w:tcPr>
            <w:tcW w:type="dxa" w:w="1036"/>
            <w:vAlign w:val="top"/>
          </w:tcPr>
          <w:p>
            <w:pPr>
              <w:spacing w:after="40" w:before="0" w:line="259" w:lineRule="auto"/>
            </w:pPr>
            <w:r>
              <w:rPr>
                <w:rFonts w:ascii="Calibri" w:hAnsi="Calibri"/>
                <w:b w:val="0"/>
                <w:i w:val="0"/>
                <w:color w:val="212121"/>
                <w:sz w:val="16"/>
              </w:rPr>
              <w:t>Unmasks the high-dose hook effect in large tumours with discordantly low prolactin</w:t>
            </w:r>
          </w:p>
        </w:tc>
        <w:tc>
          <w:tcPr>
            <w:tcW w:type="dxa" w:w="1036"/>
            <w:vAlign w:val="top"/>
          </w:tcPr>
          <w:p>
            <w:pPr>
              <w:spacing w:after="40" w:before="0" w:line="259" w:lineRule="auto"/>
            </w:pPr>
            <w:r>
              <w:rPr>
                <w:rFonts w:ascii="Calibri" w:hAnsi="Calibri"/>
                <w:b w:val="0"/>
                <w:i w:val="0"/>
                <w:color w:val="212121"/>
                <w:sz w:val="16"/>
              </w:rPr>
              <w:t>Macroadenoma with 'normal'/mildly raised prolactin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Prevents mislabelling a macroprolactinoma as a non-functioning adenoma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&amp;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High TSH, low free T4</w:t>
            </w:r>
          </w:p>
        </w:tc>
        <w:tc>
          <w:tcPr>
            <w:tcW w:type="dxa" w:w="1036"/>
            <w:vAlign w:val="top"/>
          </w:tcPr>
          <w:p>
            <w:pPr>
              <w:spacing w:after="40" w:before="0" w:line="259" w:lineRule="auto"/>
            </w:pPr>
            <w:r>
              <w:rPr>
                <w:rFonts w:ascii="Calibri" w:hAnsi="Calibri"/>
                <w:b w:val="0"/>
                <w:i w:val="0"/>
                <w:color w:val="212121"/>
                <w:sz w:val="16"/>
              </w:rPr>
              <w:t>Excludes primary hypothyroidism as a reversible cause</w:t>
            </w:r>
          </w:p>
        </w:tc>
        <w:tc>
          <w:tcPr>
            <w:tcW w:type="dxa" w:w="1036"/>
            <w:vAlign w:val="top"/>
          </w:tcPr>
          <w:p>
            <w:pPr>
              <w:spacing w:after="40" w:before="0" w:line="259" w:lineRule="auto"/>
            </w:pPr>
            <w:r>
              <w:rPr>
                <w:rFonts w:ascii="Calibri" w:hAnsi="Calibri"/>
                <w:b w:val="0"/>
                <w:i w:val="0"/>
                <w:color w:val="212121"/>
                <w:sz w:val="16"/>
              </w:rPr>
              <w:t>All hyperprolactinemic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 screen</w:t>
            </w:r>
          </w:p>
        </w:tc>
        <w:tc>
          <w:tcPr>
            <w:tcW w:type="dxa" w:w="720"/>
            <w:vAlign w:val="top"/>
          </w:tcPr>
          <w:p>
            <w:pPr>
              <w:spacing w:after="40" w:before="0" w:line="259" w:lineRule="auto"/>
            </w:pPr>
            <w:r>
              <w:rPr>
                <w:rFonts w:ascii="Calibri" w:hAnsi="Calibri"/>
                <w:b w:val="0"/>
                <w:i w:val="0"/>
                <w:color w:val="212121"/>
                <w:sz w:val="16"/>
              </w:rPr>
              <w:t>Hyperprolactinemia in 31-36% of subclinical hypothyroidism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Beta-hCG</w:t>
            </w:r>
          </w:p>
        </w:tc>
        <w:tc>
          <w:tcPr>
            <w:tcW w:type="dxa" w:w="892"/>
            <w:vAlign w:val="top"/>
          </w:tcPr>
          <w:p>
            <w:pPr>
              <w:spacing w:after="40" w:before="0" w:line="259" w:lineRule="auto"/>
            </w:pPr>
            <w:r>
              <w:rPr>
                <w:rFonts w:ascii="Calibri" w:hAnsi="Calibri"/>
                <w:b w:val="0"/>
                <w:i w:val="0"/>
                <w:color w:val="212121"/>
                <w:sz w:val="16"/>
              </w:rPr>
              <w:t>Pregnancy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Pregnancy is the commonest physiological cause and must be excluded first</w:t>
            </w:r>
          </w:p>
        </w:tc>
        <w:tc>
          <w:tcPr>
            <w:tcW w:type="dxa" w:w="1036"/>
            <w:vAlign w:val="top"/>
          </w:tcPr>
          <w:p>
            <w:pPr>
              <w:spacing w:after="40" w:before="0" w:line="259" w:lineRule="auto"/>
            </w:pPr>
            <w:r>
              <w:rPr>
                <w:rFonts w:ascii="Calibri" w:hAnsi="Calibri"/>
                <w:b w:val="0"/>
                <w:i w:val="0"/>
                <w:color w:val="212121"/>
                <w:sz w:val="16"/>
              </w:rPr>
              <w:t>Women of reproductive 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screen</w:t>
            </w:r>
          </w:p>
        </w:tc>
        <w:tc>
          <w:tcPr>
            <w:tcW w:type="dxa" w:w="720"/>
            <w:vAlign w:val="top"/>
          </w:tcPr>
          <w:p>
            <w:pPr>
              <w:spacing w:after="40" w:before="0" w:line="259" w:lineRule="auto"/>
            </w:pPr>
            <w:r>
              <w:rPr>
                <w:rFonts w:ascii="Calibri" w:hAnsi="Calibri"/>
                <w:b w:val="0"/>
                <w:i w:val="0"/>
                <w:color w:val="212121"/>
                <w:sz w:val="16"/>
              </w:rPr>
              <w:t>Avoids unnecessary imaging and drugs in pregnancy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&amp; liver function</w:t>
            </w:r>
          </w:p>
        </w:tc>
        <w:tc>
          <w:tcPr>
            <w:tcW w:type="dxa" w:w="892"/>
            <w:vAlign w:val="top"/>
          </w:tcPr>
          <w:p>
            <w:pPr>
              <w:spacing w:after="40" w:before="0" w:line="259" w:lineRule="auto"/>
            </w:pPr>
            <w:r>
              <w:rPr>
                <w:rFonts w:ascii="Calibri" w:hAnsi="Calibri"/>
                <w:b w:val="0"/>
                <w:i w:val="0"/>
                <w:color w:val="212121"/>
                <w:sz w:val="16"/>
              </w:rPr>
              <w:t>Creatinine/eGFR, LFTs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Raised creatinine or deranged LFTs</w:t>
            </w:r>
          </w:p>
        </w:tc>
        <w:tc>
          <w:tcPr>
            <w:tcW w:type="dxa" w:w="1036"/>
            <w:vAlign w:val="top"/>
          </w:tcPr>
          <w:p>
            <w:pPr>
              <w:spacing w:after="40" w:before="0" w:line="259" w:lineRule="auto"/>
            </w:pPr>
            <w:r>
              <w:rPr>
                <w:rFonts w:ascii="Calibri" w:hAnsi="Calibri"/>
                <w:b w:val="0"/>
                <w:i w:val="0"/>
                <w:color w:val="212121"/>
                <w:sz w:val="16"/>
              </w:rPr>
              <w:t>Detects CKD or cirrhosis as secondary causes</w:t>
            </w:r>
          </w:p>
        </w:tc>
        <w:tc>
          <w:tcPr>
            <w:tcW w:type="dxa" w:w="1036"/>
            <w:vAlign w:val="top"/>
          </w:tcPr>
          <w:p>
            <w:pPr>
              <w:spacing w:after="40" w:before="0" w:line="259" w:lineRule="auto"/>
            </w:pPr>
            <w:r>
              <w:rPr>
                <w:rFonts w:ascii="Calibri" w:hAnsi="Calibri"/>
                <w:b w:val="0"/>
                <w:i w:val="0"/>
                <w:color w:val="212121"/>
                <w:sz w:val="16"/>
              </w:rPr>
              <w:t>Patients with systemic disease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Reduced clearance sustains the elevation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Pituitary MRI with contrast</w:t>
            </w:r>
          </w:p>
        </w:tc>
        <w:tc>
          <w:tcPr>
            <w:tcW w:type="dxa" w:w="892"/>
            <w:vAlign w:val="top"/>
          </w:tcPr>
          <w:p>
            <w:pPr>
              <w:spacing w:after="40" w:before="0" w:line="259" w:lineRule="auto"/>
            </w:pPr>
            <w:r>
              <w:rPr>
                <w:rFonts w:ascii="Calibri" w:hAnsi="Calibri"/>
                <w:b w:val="0"/>
                <w:i w:val="0"/>
                <w:color w:val="212121"/>
                <w:sz w:val="16"/>
              </w:rPr>
              <w:t>Sellar MRI</w:t>
            </w:r>
          </w:p>
        </w:tc>
        <w:tc>
          <w:tcPr>
            <w:tcW w:type="dxa" w:w="950"/>
            <w:vAlign w:val="top"/>
          </w:tcPr>
          <w:p>
            <w:pPr>
              <w:spacing w:after="40" w:before="0" w:line="259" w:lineRule="auto"/>
            </w:pPr>
            <w:r>
              <w:rPr>
                <w:rFonts w:ascii="Calibri" w:hAnsi="Calibri"/>
                <w:b w:val="0"/>
                <w:i w:val="0"/>
                <w:color w:val="212121"/>
                <w:sz w:val="16"/>
              </w:rPr>
              <w:t>No adenoma</w:t>
            </w:r>
          </w:p>
        </w:tc>
        <w:tc>
          <w:tcPr>
            <w:tcW w:type="dxa" w:w="950"/>
            <w:vAlign w:val="top"/>
          </w:tcPr>
          <w:p>
            <w:pPr>
              <w:spacing w:after="40" w:before="0" w:line="259" w:lineRule="auto"/>
            </w:pPr>
            <w:r>
              <w:rPr>
                <w:rFonts w:ascii="Calibri" w:hAnsi="Calibri"/>
                <w:b w:val="0"/>
                <w:i w:val="0"/>
                <w:color w:val="212121"/>
                <w:sz w:val="16"/>
              </w:rPr>
              <w:t>Microadenoma (&lt;10 mm) or macroadenoma (&gt;=10 mm)</w:t>
            </w:r>
          </w:p>
        </w:tc>
        <w:tc>
          <w:tcPr>
            <w:tcW w:type="dxa" w:w="1036"/>
            <w:vAlign w:val="top"/>
          </w:tcPr>
          <w:p>
            <w:pPr>
              <w:spacing w:after="40" w:before="0" w:line="259" w:lineRule="auto"/>
            </w:pPr>
            <w:r>
              <w:rPr>
                <w:rFonts w:ascii="Calibri" w:hAnsi="Calibri"/>
                <w:b w:val="0"/>
                <w:i w:val="0"/>
                <w:color w:val="212121"/>
                <w:sz w:val="16"/>
              </w:rPr>
              <w:t>Identifies and sizes a prolactinoma and defines mass effect / invasion</w:t>
            </w:r>
          </w:p>
        </w:tc>
        <w:tc>
          <w:tcPr>
            <w:tcW w:type="dxa" w:w="1036"/>
            <w:vAlign w:val="top"/>
          </w:tcPr>
          <w:p>
            <w:pPr>
              <w:spacing w:after="40" w:before="0" w:line="259" w:lineRule="auto"/>
            </w:pPr>
            <w:r>
              <w:rPr>
                <w:rFonts w:ascii="Calibri" w:hAnsi="Calibri"/>
                <w:b w:val="0"/>
                <w:i w:val="0"/>
                <w:color w:val="212121"/>
                <w:sz w:val="16"/>
              </w:rPr>
              <w:t>Confirmed non-physiological hyperprolactinemia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(imaging)</w:t>
            </w:r>
          </w:p>
        </w:tc>
        <w:tc>
          <w:tcPr>
            <w:tcW w:type="dxa" w:w="720"/>
            <w:vAlign w:val="top"/>
          </w:tcPr>
          <w:p>
            <w:pPr>
              <w:spacing w:after="40" w:before="0" w:line="259" w:lineRule="auto"/>
            </w:pPr>
            <w:r>
              <w:rPr>
                <w:rFonts w:ascii="Calibri" w:hAnsi="Calibri"/>
                <w:b w:val="0"/>
                <w:i w:val="0"/>
                <w:color w:val="212121"/>
                <w:sz w:val="16"/>
              </w:rPr>
              <w:t>Levels broadly correlate with tumour size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Anterior pituitary panel</w:t>
            </w:r>
          </w:p>
        </w:tc>
        <w:tc>
          <w:tcPr>
            <w:tcW w:type="dxa" w:w="892"/>
            <w:vAlign w:val="top"/>
          </w:tcPr>
          <w:p>
            <w:pPr>
              <w:spacing w:after="40" w:before="0" w:line="259" w:lineRule="auto"/>
            </w:pPr>
            <w:r>
              <w:rPr>
                <w:rFonts w:ascii="Calibri" w:hAnsi="Calibri"/>
                <w:b w:val="0"/>
                <w:i w:val="0"/>
                <w:color w:val="212121"/>
                <w:sz w:val="16"/>
              </w:rPr>
              <w:t>IGF-1, cortisol/ACTH, LH/FSH, testosterone/oestradiol, free T4</w:t>
            </w:r>
          </w:p>
        </w:tc>
        <w:tc>
          <w:tcPr>
            <w:tcW w:type="dxa" w:w="950"/>
            <w:vAlign w:val="top"/>
          </w:tcPr>
          <w:p>
            <w:pPr>
              <w:spacing w:after="40" w:before="0" w:line="259" w:lineRule="auto"/>
            </w:pPr>
            <w:r>
              <w:rPr>
                <w:rFonts w:ascii="Calibri" w:hAnsi="Calibri"/>
                <w:b w:val="0"/>
                <w:i w:val="0"/>
                <w:color w:val="212121"/>
                <w:sz w:val="16"/>
              </w:rPr>
              <w:t>Intact axes</w:t>
            </w:r>
          </w:p>
        </w:tc>
        <w:tc>
          <w:tcPr>
            <w:tcW w:type="dxa" w:w="950"/>
            <w:vAlign w:val="top"/>
          </w:tcPr>
          <w:p>
            <w:pPr>
              <w:spacing w:after="40" w:before="0" w:line="259" w:lineRule="auto"/>
            </w:pPr>
            <w:r>
              <w:rPr>
                <w:rFonts w:ascii="Calibri" w:hAnsi="Calibri"/>
                <w:b w:val="0"/>
                <w:i w:val="0"/>
                <w:color w:val="212121"/>
                <w:sz w:val="16"/>
              </w:rPr>
              <w:t>Deficiency or co-secretion</w:t>
            </w:r>
          </w:p>
        </w:tc>
        <w:tc>
          <w:tcPr>
            <w:tcW w:type="dxa" w:w="1036"/>
            <w:vAlign w:val="top"/>
          </w:tcPr>
          <w:p>
            <w:pPr>
              <w:spacing w:after="40" w:before="0" w:line="259" w:lineRule="auto"/>
            </w:pPr>
            <w:r>
              <w:rPr>
                <w:rFonts w:ascii="Calibri" w:hAnsi="Calibri"/>
                <w:b w:val="0"/>
                <w:i w:val="0"/>
                <w:color w:val="212121"/>
                <w:sz w:val="16"/>
              </w:rPr>
              <w:t>Screens for hypopituitarism and mixed GH/PRL tumours in macroadenomas</w:t>
            </w:r>
          </w:p>
        </w:tc>
        <w:tc>
          <w:tcPr>
            <w:tcW w:type="dxa" w:w="1036"/>
            <w:vAlign w:val="top"/>
          </w:tcPr>
          <w:p>
            <w:pPr>
              <w:spacing w:after="40" w:before="0" w:line="259" w:lineRule="auto"/>
            </w:pPr>
            <w:r>
              <w:rPr>
                <w:rFonts w:ascii="Calibri" w:hAnsi="Calibri"/>
                <w:b w:val="0"/>
                <w:i w:val="0"/>
                <w:color w:val="212121"/>
                <w:sz w:val="16"/>
              </w:rPr>
              <w:t>Macroadenoma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hormone replacement and surgical planning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Menstrual disturbance, galactorrhoea, low libido, erectile dysfunction, infertility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Cardinal features of hyperprolactinemic hypogonadism</w:t>
            </w:r>
          </w:p>
        </w:tc>
        <w:tc>
          <w:tcPr>
            <w:tcW w:type="dxa" w:w="1036"/>
            <w:vAlign w:val="top"/>
          </w:tcPr>
          <w:p>
            <w:pPr>
              <w:spacing w:after="40" w:before="0" w:line="259" w:lineRule="auto"/>
            </w:pPr>
            <w:r>
              <w:rPr>
                <w:rFonts w:ascii="Calibri" w:hAnsi="Calibri"/>
                <w:b w:val="0"/>
                <w:i w:val="0"/>
                <w:color w:val="212121"/>
                <w:sz w:val="16"/>
              </w:rPr>
              <w:t>Reproductive-age women, adult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are subtler and later in men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Antipsychotics, metoclopramide, domperidone, oestrogens, verapamil, opioids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dopamine-antagonist or relevant drug</w:t>
            </w:r>
          </w:p>
        </w:tc>
        <w:tc>
          <w:tcPr>
            <w:tcW w:type="dxa" w:w="1036"/>
            <w:vAlign w:val="top"/>
          </w:tcPr>
          <w:p>
            <w:pPr>
              <w:spacing w:after="40" w:before="0" w:line="259" w:lineRule="auto"/>
            </w:pPr>
            <w:r>
              <w:rPr>
                <w:rFonts w:ascii="Calibri" w:hAnsi="Calibri"/>
                <w:b w:val="0"/>
                <w:i w:val="0"/>
                <w:color w:val="212121"/>
                <w:sz w:val="16"/>
              </w:rPr>
              <w:t>Identifies the commonest reversible, non-tumoral cause</w:t>
            </w:r>
          </w:p>
        </w:tc>
        <w:tc>
          <w:tcPr>
            <w:tcW w:type="dxa" w:w="1036"/>
            <w:vAlign w:val="top"/>
          </w:tcPr>
          <w:p>
            <w:pPr>
              <w:spacing w:after="40" w:before="0" w:line="259" w:lineRule="auto"/>
            </w:pPr>
            <w:r>
              <w:rPr>
                <w:rFonts w:ascii="Calibri" w:hAnsi="Calibri"/>
                <w:b w:val="0"/>
                <w:i w:val="0"/>
                <w:color w:val="212121"/>
                <w:sz w:val="16"/>
              </w:rPr>
              <w:t>Psychiatric and GI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Review with prescriber before extensive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Reproductive &amp; obstetric history</w:t>
            </w:r>
          </w:p>
        </w:tc>
        <w:tc>
          <w:tcPr>
            <w:tcW w:type="dxa" w:w="979"/>
            <w:vAlign w:val="top"/>
          </w:tcPr>
          <w:p>
            <w:pPr>
              <w:spacing w:after="40" w:before="0" w:line="259" w:lineRule="auto"/>
            </w:pPr>
            <w:r>
              <w:rPr>
                <w:rFonts w:ascii="Calibri" w:hAnsi="Calibri"/>
                <w:b w:val="0"/>
                <w:i w:val="0"/>
                <w:color w:val="212121"/>
                <w:sz w:val="16"/>
              </w:rPr>
              <w:t>Amenorrhoea, subfertility, pregnancy/lactation, coital/nipple stimulation</w:t>
            </w:r>
          </w:p>
        </w:tc>
        <w:tc>
          <w:tcPr>
            <w:tcW w:type="dxa" w:w="950"/>
            <w:vAlign w:val="top"/>
          </w:tcPr>
          <w:p>
            <w:pPr>
              <w:spacing w:after="40" w:before="0" w:line="259" w:lineRule="auto"/>
            </w:pPr>
            <w:r>
              <w:rPr>
                <w:rFonts w:ascii="Calibri" w:hAnsi="Calibri"/>
                <w:b w:val="0"/>
                <w:i w:val="0"/>
                <w:color w:val="212121"/>
                <w:sz w:val="16"/>
              </w:rPr>
              <w:t>Physiological state excluded</w:t>
            </w:r>
          </w:p>
        </w:tc>
        <w:tc>
          <w:tcPr>
            <w:tcW w:type="dxa" w:w="950"/>
            <w:vAlign w:val="top"/>
          </w:tcPr>
          <w:p>
            <w:pPr>
              <w:spacing w:after="40" w:before="0" w:line="259" w:lineRule="auto"/>
            </w:pPr>
            <w:r>
              <w:rPr>
                <w:rFonts w:ascii="Calibri" w:hAnsi="Calibri"/>
                <w:b w:val="0"/>
                <w:i w:val="0"/>
                <w:color w:val="212121"/>
                <w:sz w:val="16"/>
              </w:rPr>
              <w:t>Pathological pattern</w:t>
            </w:r>
          </w:p>
        </w:tc>
        <w:tc>
          <w:tcPr>
            <w:tcW w:type="dxa" w:w="1036"/>
            <w:vAlign w:val="top"/>
          </w:tcPr>
          <w:p>
            <w:pPr>
              <w:spacing w:after="40" w:before="0" w:line="259" w:lineRule="auto"/>
            </w:pPr>
            <w:r>
              <w:rPr>
                <w:rFonts w:ascii="Calibri" w:hAnsi="Calibri"/>
                <w:b w:val="0"/>
                <w:i w:val="0"/>
                <w:color w:val="212121"/>
                <w:sz w:val="16"/>
              </w:rPr>
              <w:t>Separates physiological from pathological elevation</w:t>
            </w:r>
          </w:p>
        </w:tc>
        <w:tc>
          <w:tcPr>
            <w:tcW w:type="dxa" w:w="1036"/>
            <w:vAlign w:val="top"/>
          </w:tcPr>
          <w:p>
            <w:pPr>
              <w:spacing w:after="40" w:before="0" w:line="259" w:lineRule="auto"/>
            </w:pPr>
            <w:r>
              <w:rPr>
                <w:rFonts w:ascii="Calibri" w:hAnsi="Calibri"/>
                <w:b w:val="0"/>
                <w:i w:val="0"/>
                <w:color w:val="212121"/>
                <w:sz w:val="16"/>
              </w:rPr>
              <w:t>Women of reproductive 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Pregnancy must be excluded first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Hypothyroid &amp; systemic symptoms</w:t>
            </w:r>
          </w:p>
        </w:tc>
        <w:tc>
          <w:tcPr>
            <w:tcW w:type="dxa" w:w="979"/>
            <w:vAlign w:val="top"/>
          </w:tcPr>
          <w:p>
            <w:pPr>
              <w:spacing w:after="40" w:before="0" w:line="259" w:lineRule="auto"/>
            </w:pPr>
            <w:r>
              <w:rPr>
                <w:rFonts w:ascii="Calibri" w:hAnsi="Calibri"/>
                <w:b w:val="0"/>
                <w:i w:val="0"/>
                <w:color w:val="212121"/>
                <w:sz w:val="16"/>
              </w:rPr>
              <w:t>Cold intolerance, weight gain, CKD, chronic liver disease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Points to a reversible secondary cause</w:t>
            </w:r>
          </w:p>
        </w:tc>
        <w:tc>
          <w:tcPr>
            <w:tcW w:type="dxa" w:w="1036"/>
            <w:vAlign w:val="top"/>
          </w:tcPr>
          <w:p>
            <w:pPr>
              <w:spacing w:after="40" w:before="0" w:line="259" w:lineRule="auto"/>
            </w:pPr>
            <w:r>
              <w:rPr>
                <w:rFonts w:ascii="Calibri" w:hAnsi="Calibri"/>
                <w:b w:val="0"/>
                <w:i w:val="0"/>
                <w:color w:val="212121"/>
                <w:sz w:val="16"/>
              </w:rPr>
              <w:t>Patients with comorbidity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Check thyroid, renal and liver function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Mass-effect symptoms</w:t>
            </w:r>
          </w:p>
        </w:tc>
        <w:tc>
          <w:tcPr>
            <w:tcW w:type="dxa" w:w="979"/>
            <w:vAlign w:val="top"/>
          </w:tcPr>
          <w:p>
            <w:pPr>
              <w:spacing w:after="40" w:before="0" w:line="259" w:lineRule="auto"/>
            </w:pPr>
            <w:r>
              <w:rPr>
                <w:rFonts w:ascii="Calibri" w:hAnsi="Calibri"/>
                <w:b w:val="0"/>
                <w:i w:val="0"/>
                <w:color w:val="212121"/>
                <w:sz w:val="16"/>
              </w:rPr>
              <w:t>Headache, visual-field loss, diplopia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Suggests a macroadenoma compressing the optic chiasm or cavernous sinus</w:t>
            </w:r>
          </w:p>
        </w:tc>
        <w:tc>
          <w:tcPr>
            <w:tcW w:type="dxa" w:w="1036"/>
            <w:vAlign w:val="top"/>
          </w:tcPr>
          <w:p>
            <w:pPr>
              <w:spacing w:after="40" w:before="0" w:line="259" w:lineRule="auto"/>
            </w:pPr>
            <w:r>
              <w:rPr>
                <w:rFonts w:ascii="Calibri" w:hAnsi="Calibri"/>
                <w:b w:val="0"/>
                <w:i w:val="0"/>
                <w:color w:val="212121"/>
                <w:sz w:val="16"/>
              </w:rPr>
              <w:t>Suspected macroadenoma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Prompt formal perimetry and urgent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Breast &amp; genital examination</w:t>
            </w:r>
          </w:p>
        </w:tc>
        <w:tc>
          <w:tcPr>
            <w:tcW w:type="dxa" w:w="979"/>
            <w:vAlign w:val="top"/>
          </w:tcPr>
          <w:p>
            <w:pPr>
              <w:spacing w:after="40" w:before="0" w:line="259" w:lineRule="auto"/>
            </w:pPr>
            <w:r>
              <w:rPr>
                <w:rFonts w:ascii="Calibri" w:hAnsi="Calibri"/>
                <w:b w:val="0"/>
                <w:i w:val="0"/>
                <w:color w:val="212121"/>
                <w:sz w:val="16"/>
              </w:rPr>
              <w:t>Galactorrhoea, gynaecomastia, hypogonadism signs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Confirms end-organ effects of prolactin excess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Examine the breast after the prolactin sample is drawn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Visual fields &amp; cranial nerves</w:t>
            </w:r>
          </w:p>
        </w:tc>
        <w:tc>
          <w:tcPr>
            <w:tcW w:type="dxa" w:w="979"/>
            <w:vAlign w:val="top"/>
          </w:tcPr>
          <w:p>
            <w:pPr>
              <w:spacing w:after="40" w:before="0" w:line="259" w:lineRule="auto"/>
            </w:pPr>
            <w:r>
              <w:rPr>
                <w:rFonts w:ascii="Calibri" w:hAnsi="Calibri"/>
                <w:b w:val="0"/>
                <w:i w:val="0"/>
                <w:color w:val="212121"/>
                <w:sz w:val="16"/>
              </w:rPr>
              <w:t>Confrontation perimetry, III/IV/VI function</w:t>
            </w:r>
          </w:p>
        </w:tc>
        <w:tc>
          <w:tcPr>
            <w:tcW w:type="dxa" w:w="950"/>
            <w:vAlign w:val="top"/>
          </w:tcPr>
          <w:p>
            <w:pPr>
              <w:spacing w:after="40" w:before="0" w:line="259" w:lineRule="auto"/>
            </w:pPr>
            <w:r>
              <w:rPr>
                <w:rFonts w:ascii="Calibri" w:hAnsi="Calibri"/>
                <w:b w:val="0"/>
                <w:i w:val="0"/>
                <w:color w:val="212121"/>
                <w:sz w:val="16"/>
              </w:rPr>
              <w:t>Full fields, intact nerves</w:t>
            </w:r>
          </w:p>
        </w:tc>
        <w:tc>
          <w:tcPr>
            <w:tcW w:type="dxa" w:w="950"/>
            <w:vAlign w:val="top"/>
          </w:tcPr>
          <w:p>
            <w:pPr>
              <w:spacing w:after="40" w:before="0" w:line="259" w:lineRule="auto"/>
            </w:pPr>
            <w:r>
              <w:rPr>
                <w:rFonts w:ascii="Calibri" w:hAnsi="Calibri"/>
                <w:b w:val="0"/>
                <w:i w:val="0"/>
                <w:color w:val="212121"/>
                <w:sz w:val="16"/>
              </w:rPr>
              <w:t>Bitemporal hemianopia, ophthalmoplegia</w:t>
            </w:r>
          </w:p>
        </w:tc>
        <w:tc>
          <w:tcPr>
            <w:tcW w:type="dxa" w:w="1036"/>
            <w:vAlign w:val="top"/>
          </w:tcPr>
          <w:p>
            <w:pPr>
              <w:spacing w:after="40" w:before="0" w:line="259" w:lineRule="auto"/>
            </w:pPr>
            <w:r>
              <w:rPr>
                <w:rFonts w:ascii="Calibri" w:hAnsi="Calibri"/>
                <w:b w:val="0"/>
                <w:i w:val="0"/>
                <w:color w:val="212121"/>
                <w:sz w:val="16"/>
              </w:rPr>
              <w:t>Detects chiasmal or cavernous-sinus compression by a macroadenoma</w:t>
            </w:r>
          </w:p>
        </w:tc>
        <w:tc>
          <w:tcPr>
            <w:tcW w:type="dxa" w:w="1036"/>
            <w:vAlign w:val="top"/>
          </w:tcPr>
          <w:p>
            <w:pPr>
              <w:spacing w:after="40" w:before="0" w:line="259" w:lineRule="auto"/>
            </w:pPr>
            <w:r>
              <w:rPr>
                <w:rFonts w:ascii="Calibri" w:hAnsi="Calibri"/>
                <w:b w:val="0"/>
                <w:i w:val="0"/>
                <w:color w:val="212121"/>
                <w:sz w:val="16"/>
              </w:rPr>
              <w:t>Macroadenoma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Formal automated perimetry confirms clinical findings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MEN1 features (hyperparathyroidism, pancreatic tumours), familial pituitary adenoma</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Positive family history</w:t>
            </w:r>
          </w:p>
        </w:tc>
        <w:tc>
          <w:tcPr>
            <w:tcW w:type="dxa" w:w="1036"/>
            <w:vAlign w:val="top"/>
          </w:tcPr>
          <w:p>
            <w:pPr>
              <w:spacing w:after="40" w:before="0" w:line="259" w:lineRule="auto"/>
            </w:pPr>
            <w:r>
              <w:rPr>
                <w:rFonts w:ascii="Calibri" w:hAnsi="Calibri"/>
                <w:b w:val="0"/>
                <w:i w:val="0"/>
                <w:color w:val="212121"/>
                <w:sz w:val="16"/>
              </w:rPr>
              <w:t>Raises suspicion of a genetic syndrome and changes screening</w:t>
            </w:r>
          </w:p>
        </w:tc>
        <w:tc>
          <w:tcPr>
            <w:tcW w:type="dxa" w:w="1036"/>
            <w:vAlign w:val="top"/>
          </w:tcPr>
          <w:p>
            <w:pPr>
              <w:spacing w:after="40" w:before="0" w:line="259" w:lineRule="auto"/>
            </w:pPr>
            <w:r>
              <w:rPr>
                <w:rFonts w:ascii="Calibri" w:hAnsi="Calibri"/>
                <w:b w:val="0"/>
                <w:i w:val="0"/>
                <w:color w:val="212121"/>
                <w:sz w:val="16"/>
              </w:rPr>
              <w:t>MEN1/AIP kindreds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Consider calcium/PTH and genetic evaluation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Oligomenorrhoea / amenorrhoea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Prolactin suppresses GnRH and gonadotrophins, disrupting or stopping the menstrual cycle - often the earliest clue in women.</w:t>
            </w:r>
          </w:p>
        </w:tc>
      </w:tr>
      <w:tr>
        <w:trPr>
          <w:cantSplit/>
        </w:trPr>
        <w:tc>
          <w:tcPr>
            <w:tcW w:type="dxa" w:w="2304"/>
            <w:vAlign w:val="top"/>
          </w:tcPr>
          <w:p>
            <w:pPr>
              <w:spacing w:after="40" w:before="0" w:line="259" w:lineRule="auto"/>
            </w:pPr>
            <w:r>
              <w:rPr>
                <w:rFonts w:ascii="Calibri" w:hAnsi="Calibri"/>
                <w:b/>
                <w:i w:val="0"/>
                <w:color w:val="212121"/>
                <w:sz w:val="19"/>
              </w:rPr>
              <w:t>Galactorrhoea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Inappropriate milky nipple discharge unrelated to breastfeeding; commoner in women but can occur in men.</w:t>
            </w:r>
          </w:p>
        </w:tc>
      </w:tr>
      <w:tr>
        <w:trPr>
          <w:cantSplit/>
        </w:trPr>
        <w:tc>
          <w:tcPr>
            <w:tcW w:type="dxa" w:w="2304"/>
            <w:vAlign w:val="top"/>
          </w:tcPr>
          <w:p>
            <w:pPr>
              <w:spacing w:after="40" w:before="0" w:line="259" w:lineRule="auto"/>
            </w:pPr>
            <w:r>
              <w:rPr>
                <w:rFonts w:ascii="Calibri" w:hAnsi="Calibri"/>
                <w:b/>
                <w:i w:val="0"/>
                <w:color w:val="212121"/>
                <w:sz w:val="19"/>
              </w:rPr>
              <w:t>Infertility / subfertility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Anovulation in women and impaired spermatogenesis in men from hypogonadotropic hypogonadism.</w:t>
            </w:r>
          </w:p>
        </w:tc>
      </w:tr>
      <w:tr>
        <w:trPr>
          <w:cantSplit/>
        </w:trPr>
        <w:tc>
          <w:tcPr>
            <w:tcW w:type="dxa" w:w="2304"/>
            <w:vAlign w:val="top"/>
          </w:tcPr>
          <w:p>
            <w:pPr>
              <w:spacing w:after="40" w:before="0" w:line="259" w:lineRule="auto"/>
            </w:pPr>
            <w:r>
              <w:rPr>
                <w:rFonts w:ascii="Calibri" w:hAnsi="Calibri"/>
                <w:b/>
                <w:i w:val="0"/>
                <w:color w:val="212121"/>
                <w:sz w:val="19"/>
              </w:rPr>
              <w:t>Decreased libido</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sex drive in both sexes due to suppressed sex-steroid production.</w:t>
            </w:r>
          </w:p>
        </w:tc>
      </w:tr>
      <w:tr>
        <w:trPr>
          <w:cantSplit/>
        </w:trPr>
        <w:tc>
          <w:tcPr>
            <w:tcW w:type="dxa" w:w="2304"/>
            <w:vAlign w:val="top"/>
          </w:tcPr>
          <w:p>
            <w:pPr>
              <w:spacing w:after="40" w:before="0" w:line="259" w:lineRule="auto"/>
            </w:pPr>
            <w:r>
              <w:rPr>
                <w:rFonts w:ascii="Calibri" w:hAnsi="Calibri"/>
                <w:b/>
                <w:i w:val="0"/>
                <w:color w:val="212121"/>
                <w:sz w:val="19"/>
              </w:rPr>
              <w:t>Erectile dysfunction (men)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Secondary hypogonadism reduces testosterone, causing impotence and reduced ejaculate.</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with macroadenomas from dural stretch and raised intrasellar pressure.</w:t>
            </w:r>
          </w:p>
        </w:tc>
      </w:tr>
      <w:tr>
        <w:trPr>
          <w:cantSplit/>
        </w:trPr>
        <w:tc>
          <w:tcPr>
            <w:tcW w:type="dxa" w:w="2304"/>
            <w:vAlign w:val="top"/>
          </w:tcPr>
          <w:p>
            <w:pPr>
              <w:spacing w:after="40" w:before="0" w:line="259" w:lineRule="auto"/>
            </w:pPr>
            <w:r>
              <w:rPr>
                <w:rFonts w:ascii="Calibri" w:hAnsi="Calibri"/>
                <w:b/>
                <w:i w:val="0"/>
                <w:color w:val="212121"/>
                <w:sz w:val="19"/>
              </w:rPr>
              <w:t>Visual disturbance / bitemporal field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Optic-chiasm compression by a macroadenoma narrows the peripheral (temporal) fields.</w:t>
            </w:r>
          </w:p>
        </w:tc>
      </w:tr>
      <w:tr>
        <w:trPr>
          <w:cantSplit/>
        </w:trPr>
        <w:tc>
          <w:tcPr>
            <w:tcW w:type="dxa" w:w="2304"/>
            <w:vAlign w:val="top"/>
          </w:tcPr>
          <w:p>
            <w:pPr>
              <w:spacing w:after="40" w:before="0" w:line="259" w:lineRule="auto"/>
            </w:pPr>
            <w:r>
              <w:rPr>
                <w:rFonts w:ascii="Calibri" w:hAnsi="Calibri"/>
                <w:b/>
                <w:i w:val="0"/>
                <w:color w:val="212121"/>
                <w:sz w:val="19"/>
              </w:rPr>
              <w:t>Vaginal dryness / dyspareunia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Hypo-oestrogenism from chronic hyperprolactinemia in women.</w:t>
            </w:r>
          </w:p>
        </w:tc>
      </w:tr>
      <w:tr>
        <w:trPr>
          <w:cantSplit/>
        </w:trPr>
        <w:tc>
          <w:tcPr>
            <w:tcW w:type="dxa" w:w="2304"/>
            <w:vAlign w:val="top"/>
          </w:tcPr>
          <w:p>
            <w:pPr>
              <w:spacing w:after="40" w:before="0" w:line="259" w:lineRule="auto"/>
            </w:pPr>
            <w:r>
              <w:rPr>
                <w:rFonts w:ascii="Calibri" w:hAnsi="Calibri"/>
                <w:b/>
                <w:i w:val="0"/>
                <w:color w:val="212121"/>
                <w:sz w:val="19"/>
              </w:rPr>
              <w:t>Gynaecomastia / reduced facial and body hair (men)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Consequences of low testosterone in hyperprolactinemic men.</w:t>
            </w:r>
          </w:p>
        </w:tc>
      </w:tr>
      <w:tr>
        <w:trPr>
          <w:cantSplit/>
        </w:trPr>
        <w:tc>
          <w:tcPr>
            <w:tcW w:type="dxa" w:w="2304"/>
            <w:vAlign w:val="top"/>
          </w:tcPr>
          <w:p>
            <w:pPr>
              <w:spacing w:after="40" w:before="0" w:line="259" w:lineRule="auto"/>
            </w:pPr>
            <w:r>
              <w:rPr>
                <w:rFonts w:ascii="Calibri" w:hAnsi="Calibri"/>
                <w:b/>
                <w:i w:val="0"/>
                <w:color w:val="212121"/>
                <w:sz w:val="19"/>
              </w:rPr>
              <w:t>Low mood, fatigue, weight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Non-specific effects of hypogonadism and, sometimes, hypopituitarism.</w:t>
            </w:r>
          </w:p>
        </w:tc>
      </w:tr>
      <w:tr>
        <w:trPr>
          <w:cantSplit/>
        </w:trPr>
        <w:tc>
          <w:tcPr>
            <w:tcW w:type="dxa" w:w="2304"/>
            <w:vAlign w:val="top"/>
          </w:tcPr>
          <w:p>
            <w:pPr>
              <w:spacing w:after="40" w:before="0" w:line="259" w:lineRule="auto"/>
            </w:pPr>
            <w:r>
              <w:rPr>
                <w:rFonts w:ascii="Calibri" w:hAnsi="Calibri"/>
                <w:b/>
                <w:i w:val="0"/>
                <w:color w:val="212121"/>
                <w:sz w:val="19"/>
              </w:rPr>
              <w:t>Bone pain / fragility fracture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Osteopenia and osteoporosis from long-standing hypogonadism and direct effects of prolactin on bone.</w:t>
            </w:r>
          </w:p>
        </w:tc>
      </w:tr>
      <w:tr>
        <w:trPr>
          <w:cantSplit/>
        </w:trPr>
        <w:tc>
          <w:tcPr>
            <w:tcW w:type="dxa" w:w="2304"/>
            <w:vAlign w:val="top"/>
          </w:tcPr>
          <w:p>
            <w:pPr>
              <w:spacing w:after="40" w:before="0" w:line="259" w:lineRule="auto"/>
            </w:pPr>
            <w:r>
              <w:rPr>
                <w:rFonts w:ascii="Calibri" w:hAnsi="Calibri"/>
                <w:b/>
                <w:i w:val="0"/>
                <w:color w:val="212121"/>
                <w:sz w:val="19"/>
              </w:rPr>
              <w:t>Symptoms of hypopituitarism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Fatigue, cold intolerance and postural symptoms when a large tumour compresses the normal pituitary.</w:t>
            </w:r>
          </w:p>
        </w:tc>
      </w:tr>
      <w:tr>
        <w:trPr>
          <w:cantSplit/>
        </w:trPr>
        <w:tc>
          <w:tcPr>
            <w:tcW w:type="dxa" w:w="2304"/>
            <w:vAlign w:val="top"/>
          </w:tcPr>
          <w:p>
            <w:pPr>
              <w:spacing w:after="40" w:before="0" w:line="259" w:lineRule="auto"/>
            </w:pPr>
            <w:r>
              <w:rPr>
                <w:rFonts w:ascii="Calibri" w:hAnsi="Calibri"/>
                <w:b/>
                <w:i w:val="0"/>
                <w:color w:val="212121"/>
                <w:sz w:val="19"/>
              </w:rPr>
              <w:t>Delayed puberty / primary amenorrhoea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Prolactinoma presenting in adolescence can delay pubertal progression.</w:t>
            </w:r>
          </w:p>
        </w:tc>
      </w:tr>
      <w:tr>
        <w:trPr>
          <w:cantSplit/>
        </w:trPr>
        <w:tc>
          <w:tcPr>
            <w:tcW w:type="dxa" w:w="2304"/>
            <w:vAlign w:val="top"/>
          </w:tcPr>
          <w:p>
            <w:pPr>
              <w:spacing w:after="40" w:before="0" w:line="259" w:lineRule="auto"/>
            </w:pPr>
            <w:r>
              <w:rPr>
                <w:rFonts w:ascii="Calibri" w:hAnsi="Calibri"/>
                <w:b/>
                <w:i w:val="0"/>
                <w:color w:val="212121"/>
                <w:sz w:val="19"/>
              </w:rPr>
              <w:t>Sudden severe headache with visual loss and vomiting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Pituitary apoplexy - haemorrhage or infarction of the tumour - is a neurosurgical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Galactorrhoea on expression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Milky discharge expressible from one or both breasts, best elicited after the prolactin sample is taken.</w:t>
            </w:r>
          </w:p>
        </w:tc>
      </w:tr>
      <w:tr>
        <w:trPr>
          <w:cantSplit/>
        </w:trPr>
        <w:tc>
          <w:tcPr>
            <w:tcW w:type="dxa" w:w="3456"/>
            <w:vAlign w:val="top"/>
          </w:tcPr>
          <w:p>
            <w:pPr>
              <w:spacing w:after="40" w:before="0" w:line="259" w:lineRule="auto"/>
            </w:pPr>
            <w:r>
              <w:rPr>
                <w:rFonts w:ascii="Calibri" w:hAnsi="Calibri"/>
                <w:b/>
                <w:i w:val="0"/>
                <w:color w:val="212121"/>
                <w:sz w:val="19"/>
              </w:rPr>
              <w:t>Signs of hypogonadism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 men, small soft testes and reduced body hair; in women, breast atrophy and vaginal dryness.</w:t>
            </w:r>
          </w:p>
        </w:tc>
      </w:tr>
      <w:tr>
        <w:trPr>
          <w:cantSplit/>
        </w:trPr>
        <w:tc>
          <w:tcPr>
            <w:tcW w:type="dxa" w:w="3456"/>
            <w:vAlign w:val="top"/>
          </w:tcPr>
          <w:p>
            <w:pPr>
              <w:spacing w:after="40" w:before="0" w:line="259" w:lineRule="auto"/>
            </w:pPr>
            <w:r>
              <w:rPr>
                <w:rFonts w:ascii="Calibri" w:hAnsi="Calibri"/>
                <w:b/>
                <w:i w:val="0"/>
                <w:color w:val="212121"/>
                <w:sz w:val="19"/>
              </w:rPr>
              <w:t>Bitemporal hemianopia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Loss of the outer visual fields on confrontation or perimetry from optic-chiasm compression by a macroadenoma.</w:t>
            </w:r>
          </w:p>
        </w:tc>
      </w:tr>
      <w:tr>
        <w:trPr>
          <w:cantSplit/>
        </w:trPr>
        <w:tc>
          <w:tcPr>
            <w:tcW w:type="dxa" w:w="3456"/>
            <w:vAlign w:val="top"/>
          </w:tcPr>
          <w:p>
            <w:pPr>
              <w:spacing w:after="40" w:before="0" w:line="259" w:lineRule="auto"/>
            </w:pPr>
            <w:r>
              <w:rPr>
                <w:rFonts w:ascii="Calibri" w:hAnsi="Calibri"/>
                <w:b/>
                <w:i w:val="0"/>
                <w:color w:val="212121"/>
                <w:sz w:val="19"/>
              </w:rPr>
              <w:t>Gynaecomastia (men)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Breast tissue enlargement from an altered testosterone-to-oestrogen balance.</w:t>
            </w:r>
          </w:p>
        </w:tc>
      </w:tr>
      <w:tr>
        <w:trPr>
          <w:cantSplit/>
        </w:trPr>
        <w:tc>
          <w:tcPr>
            <w:tcW w:type="dxa" w:w="3456"/>
            <w:vAlign w:val="top"/>
          </w:tcPr>
          <w:p>
            <w:pPr>
              <w:spacing w:after="40" w:before="0" w:line="259" w:lineRule="auto"/>
            </w:pPr>
            <w:r>
              <w:rPr>
                <w:rFonts w:ascii="Calibri" w:hAnsi="Calibri"/>
                <w:b/>
                <w:i w:val="0"/>
                <w:color w:val="212121"/>
                <w:sz w:val="19"/>
              </w:rPr>
              <w:t>Reduced visual acuity / optic atrophy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Prolonged chiasmal compression damages the optic nerves.</w:t>
            </w:r>
          </w:p>
        </w:tc>
      </w:tr>
      <w:tr>
        <w:trPr>
          <w:cantSplit/>
        </w:trPr>
        <w:tc>
          <w:tcPr>
            <w:tcW w:type="dxa" w:w="3456"/>
            <w:vAlign w:val="top"/>
          </w:tcPr>
          <w:p>
            <w:pPr>
              <w:spacing w:after="40" w:before="0" w:line="259" w:lineRule="auto"/>
            </w:pPr>
            <w:r>
              <w:rPr>
                <w:rFonts w:ascii="Calibri" w:hAnsi="Calibri"/>
                <w:b/>
                <w:i w:val="0"/>
                <w:color w:val="212121"/>
                <w:sz w:val="19"/>
              </w:rPr>
              <w:t>Signs of hypothyroidism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Bradycardia, dry skin and delayed reflexes when underlying primary hypothyroidism drives the prolactin rise.</w:t>
            </w:r>
          </w:p>
        </w:tc>
      </w:tr>
      <w:tr>
        <w:trPr>
          <w:cantSplit/>
        </w:trPr>
        <w:tc>
          <w:tcPr>
            <w:tcW w:type="dxa" w:w="3456"/>
            <w:vAlign w:val="top"/>
          </w:tcPr>
          <w:p>
            <w:pPr>
              <w:spacing w:after="40" w:before="0" w:line="259" w:lineRule="auto"/>
            </w:pPr>
            <w:r>
              <w:rPr>
                <w:rFonts w:ascii="Calibri" w:hAnsi="Calibri"/>
                <w:b/>
                <w:i w:val="0"/>
                <w:color w:val="212121"/>
                <w:sz w:val="19"/>
              </w:rPr>
              <w:t>Low bone density / height loss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Osteoporosis and vertebral change from chronic hypogonadism and prolactin's direct bone effects.</w:t>
            </w:r>
          </w:p>
        </w:tc>
      </w:tr>
      <w:tr>
        <w:trPr>
          <w:cantSplit/>
        </w:trPr>
        <w:tc>
          <w:tcPr>
            <w:tcW w:type="dxa" w:w="3456"/>
            <w:vAlign w:val="top"/>
          </w:tcPr>
          <w:p>
            <w:pPr>
              <w:spacing w:after="40" w:before="0" w:line="259" w:lineRule="auto"/>
            </w:pPr>
            <w:r>
              <w:rPr>
                <w:rFonts w:ascii="Calibri" w:hAnsi="Calibri"/>
                <w:b/>
                <w:i w:val="0"/>
                <w:color w:val="212121"/>
                <w:sz w:val="19"/>
              </w:rPr>
              <w:t>Cranial nerve III/IV/VI palsy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Diplopia or ptosis from cavernous-sinus invasion by a large or giant prolactinoma.</w:t>
            </w:r>
          </w:p>
        </w:tc>
      </w:tr>
      <w:tr>
        <w:trPr>
          <w:cantSplit/>
        </w:trPr>
        <w:tc>
          <w:tcPr>
            <w:tcW w:type="dxa" w:w="3456"/>
            <w:vAlign w:val="top"/>
          </w:tcPr>
          <w:p>
            <w:pPr>
              <w:spacing w:after="40" w:before="0" w:line="259" w:lineRule="auto"/>
            </w:pPr>
            <w:r>
              <w:rPr>
                <w:rFonts w:ascii="Calibri" w:hAnsi="Calibri"/>
                <w:b/>
                <w:i w:val="0"/>
                <w:color w:val="212121"/>
                <w:sz w:val="19"/>
              </w:rPr>
              <w:t>Features of hypopituitarism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Pallor, postural hypotension and other deficiency signs from compression of the normal gland.</w:t>
            </w:r>
          </w:p>
        </w:tc>
      </w:tr>
      <w:tr>
        <w:trPr>
          <w:cantSplit/>
        </w:trPr>
        <w:tc>
          <w:tcPr>
            <w:tcW w:type="dxa" w:w="3456"/>
            <w:vAlign w:val="top"/>
          </w:tcPr>
          <w:p>
            <w:pPr>
              <w:spacing w:after="40" w:before="0" w:line="259" w:lineRule="auto"/>
            </w:pPr>
            <w:r>
              <w:rPr>
                <w:rFonts w:ascii="Calibri" w:hAnsi="Calibri"/>
                <w:b/>
                <w:i w:val="0"/>
                <w:color w:val="212121"/>
                <w:sz w:val="19"/>
              </w:rPr>
              <w:t>Overlapping acromegaly / Cushingoid features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Mixed mammosomatotroph or plurihormonal tumours co-secreting GH or ACTH with prolactin.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Hypogonadism - oligomenorrhoea/amenorrhoea, low libido, erectile dysfunction and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Galactorrhoea and menstrual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Mass effects of a macroadenoma - headache, bitemporal visual-field loss, cranial-nerve palsy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Hypopituitarism from stalk or gland compression</w:t>
            </w:r>
          </w:p>
        </w:tc>
        <w:tc>
          <w:tcPr>
            <w:tcW w:type="dxa" w:w="2980"/>
            <w:vAlign w:val="top"/>
          </w:tcPr>
          <w:p>
            <w:pPr>
              <w:spacing w:after="40" w:before="0" w:line="259" w:lineRule="auto"/>
            </w:pPr>
            <w:r>
              <w:rPr>
                <w:rFonts w:ascii="Calibri" w:hAnsi="Calibri"/>
                <w:b w:val="0"/>
                <w:i w:val="0"/>
                <w:color w:val="212121"/>
                <w:sz w:val="19"/>
              </w:rPr>
              <w:t>Direct hormonal and local consequences of prolactin excess and the tumour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Osteopenia, osteoporosis and fragility fractures from chronic hypogonadism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subfertility and pregnancy-related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and mood disturbance related to hypogonadism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Pituitary apoplexy - acute haemorrhage or infarction of the adenoma</w:t>
            </w:r>
          </w:p>
        </w:tc>
        <w:tc>
          <w:tcPr>
            <w:tcW w:type="dxa" w:w="2980"/>
            <w:vAlign w:val="top"/>
          </w:tcPr>
          <w:p>
            <w:pPr>
              <w:spacing w:after="40" w:before="0" w:line="259" w:lineRule="auto"/>
            </w:pPr>
            <w:r>
              <w:rPr>
                <w:rFonts w:ascii="Calibri" w:hAnsi="Calibri"/>
                <w:b w:val="0"/>
                <w:i w:val="0"/>
                <w:color w:val="212121"/>
                <w:sz w:val="19"/>
              </w:rPr>
              <w:t>Downstream effects of sustained hypogonadism and tumour behaviour</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visual loss or blindness from prolonged chiasmal compression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Panhypopituitarism requiring lifelong hormone replacement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Giant or invasive tumour with CSF rhinorrhoea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harm - dopamine-agonist impulse-control disorders and, at high doses, valvulopathy; surgical CSF leak, hypopituitarism or diabetes insipidus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aggressive or malignant prolactinoma (pituitary carcinoma)</w:t>
            </w:r>
          </w:p>
        </w:tc>
        <w:tc>
          <w:tcPr>
            <w:tcW w:type="dxa" w:w="2980"/>
            <w:vAlign w:val="top"/>
          </w:tcPr>
          <w:p>
            <w:pPr>
              <w:spacing w:after="40" w:before="0" w:line="259" w:lineRule="auto"/>
            </w:pPr>
            <w:r>
              <w:rPr>
                <w:rFonts w:ascii="Calibri" w:hAnsi="Calibri"/>
                <w:b w:val="0"/>
                <w:i w:val="0"/>
                <w:color w:val="212121"/>
                <w:sz w:val="19"/>
              </w:rPr>
              <w:t>Irreversible or disabling outcomes of advanced disease or its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Overlapping menstrual and fertility disturbance and hypothalamic-pituitary-ovarian dysregulation; PCOS is the commonest reason for prolactin testing in Indian women and mild elevations should prompt a macroprolactin check.</w:t>
            </w:r>
          </w:p>
          <w:p>
            <w:pPr>
              <w:spacing w:after="40" w:before="0" w:line="259" w:lineRule="auto"/>
            </w:pPr>
            <w:r>
              <w:rPr>
                <w:rFonts w:ascii="Calibri" w:hAnsi="Calibri"/>
                <w:b/>
                <w:i w:val="0"/>
                <w:color w:val="212121"/>
                <w:sz w:val="19"/>
              </w:rPr>
              <w:t>~32.7% (leading reason for testing, India)</w:t>
            </w:r>
          </w:p>
        </w:tc>
      </w:tr>
      <w:tr>
        <w:trPr>
          <w:cantSplit/>
        </w:trPr>
        <w:tc>
          <w:tcPr>
            <w:tcW w:type="dxa" w:w="2232"/>
            <w:vAlign w:val="top"/>
          </w:tcPr>
          <w:p>
            <w:pPr>
              <w:spacing w:after="40" w:before="0" w:line="259" w:lineRule="auto"/>
            </w:pPr>
            <w:r>
              <w:rPr>
                <w:rFonts w:ascii="Calibri" w:hAnsi="Calibri"/>
                <w:b/>
                <w:i w:val="0"/>
                <w:color w:val="212121"/>
                <w:sz w:val="19"/>
              </w:rPr>
              <w:t>Primary / subclinical hypothyroidism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Raised TRH stimulates lactotrophs, producing reversible hyperprolactinemia and sometimes pituitary hyperplasia mimicking an adenoma; treat thyroid disease before diagnosing a prolactinoma.</w:t>
            </w:r>
          </w:p>
          <w:p>
            <w:pPr>
              <w:spacing w:after="40" w:before="0" w:line="259" w:lineRule="auto"/>
            </w:pPr>
            <w:r>
              <w:rPr>
                <w:rFonts w:ascii="Calibri" w:hAnsi="Calibri"/>
                <w:b/>
                <w:i w:val="0"/>
                <w:color w:val="212121"/>
                <w:sz w:val="19"/>
              </w:rPr>
              <w:t>~31-36% of subclinical hypothyroidism (India)</w:t>
            </w:r>
          </w:p>
        </w:tc>
      </w:tr>
      <w:tr>
        <w:trPr>
          <w:cantSplit/>
        </w:trPr>
        <w:tc>
          <w:tcPr>
            <w:tcW w:type="dxa" w:w="2232"/>
            <w:vAlign w:val="top"/>
          </w:tcPr>
          <w:p>
            <w:pPr>
              <w:spacing w:after="40" w:before="0" w:line="259" w:lineRule="auto"/>
            </w:pPr>
            <w:r>
              <w:rPr>
                <w:rFonts w:ascii="Calibri" w:hAnsi="Calibri"/>
                <w:b/>
                <w:i w:val="0"/>
                <w:color w:val="212121"/>
                <w:sz w:val="19"/>
              </w:rPr>
              <w:t>Infertility / subfertility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Hyperprolactinemic hypogonadism causes anovulation and impaired spermatogenesis; it is both a consequence and a common reason for detection, and usually reverses with dopamine agonists.</w:t>
            </w:r>
          </w:p>
          <w:p>
            <w:pPr>
              <w:spacing w:after="40" w:before="0" w:line="259" w:lineRule="auto"/>
            </w:pPr>
            <w:r>
              <w:rPr>
                <w:rFonts w:ascii="Calibri" w:hAnsi="Calibri"/>
                <w:b/>
                <w:i w:val="0"/>
                <w:color w:val="212121"/>
                <w:sz w:val="19"/>
              </w:rPr>
              <w:t>~10.3% (reason for testing, India)</w:t>
            </w:r>
          </w:p>
        </w:tc>
      </w:tr>
      <w:tr>
        <w:trPr>
          <w:cantSplit/>
        </w:trPr>
        <w:tc>
          <w:tcPr>
            <w:tcW w:type="dxa" w:w="2232"/>
            <w:vAlign w:val="top"/>
          </w:tcPr>
          <w:p>
            <w:pPr>
              <w:spacing w:after="40" w:before="0" w:line="259" w:lineRule="auto"/>
            </w:pPr>
            <w:r>
              <w:rPr>
                <w:rFonts w:ascii="Calibri" w:hAnsi="Calibri"/>
                <w:b/>
                <w:i w:val="0"/>
                <w:color w:val="212121"/>
                <w:sz w:val="19"/>
              </w:rPr>
              <w:t>Osteoporosis / low bone mineral density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hypogonadism plus direct prolactin effects increase bone resorption and suppress formation, causing bone loss and fractures - a key reason to treat even asymptomatic microprolactinomas.</w:t>
            </w:r>
          </w:p>
        </w:tc>
      </w:tr>
      <w:tr>
        <w:trPr>
          <w:cantSplit/>
        </w:trPr>
        <w:tc>
          <w:tcPr>
            <w:tcW w:type="dxa" w:w="2232"/>
            <w:vAlign w:val="top"/>
          </w:tcPr>
          <w:p>
            <w:pPr>
              <w:spacing w:after="40" w:before="0" w:line="259" w:lineRule="auto"/>
            </w:pPr>
            <w:r>
              <w:rPr>
                <w:rFonts w:ascii="Calibri" w:hAnsi="Calibri"/>
                <w:b/>
                <w:i w:val="0"/>
                <w:color w:val="212121"/>
                <w:sz w:val="19"/>
              </w:rPr>
              <w:t>Secondary hypogonadism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Suppression of the GnRH-LH/FSH axis by prolactin is the central mechanism linking the tumour to menstrual, sexual and fertility problems.</w:t>
            </w:r>
          </w:p>
        </w:tc>
      </w:tr>
      <w:tr>
        <w:trPr>
          <w:cantSplit/>
        </w:trPr>
        <w:tc>
          <w:tcPr>
            <w:tcW w:type="dxa" w:w="2232"/>
            <w:vAlign w:val="top"/>
          </w:tcPr>
          <w:p>
            <w:pPr>
              <w:spacing w:after="40" w:before="0" w:line="259" w:lineRule="auto"/>
            </w:pPr>
            <w:r>
              <w:rPr>
                <w:rFonts w:ascii="Calibri" w:hAnsi="Calibri"/>
                <w:b/>
                <w:i w:val="0"/>
                <w:color w:val="212121"/>
                <w:sz w:val="19"/>
              </w:rPr>
              <w:t>MEN1 (multiple endocrine neoplasia type 1)</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Germline menin mutation predisposes to prolactinoma alongside parathyroid and pancreatic tumours; a positive family history changes screening and follow-up.</w:t>
            </w:r>
          </w:p>
          <w:p>
            <w:pPr>
              <w:spacing w:after="40" w:before="0" w:line="259" w:lineRule="auto"/>
            </w:pPr>
            <w:r>
              <w:rPr>
                <w:rFonts w:ascii="Calibri" w:hAnsi="Calibri"/>
                <w:b/>
                <w:i w:val="0"/>
                <w:color w:val="212121"/>
                <w:sz w:val="19"/>
              </w:rPr>
              <w:t>Prolactinoma in ~15-60% of MEN1</w:t>
            </w:r>
          </w:p>
        </w:tc>
      </w:tr>
      <w:tr>
        <w:trPr>
          <w:cantSplit/>
        </w:trPr>
        <w:tc>
          <w:tcPr>
            <w:tcW w:type="dxa" w:w="2232"/>
            <w:vAlign w:val="top"/>
          </w:tcPr>
          <w:p>
            <w:pPr>
              <w:spacing w:after="40" w:before="0" w:line="259" w:lineRule="auto"/>
            </w:pPr>
            <w:r>
              <w:rPr>
                <w:rFonts w:ascii="Calibri" w:hAnsi="Calibri"/>
                <w:b/>
                <w:i w:val="0"/>
                <w:color w:val="212121"/>
                <w:sz w:val="19"/>
              </w:rPr>
              <w:t>Antipsychotic-treated mental illness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Dopamine-antagonist antipsychotics are a leading cause of drug-induced hyperprolactinemia; management is a balance between psychiatric control and prolactin lowering (dose change, prolactin-sparing agents, add-on aripiprazole).</w:t>
            </w:r>
          </w:p>
          <w:p>
            <w:pPr>
              <w:spacing w:after="40" w:before="0" w:line="259" w:lineRule="auto"/>
            </w:pPr>
            <w:r>
              <w:rPr>
                <w:rFonts w:ascii="Calibri" w:hAnsi="Calibri"/>
                <w:b/>
                <w:i w:val="0"/>
                <w:color w:val="212121"/>
                <w:sz w:val="19"/>
              </w:rPr>
              <w:t>~18.2% (drug-induced testing, India)</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renal clearance raises prolactin and contributes to the hypogonadism and infertility of dialysis patients; levels respond incompletely to dopamine agonists.</w:t>
            </w:r>
          </w:p>
        </w:tc>
      </w:tr>
      <w:tr>
        <w:trPr>
          <w:cantSplit/>
        </w:trPr>
        <w:tc>
          <w:tcPr>
            <w:tcW w:type="dxa" w:w="2232"/>
            <w:vAlign w:val="top"/>
          </w:tcPr>
          <w:p>
            <w:pPr>
              <w:spacing w:after="40" w:before="0" w:line="259" w:lineRule="auto"/>
            </w:pPr>
            <w:r>
              <w:rPr>
                <w:rFonts w:ascii="Calibri" w:hAnsi="Calibri"/>
                <w:b/>
                <w:i w:val="0"/>
                <w:color w:val="212121"/>
                <w:sz w:val="19"/>
              </w:rPr>
              <w:t>Cirrhosis / chronic liver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Impaired hepatic clearance and altered central dopamine tone raise prolactin, often against a background of heavy alcohol use.</w:t>
            </w:r>
          </w:p>
        </w:tc>
      </w:tr>
      <w:tr>
        <w:trPr>
          <w:cantSplit/>
        </w:trPr>
        <w:tc>
          <w:tcPr>
            <w:tcW w:type="dxa" w:w="2232"/>
            <w:vAlign w:val="top"/>
          </w:tcPr>
          <w:p>
            <w:pPr>
              <w:spacing w:after="40" w:before="0" w:line="259" w:lineRule="auto"/>
            </w:pPr>
            <w:r>
              <w:rPr>
                <w:rFonts w:ascii="Calibri" w:hAnsi="Calibri"/>
                <w:b/>
                <w:i w:val="0"/>
                <w:color w:val="212121"/>
                <w:sz w:val="19"/>
              </w:rPr>
              <w:t>Non-functioning pituitary adenoma / sellar mass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Stalk compression disinhibits prolactin ('stalk effect'), usually below ~150 ng/mL; distinguishing this from a true macroprolactinoma is essential because treatment differs.</w:t>
            </w:r>
          </w:p>
        </w:tc>
      </w:tr>
      <w:tr>
        <w:trPr>
          <w:cantSplit/>
        </w:trPr>
        <w:tc>
          <w:tcPr>
            <w:tcW w:type="dxa" w:w="2232"/>
            <w:vAlign w:val="top"/>
          </w:tcPr>
          <w:p>
            <w:pPr>
              <w:spacing w:after="40" w:before="0" w:line="259" w:lineRule="auto"/>
            </w:pPr>
            <w:r>
              <w:rPr>
                <w:rFonts w:ascii="Calibri" w:hAnsi="Calibri"/>
                <w:b/>
                <w:i w:val="0"/>
                <w:color w:val="212121"/>
                <w:sz w:val="19"/>
              </w:rPr>
              <w:t>Acromegaly (GH excess)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Mammosomatotroph and plurihormonal tumours can co-secrete growth hormone and prolactin, so screen for acromegaly in prolactinoma patients with suggestive features.</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Distress from infertility and sexual dysfunction, hypogonadism, and the psychiatric effects of dopamine-agonist therapy interlink mood disorders with hyperprolactinemia in both directions.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warning symptoms that warrant prolactin testing: irregular or absent periods, milky nipple discharge, infertility, low libido or erectile dysfunction, and (with large tumours) headache or visual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Tell your doctor about every medicine - especially antipsychotics, anti-nausea drugs (metoclopramide, domperidone), some antidepressants, verapamil, oestrogens and opioids - as these are the commonest reversible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the blood test must be taken fasting, mid-morning, rested, and before any breast examination, and that pregnancy is always excluded first.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most prolactinomas are benign and respond well to dopamine-agonist tablets (cabergoline or bromocriptine); surgery is reserved for resistance or intolerance.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dopamine-agonist medication regularly and keep follow-up prolactin and MRI appointments, and report new impulsive behaviours (gambling, hypersexuality) that these drugs can occasionally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pregnancy with your endocrinologist, as management of prolactinomas changes during pregnancy.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low libido/erectile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antipsychotics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with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 known pituitary adenoma</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weight-bearing and resistance exercise to protect bone, since chronic hyperprolactinemic hypogonadism lowers bone density.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(Asian-Indian BMI 18.5-22.9) to support overall metabolic and reproductive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exertion in the hours before a prolactin blood test, as acute exercise transiently raises the hormone.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adequate calcium and vitamin D once hypogonadism or low bone density is identified.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hypogonadal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low BMD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awaiting prolactin testing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dietary calcium and vitamin D to protect bone in patients with prolactin-related hypogonadism.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since heavy chronic intake causing cirrhosis can itself raise prolactin.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the prolactin sample drawn fasting and mid-morning, avoiding a heavy meal beforehand.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rely on unproven galactagogue supplements (e.g., high-dose fenugreek) if prolactin is already raised, and disclose their use so results are interpreted correctly.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Hypogonadal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being investigated</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have blood drawn 2-3 hours after waking, because prolactin peaks during sleep and can be falsely high on early or waking samples.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sampling immediately after a disturbed night or shift work when prolactin rhythm is altered.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insomnia or sleep disruption that can complicate interpretation and general endocrine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being tested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borderline results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although it is not a direct cause of hyperprolactinemia, cessation protects the bones and blood vessels of hypogonadal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especially if bone density is already reduced by chronic hypogonadism.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low BMD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hypogonadal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as heavy chronic drinking causing cirrhosis raises prolactin through reduced clearance.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alcohol to protect bone health in patients already hypogonadal from hyperprolactinemia.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in the period before a prolactin test to prevent confounding.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Hypogonadal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stop antipsychotic or antidepressant medication abruptly for a raised prolactin - review options with the treating psychiatrist.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switching to a prolactin-sparing antipsychotic (e.g., aripiprazole or quetiapine) or adding low-dose aripiprazole to lower antipsychotic-induced prolactin.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distress of infertility, sexual dysfunction and body-image change that commonly accompany hyperprolactinemia.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and report dopamine-agonist psychiatric effects such as new impulse-control problems, anxiety or 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relaxation and stress-reduction strategies, recognising that acute stress physiologically raises prolactin.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antipsychotics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infertility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on dopamine agonists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 or depression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59347/" TargetMode="External"/><Relationship Id="rId10" Type="http://schemas.openxmlformats.org/officeDocument/2006/relationships/hyperlink" Target="https://pubmed.ncbi.nlm.nih.gov/34975255/" TargetMode="External"/><Relationship Id="rId11" Type="http://schemas.openxmlformats.org/officeDocument/2006/relationships/hyperlink" Target="https://pubmed.ncbi.nlm.nih.gov/29403128/" TargetMode="External"/><Relationship Id="rId12" Type="http://schemas.openxmlformats.org/officeDocument/2006/relationships/hyperlink" Target="https://www.ncbi.nlm.nih.gov/books/NBK537331/" TargetMode="External"/><Relationship Id="rId13" Type="http://schemas.openxmlformats.org/officeDocument/2006/relationships/hyperlink" Target="https://pubmed.ncbi.nlm.nih.gov/27473607/" TargetMode="External"/><Relationship Id="rId14" Type="http://schemas.openxmlformats.org/officeDocument/2006/relationships/hyperlink" Target="https://pubmed.ncbi.nlm.nih.gov/322197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