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Male Hypogonadism</w:t>
      </w:r>
    </w:p>
    <w:p>
      <w:pPr>
        <w:spacing w:before="0" w:after="160"/>
      </w:pPr>
      <w:r>
        <w:rPr>
          <w:rFonts w:ascii="Calibri" w:hAnsi="Calibri"/>
          <w:b/>
          <w:i w:val="0"/>
          <w:color w:val="212121"/>
          <w:sz w:val="22"/>
        </w:rPr>
        <w:t xml:space="preserve">AKA </w:t>
      </w:r>
      <w:r>
        <w:rPr>
          <w:rFonts w:ascii="Calibri" w:hAnsi="Calibri"/>
          <w:b w:val="0"/>
          <w:i w:val="0"/>
          <w:color w:val="212121"/>
          <w:sz w:val="22"/>
        </w:rPr>
        <w:t>i.e., Testosterone deficiency, Androgen deficiency, Testosterone deficiency syndrome (TDS), Hypoandrogenism, Late-onset hypogonadism (LOH) / Andropause (age-related form), “Low T”</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Male hypogonadism is a clinical syndrome that results from failure of the testes to produce physiological levels of testosterone (androgen deficiency), an adequate number of normal spermatozoa, or both, owing to disruption at one or more levels of the hypothalamic–pituitary–gonadal (HPG) axis. It is defined by the combination of consistent signs and symptoms together with an unequivocally low morning serum testosterone confirmed on repeat testing. Depending on the site of the defect it is classified as primary (testicular) or secondary (hypothalamic–pituitary), and a large and rising share of cases in adults is ‘functional’ — driven by obesity, type 2 diabetes and other reversible factors rather than structural gonadal or pituitary disease.</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Male hypogonadism is common but substantially under-diagnosed in India. In the general ageing male population, symptomatic late-onset hypogonadism affects roughly 2% of middle-aged and older men and rises steeply with each decade, while biochemical testosterone deficiency is found in about 30% of men aged 40–79. The burden is far higher in men with cardiometabolic disease: in Indian men with type 2 diabetes about 18% have a total testosterone below 300 ng/dL, and Indian series of diabetic and obese men report hypogonadism in roughly one-fifth to one-third. Because the cardinal symptoms — low libido, fatigue and erectile dysfunction — are frequently dismissed as ‘normal ageing’, most Indian cases remain unrecognised and untreated.</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Male hypogonadism is a clinical-plus-biochemical diagnosis: it requires consistent symptoms or signs of androgen deficiency together with a reliably low morning serum testosterone, and is then localised (primary vs secondary) and investigated for cause. Diagnosis rests on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Two separate fasting early-morning (07:00–11:00) total testosterone measurements that are low — commonly &lt; 300 ng/dL (AUA), with the Endocrine Society using a harmonised lower limit of ≈264 ng/dL (9.2 nmol/L) — in a man with corroborating symptoms/signs; a single borderline value should always be repeated;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Free (or calculated free) testosterone by equilibrium dialysis or from SHBG when total testosterone is borderline or when SHBG is altered — as in obesity, type 2 diabetes, ageing, thyroid or liver disease — with a low free testosterone (assay-dependent, roughly &lt; 64–100 pg/mL) confirming androgen deficiency;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Serum LH and FSH to localise the defect: elevated LH/FSH indicate primary (hypergonadotropic) hypogonadism, whereas low or inappropriately normal LH/FSH indicate secondary (hypogonadotropic) hypogonadism;</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Aetiological work-up for secondary disease — serum prolactin, iron studies/transferrin saturation (haemochromatosis), and pituitary MRI when testosterone is very low, LH/FSH are low, or there are features of a sellar mass (headache, visual-field loss);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Karyotype (to detect 47,XXY Klinefelter syndrome) in primary hypogonadism with small firm testes or azoospermia, and semen analysis when fertility is a concern; DEXA bone densitometry to assess the skeletal consequences of long-standing deficiency.</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Male hypogonadism is classified by the level of the defect in the HPG axis and by whether it is congenital, acquired-organic or functional:</w:t>
      </w:r>
    </w:p>
    <w:p>
      <w:pPr>
        <w:spacing w:before="0" w:after="80"/>
      </w:pPr>
      <w:r>
        <w:rPr>
          <w:rFonts w:ascii="Calibri" w:hAnsi="Calibri"/>
          <w:b w:val="0"/>
          <w:i w:val="0"/>
          <w:color w:val="212121"/>
          <w:sz w:val="21"/>
        </w:rPr>
        <w:t>(1) Primary (hypergonadotropic) hypogonadism — testicular failure with low testosterone and elevated LH/FSH. Causes include Klinefelter syndrome (47,XXY) and other chromosomal disorders, cryptorchidism, mumps or other orchitis, testicular trauma or torsion, chemotherapy or pelvic irradiation, haemochromatosis and anorchia;</w:t>
      </w:r>
    </w:p>
    <w:p>
      <w:pPr>
        <w:spacing w:before="0" w:after="80"/>
      </w:pPr>
      <w:r>
        <w:rPr>
          <w:rFonts w:ascii="Calibri" w:hAnsi="Calibri"/>
          <w:b w:val="0"/>
          <w:i w:val="0"/>
          <w:color w:val="212121"/>
          <w:sz w:val="21"/>
        </w:rPr>
        <w:t>(2) Secondary (hypogonadotropic) hypogonadism — hypothalamic or pituitary disease with low testosterone and low or inappropriately normal LH/FSH. Causes include congenital GnRH deficiency (Kallmann syndrome, with anosmia), pituitary tumours and other sellar lesions, hyperprolactinaemia, infiltrative disease, and suppression by opioids, glucocorticoids, anabolic–androgenic steroids or acute systemic illness;</w:t>
      </w:r>
    </w:p>
    <w:p>
      <w:pPr>
        <w:spacing w:before="0" w:after="80"/>
      </w:pPr>
      <w:r>
        <w:rPr>
          <w:rFonts w:ascii="Calibri" w:hAnsi="Calibri"/>
          <w:b w:val="0"/>
          <w:i w:val="0"/>
          <w:color w:val="212121"/>
          <w:sz w:val="21"/>
        </w:rPr>
        <w:t>(3) Functional secondary hypogonadism — a large and often reversible group in which the axis is suppressed by obesity, type 2 diabetes, the metabolic syndrome, obstructive sleep apnoea, chronic illness or medication rather than by structural gland disease; weight loss and treatment of the underlying condition can restore testosterone;</w:t>
      </w:r>
    </w:p>
    <w:p>
      <w:pPr>
        <w:spacing w:before="0" w:after="80"/>
      </w:pPr>
      <w:r>
        <w:rPr>
          <w:rFonts w:ascii="Calibri" w:hAnsi="Calibri"/>
          <w:b w:val="0"/>
          <w:i w:val="0"/>
          <w:color w:val="212121"/>
          <w:sz w:val="21"/>
        </w:rPr>
        <w:t>(4) Combined (mixed) hypogonadism — defects at both testicular and hypothalamic–pituitary levels, as seen with normal ageing, chronic alcohol use, haemochromatosis, cirrhosis and chronic kidney disease. A parallel congenital-versus-acquired axis is also used, and late-onset hypogonadism (andropause) denotes the age-related, predominantly functional form.</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Primary (testicular) failure: Klinefelter syndrome — the commonest congenital cause — cryptorchidism, orchitis (mumps), testicular trauma/torsion, chemotherapy or radiotherapy and haemochromatosis directly destroy or impair Leydig-cell and seminiferous-tubule function, producing low testosterone with high LH/FSH.</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Secondary (hypothalamic–pituitary) disease: Congenital GnRH deficiency (Kallmann syndrome), pituitary adenomas and other sellar lesions, hyperprolactinaemia and infiltrative disorders reduce GnRH/LH drive to the testes.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Obesity and metabolic disease: Central (visceral) adiposity increases aromatase activity (converting testosterone to oestradiol), lowers SHBG and drives insulin resistance and inflammation that suppress GnRH/LH — the single strongest modifiable cause of functional hypogonadism.</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Ageing: Leydig-cell number and GnRH pulse amplitude fall while SHBG rises, so total and bioavailable testosterone decline by roughly 1–2% per year from around the fourth decade.</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Drugs and substances: Chronic opioids and glucocorticoids strongly suppress the axis, anabolic–androgenic steroids shut down endogenous LH/FSH (steroid-induced hypogonadism), and heavy alcohol is directly gonadotoxic.</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Systemic illness: Type 2 diabetes, chronic kidney disease, cirrhosis, HIV, obstructive sleep apnoea and other chronic diseases suppress the HPG axis by combined primary and secondary mechanisms.</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Genetic and developmental disorders: Chromosomal (47,XXY and variants), single-gene GnRH-axis defects and disorders of sex development cause congenital hypogonadism presenting as delayed or absent puberty and infertility.</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(men ≥ 30–40 years)</w:t>
            </w:r>
          </w:p>
        </w:tc>
        <w:tc>
          <w:tcPr>
            <w:tcW w:type="dxa" w:w="4276"/>
            <w:vAlign w:val="top"/>
          </w:tcPr>
          <w:p>
            <w:pPr>
              <w:spacing w:after="60" w:line="259" w:lineRule="auto"/>
            </w:pPr>
            <w:r>
              <w:rPr>
                <w:rFonts w:ascii="Calibri" w:hAnsi="Calibri"/>
                <w:b w:val="0"/>
                <w:i w:val="0"/>
                <w:color w:val="212121"/>
                <w:sz w:val="19"/>
              </w:rPr>
              <w:t>Serum testosterone peaks in the late teens and twenties and then declines by roughly 1–2% per year from the fourth decade; cumulative metabolic and lifestyle exposures (central obesity, type 2 diabetes, stress, sleep loss) accelerate the fall, so symptomatic deficiency becomes clinically relevant from the 40s onward.</w:t>
            </w:r>
          </w:p>
          <w:p>
            <w:pPr>
              <w:spacing w:after="40" w:before="60" w:line="259" w:lineRule="auto"/>
            </w:pPr>
            <w:r>
              <w:rPr>
                <w:rFonts w:ascii="Calibri" w:hAnsi="Calibri"/>
                <w:b w:val="0"/>
                <w:i w:val="0"/>
                <w:color w:val="212121"/>
                <w:sz w:val="19"/>
              </w:rPr>
              <w:t>In men aged 40–79 years, biochemical testosterone deficiency is estimated in around 30%.</w:t>
            </w:r>
          </w:p>
          <w:p>
            <w:pPr>
              <w:spacing w:after="40" w:line="252" w:lineRule="auto"/>
            </w:pPr>
            <w:hyperlink r:id="rId9">
              <w:r>
                <w:rPr>
                  <w:rFonts w:ascii="Calibri" w:hAnsi="Calibri" w:cs="Calibri"/>
                  <w:sz w:val="18"/>
                  <w:color w:val="1155CC"/>
                  <w:u w:val="single"/>
                </w:rPr>
                <w:t xml:space="preserve">pubmed.ncbi.nlm.nih.gov/21683825 — testosterone deficiency (Traish, Am J Med 2011)</w:t>
              </w:r>
            </w:hyperlink>
          </w:p>
          <w:p>
            <w:pPr>
              <w:spacing w:before="60" w:after="40"/>
            </w:pPr>
            <w:r>
              <w:rPr>
                <w:rFonts w:ascii="Calibri" w:hAnsi="Calibri"/>
                <w:b w:val="0"/>
                <w:i w:val="0"/>
                <w:color w:val="5A5A5A"/>
                <w:sz w:val="18"/>
              </w:rPr>
              <w:t>#testosterone  #ageing  #androgendecline  #lowT  #midlife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 65–70 years)</w:t>
            </w:r>
          </w:p>
        </w:tc>
        <w:tc>
          <w:tcPr>
            <w:tcW w:type="dxa" w:w="4276"/>
            <w:vAlign w:val="top"/>
          </w:tcPr>
          <w:p>
            <w:pPr>
              <w:spacing w:after="60" w:line="259" w:lineRule="auto"/>
            </w:pPr>
            <w:r>
              <w:rPr>
                <w:rFonts w:ascii="Calibri" w:hAnsi="Calibri"/>
                <w:b w:val="0"/>
                <w:i w:val="0"/>
                <w:color w:val="212121"/>
                <w:sz w:val="19"/>
              </w:rPr>
              <w:t>Declining Leydig-cell function, reduced GnRH pulse amplitude and rising SHBG lower bioavailable testosterone, so symptomatic late-onset hypogonadism clusters in older men and compounds age-related loss of muscle, bone and libido.</w:t>
            </w:r>
          </w:p>
          <w:p>
            <w:pPr>
              <w:spacing w:after="40" w:before="60" w:line="259" w:lineRule="auto"/>
            </w:pPr>
            <w:r>
              <w:rPr>
                <w:rFonts w:ascii="Calibri" w:hAnsi="Calibri"/>
                <w:b w:val="0"/>
                <w:i w:val="0"/>
                <w:color w:val="212121"/>
                <w:sz w:val="19"/>
              </w:rPr>
              <w:t>In the European Male Ageing Study, symptomatic late-onset hypogonadism rose from about 0.1% at 40–49 years to roughly 5% at 70–79 years (overall ≈2%).</w:t>
            </w:r>
          </w:p>
          <w:p>
            <w:pPr>
              <w:spacing w:after="40" w:line="252" w:lineRule="auto"/>
            </w:pPr>
            <w:hyperlink r:id="rId10">
              <w:r>
                <w:rPr>
                  <w:rFonts w:ascii="Calibri" w:hAnsi="Calibri" w:cs="Calibri"/>
                  <w:sz w:val="18"/>
                  <w:color w:val="1155CC"/>
                  <w:u w:val="single"/>
                </w:rPr>
                <w:t xml:space="preserve">pubmed.ncbi.nlm.nih.gov/20554979 — EMAS late-onset hypogonadism (Wu, NEJM 2010)</w:t>
              </w:r>
            </w:hyperlink>
          </w:p>
          <w:p>
            <w:pPr>
              <w:spacing w:before="60" w:after="40"/>
            </w:pPr>
            <w:r>
              <w:rPr>
                <w:rFonts w:ascii="Calibri" w:hAnsi="Calibri"/>
                <w:b w:val="0"/>
                <w:i w:val="0"/>
                <w:color w:val="5A5A5A"/>
                <w:sz w:val="18"/>
              </w:rPr>
              <w:t>#lateonsethypogonadism  #EMAS  #andropause  #elderlymen  #SHBG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 (male-specific by definition)</w:t>
            </w:r>
          </w:p>
        </w:tc>
        <w:tc>
          <w:tcPr>
            <w:tcW w:type="dxa" w:w="4276"/>
            <w:vAlign w:val="top"/>
          </w:tcPr>
          <w:p>
            <w:pPr>
              <w:spacing w:after="60" w:line="259" w:lineRule="auto"/>
            </w:pPr>
            <w:r>
              <w:rPr>
                <w:rFonts w:ascii="Calibri" w:hAnsi="Calibri"/>
                <w:b w:val="0"/>
                <w:i w:val="0"/>
                <w:color w:val="212121"/>
                <w:sz w:val="19"/>
              </w:rPr>
              <w:t>Male hypogonadism is intrinsically a disorder of the male HPG axis; testosterone underpins libido, erectile function, spermatogenesis, muscle mass, bone density and erythropoiesis, so its deficiency produces the characteristic androgen-deficiency syndrome. Female androgen deficiency is a separate clinical entity.</w:t>
            </w:r>
          </w:p>
          <w:p>
            <w:pPr>
              <w:spacing w:after="40" w:before="60" w:line="259" w:lineRule="auto"/>
            </w:pPr>
            <w:r>
              <w:rPr>
                <w:rFonts w:ascii="Calibri" w:hAnsi="Calibri"/>
                <w:b w:val="0"/>
                <w:i w:val="0"/>
                <w:color w:val="212121"/>
                <w:sz w:val="19"/>
              </w:rPr>
              <w:t>A general clinical statement: the condition affects men, in whom testosterone is the principal circulating androgen.</w:t>
            </w:r>
          </w:p>
          <w:p>
            <w:pPr>
              <w:spacing w:before="60" w:after="40"/>
            </w:pPr>
            <w:r>
              <w:rPr>
                <w:rFonts w:ascii="Calibri" w:hAnsi="Calibri"/>
                <w:b w:val="0"/>
                <w:i w:val="0"/>
                <w:color w:val="5A5A5A"/>
                <w:sz w:val="18"/>
              </w:rPr>
              <w:t>#malespecific  #HPGaxis  #androgens  #testosterone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 occupation</w:t>
            </w:r>
          </w:p>
        </w:tc>
        <w:tc>
          <w:tcPr>
            <w:tcW w:type="dxa" w:w="2160"/>
            <w:vAlign w:val="top"/>
          </w:tcPr>
          <w:p>
            <w:pPr>
              <w:spacing w:after="40" w:before="0" w:line="259" w:lineRule="auto"/>
            </w:pPr>
            <w:r>
              <w:rPr>
                <w:rFonts w:ascii="Calibri" w:hAnsi="Calibri"/>
                <w:b w:val="0"/>
                <w:i w:val="0"/>
                <w:color w:val="212121"/>
                <w:sz w:val="19"/>
              </w:rPr>
              <w:t>Urban sedentary &amp; shift workers; under-diagnosed low-access men</w:t>
            </w:r>
          </w:p>
        </w:tc>
        <w:tc>
          <w:tcPr>
            <w:tcW w:type="dxa" w:w="4276"/>
            <w:vAlign w:val="top"/>
          </w:tcPr>
          <w:p>
            <w:pPr>
              <w:spacing w:after="60" w:line="259" w:lineRule="auto"/>
            </w:pPr>
            <w:r>
              <w:rPr>
                <w:rFonts w:ascii="Calibri" w:hAnsi="Calibri"/>
                <w:b w:val="0"/>
                <w:i w:val="0"/>
                <w:color w:val="212121"/>
                <w:sz w:val="19"/>
              </w:rPr>
              <w:t>Urban, sedentary and shift-working men accumulate obesity, metabolic syndrome and sleep loss that drive functional hypogonadism, while in lower-access settings the condition is under-recognised because symptoms are attributed to ‘normal ageing’ and testosterone is rarely measured.</w:t>
            </w:r>
          </w:p>
          <w:p>
            <w:pPr>
              <w:spacing w:after="40" w:before="60" w:line="259" w:lineRule="auto"/>
            </w:pPr>
            <w:r>
              <w:rPr>
                <w:rFonts w:ascii="Calibri" w:hAnsi="Calibri"/>
                <w:b w:val="0"/>
                <w:i w:val="0"/>
                <w:color w:val="212121"/>
                <w:sz w:val="19"/>
              </w:rPr>
              <w:t>An Indian cross-sectional study screened working men (mean age ≈53 years) for symptomatic androgen deficiency using the ADAM questionnaire, underscoring its relevance in the working population.</w:t>
            </w:r>
          </w:p>
          <w:p>
            <w:pPr>
              <w:spacing w:after="40" w:line="252" w:lineRule="auto"/>
            </w:pPr>
            <w:hyperlink r:id="rId11">
              <w:r>
                <w:rPr>
                  <w:rFonts w:ascii="Calibri" w:hAnsi="Calibri" w:cs="Calibri"/>
                  <w:sz w:val="18"/>
                  <w:color w:val="1155CC"/>
                  <w:u w:val="single"/>
                </w:rPr>
                <w:t xml:space="preserve">pubmed.ncbi.nlm.nih.gov/19672344 — TDS in working Indian men (Goel, Indian J Urol 2009)</w:t>
              </w:r>
            </w:hyperlink>
          </w:p>
          <w:p>
            <w:pPr>
              <w:spacing w:before="60" w:after="40"/>
            </w:pPr>
            <w:r>
              <w:rPr>
                <w:rFonts w:ascii="Calibri" w:hAnsi="Calibri"/>
                <w:b w:val="0"/>
                <w:i w:val="0"/>
                <w:color w:val="5A5A5A"/>
                <w:sz w:val="18"/>
              </w:rPr>
              <w:t>#urbanisation  #sedentarywork  #underdiagnosed  #shiftwork  #ADAM</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Indian / South Asian men with high metabolic burden</w:t>
            </w:r>
          </w:p>
        </w:tc>
        <w:tc>
          <w:tcPr>
            <w:tcW w:type="dxa" w:w="4276"/>
            <w:vAlign w:val="top"/>
          </w:tcPr>
          <w:p>
            <w:pPr>
              <w:spacing w:after="60" w:line="259" w:lineRule="auto"/>
            </w:pPr>
            <w:r>
              <w:rPr>
                <w:rFonts w:ascii="Calibri" w:hAnsi="Calibri"/>
                <w:b w:val="0"/>
                <w:i w:val="0"/>
                <w:color w:val="212121"/>
                <w:sz w:val="19"/>
              </w:rPr>
              <w:t>South Asian men carry a heavy burden of central (abdominal) obesity and type 2 diabetes at comparatively low BMI, which lowers SHBG and total/free testosterone through insulin resistance and adipose aromatisation — making functional hypogonadism common in Indian men.</w:t>
            </w:r>
          </w:p>
          <w:p>
            <w:pPr>
              <w:spacing w:after="40" w:before="60" w:line="259" w:lineRule="auto"/>
            </w:pPr>
            <w:r>
              <w:rPr>
                <w:rFonts w:ascii="Calibri" w:hAnsi="Calibri"/>
                <w:b w:val="0"/>
                <w:i w:val="0"/>
                <w:color w:val="212121"/>
                <w:sz w:val="19"/>
              </w:rPr>
              <w:t>In Indian men with type 2 diabetes, 18.4% had a total testosterone below 300 ng/dL.</w:t>
            </w:r>
          </w:p>
          <w:p>
            <w:pPr>
              <w:spacing w:after="40" w:line="252" w:lineRule="auto"/>
            </w:pPr>
            <w:hyperlink r:id="rId12">
              <w:r>
                <w:rPr>
                  <w:rFonts w:ascii="Calibri" w:hAnsi="Calibri" w:cs="Calibri"/>
                  <w:sz w:val="18"/>
                  <w:color w:val="1155CC"/>
                  <w:u w:val="single"/>
                </w:rPr>
                <w:t xml:space="preserve">pubmed.ncbi.nlm.nih.gov/39676785 — T2DM &amp; hypogonadism in India (IJEM 2024)</w:t>
              </w:r>
            </w:hyperlink>
          </w:p>
          <w:p>
            <w:pPr>
              <w:spacing w:before="60" w:after="40"/>
            </w:pPr>
            <w:r>
              <w:rPr>
                <w:rFonts w:ascii="Calibri" w:hAnsi="Calibri"/>
                <w:b w:val="0"/>
                <w:i w:val="0"/>
                <w:color w:val="5A5A5A"/>
                <w:sz w:val="18"/>
              </w:rPr>
              <w:t>#Indiafirst  #SouthAsian  #abdominalobesity  #functionalhypogonadism  #T2DM</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Urban vs rural</w:t>
            </w:r>
          </w:p>
        </w:tc>
        <w:tc>
          <w:tcPr>
            <w:tcW w:type="dxa" w:w="2160"/>
            <w:vAlign w:val="top"/>
          </w:tcPr>
          <w:p>
            <w:pPr>
              <w:spacing w:after="40" w:before="0" w:line="259" w:lineRule="auto"/>
            </w:pPr>
            <w:r>
              <w:rPr>
                <w:rFonts w:ascii="Calibri" w:hAnsi="Calibri"/>
                <w:b w:val="0"/>
                <w:i w:val="0"/>
                <w:color w:val="212121"/>
                <w:sz w:val="19"/>
              </w:rPr>
              <w:t>Urban Indian men</w:t>
            </w:r>
          </w:p>
        </w:tc>
        <w:tc>
          <w:tcPr>
            <w:tcW w:type="dxa" w:w="4276"/>
            <w:vAlign w:val="top"/>
          </w:tcPr>
          <w:p>
            <w:pPr>
              <w:spacing w:after="60" w:line="259" w:lineRule="auto"/>
            </w:pPr>
            <w:r>
              <w:rPr>
                <w:rFonts w:ascii="Calibri" w:hAnsi="Calibri"/>
                <w:b w:val="0"/>
                <w:i w:val="0"/>
                <w:color w:val="212121"/>
                <w:sz w:val="19"/>
              </w:rPr>
              <w:t>Urban living concentrates the energy-dense diet, physical inactivity, occupational stress and curtailed sleep that suppress the HPG axis, so urban Indian men are more exposed to functional testosterone deficiency than their rural counterparts, in whom abdominal obesity and diabetes are less prevalent.</w:t>
            </w:r>
          </w:p>
          <w:p>
            <w:pPr>
              <w:spacing w:after="40" w:before="60" w:line="259" w:lineRule="auto"/>
            </w:pPr>
            <w:r>
              <w:rPr>
                <w:rFonts w:ascii="Calibri" w:hAnsi="Calibri"/>
                <w:b w:val="0"/>
                <w:i w:val="0"/>
                <w:color w:val="212121"/>
                <w:sz w:val="19"/>
              </w:rPr>
              <w:t>A general clinical statement consistent with the markedly higher urban burden of abdominal obesity and type 2 diabetes in India (ICMR-INDIAB).</w:t>
            </w:r>
          </w:p>
          <w:p>
            <w:pPr>
              <w:spacing w:before="60" w:after="40"/>
            </w:pPr>
            <w:r>
              <w:rPr>
                <w:rFonts w:ascii="Calibri" w:hAnsi="Calibri"/>
                <w:b w:val="0"/>
                <w:i w:val="0"/>
                <w:color w:val="5A5A5A"/>
                <w:sz w:val="18"/>
              </w:rPr>
              <w:t>#urbanIndia  #obesogenic  #lifestyle  #metabolicsyndrome</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Overweight / Obese</w:t>
            </w:r>
          </w:p>
        </w:tc>
        <w:tc>
          <w:tcPr>
            <w:tcW w:type="dxa" w:w="2160"/>
            <w:vAlign w:val="top"/>
          </w:tcPr>
          <w:p>
            <w:pPr>
              <w:spacing w:after="40" w:before="0" w:line="259" w:lineRule="auto"/>
            </w:pPr>
            <w:r>
              <w:rPr>
                <w:rFonts w:ascii="Calibri" w:hAnsi="Calibri"/>
                <w:b w:val="0"/>
                <w:i w:val="0"/>
                <w:color w:val="212121"/>
                <w:sz w:val="19"/>
              </w:rPr>
              <w:t>Men with central (visceral) obesity</w:t>
            </w:r>
          </w:p>
        </w:tc>
        <w:tc>
          <w:tcPr>
            <w:tcW w:type="dxa" w:w="4276"/>
            <w:vAlign w:val="top"/>
          </w:tcPr>
          <w:p>
            <w:pPr>
              <w:spacing w:after="60" w:line="259" w:lineRule="auto"/>
            </w:pPr>
            <w:r>
              <w:rPr>
                <w:rFonts w:ascii="Calibri" w:hAnsi="Calibri"/>
                <w:b w:val="0"/>
                <w:i w:val="0"/>
                <w:color w:val="212121"/>
                <w:sz w:val="19"/>
              </w:rPr>
              <w:t>Visceral fat raises aromatase (converting testosterone to oestradiol), lowers SHBG and drives insulin resistance and inflammatory cytokines that suppress GnRH and LH — the single strongest and most reversible cause of low testosterone.</w:t>
            </w:r>
          </w:p>
          <w:p>
            <w:pPr>
              <w:spacing w:after="40" w:before="60" w:line="259" w:lineRule="auto"/>
            </w:pPr>
            <w:r>
              <w:rPr>
                <w:rFonts w:ascii="Calibri" w:hAnsi="Calibri"/>
                <w:b w:val="0"/>
                <w:i w:val="0"/>
                <w:color w:val="212121"/>
                <w:sz w:val="19"/>
              </w:rPr>
              <w:t>Among men aged 20–59, 24.4% had low testosterone and 26.4% had the metabolic syndrome, which were strongly associated.</w:t>
            </w:r>
          </w:p>
          <w:p>
            <w:pPr>
              <w:spacing w:after="40" w:line="252" w:lineRule="auto"/>
            </w:pPr>
            <w:hyperlink r:id="rId13">
              <w:r>
                <w:rPr>
                  <w:rFonts w:ascii="Calibri" w:hAnsi="Calibri" w:cs="Calibri"/>
                  <w:sz w:val="18"/>
                  <w:color w:val="1155CC"/>
                  <w:u w:val="single"/>
                </w:rPr>
                <w:t xml:space="preserve">pubmed.ncbi.nlm.nih.gov/32617747 — low testosterone &amp; metabolic syndrome (2020)</w:t>
              </w:r>
            </w:hyperlink>
          </w:p>
          <w:p>
            <w:pPr>
              <w:spacing w:before="60" w:after="40"/>
            </w:pPr>
            <w:r>
              <w:rPr>
                <w:rFonts w:ascii="Calibri" w:hAnsi="Calibri"/>
                <w:b w:val="0"/>
                <w:i w:val="0"/>
                <w:color w:val="5A5A5A"/>
                <w:sz w:val="18"/>
              </w:rPr>
              <w:t>#obesity  #visceralfat  #aromatase  #insulinresistance  #SHBG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Sedentary / poor sleep</w:t>
            </w:r>
          </w:p>
        </w:tc>
        <w:tc>
          <w:tcPr>
            <w:tcW w:type="dxa" w:w="2160"/>
            <w:vAlign w:val="top"/>
          </w:tcPr>
          <w:p>
            <w:pPr>
              <w:spacing w:after="40" w:before="0" w:line="259" w:lineRule="auto"/>
            </w:pPr>
            <w:r>
              <w:rPr>
                <w:rFonts w:ascii="Calibri" w:hAnsi="Calibri"/>
                <w:b w:val="0"/>
                <w:i w:val="0"/>
                <w:color w:val="212121"/>
                <w:sz w:val="19"/>
              </w:rPr>
              <w:t>Physically inactive men and those with obstructive sleep apnoea</w:t>
            </w:r>
          </w:p>
        </w:tc>
        <w:tc>
          <w:tcPr>
            <w:tcW w:type="dxa" w:w="4276"/>
            <w:vAlign w:val="top"/>
          </w:tcPr>
          <w:p>
            <w:pPr>
              <w:spacing w:after="60" w:line="259" w:lineRule="auto"/>
            </w:pPr>
            <w:r>
              <w:rPr>
                <w:rFonts w:ascii="Calibri" w:hAnsi="Calibri"/>
                <w:b w:val="0"/>
                <w:i w:val="0"/>
                <w:color w:val="212121"/>
                <w:sz w:val="19"/>
              </w:rPr>
              <w:t>Physical inactivity worsens adiposity and insulin resistance, while sleep restriction and obstructive sleep apnoea blunt the nocturnal, sleep-entrained rise in testosterone, together compounding suppression of the axis.</w:t>
            </w:r>
          </w:p>
          <w:p>
            <w:pPr>
              <w:spacing w:after="40" w:before="60" w:line="259" w:lineRule="auto"/>
            </w:pPr>
            <w:r>
              <w:rPr>
                <w:rFonts w:ascii="Calibri" w:hAnsi="Calibri"/>
                <w:b w:val="0"/>
                <w:i w:val="0"/>
                <w:color w:val="212121"/>
                <w:sz w:val="19"/>
              </w:rPr>
              <w:t>Obstructive sleep apnoea in middle-aged men is frequently associated with reduced testosterone secretion.</w:t>
            </w:r>
          </w:p>
          <w:p>
            <w:pPr>
              <w:spacing w:after="40" w:line="252" w:lineRule="auto"/>
            </w:pPr>
            <w:hyperlink r:id="rId14">
              <w:r>
                <w:rPr>
                  <w:rFonts w:ascii="Calibri" w:hAnsi="Calibri" w:cs="Calibri"/>
                  <w:sz w:val="18"/>
                  <w:color w:val="1155CC"/>
                  <w:u w:val="single"/>
                </w:rPr>
                <w:t xml:space="preserve">pubmed.ncbi.nlm.nih.gov/29774669 — OSA &amp; testosterone deficiency (World J Mens Health 2019)</w:t>
              </w:r>
            </w:hyperlink>
          </w:p>
          <w:p>
            <w:pPr>
              <w:spacing w:before="60" w:after="40"/>
            </w:pPr>
            <w:r>
              <w:rPr>
                <w:rFonts w:ascii="Calibri" w:hAnsi="Calibri"/>
                <w:b w:val="0"/>
                <w:i w:val="0"/>
                <w:color w:val="5A5A5A"/>
                <w:sz w:val="18"/>
              </w:rPr>
              <w:t>#sedentary  #sleeploss  #OSA  #nocturnaltestosterone  #physicalinactivity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Chronic heavy drinkers</w:t>
            </w:r>
          </w:p>
        </w:tc>
        <w:tc>
          <w:tcPr>
            <w:tcW w:type="dxa" w:w="4276"/>
            <w:vAlign w:val="top"/>
          </w:tcPr>
          <w:p>
            <w:pPr>
              <w:spacing w:after="60" w:line="259" w:lineRule="auto"/>
            </w:pPr>
            <w:r>
              <w:rPr>
                <w:rFonts w:ascii="Calibri" w:hAnsi="Calibri"/>
                <w:b w:val="0"/>
                <w:i w:val="0"/>
                <w:color w:val="212121"/>
                <w:sz w:val="19"/>
              </w:rPr>
              <w:t>Chronic heavy alcohol is directly toxic to testicular Leydig cells and suppresses the hypothalamus and pituitary; when cirrhosis supervenes, increased SHBG and peripheral aromatisation further lower free testosterone and cause feminisation and gynaecomastia.</w:t>
            </w:r>
          </w:p>
          <w:p>
            <w:pPr>
              <w:spacing w:after="40" w:before="60" w:line="259" w:lineRule="auto"/>
            </w:pPr>
            <w:r>
              <w:rPr>
                <w:rFonts w:ascii="Calibri" w:hAnsi="Calibri"/>
                <w:b w:val="0"/>
                <w:i w:val="0"/>
                <w:color w:val="212121"/>
                <w:sz w:val="19"/>
              </w:rPr>
              <w:t>A general clinical statement: sustained heavy alcohol use is an established gonadotoxin acting at both testicular and central levels.</w:t>
            </w:r>
          </w:p>
          <w:p>
            <w:pPr>
              <w:spacing w:before="60" w:after="40"/>
            </w:pPr>
            <w:r>
              <w:rPr>
                <w:rFonts w:ascii="Calibri" w:hAnsi="Calibri"/>
                <w:b w:val="0"/>
                <w:i w:val="0"/>
                <w:color w:val="5A5A5A"/>
                <w:sz w:val="18"/>
              </w:rPr>
              <w:t>#alcohol  #Leydigcell  #cirrhosis  #feminisation  #gynaecomastia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Anabolic steroid / opioid use</w:t>
            </w:r>
          </w:p>
        </w:tc>
        <w:tc>
          <w:tcPr>
            <w:tcW w:type="dxa" w:w="2160"/>
            <w:vAlign w:val="top"/>
          </w:tcPr>
          <w:p>
            <w:pPr>
              <w:spacing w:after="40" w:before="0" w:line="259" w:lineRule="auto"/>
            </w:pPr>
            <w:r>
              <w:rPr>
                <w:rFonts w:ascii="Calibri" w:hAnsi="Calibri"/>
                <w:b w:val="0"/>
                <w:i w:val="0"/>
                <w:color w:val="212121"/>
                <w:sz w:val="19"/>
              </w:rPr>
              <w:t>Gym/bodybuilding steroid users and chronic-opioid (pain) patients</w:t>
            </w:r>
          </w:p>
        </w:tc>
        <w:tc>
          <w:tcPr>
            <w:tcW w:type="dxa" w:w="4276"/>
            <w:vAlign w:val="top"/>
          </w:tcPr>
          <w:p>
            <w:pPr>
              <w:spacing w:after="60" w:line="259" w:lineRule="auto"/>
            </w:pPr>
            <w:r>
              <w:rPr>
                <w:rFonts w:ascii="Calibri" w:hAnsi="Calibri"/>
                <w:b w:val="0"/>
                <w:i w:val="0"/>
                <w:color w:val="212121"/>
                <w:sz w:val="19"/>
              </w:rPr>
              <w:t>Exogenous anabolic–androgenic steroids shut down endogenous LH/FSH — a secondary hypogonadism that can persist for months to years after stopping — and chronic opioids strongly suppress GnRH; both are common, under-recognised iatrogenic causes.</w:t>
            </w:r>
          </w:p>
          <w:p>
            <w:pPr>
              <w:spacing w:after="40" w:before="60" w:line="259" w:lineRule="auto"/>
            </w:pPr>
            <w:r>
              <w:rPr>
                <w:rFonts w:ascii="Calibri" w:hAnsi="Calibri"/>
                <w:b w:val="0"/>
                <w:i w:val="0"/>
                <w:color w:val="212121"/>
                <w:sz w:val="19"/>
              </w:rPr>
              <w:t>Testosterone deficiency in men on long-term opioids ranges from 19% to 86% across studies.</w:t>
            </w:r>
          </w:p>
          <w:p>
            <w:pPr>
              <w:spacing w:after="40" w:line="252" w:lineRule="auto"/>
            </w:pPr>
            <w:hyperlink r:id="rId15">
              <w:r>
                <w:rPr>
                  <w:rFonts w:ascii="Calibri" w:hAnsi="Calibri" w:cs="Calibri"/>
                  <w:sz w:val="18"/>
                  <w:color w:val="1155CC"/>
                  <w:u w:val="single"/>
                </w:rPr>
                <w:t xml:space="preserve">pubmed.ncbi.nlm.nih.gov/30343356 — opioids &amp; testosterone deficiency (2018)</w:t>
              </w:r>
            </w:hyperlink>
          </w:p>
          <w:p>
            <w:pPr>
              <w:spacing w:before="60" w:after="40"/>
            </w:pPr>
            <w:r>
              <w:rPr>
                <w:rFonts w:ascii="Calibri" w:hAnsi="Calibri"/>
                <w:b w:val="0"/>
                <w:i w:val="0"/>
                <w:color w:val="5A5A5A"/>
                <w:sz w:val="18"/>
              </w:rPr>
              <w:t>#anabolicsteroids  #ASIH  #opioids  #OPIAD  #iatrogenic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Chronic tobacco users</w:t>
            </w:r>
          </w:p>
        </w:tc>
        <w:tc>
          <w:tcPr>
            <w:tcW w:type="dxa" w:w="4276"/>
            <w:vAlign w:val="top"/>
          </w:tcPr>
          <w:p>
            <w:pPr>
              <w:spacing w:after="60" w:line="259" w:lineRule="auto"/>
            </w:pPr>
            <w:r>
              <w:rPr>
                <w:rFonts w:ascii="Calibri" w:hAnsi="Calibri"/>
                <w:b w:val="0"/>
                <w:i w:val="0"/>
                <w:color w:val="212121"/>
                <w:sz w:val="19"/>
              </w:rPr>
              <w:t>Smoking impairs testicular microcirculation and sperm quality and accelerates the vascular disease that underlies erectile dysfunction; although nicotine can transiently raise measured testosterone and SHBG, tobacco worsens fertility and vascular outcomes in hypogonadal men.</w:t>
            </w:r>
          </w:p>
          <w:p>
            <w:pPr>
              <w:spacing w:after="40" w:before="60" w:line="259" w:lineRule="auto"/>
            </w:pPr>
            <w:r>
              <w:rPr>
                <w:rFonts w:ascii="Calibri" w:hAnsi="Calibri"/>
                <w:b w:val="0"/>
                <w:i w:val="0"/>
                <w:color w:val="212121"/>
                <w:sz w:val="19"/>
              </w:rPr>
              <w:t>A general clinical statement: tobacco harms spermatogenesis and vascular/erectile function irrespective of its variable effect on measured testosterone.</w:t>
            </w:r>
          </w:p>
          <w:p>
            <w:pPr>
              <w:spacing w:before="60" w:after="40"/>
            </w:pPr>
            <w:r>
              <w:rPr>
                <w:rFonts w:ascii="Calibri" w:hAnsi="Calibri"/>
                <w:b w:val="0"/>
                <w:i w:val="0"/>
                <w:color w:val="5A5A5A"/>
                <w:sz w:val="18"/>
              </w:rPr>
              <w:t>#smoking  #tobacco  #spermquality  #vascular  #erectiledysfunction</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Over-nutrition / energy imbalance</w:t>
            </w:r>
          </w:p>
        </w:tc>
        <w:tc>
          <w:tcPr>
            <w:tcW w:type="dxa" w:w="2160"/>
            <w:vAlign w:val="top"/>
          </w:tcPr>
          <w:p>
            <w:pPr>
              <w:spacing w:after="40" w:before="0" w:line="259" w:lineRule="auto"/>
            </w:pPr>
            <w:r>
              <w:rPr>
                <w:rFonts w:ascii="Calibri" w:hAnsi="Calibri"/>
                <w:b w:val="0"/>
                <w:i w:val="0"/>
                <w:color w:val="212121"/>
                <w:sz w:val="19"/>
              </w:rPr>
              <w:t>High-calorie, refined-carbohydrate diets (and, conversely, severe undernutrition)</w:t>
            </w:r>
          </w:p>
        </w:tc>
        <w:tc>
          <w:tcPr>
            <w:tcW w:type="dxa" w:w="4276"/>
            <w:vAlign w:val="top"/>
          </w:tcPr>
          <w:p>
            <w:pPr>
              <w:spacing w:after="60" w:line="259" w:lineRule="auto"/>
            </w:pPr>
            <w:r>
              <w:rPr>
                <w:rFonts w:ascii="Calibri" w:hAnsi="Calibri"/>
                <w:b w:val="0"/>
                <w:i w:val="0"/>
                <w:color w:val="212121"/>
                <w:sz w:val="19"/>
              </w:rPr>
              <w:t>Energy-dense, high-refined-carbohydrate and ultra-processed diets promote central obesity and insulin resistance that suppress testosterone, while at the opposite extreme severe undernutrition or very low energy availability also shuts down GnRH secretion.</w:t>
            </w:r>
          </w:p>
          <w:p>
            <w:pPr>
              <w:spacing w:after="40" w:before="60" w:line="259" w:lineRule="auto"/>
            </w:pPr>
            <w:r>
              <w:rPr>
                <w:rFonts w:ascii="Calibri" w:hAnsi="Calibri"/>
                <w:b w:val="0"/>
                <w:i w:val="0"/>
                <w:color w:val="212121"/>
                <w:sz w:val="19"/>
              </w:rPr>
              <w:t>A general clinical statement: both over-nutrition (via obesity) and marked undernutrition suppress the HPG axis.</w:t>
            </w:r>
          </w:p>
          <w:p>
            <w:pPr>
              <w:spacing w:before="60" w:after="40"/>
            </w:pPr>
            <w:r>
              <w:rPr>
                <w:rFonts w:ascii="Calibri" w:hAnsi="Calibri"/>
                <w:b w:val="0"/>
                <w:i w:val="0"/>
                <w:color w:val="5A5A5A"/>
                <w:sz w:val="18"/>
              </w:rPr>
              <w:t>#diet  #refinedcarbs  #overnutrition  #energyavailability  #ultraprocessed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Micronutrient deficiency</w:t>
            </w:r>
          </w:p>
        </w:tc>
        <w:tc>
          <w:tcPr>
            <w:tcW w:type="dxa" w:w="2160"/>
            <w:vAlign w:val="top"/>
          </w:tcPr>
          <w:p>
            <w:pPr>
              <w:spacing w:after="40" w:before="0" w:line="259" w:lineRule="auto"/>
            </w:pPr>
            <w:r>
              <w:rPr>
                <w:rFonts w:ascii="Calibri" w:hAnsi="Calibri"/>
                <w:b w:val="0"/>
                <w:i w:val="0"/>
                <w:color w:val="212121"/>
                <w:sz w:val="19"/>
              </w:rPr>
              <w:t>Men with vitamin D and/or zinc deficiency</w:t>
            </w:r>
          </w:p>
        </w:tc>
        <w:tc>
          <w:tcPr>
            <w:tcW w:type="dxa" w:w="4276"/>
            <w:vAlign w:val="top"/>
          </w:tcPr>
          <w:p>
            <w:pPr>
              <w:spacing w:after="60" w:line="259" w:lineRule="auto"/>
            </w:pPr>
            <w:r>
              <w:rPr>
                <w:rFonts w:ascii="Calibri" w:hAnsi="Calibri"/>
                <w:b w:val="0"/>
                <w:i w:val="0"/>
                <w:color w:val="212121"/>
                <w:sz w:val="19"/>
              </w:rPr>
              <w:t>Zinc is a cofactor in testosterone biosynthesis and vitamin-D receptors are expressed in the testis; deficiencies of both — highly prevalent in India — are associated with lower testosterone, though the causal contribution is modest and correction mainly helps when a true deficiency exists.</w:t>
            </w:r>
          </w:p>
          <w:p>
            <w:pPr>
              <w:spacing w:after="40" w:before="60" w:line="259" w:lineRule="auto"/>
            </w:pPr>
            <w:r>
              <w:rPr>
                <w:rFonts w:ascii="Calibri" w:hAnsi="Calibri"/>
                <w:b w:val="0"/>
                <w:i w:val="0"/>
                <w:color w:val="212121"/>
                <w:sz w:val="19"/>
              </w:rPr>
              <w:t>A general clinical statement: vitamin D deficiency is very common in the Indian population and zinc deficiency is prevalent in vegetarian diets.</w:t>
            </w:r>
          </w:p>
          <w:p>
            <w:pPr>
              <w:spacing w:before="60" w:after="40"/>
            </w:pPr>
            <w:r>
              <w:rPr>
                <w:rFonts w:ascii="Calibri" w:hAnsi="Calibri"/>
                <w:b w:val="0"/>
                <w:i w:val="0"/>
                <w:color w:val="5A5A5A"/>
                <w:sz w:val="18"/>
              </w:rPr>
              <w:t>#vitaminD  #zinc  #micronutrients  #Indiadeficiency  #vegetariandiet</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Klinefelter syndrome (47,XXY)</w:t>
            </w:r>
          </w:p>
        </w:tc>
        <w:tc>
          <w:tcPr>
            <w:tcW w:type="dxa" w:w="2160"/>
            <w:vAlign w:val="top"/>
          </w:tcPr>
          <w:p>
            <w:pPr>
              <w:spacing w:after="40" w:before="0" w:line="259" w:lineRule="auto"/>
            </w:pPr>
            <w:r>
              <w:rPr>
                <w:rFonts w:ascii="Calibri" w:hAnsi="Calibri"/>
                <w:b w:val="0"/>
                <w:i w:val="0"/>
                <w:color w:val="212121"/>
                <w:sz w:val="19"/>
              </w:rPr>
              <w:t>Men with Klinefelter syndrome and other sex-chromosome disorders</w:t>
            </w:r>
          </w:p>
        </w:tc>
        <w:tc>
          <w:tcPr>
            <w:tcW w:type="dxa" w:w="4276"/>
            <w:vAlign w:val="top"/>
          </w:tcPr>
          <w:p>
            <w:pPr>
              <w:spacing w:after="60" w:line="259" w:lineRule="auto"/>
            </w:pPr>
            <w:r>
              <w:rPr>
                <w:rFonts w:ascii="Calibri" w:hAnsi="Calibri"/>
                <w:b w:val="0"/>
                <w:i w:val="0"/>
                <w:color w:val="212121"/>
                <w:sz w:val="19"/>
              </w:rPr>
              <w:t>Klinefelter syndrome is the commonest congenital cause of primary hypogonadism, producing progressive testicular fibrosis, small firm testes, azoospermia and high LH/FSH; most cases are undiagnosed until an infertility or low-testosterone work-up.</w:t>
            </w:r>
          </w:p>
          <w:p>
            <w:pPr>
              <w:spacing w:after="40" w:before="60" w:line="259" w:lineRule="auto"/>
            </w:pPr>
            <w:r>
              <w:rPr>
                <w:rFonts w:ascii="Calibri" w:hAnsi="Calibri"/>
                <w:b w:val="0"/>
                <w:i w:val="0"/>
                <w:color w:val="212121"/>
                <w:sz w:val="19"/>
              </w:rPr>
              <w:t>In Central Indian men with azoospermia, chromosomal abnormalities were found in 7.5%, with Klinefelter syndrome the predominant cause.</w:t>
            </w:r>
          </w:p>
          <w:p>
            <w:pPr>
              <w:spacing w:after="40" w:line="252" w:lineRule="auto"/>
            </w:pPr>
            <w:hyperlink r:id="rId16">
              <w:r>
                <w:rPr>
                  <w:rFonts w:ascii="Calibri" w:hAnsi="Calibri" w:cs="Calibri"/>
                  <w:sz w:val="18"/>
                  <w:color w:val="1155CC"/>
                  <w:u w:val="single"/>
                </w:rPr>
                <w:t xml:space="preserve">pubmed.ncbi.nlm.nih.gov/26500921 — chromosomal causes of azoospermia, Central India (2015)</w:t>
              </w:r>
            </w:hyperlink>
          </w:p>
          <w:p>
            <w:pPr>
              <w:spacing w:before="60" w:after="40"/>
            </w:pPr>
            <w:r>
              <w:rPr>
                <w:rFonts w:ascii="Calibri" w:hAnsi="Calibri"/>
                <w:b w:val="0"/>
                <w:i w:val="0"/>
                <w:color w:val="5A5A5A"/>
                <w:sz w:val="18"/>
              </w:rPr>
              <w:t>#Klinefelter  #47XXY  #primaryhypogonadism  #azoospermia  #karyotype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Congenital GnRH deficiency / family history</w:t>
            </w:r>
          </w:p>
        </w:tc>
        <w:tc>
          <w:tcPr>
            <w:tcW w:type="dxa" w:w="2160"/>
            <w:vAlign w:val="top"/>
          </w:tcPr>
          <w:p>
            <w:pPr>
              <w:spacing w:after="40" w:before="0" w:line="259" w:lineRule="auto"/>
            </w:pPr>
            <w:r>
              <w:rPr>
                <w:rFonts w:ascii="Calibri" w:hAnsi="Calibri"/>
                <w:b w:val="0"/>
                <w:i w:val="0"/>
                <w:color w:val="212121"/>
                <w:sz w:val="19"/>
              </w:rPr>
              <w:t>Kallmann syndrome &amp; congenital hypogonadotropic hypogonadism</w:t>
            </w:r>
          </w:p>
        </w:tc>
        <w:tc>
          <w:tcPr>
            <w:tcW w:type="dxa" w:w="4276"/>
            <w:vAlign w:val="top"/>
          </w:tcPr>
          <w:p>
            <w:pPr>
              <w:spacing w:after="60" w:line="259" w:lineRule="auto"/>
            </w:pPr>
            <w:r>
              <w:rPr>
                <w:rFonts w:ascii="Calibri" w:hAnsi="Calibri"/>
                <w:b w:val="0"/>
                <w:i w:val="0"/>
                <w:color w:val="212121"/>
                <w:sz w:val="19"/>
              </w:rPr>
              <w:t>Congenital hypogonadotropic hypogonadism, including Kallmann syndrome (with anosmia), arises from defective GnRH-neuron migration or signalling and presents as delayed or absent puberty; a family history of delayed puberty, anosmia or infertility raises the risk.</w:t>
            </w:r>
          </w:p>
          <w:p>
            <w:pPr>
              <w:spacing w:after="40" w:before="60" w:line="259" w:lineRule="auto"/>
            </w:pPr>
            <w:r>
              <w:rPr>
                <w:rFonts w:ascii="Calibri" w:hAnsi="Calibri"/>
                <w:b w:val="0"/>
                <w:i w:val="0"/>
                <w:color w:val="212121"/>
                <w:sz w:val="19"/>
              </w:rPr>
              <w:t>A general clinical statement: congenital hypogonadotropic hypogonadism is a recognised, often familial cause of secondary hypogonadism presenting at puberty.</w:t>
            </w:r>
          </w:p>
          <w:p>
            <w:pPr>
              <w:spacing w:before="60" w:after="40"/>
            </w:pPr>
            <w:r>
              <w:rPr>
                <w:rFonts w:ascii="Calibri" w:hAnsi="Calibri"/>
                <w:b w:val="0"/>
                <w:i w:val="0"/>
                <w:color w:val="5A5A5A"/>
                <w:sz w:val="18"/>
              </w:rPr>
              <w:t>#Kallmann  #anosmia  #CHH  #delayedpuberty  #GnRH</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Type 2 diabetes mellitus</w:t>
            </w:r>
          </w:p>
        </w:tc>
        <w:tc>
          <w:tcPr>
            <w:tcW w:type="dxa" w:w="2160"/>
            <w:vAlign w:val="top"/>
          </w:tcPr>
          <w:p>
            <w:pPr>
              <w:spacing w:after="40" w:before="0" w:line="259" w:lineRule="auto"/>
            </w:pPr>
            <w:r>
              <w:rPr>
                <w:rFonts w:ascii="Calibri" w:hAnsi="Calibri"/>
                <w:b w:val="0"/>
                <w:i w:val="0"/>
                <w:color w:val="212121"/>
                <w:sz w:val="19"/>
              </w:rPr>
              <w:t>Men with type 2 diabetes</w:t>
            </w:r>
          </w:p>
        </w:tc>
        <w:tc>
          <w:tcPr>
            <w:tcW w:type="dxa" w:w="4276"/>
            <w:vAlign w:val="top"/>
          </w:tcPr>
          <w:p>
            <w:pPr>
              <w:spacing w:after="60" w:line="259" w:lineRule="auto"/>
            </w:pPr>
            <w:r>
              <w:rPr>
                <w:rFonts w:ascii="Calibri" w:hAnsi="Calibri"/>
                <w:b w:val="0"/>
                <w:i w:val="0"/>
                <w:color w:val="212121"/>
                <w:sz w:val="19"/>
              </w:rPr>
              <w:t>Type 2 diabetes lowers testosterone through insulin resistance, central obesity and reduced SHBG, and low testosterone in turn worsens insulin resistance and body composition — a bidirectional loop that is highly prevalent in India.</w:t>
            </w:r>
          </w:p>
          <w:p>
            <w:pPr>
              <w:spacing w:after="40" w:before="60" w:line="259" w:lineRule="auto"/>
            </w:pPr>
            <w:r>
              <w:rPr>
                <w:rFonts w:ascii="Calibri" w:hAnsi="Calibri"/>
                <w:b w:val="0"/>
                <w:i w:val="0"/>
                <w:color w:val="212121"/>
                <w:sz w:val="19"/>
              </w:rPr>
              <w:t>18.4% of Indian men with type 2 diabetes had a total testosterone below 300 ng/dL.</w:t>
            </w:r>
          </w:p>
          <w:p>
            <w:pPr>
              <w:spacing w:after="40" w:line="252" w:lineRule="auto"/>
            </w:pPr>
            <w:hyperlink r:id="rId12">
              <w:r>
                <w:rPr>
                  <w:rFonts w:ascii="Calibri" w:hAnsi="Calibri" w:cs="Calibri"/>
                  <w:sz w:val="18"/>
                  <w:color w:val="1155CC"/>
                  <w:u w:val="single"/>
                </w:rPr>
                <w:t xml:space="preserve">pubmed.ncbi.nlm.nih.gov/39676785 — T2DM &amp; hypogonadism in India (IJEM 2024)</w:t>
              </w:r>
            </w:hyperlink>
          </w:p>
          <w:p>
            <w:pPr>
              <w:spacing w:before="60" w:after="40"/>
            </w:pPr>
            <w:r>
              <w:rPr>
                <w:rFonts w:ascii="Calibri" w:hAnsi="Calibri"/>
                <w:b w:val="0"/>
                <w:i w:val="0"/>
                <w:color w:val="5A5A5A"/>
                <w:sz w:val="18"/>
              </w:rPr>
              <w:t>#type2diabetes  #insulinresistance  #bidirectional  #India  #SHBG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Obesity &amp; metabolic syndrome</w:t>
            </w:r>
          </w:p>
        </w:tc>
        <w:tc>
          <w:tcPr>
            <w:tcW w:type="dxa" w:w="2160"/>
            <w:vAlign w:val="top"/>
          </w:tcPr>
          <w:p>
            <w:pPr>
              <w:spacing w:after="40" w:before="0" w:line="259" w:lineRule="auto"/>
            </w:pPr>
            <w:r>
              <w:rPr>
                <w:rFonts w:ascii="Calibri" w:hAnsi="Calibri"/>
                <w:b w:val="0"/>
                <w:i w:val="0"/>
                <w:color w:val="212121"/>
                <w:sz w:val="19"/>
              </w:rPr>
              <w:t>Men with the metabolic syndrome</w:t>
            </w:r>
          </w:p>
        </w:tc>
        <w:tc>
          <w:tcPr>
            <w:tcW w:type="dxa" w:w="4276"/>
            <w:vAlign w:val="top"/>
          </w:tcPr>
          <w:p>
            <w:pPr>
              <w:spacing w:after="60" w:line="259" w:lineRule="auto"/>
            </w:pPr>
            <w:r>
              <w:rPr>
                <w:rFonts w:ascii="Calibri" w:hAnsi="Calibri"/>
                <w:b w:val="0"/>
                <w:i w:val="0"/>
                <w:color w:val="212121"/>
                <w:sz w:val="19"/>
              </w:rPr>
              <w:t>Central obesity and the metabolic syndrome are the leading drivers of functional secondary hypogonadism and frequently coexist with low testosterone, which then perpetuates fat gain and dysglycaemia.</w:t>
            </w:r>
          </w:p>
          <w:p>
            <w:pPr>
              <w:spacing w:after="40" w:before="60" w:line="259" w:lineRule="auto"/>
            </w:pPr>
            <w:r>
              <w:rPr>
                <w:rFonts w:ascii="Calibri" w:hAnsi="Calibri"/>
                <w:b w:val="0"/>
                <w:i w:val="0"/>
                <w:color w:val="212121"/>
                <w:sz w:val="19"/>
              </w:rPr>
              <w:t>In men aged 20–59, low testosterone (24.4%) and the metabolic syndrome (26.4%) were common and strongly associated.</w:t>
            </w:r>
          </w:p>
          <w:p>
            <w:pPr>
              <w:spacing w:after="40" w:line="252" w:lineRule="auto"/>
            </w:pPr>
            <w:hyperlink r:id="rId13">
              <w:r>
                <w:rPr>
                  <w:rFonts w:ascii="Calibri" w:hAnsi="Calibri" w:cs="Calibri"/>
                  <w:sz w:val="18"/>
                  <w:color w:val="1155CC"/>
                  <w:u w:val="single"/>
                </w:rPr>
                <w:t xml:space="preserve">pubmed.ncbi.nlm.nih.gov/32617747 — low testosterone &amp; metabolic syndrome (2020)</w:t>
              </w:r>
            </w:hyperlink>
          </w:p>
          <w:p>
            <w:pPr>
              <w:spacing w:before="60" w:after="40"/>
            </w:pPr>
            <w:r>
              <w:rPr>
                <w:rFonts w:ascii="Calibri" w:hAnsi="Calibri"/>
                <w:b w:val="0"/>
                <w:i w:val="0"/>
                <w:color w:val="5A5A5A"/>
                <w:sz w:val="18"/>
              </w:rPr>
              <w:t>#metabolicsyndrome  #obesity  #functionalhypogonadism  #dysglycaemia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Chronic systemic &amp; pituitary disease</w:t>
            </w:r>
          </w:p>
        </w:tc>
        <w:tc>
          <w:tcPr>
            <w:tcW w:type="dxa" w:w="2160"/>
            <w:vAlign w:val="top"/>
          </w:tcPr>
          <w:p>
            <w:pPr>
              <w:spacing w:after="40" w:before="0" w:line="259" w:lineRule="auto"/>
            </w:pPr>
            <w:r>
              <w:rPr>
                <w:rFonts w:ascii="Calibri" w:hAnsi="Calibri"/>
                <w:b w:val="0"/>
                <w:i w:val="0"/>
                <w:color w:val="212121"/>
                <w:sz w:val="19"/>
              </w:rPr>
              <w:t>CKD, HIV, cirrhosis, haemochromatosis, hyperprolactinaemia / pituitary disease</w:t>
            </w:r>
          </w:p>
        </w:tc>
        <w:tc>
          <w:tcPr>
            <w:tcW w:type="dxa" w:w="4276"/>
            <w:vAlign w:val="top"/>
          </w:tcPr>
          <w:p>
            <w:pPr>
              <w:spacing w:after="60" w:line="259" w:lineRule="auto"/>
            </w:pPr>
            <w:r>
              <w:rPr>
                <w:rFonts w:ascii="Calibri" w:hAnsi="Calibri"/>
                <w:b w:val="0"/>
                <w:i w:val="0"/>
                <w:color w:val="212121"/>
                <w:sz w:val="19"/>
              </w:rPr>
              <w:t>Systemic diseases suppress the HPG axis by several routes — uraemia and HIV cause both primary and secondary defects, iron overload (haemochromatosis) infiltrates the pituitary and testis, and hyperprolactinaemia (prolactinoma or drugs) inhibits GnRH — so hypogonadism is frequently secondary to another diagnosis.</w:t>
            </w:r>
          </w:p>
          <w:p>
            <w:pPr>
              <w:spacing w:after="40" w:before="60" w:line="259" w:lineRule="auto"/>
            </w:pPr>
            <w:r>
              <w:rPr>
                <w:rFonts w:ascii="Calibri" w:hAnsi="Calibri"/>
                <w:b w:val="0"/>
                <w:i w:val="0"/>
                <w:color w:val="212121"/>
                <w:sz w:val="19"/>
              </w:rPr>
              <w:t>A general clinical statement: chronic renal, hepatic, infiltrative and pituitary diseases are established secondary causes of male hypogonadism.</w:t>
            </w:r>
          </w:p>
          <w:p>
            <w:pPr>
              <w:spacing w:before="60" w:after="40"/>
            </w:pPr>
            <w:r>
              <w:rPr>
                <w:rFonts w:ascii="Calibri" w:hAnsi="Calibri"/>
                <w:b w:val="0"/>
                <w:i w:val="0"/>
                <w:color w:val="5A5A5A"/>
                <w:sz w:val="18"/>
              </w:rPr>
              <w:t>#CKD  #HIV  #haemochromatosis  #hyperprolactinaemia  #pituitary</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Physical activity and body composition are dominant modifiable determinants: central obesity strongly lowers testosterone via aromatisation, reduced SHBG and insulin resistance, while weight loss and resistance/aerobic training raise testosterone and improve symptoms. Low testosterone in turn reduces muscle mass, creating a vicious cycle.</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Energy-dense, high-refined-carbohydrate diets promote the obesity and insulin resistance that suppress the axis; hypocaloric diets that achieve weight loss raise testosterone, whereas severe undernutrition suppresses GnRH. Correcting genuine vitamin D or zinc deficiency may modestly help.</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Testosterone secretion is sleep-entrained, peaking in the morning after adequate sleep; short sleep, poor quality and obstructive sleep apnoea blunt the nocturnal rise and lower daytime testosterone.</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Smoking impairs sperm quality and testicular microcirculation and worsens erectile-vascular outcomes; its direct effect on measured testosterone is variable (nicotine may transiently raise total testosterone and SHBG).</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Chronic heavy alcohol is directly gonadotoxic to Leydig cells and suppresses the hypothalamic–pituitary axis; with cirrhosis, raised SHBG and aromatisation further reduce free testosterone and cause feminisation.</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Chronic stress and depression suppress GnRH and are bidirectionally linked to low testosterone; hypogonadism itself causes low mood, low energy and reduced libido, so the two frequently coexist and reinforce each other.</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No established relationship between hydration/water intake and testosterone status.</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Evidence is inconsistent; moderate caffeine/coffee intake has small and unreliable effects on testosterone and is not a meaningful determinant of hypogonadism.</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Not an established determinant of male hypogonadism.</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Identifiable, often reversible provocations include chronic opioids and glucocorticoids, anabolic–androgenic steroid use, heavy alcohol, acute severe illness, and pituitary-suppressing drugs (e.g., some antipsychotics via hyperprolactinaemia).</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(Asian-Indian cut-offs)</w:t>
            </w:r>
          </w:p>
        </w:tc>
        <w:tc>
          <w:tcPr>
            <w:tcW w:type="dxa" w:w="1655"/>
            <w:vAlign w:val="top"/>
          </w:tcPr>
          <w:p>
            <w:pPr>
              <w:spacing w:after="40" w:before="0" w:line="259" w:lineRule="auto"/>
            </w:pPr>
            <w:r>
              <w:rPr>
                <w:rFonts w:ascii="Calibri" w:hAnsi="Calibri"/>
                <w:b w:val="0"/>
                <w:i w:val="0"/>
                <w:color w:val="212121"/>
                <w:sz w:val="19"/>
              </w:rPr>
              <w:t>Adult men</w:t>
            </w:r>
          </w:p>
        </w:tc>
        <w:tc>
          <w:tcPr>
            <w:tcW w:type="dxa" w:w="1512"/>
            <w:vAlign w:val="top"/>
          </w:tcPr>
          <w:p>
            <w:pPr>
              <w:spacing w:after="40" w:before="0" w:line="259" w:lineRule="auto"/>
            </w:pPr>
            <w:r>
              <w:rPr>
                <w:rFonts w:ascii="Calibri" w:hAnsi="Calibri"/>
                <w:b w:val="0"/>
                <w:i w:val="0"/>
                <w:color w:val="212121"/>
                <w:sz w:val="19"/>
              </w:rPr>
              <w:t>18.0–22.9 kg/m²</w:t>
            </w:r>
          </w:p>
        </w:tc>
        <w:tc>
          <w:tcPr>
            <w:tcW w:type="dxa" w:w="1512"/>
            <w:vAlign w:val="top"/>
          </w:tcPr>
          <w:p>
            <w:pPr>
              <w:spacing w:after="40" w:before="0" w:line="259" w:lineRule="auto"/>
            </w:pPr>
            <w:r>
              <w:rPr>
                <w:rFonts w:ascii="Calibri" w:hAnsi="Calibri"/>
                <w:b w:val="0"/>
                <w:i w:val="0"/>
                <w:color w:val="212121"/>
                <w:sz w:val="19"/>
              </w:rPr>
              <w:t>≥ 23 (overweight); ≥ 25 (obese)</w:t>
            </w:r>
          </w:p>
        </w:tc>
        <w:tc>
          <w:tcPr>
            <w:tcW w:type="dxa" w:w="1468"/>
            <w:vAlign w:val="top"/>
          </w:tcPr>
          <w:p>
            <w:pPr>
              <w:spacing w:after="60" w:line="259" w:lineRule="auto"/>
            </w:pPr>
            <w:r>
              <w:rPr>
                <w:rFonts w:ascii="Calibri" w:hAnsi="Calibri"/>
                <w:b w:val="0"/>
                <w:i w:val="0"/>
                <w:color w:val="212121"/>
                <w:sz w:val="19"/>
              </w:rPr>
              <w:t>Higher BMI lowers SHBG and total/free testosterone via aromatisation and insulin resistance</w:t>
            </w:r>
          </w:p>
          <w:p>
            <w:pPr>
              <w:spacing w:after="40" w:line="252" w:lineRule="auto"/>
            </w:pPr>
            <w:hyperlink r:id="rId13">
              <w:r>
                <w:rPr>
                  <w:rFonts w:ascii="Calibri" w:hAnsi="Calibri" w:cs="Calibri"/>
                  <w:sz w:val="18"/>
                  <w:color w:val="1155CC"/>
                  <w:u w:val="single"/>
                </w:rPr>
                <w:t xml:space="preserve">https://pubmed.ncbi.nlm.nih.gov/32617747/</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Waist circumference (India-specific)</w:t>
            </w:r>
          </w:p>
        </w:tc>
        <w:tc>
          <w:tcPr>
            <w:tcW w:type="dxa" w:w="1655"/>
            <w:vAlign w:val="top"/>
          </w:tcPr>
          <w:p>
            <w:pPr>
              <w:spacing w:after="40" w:before="0" w:line="259" w:lineRule="auto"/>
            </w:pPr>
            <w:r>
              <w:rPr>
                <w:rFonts w:ascii="Calibri" w:hAnsi="Calibri"/>
                <w:b w:val="0"/>
                <w:i w:val="0"/>
                <w:color w:val="212121"/>
                <w:sz w:val="19"/>
              </w:rPr>
              <w:t>Adult men</w:t>
            </w:r>
          </w:p>
        </w:tc>
        <w:tc>
          <w:tcPr>
            <w:tcW w:type="dxa" w:w="1512"/>
            <w:vAlign w:val="top"/>
          </w:tcPr>
          <w:p>
            <w:pPr>
              <w:spacing w:after="40" w:before="0" w:line="259" w:lineRule="auto"/>
            </w:pPr>
            <w:r>
              <w:rPr>
                <w:rFonts w:ascii="Calibri" w:hAnsi="Calibri"/>
                <w:b w:val="0"/>
                <w:i w:val="0"/>
                <w:color w:val="212121"/>
                <w:sz w:val="19"/>
              </w:rPr>
              <w:t>&lt; 90 cm</w:t>
            </w:r>
          </w:p>
        </w:tc>
        <w:tc>
          <w:tcPr>
            <w:tcW w:type="dxa" w:w="1512"/>
            <w:vAlign w:val="top"/>
          </w:tcPr>
          <w:p>
            <w:pPr>
              <w:spacing w:after="40" w:before="0" w:line="259" w:lineRule="auto"/>
            </w:pPr>
            <w:r>
              <w:rPr>
                <w:rFonts w:ascii="Calibri" w:hAnsi="Calibri"/>
                <w:b w:val="0"/>
                <w:i w:val="0"/>
                <w:color w:val="212121"/>
                <w:sz w:val="19"/>
              </w:rPr>
              <w:t>≥ 90 cm (abdominal obesity)</w:t>
            </w:r>
          </w:p>
        </w:tc>
        <w:tc>
          <w:tcPr>
            <w:tcW w:type="dxa" w:w="1468"/>
            <w:vAlign w:val="top"/>
          </w:tcPr>
          <w:p>
            <w:pPr>
              <w:spacing w:after="60" w:line="259" w:lineRule="auto"/>
            </w:pPr>
            <w:r>
              <w:rPr>
                <w:rFonts w:ascii="Calibri" w:hAnsi="Calibri"/>
                <w:b w:val="0"/>
                <w:i w:val="0"/>
                <w:color w:val="212121"/>
                <w:sz w:val="19"/>
              </w:rPr>
              <w:t>Central adiposity is the strongest modifiable predictor of low testosterone</w:t>
            </w:r>
          </w:p>
          <w:p>
            <w:pPr>
              <w:spacing w:after="40" w:line="252" w:lineRule="auto"/>
            </w:pPr>
            <w:hyperlink r:id="rId13">
              <w:r>
                <w:rPr>
                  <w:rFonts w:ascii="Calibri" w:hAnsi="Calibri" w:cs="Calibri"/>
                  <w:sz w:val="18"/>
                  <w:color w:val="1155CC"/>
                  <w:u w:val="single"/>
                </w:rPr>
                <w:t xml:space="preserve">https://pubmed.ncbi.nlm.nih.gov/32617747/</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Moderate–vigorous activity (min/week)</w:t>
            </w:r>
          </w:p>
        </w:tc>
        <w:tc>
          <w:tcPr>
            <w:tcW w:type="dxa" w:w="1655"/>
            <w:vAlign w:val="top"/>
          </w:tcPr>
          <w:p>
            <w:pPr>
              <w:spacing w:after="40" w:before="0" w:line="259" w:lineRule="auto"/>
            </w:pPr>
            <w:r>
              <w:rPr>
                <w:rFonts w:ascii="Calibri" w:hAnsi="Calibri"/>
                <w:b w:val="0"/>
                <w:i w:val="0"/>
                <w:color w:val="212121"/>
                <w:sz w:val="19"/>
              </w:rPr>
              <w:t>Adult men</w:t>
            </w:r>
          </w:p>
        </w:tc>
        <w:tc>
          <w:tcPr>
            <w:tcW w:type="dxa" w:w="1512"/>
            <w:vAlign w:val="top"/>
          </w:tcPr>
          <w:p>
            <w:pPr>
              <w:spacing w:after="40" w:before="0" w:line="259" w:lineRule="auto"/>
            </w:pPr>
            <w:r>
              <w:rPr>
                <w:rFonts w:ascii="Calibri" w:hAnsi="Calibri"/>
                <w:b w:val="0"/>
                <w:i w:val="0"/>
                <w:color w:val="212121"/>
                <w:sz w:val="19"/>
              </w:rPr>
              <w:t>≥ 150 min/week + resistance training 2–3 d/week</w:t>
            </w:r>
          </w:p>
        </w:tc>
        <w:tc>
          <w:tcPr>
            <w:tcW w:type="dxa" w:w="1512"/>
            <w:vAlign w:val="top"/>
          </w:tcPr>
          <w:p>
            <w:pPr>
              <w:spacing w:after="40" w:before="0" w:line="259" w:lineRule="auto"/>
            </w:pPr>
            <w:r>
              <w:rPr>
                <w:rFonts w:ascii="Calibri" w:hAnsi="Calibri"/>
                <w:b w:val="0"/>
                <w:i w:val="0"/>
                <w:color w:val="212121"/>
                <w:sz w:val="19"/>
              </w:rPr>
              <w:t>&lt; 150 min/week</w:t>
            </w:r>
          </w:p>
        </w:tc>
        <w:tc>
          <w:tcPr>
            <w:tcW w:type="dxa" w:w="1468"/>
            <w:vAlign w:val="top"/>
          </w:tcPr>
          <w:p>
            <w:pPr>
              <w:spacing w:after="40" w:before="0" w:line="259" w:lineRule="auto"/>
            </w:pPr>
            <w:r>
              <w:rPr>
                <w:rFonts w:ascii="Calibri" w:hAnsi="Calibri"/>
                <w:b w:val="0"/>
                <w:i w:val="0"/>
                <w:color w:val="212121"/>
                <w:sz w:val="19"/>
              </w:rPr>
              <w:t>Inactivity worsens adiposity and insulin resistance; training improves testosterone</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Glycaemic status (HbA1c)</w:t>
            </w:r>
          </w:p>
        </w:tc>
        <w:tc>
          <w:tcPr>
            <w:tcW w:type="dxa" w:w="1655"/>
            <w:vAlign w:val="top"/>
          </w:tcPr>
          <w:p>
            <w:pPr>
              <w:spacing w:after="40" w:before="0" w:line="259" w:lineRule="auto"/>
            </w:pPr>
            <w:r>
              <w:rPr>
                <w:rFonts w:ascii="Calibri" w:hAnsi="Calibri"/>
                <w:b w:val="0"/>
                <w:i w:val="0"/>
                <w:color w:val="212121"/>
                <w:sz w:val="19"/>
              </w:rPr>
              <w:t>Men at metabolic risk</w:t>
            </w:r>
          </w:p>
        </w:tc>
        <w:tc>
          <w:tcPr>
            <w:tcW w:type="dxa" w:w="1512"/>
            <w:vAlign w:val="top"/>
          </w:tcPr>
          <w:p>
            <w:pPr>
              <w:spacing w:after="40" w:before="0" w:line="259" w:lineRule="auto"/>
            </w:pPr>
            <w:r>
              <w:rPr>
                <w:rFonts w:ascii="Calibri" w:hAnsi="Calibri"/>
                <w:b w:val="0"/>
                <w:i w:val="0"/>
                <w:color w:val="212121"/>
                <w:sz w:val="19"/>
              </w:rPr>
              <w:t>&lt; 5.7%</w:t>
            </w:r>
          </w:p>
        </w:tc>
        <w:tc>
          <w:tcPr>
            <w:tcW w:type="dxa" w:w="1512"/>
            <w:vAlign w:val="top"/>
          </w:tcPr>
          <w:p>
            <w:pPr>
              <w:spacing w:after="40" w:before="0" w:line="259" w:lineRule="auto"/>
            </w:pPr>
            <w:r>
              <w:rPr>
                <w:rFonts w:ascii="Calibri" w:hAnsi="Calibri"/>
                <w:b w:val="0"/>
                <w:i w:val="0"/>
                <w:color w:val="212121"/>
                <w:sz w:val="19"/>
              </w:rPr>
              <w:t>≥ 6.5% (diabetes); 5.7–6.4% (prediabetes)</w:t>
            </w:r>
          </w:p>
        </w:tc>
        <w:tc>
          <w:tcPr>
            <w:tcW w:type="dxa" w:w="1468"/>
            <w:vAlign w:val="top"/>
          </w:tcPr>
          <w:p>
            <w:pPr>
              <w:spacing w:after="60" w:line="259" w:lineRule="auto"/>
            </w:pPr>
            <w:r>
              <w:rPr>
                <w:rFonts w:ascii="Calibri" w:hAnsi="Calibri"/>
                <w:b w:val="0"/>
                <w:i w:val="0"/>
                <w:color w:val="212121"/>
                <w:sz w:val="19"/>
              </w:rPr>
              <w:t>Type 2 diabetes is strongly associated with functional hypogonadism</w:t>
            </w:r>
          </w:p>
          <w:p>
            <w:pPr>
              <w:spacing w:after="40" w:line="252" w:lineRule="auto"/>
            </w:pPr>
            <w:hyperlink r:id="rId12">
              <w:r>
                <w:rPr>
                  <w:rFonts w:ascii="Calibri" w:hAnsi="Calibri" w:cs="Calibri"/>
                  <w:sz w:val="18"/>
                  <w:color w:val="1155CC"/>
                  <w:u w:val="single"/>
                </w:rPr>
                <w:t xml:space="preserve">https://pubmed.ncbi.nlm.nih.gov/39676785/</w:t>
              </w:r>
            </w:hyperlink>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&amp; apnoea</w:t>
            </w:r>
          </w:p>
        </w:tc>
        <w:tc>
          <w:tcPr>
            <w:tcW w:type="dxa" w:w="1655"/>
            <w:vAlign w:val="top"/>
          </w:tcPr>
          <w:p>
            <w:pPr>
              <w:spacing w:after="40" w:before="0" w:line="259" w:lineRule="auto"/>
            </w:pPr>
            <w:r>
              <w:rPr>
                <w:rFonts w:ascii="Calibri" w:hAnsi="Calibri"/>
                <w:b w:val="0"/>
                <w:i w:val="0"/>
                <w:color w:val="212121"/>
                <w:sz w:val="19"/>
              </w:rPr>
              <w:t>Adult men</w:t>
            </w:r>
          </w:p>
        </w:tc>
        <w:tc>
          <w:tcPr>
            <w:tcW w:type="dxa" w:w="1512"/>
            <w:vAlign w:val="top"/>
          </w:tcPr>
          <w:p>
            <w:pPr>
              <w:spacing w:after="40" w:before="0" w:line="259" w:lineRule="auto"/>
            </w:pPr>
            <w:r>
              <w:rPr>
                <w:rFonts w:ascii="Calibri" w:hAnsi="Calibri"/>
                <w:b w:val="0"/>
                <w:i w:val="0"/>
                <w:color w:val="212121"/>
                <w:sz w:val="19"/>
              </w:rPr>
              <w:t>7–9 h/night, no untreated OSA</w:t>
            </w:r>
          </w:p>
        </w:tc>
        <w:tc>
          <w:tcPr>
            <w:tcW w:type="dxa" w:w="1512"/>
            <w:vAlign w:val="top"/>
          </w:tcPr>
          <w:p>
            <w:pPr>
              <w:spacing w:after="40" w:before="0" w:line="259" w:lineRule="auto"/>
            </w:pPr>
            <w:r>
              <w:rPr>
                <w:rFonts w:ascii="Calibri" w:hAnsi="Calibri"/>
                <w:b w:val="0"/>
                <w:i w:val="0"/>
                <w:color w:val="212121"/>
                <w:sz w:val="19"/>
              </w:rPr>
              <w:t>&lt; 6 h/night or untreated obstructive sleep apnoea</w:t>
            </w:r>
          </w:p>
        </w:tc>
        <w:tc>
          <w:tcPr>
            <w:tcW w:type="dxa" w:w="1468"/>
            <w:vAlign w:val="top"/>
          </w:tcPr>
          <w:p>
            <w:pPr>
              <w:spacing w:after="60" w:line="259" w:lineRule="auto"/>
            </w:pPr>
            <w:r>
              <w:rPr>
                <w:rFonts w:ascii="Calibri" w:hAnsi="Calibri"/>
                <w:b w:val="0"/>
                <w:i w:val="0"/>
                <w:color w:val="212121"/>
                <w:sz w:val="19"/>
              </w:rPr>
              <w:t>Sleep restriction and OSA blunt the nocturnal testosterone rise</w:t>
            </w:r>
          </w:p>
          <w:p>
            <w:pPr>
              <w:spacing w:after="40" w:line="252" w:lineRule="auto"/>
            </w:pPr>
            <w:hyperlink r:id="rId14">
              <w:r>
                <w:rPr>
                  <w:rFonts w:ascii="Calibri" w:hAnsi="Calibri" w:cs="Calibri"/>
                  <w:sz w:val="18"/>
                  <w:color w:val="1155CC"/>
                  <w:u w:val="single"/>
                </w:rPr>
                <w:t xml:space="preserve">https://pubmed.ncbi.nlm.nih.gov/29774669/</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 (units/week)</w:t>
            </w:r>
          </w:p>
        </w:tc>
        <w:tc>
          <w:tcPr>
            <w:tcW w:type="dxa" w:w="1655"/>
            <w:vAlign w:val="top"/>
          </w:tcPr>
          <w:p>
            <w:pPr>
              <w:spacing w:after="40" w:before="0" w:line="259" w:lineRule="auto"/>
            </w:pPr>
            <w:r>
              <w:rPr>
                <w:rFonts w:ascii="Calibri" w:hAnsi="Calibri"/>
                <w:b w:val="0"/>
                <w:i w:val="0"/>
                <w:color w:val="212121"/>
                <w:sz w:val="19"/>
              </w:rPr>
              <w:t>Adult men</w:t>
            </w:r>
          </w:p>
        </w:tc>
        <w:tc>
          <w:tcPr>
            <w:tcW w:type="dxa" w:w="1512"/>
            <w:vAlign w:val="top"/>
          </w:tcPr>
          <w:p>
            <w:pPr>
              <w:spacing w:after="40" w:before="0" w:line="259" w:lineRule="auto"/>
            </w:pPr>
            <w:r>
              <w:rPr>
                <w:rFonts w:ascii="Calibri" w:hAnsi="Calibri"/>
                <w:b w:val="0"/>
                <w:i w:val="0"/>
                <w:color w:val="212121"/>
                <w:sz w:val="19"/>
              </w:rPr>
              <w:t>≤ 14 units/week (avoid heavy/binge use)</w:t>
            </w:r>
          </w:p>
        </w:tc>
        <w:tc>
          <w:tcPr>
            <w:tcW w:type="dxa" w:w="1512"/>
            <w:vAlign w:val="top"/>
          </w:tcPr>
          <w:p>
            <w:pPr>
              <w:spacing w:after="40" w:before="0" w:line="259" w:lineRule="auto"/>
            </w:pPr>
            <w:r>
              <w:rPr>
                <w:rFonts w:ascii="Calibri" w:hAnsi="Calibri"/>
                <w:b w:val="0"/>
                <w:i w:val="0"/>
                <w:color w:val="212121"/>
                <w:sz w:val="19"/>
              </w:rPr>
              <w:t>Sustained heavy or dependent drinking</w:t>
            </w:r>
          </w:p>
        </w:tc>
        <w:tc>
          <w:tcPr>
            <w:tcW w:type="dxa" w:w="1468"/>
            <w:vAlign w:val="top"/>
          </w:tcPr>
          <w:p>
            <w:pPr>
              <w:spacing w:after="40" w:before="0" w:line="259" w:lineRule="auto"/>
            </w:pPr>
            <w:r>
              <w:rPr>
                <w:rFonts w:ascii="Calibri" w:hAnsi="Calibri"/>
                <w:b w:val="0"/>
                <w:i w:val="0"/>
                <w:color w:val="212121"/>
                <w:sz w:val="19"/>
              </w:rPr>
              <w:t>Heavy alcohol is gonadotoxic and, with cirrhosis, feminising</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Tobacco use</w:t>
            </w:r>
          </w:p>
        </w:tc>
        <w:tc>
          <w:tcPr>
            <w:tcW w:type="dxa" w:w="1655"/>
            <w:vAlign w:val="top"/>
          </w:tcPr>
          <w:p>
            <w:pPr>
              <w:spacing w:after="40" w:before="0" w:line="259" w:lineRule="auto"/>
            </w:pPr>
            <w:r>
              <w:rPr>
                <w:rFonts w:ascii="Calibri" w:hAnsi="Calibri"/>
                <w:b w:val="0"/>
                <w:i w:val="0"/>
                <w:color w:val="212121"/>
                <w:sz w:val="19"/>
              </w:rPr>
              <w:t>Adult men</w:t>
            </w:r>
          </w:p>
        </w:tc>
        <w:tc>
          <w:tcPr>
            <w:tcW w:type="dxa" w:w="1512"/>
            <w:vAlign w:val="top"/>
          </w:tcPr>
          <w:p>
            <w:pPr>
              <w:spacing w:after="40" w:before="0" w:line="259" w:lineRule="auto"/>
            </w:pPr>
            <w:r>
              <w:rPr>
                <w:rFonts w:ascii="Calibri" w:hAnsi="Calibri"/>
                <w:b w:val="0"/>
                <w:i w:val="0"/>
                <w:color w:val="212121"/>
                <w:sz w:val="19"/>
              </w:rPr>
              <w:t>0 (non-smoker)</w:t>
            </w:r>
          </w:p>
        </w:tc>
        <w:tc>
          <w:tcPr>
            <w:tcW w:type="dxa" w:w="1512"/>
            <w:vAlign w:val="top"/>
          </w:tcPr>
          <w:p>
            <w:pPr>
              <w:spacing w:after="40" w:before="0" w:line="259" w:lineRule="auto"/>
            </w:pPr>
            <w:r>
              <w:rPr>
                <w:rFonts w:ascii="Calibri" w:hAnsi="Calibri"/>
                <w:b w:val="0"/>
                <w:i w:val="0"/>
                <w:color w:val="212121"/>
                <w:sz w:val="19"/>
              </w:rPr>
              <w:t>Any current smoking/tobacco use</w:t>
            </w:r>
          </w:p>
        </w:tc>
        <w:tc>
          <w:tcPr>
            <w:tcW w:type="dxa" w:w="1468"/>
            <w:vAlign w:val="top"/>
          </w:tcPr>
          <w:p>
            <w:pPr>
              <w:spacing w:after="40" w:before="0" w:line="259" w:lineRule="auto"/>
            </w:pPr>
            <w:r>
              <w:rPr>
                <w:rFonts w:ascii="Calibri" w:hAnsi="Calibri"/>
                <w:b w:val="0"/>
                <w:i w:val="0"/>
                <w:color w:val="212121"/>
                <w:sz w:val="19"/>
              </w:rPr>
              <w:t>Impairs sperm quality and erectile-vascular function</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Chronic opioid / glucocorticoid / anabolic-steroid use</w:t>
            </w:r>
          </w:p>
        </w:tc>
        <w:tc>
          <w:tcPr>
            <w:tcW w:type="dxa" w:w="1655"/>
            <w:vAlign w:val="top"/>
          </w:tcPr>
          <w:p>
            <w:pPr>
              <w:spacing w:after="40" w:before="0" w:line="259" w:lineRule="auto"/>
            </w:pPr>
            <w:r>
              <w:rPr>
                <w:rFonts w:ascii="Calibri" w:hAnsi="Calibri"/>
                <w:b w:val="0"/>
                <w:i w:val="0"/>
                <w:color w:val="212121"/>
                <w:sz w:val="19"/>
              </w:rPr>
              <w:t>Chronic-pain, inflammatory-disease and bodybuilding populations</w:t>
            </w:r>
          </w:p>
        </w:tc>
        <w:tc>
          <w:tcPr>
            <w:tcW w:type="dxa" w:w="1512"/>
            <w:vAlign w:val="top"/>
          </w:tcPr>
          <w:p>
            <w:pPr>
              <w:spacing w:after="40" w:before="0" w:line="259" w:lineRule="auto"/>
            </w:pPr>
            <w:r>
              <w:rPr>
                <w:rFonts w:ascii="Calibri" w:hAnsi="Calibri"/>
                <w:b w:val="0"/>
                <w:i w:val="0"/>
                <w:color w:val="212121"/>
                <w:sz w:val="19"/>
              </w:rPr>
              <w:t>None</w:t>
            </w:r>
          </w:p>
        </w:tc>
        <w:tc>
          <w:tcPr>
            <w:tcW w:type="dxa" w:w="1512"/>
            <w:vAlign w:val="top"/>
          </w:tcPr>
          <w:p>
            <w:pPr>
              <w:spacing w:after="40" w:before="0" w:line="259" w:lineRule="auto"/>
            </w:pPr>
            <w:r>
              <w:rPr>
                <w:rFonts w:ascii="Calibri" w:hAnsi="Calibri"/>
                <w:b w:val="0"/>
                <w:i w:val="0"/>
                <w:color w:val="212121"/>
                <w:sz w:val="19"/>
              </w:rPr>
              <w:t>Any chronic use</w:t>
            </w:r>
          </w:p>
        </w:tc>
        <w:tc>
          <w:tcPr>
            <w:tcW w:type="dxa" w:w="1468"/>
            <w:vAlign w:val="top"/>
          </w:tcPr>
          <w:p>
            <w:pPr>
              <w:spacing w:after="60" w:line="259" w:lineRule="auto"/>
            </w:pPr>
            <w:r>
              <w:rPr>
                <w:rFonts w:ascii="Calibri" w:hAnsi="Calibri"/>
                <w:b w:val="0"/>
                <w:i w:val="0"/>
                <w:color w:val="212121"/>
                <w:sz w:val="19"/>
              </w:rPr>
              <w:t>Potent, often reversible suppressor of the HPG axis</w:t>
            </w:r>
          </w:p>
          <w:p>
            <w:pPr>
              <w:spacing w:after="40" w:line="252" w:lineRule="auto"/>
            </w:pPr>
            <w:hyperlink r:id="rId15">
              <w:r>
                <w:rPr>
                  <w:rFonts w:ascii="Calibri" w:hAnsi="Calibri" w:cs="Calibri"/>
                  <w:sz w:val="18"/>
                  <w:color w:val="1155CC"/>
                  <w:u w:val="single"/>
                </w:rPr>
                <w:t xml:space="preserve">https://pubmed.ncbi.nlm.nih.gov/30343356/</w:t>
              </w:r>
            </w:hyperlink>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Morning total testosterone</w:t>
            </w:r>
          </w:p>
        </w:tc>
        <w:tc>
          <w:tcPr>
            <w:tcW w:type="dxa" w:w="1655"/>
            <w:vAlign w:val="top"/>
          </w:tcPr>
          <w:p>
            <w:pPr>
              <w:spacing w:after="40" w:before="0" w:line="259" w:lineRule="auto"/>
            </w:pPr>
            <w:r>
              <w:rPr>
                <w:rFonts w:ascii="Calibri" w:hAnsi="Calibri"/>
                <w:b w:val="0"/>
                <w:i w:val="0"/>
                <w:color w:val="212121"/>
                <w:sz w:val="19"/>
              </w:rPr>
              <w:t>Symptomatic men</w:t>
            </w:r>
          </w:p>
        </w:tc>
        <w:tc>
          <w:tcPr>
            <w:tcW w:type="dxa" w:w="1512"/>
            <w:vAlign w:val="top"/>
          </w:tcPr>
          <w:p>
            <w:pPr>
              <w:spacing w:after="40" w:before="0" w:line="259" w:lineRule="auto"/>
            </w:pPr>
            <w:r>
              <w:rPr>
                <w:rFonts w:ascii="Calibri" w:hAnsi="Calibri"/>
                <w:b w:val="0"/>
                <w:i w:val="0"/>
                <w:color w:val="212121"/>
                <w:sz w:val="19"/>
              </w:rPr>
              <w:t>≥ 300–350 ng/dL</w:t>
            </w:r>
          </w:p>
        </w:tc>
        <w:tc>
          <w:tcPr>
            <w:tcW w:type="dxa" w:w="1512"/>
            <w:vAlign w:val="top"/>
          </w:tcPr>
          <w:p>
            <w:pPr>
              <w:spacing w:after="40" w:before="0" w:line="259" w:lineRule="auto"/>
            </w:pPr>
            <w:r>
              <w:rPr>
                <w:rFonts w:ascii="Calibri" w:hAnsi="Calibri"/>
                <w:b w:val="0"/>
                <w:i w:val="0"/>
                <w:color w:val="212121"/>
                <w:sz w:val="19"/>
              </w:rPr>
              <w:t>&lt; 300 ng/dL (Endocrine Society ≈ 264) on two morning samples</w:t>
            </w:r>
          </w:p>
        </w:tc>
        <w:tc>
          <w:tcPr>
            <w:tcW w:type="dxa" w:w="1468"/>
            <w:vAlign w:val="top"/>
          </w:tcPr>
          <w:p>
            <w:pPr>
              <w:spacing w:after="60" w:line="259" w:lineRule="auto"/>
            </w:pPr>
            <w:r>
              <w:rPr>
                <w:rFonts w:ascii="Calibri" w:hAnsi="Calibri"/>
                <w:b w:val="0"/>
                <w:i w:val="0"/>
                <w:color w:val="212121"/>
                <w:sz w:val="19"/>
              </w:rPr>
              <w:t>Core diagnostic threshold; always confirm on a repeat fasting morning sample</w:t>
            </w:r>
          </w:p>
          <w:p>
            <w:pPr>
              <w:spacing w:after="40" w:line="252" w:lineRule="auto"/>
            </w:pPr>
            <w:hyperlink r:id="rId17">
              <w:r>
                <w:rPr>
                  <w:rFonts w:ascii="Calibri" w:hAnsi="Calibri" w:cs="Calibri"/>
                  <w:sz w:val="18"/>
                  <w:color w:val="1155CC"/>
                  <w:u w:val="single"/>
                </w:rPr>
                <w:t xml:space="preserve">https://pubmed.ncbi.nlm.nih.gov/29562364/</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SHBG / calculated free testosterone</w:t>
            </w:r>
          </w:p>
        </w:tc>
        <w:tc>
          <w:tcPr>
            <w:tcW w:type="dxa" w:w="1655"/>
            <w:vAlign w:val="top"/>
          </w:tcPr>
          <w:p>
            <w:pPr>
              <w:spacing w:after="40" w:before="0" w:line="259" w:lineRule="auto"/>
            </w:pPr>
            <w:r>
              <w:rPr>
                <w:rFonts w:ascii="Calibri" w:hAnsi="Calibri"/>
                <w:b w:val="0"/>
                <w:i w:val="0"/>
                <w:color w:val="212121"/>
                <w:sz w:val="19"/>
              </w:rPr>
              <w:t>Obese, diabetic or elderly men</w:t>
            </w:r>
          </w:p>
        </w:tc>
        <w:tc>
          <w:tcPr>
            <w:tcW w:type="dxa" w:w="1512"/>
            <w:vAlign w:val="top"/>
          </w:tcPr>
          <w:p>
            <w:pPr>
              <w:spacing w:after="40" w:before="0" w:line="259" w:lineRule="auto"/>
            </w:pPr>
            <w:r>
              <w:rPr>
                <w:rFonts w:ascii="Calibri" w:hAnsi="Calibri"/>
                <w:b w:val="0"/>
                <w:i w:val="0"/>
                <w:color w:val="212121"/>
                <w:sz w:val="19"/>
              </w:rPr>
              <w:t>Free testosterone within assay reference</w:t>
            </w:r>
          </w:p>
        </w:tc>
        <w:tc>
          <w:tcPr>
            <w:tcW w:type="dxa" w:w="1512"/>
            <w:vAlign w:val="top"/>
          </w:tcPr>
          <w:p>
            <w:pPr>
              <w:spacing w:after="40" w:before="0" w:line="259" w:lineRule="auto"/>
            </w:pPr>
            <w:r>
              <w:rPr>
                <w:rFonts w:ascii="Calibri" w:hAnsi="Calibri"/>
                <w:b w:val="0"/>
                <w:i w:val="0"/>
                <w:color w:val="212121"/>
                <w:sz w:val="19"/>
              </w:rPr>
              <w:t>Low free testosterone (assay-dependent)</w:t>
            </w:r>
          </w:p>
        </w:tc>
        <w:tc>
          <w:tcPr>
            <w:tcW w:type="dxa" w:w="1468"/>
            <w:vAlign w:val="top"/>
          </w:tcPr>
          <w:p>
            <w:pPr>
              <w:spacing w:after="40" w:before="0" w:line="259" w:lineRule="auto"/>
            </w:pPr>
            <w:r>
              <w:rPr>
                <w:rFonts w:ascii="Calibri" w:hAnsi="Calibri"/>
                <w:b w:val="0"/>
                <w:i w:val="0"/>
                <w:color w:val="212121"/>
                <w:sz w:val="19"/>
              </w:rPr>
              <w:t>Essential when SHBG is altered (obesity, T2DM, ageing, liver/thyroid disease)</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Morning total testosterone (fasting, 07:00–11:00)</w:t>
            </w:r>
          </w:p>
        </w:tc>
        <w:tc>
          <w:tcPr>
            <w:tcW w:type="dxa" w:w="892"/>
            <w:vAlign w:val="top"/>
          </w:tcPr>
          <w:p>
            <w:pPr>
              <w:spacing w:after="40" w:before="0" w:line="259" w:lineRule="auto"/>
            </w:pPr>
            <w:r>
              <w:rPr>
                <w:rFonts w:ascii="Calibri" w:hAnsi="Calibri"/>
                <w:b w:val="0"/>
                <w:i w:val="0"/>
                <w:color w:val="212121"/>
                <w:sz w:val="16"/>
              </w:rPr>
              <w:t>Serum testosterone</w:t>
            </w:r>
          </w:p>
        </w:tc>
        <w:tc>
          <w:tcPr>
            <w:tcW w:type="dxa" w:w="950"/>
            <w:vAlign w:val="top"/>
          </w:tcPr>
          <w:p>
            <w:pPr>
              <w:spacing w:after="40" w:before="0" w:line="259" w:lineRule="auto"/>
            </w:pPr>
            <w:r>
              <w:rPr>
                <w:rFonts w:ascii="Calibri" w:hAnsi="Calibri"/>
                <w:b w:val="0"/>
                <w:i w:val="0"/>
                <w:color w:val="212121"/>
                <w:sz w:val="16"/>
              </w:rPr>
              <w:t>≈ 300–1000 ng/dL</w:t>
            </w:r>
          </w:p>
        </w:tc>
        <w:tc>
          <w:tcPr>
            <w:tcW w:type="dxa" w:w="950"/>
            <w:vAlign w:val="top"/>
          </w:tcPr>
          <w:p>
            <w:pPr>
              <w:spacing w:after="40" w:before="0" w:line="259" w:lineRule="auto"/>
            </w:pPr>
            <w:r>
              <w:rPr>
                <w:rFonts w:ascii="Calibri" w:hAnsi="Calibri"/>
                <w:b w:val="0"/>
                <w:i w:val="0"/>
                <w:color w:val="212121"/>
                <w:sz w:val="16"/>
              </w:rPr>
              <w:t>&lt; 300 ng/dL (Endocrine Society ≈ 264) on two occasions</w:t>
            </w:r>
          </w:p>
        </w:tc>
        <w:tc>
          <w:tcPr>
            <w:tcW w:type="dxa" w:w="1036"/>
            <w:vAlign w:val="top"/>
          </w:tcPr>
          <w:p>
            <w:pPr>
              <w:spacing w:after="40" w:before="0" w:line="259" w:lineRule="auto"/>
            </w:pPr>
            <w:r>
              <w:rPr>
                <w:rFonts w:ascii="Calibri" w:hAnsi="Calibri"/>
                <w:b w:val="0"/>
                <w:i w:val="0"/>
                <w:color w:val="212121"/>
                <w:sz w:val="16"/>
              </w:rPr>
              <w:t>Confirms biochemical androgen deficiency when repeatedly low with symptoms</w:t>
            </w:r>
          </w:p>
        </w:tc>
        <w:tc>
          <w:tcPr>
            <w:tcW w:type="dxa" w:w="1036"/>
            <w:vAlign w:val="top"/>
          </w:tcPr>
          <w:p>
            <w:pPr>
              <w:spacing w:after="40" w:before="0" w:line="259" w:lineRule="auto"/>
            </w:pPr>
            <w:r>
              <w:rPr>
                <w:rFonts w:ascii="Calibri" w:hAnsi="Calibri"/>
                <w:b w:val="0"/>
                <w:i w:val="0"/>
                <w:color w:val="212121"/>
                <w:sz w:val="16"/>
              </w:rPr>
              <w:t>Symptomatic men, diabetic/obese men, elderly men</w:t>
            </w:r>
          </w:p>
        </w:tc>
        <w:tc>
          <w:tcPr>
            <w:tcW w:type="dxa" w:w="720"/>
            <w:vAlign w:val="top"/>
          </w:tcPr>
          <w:p>
            <w:pPr>
              <w:spacing w:after="40" w:before="0" w:line="259" w:lineRule="auto"/>
            </w:pPr>
            <w:r>
              <w:rPr>
                <w:rFonts w:ascii="Calibri" w:hAnsi="Calibri"/>
                <w:b w:val="0"/>
                <w:i w:val="0"/>
                <w:color w:val="212121"/>
                <w:sz w:val="16"/>
              </w:rPr>
              <w:t>Physical activity; Food; Sleep</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Diurnal variation and acute illness lower values; always repeat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Free / calculated free testosterone</w:t>
            </w:r>
          </w:p>
        </w:tc>
        <w:tc>
          <w:tcPr>
            <w:tcW w:type="dxa" w:w="892"/>
            <w:vAlign w:val="top"/>
          </w:tcPr>
          <w:p>
            <w:pPr>
              <w:spacing w:after="40" w:before="0" w:line="259" w:lineRule="auto"/>
            </w:pPr>
            <w:r>
              <w:rPr>
                <w:rFonts w:ascii="Calibri" w:hAnsi="Calibri"/>
                <w:b w:val="0"/>
                <w:i w:val="0"/>
                <w:color w:val="212121"/>
                <w:sz w:val="16"/>
              </w:rPr>
              <w:t>Serum testosterone</w:t>
            </w:r>
          </w:p>
        </w:tc>
        <w:tc>
          <w:tcPr>
            <w:tcW w:type="dxa" w:w="950"/>
            <w:vAlign w:val="top"/>
          </w:tcPr>
          <w:p>
            <w:pPr>
              <w:spacing w:after="40" w:before="0" w:line="259" w:lineRule="auto"/>
            </w:pPr>
            <w:r>
              <w:rPr>
                <w:rFonts w:ascii="Calibri" w:hAnsi="Calibri"/>
                <w:b w:val="0"/>
                <w:i w:val="0"/>
                <w:color w:val="212121"/>
                <w:sz w:val="16"/>
              </w:rPr>
              <w:t>Assay-specific (roughly 64–240 pg/mL)</w:t>
            </w:r>
          </w:p>
        </w:tc>
        <w:tc>
          <w:tcPr>
            <w:tcW w:type="dxa" w:w="950"/>
            <w:vAlign w:val="top"/>
          </w:tcPr>
          <w:p>
            <w:pPr>
              <w:spacing w:after="40" w:before="0" w:line="259" w:lineRule="auto"/>
            </w:pPr>
            <w:r>
              <w:rPr>
                <w:rFonts w:ascii="Calibri" w:hAnsi="Calibri"/>
                <w:b w:val="0"/>
                <w:i w:val="0"/>
                <w:color w:val="212121"/>
                <w:sz w:val="16"/>
              </w:rPr>
              <w:t>Below assay reference</w:t>
            </w:r>
          </w:p>
        </w:tc>
        <w:tc>
          <w:tcPr>
            <w:tcW w:type="dxa" w:w="1036"/>
            <w:vAlign w:val="top"/>
          </w:tcPr>
          <w:p>
            <w:pPr>
              <w:spacing w:after="40" w:before="0" w:line="259" w:lineRule="auto"/>
            </w:pPr>
            <w:r>
              <w:rPr>
                <w:rFonts w:ascii="Calibri" w:hAnsi="Calibri"/>
                <w:b w:val="0"/>
                <w:i w:val="0"/>
                <w:color w:val="212121"/>
                <w:sz w:val="16"/>
              </w:rPr>
              <w:t>Detects true deficiency when SHBG is abnormal or total testosterone borderline</w:t>
            </w:r>
          </w:p>
        </w:tc>
        <w:tc>
          <w:tcPr>
            <w:tcW w:type="dxa" w:w="1036"/>
            <w:vAlign w:val="top"/>
          </w:tcPr>
          <w:p>
            <w:pPr>
              <w:spacing w:after="40" w:before="0" w:line="259" w:lineRule="auto"/>
            </w:pPr>
            <w:r>
              <w:rPr>
                <w:rFonts w:ascii="Calibri" w:hAnsi="Calibri"/>
                <w:b w:val="0"/>
                <w:i w:val="0"/>
                <w:color w:val="212121"/>
                <w:sz w:val="16"/>
              </w:rPr>
              <w:t>Obese, diabetic, elderly, liver/thyroid disease</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Equilibrium dialysis is most accurate; otherwise calculate from SHBG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Sex hormone-binding globulin (SHBG)</w:t>
            </w:r>
          </w:p>
        </w:tc>
        <w:tc>
          <w:tcPr>
            <w:tcW w:type="dxa" w:w="892"/>
            <w:vAlign w:val="top"/>
          </w:tcPr>
          <w:p>
            <w:pPr>
              <w:spacing w:after="40" w:before="0" w:line="259" w:lineRule="auto"/>
            </w:pPr>
            <w:r>
              <w:rPr>
                <w:rFonts w:ascii="Calibri" w:hAnsi="Calibri"/>
                <w:b w:val="0"/>
                <w:i w:val="0"/>
                <w:color w:val="212121"/>
                <w:sz w:val="16"/>
              </w:rPr>
              <w:t>Binding protein</w:t>
            </w:r>
          </w:p>
        </w:tc>
        <w:tc>
          <w:tcPr>
            <w:tcW w:type="dxa" w:w="950"/>
            <w:vAlign w:val="top"/>
          </w:tcPr>
          <w:p>
            <w:pPr>
              <w:spacing w:after="40" w:before="0" w:line="259" w:lineRule="auto"/>
            </w:pPr>
            <w:r>
              <w:rPr>
                <w:rFonts w:ascii="Calibri" w:hAnsi="Calibri"/>
                <w:b w:val="0"/>
                <w:i w:val="0"/>
                <w:color w:val="212121"/>
                <w:sz w:val="16"/>
              </w:rPr>
              <w:t>≈ 10–57 nmol/L</w:t>
            </w:r>
          </w:p>
        </w:tc>
        <w:tc>
          <w:tcPr>
            <w:tcW w:type="dxa" w:w="950"/>
            <w:vAlign w:val="top"/>
          </w:tcPr>
          <w:p>
            <w:pPr>
              <w:spacing w:after="40" w:before="0" w:line="259" w:lineRule="auto"/>
            </w:pPr>
            <w:r>
              <w:rPr>
                <w:rFonts w:ascii="Calibri" w:hAnsi="Calibri"/>
                <w:b w:val="0"/>
                <w:i w:val="0"/>
                <w:color w:val="212121"/>
                <w:sz w:val="16"/>
              </w:rPr>
              <w:t>Low (obesity, T2DM, insulin resistance) or high (ageing, liver disease, hyperthyroidism)</w:t>
            </w:r>
          </w:p>
        </w:tc>
        <w:tc>
          <w:tcPr>
            <w:tcW w:type="dxa" w:w="1036"/>
            <w:vAlign w:val="top"/>
          </w:tcPr>
          <w:p>
            <w:pPr>
              <w:spacing w:after="40" w:before="0" w:line="259" w:lineRule="auto"/>
            </w:pPr>
            <w:r>
              <w:rPr>
                <w:rFonts w:ascii="Calibri" w:hAnsi="Calibri"/>
                <w:b w:val="0"/>
                <w:i w:val="0"/>
                <w:color w:val="212121"/>
                <w:sz w:val="16"/>
              </w:rPr>
              <w:t>Needed to interpret total testosterone and compute free testosterone</w:t>
            </w:r>
          </w:p>
        </w:tc>
        <w:tc>
          <w:tcPr>
            <w:tcW w:type="dxa" w:w="1036"/>
            <w:vAlign w:val="top"/>
          </w:tcPr>
          <w:p>
            <w:pPr>
              <w:spacing w:after="40" w:before="0" w:line="259" w:lineRule="auto"/>
            </w:pPr>
            <w:r>
              <w:rPr>
                <w:rFonts w:ascii="Calibri" w:hAnsi="Calibri"/>
                <w:b w:val="0"/>
                <w:i w:val="0"/>
                <w:color w:val="212121"/>
                <w:sz w:val="16"/>
              </w:rPr>
              <w:t>Obese/diabetic men (low), elderly/cirrhotic men (high)</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Explains discordance between total and free testosterone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Luteinising hormone (LH)</w:t>
            </w:r>
          </w:p>
        </w:tc>
        <w:tc>
          <w:tcPr>
            <w:tcW w:type="dxa" w:w="892"/>
            <w:vAlign w:val="top"/>
          </w:tcPr>
          <w:p>
            <w:pPr>
              <w:spacing w:after="40" w:before="0" w:line="259" w:lineRule="auto"/>
            </w:pPr>
            <w:r>
              <w:rPr>
                <w:rFonts w:ascii="Calibri" w:hAnsi="Calibri"/>
                <w:b w:val="0"/>
                <w:i w:val="0"/>
                <w:color w:val="212121"/>
                <w:sz w:val="16"/>
              </w:rPr>
              <w:t>Gonadotropin</w:t>
            </w:r>
          </w:p>
        </w:tc>
        <w:tc>
          <w:tcPr>
            <w:tcW w:type="dxa" w:w="950"/>
            <w:vAlign w:val="top"/>
          </w:tcPr>
          <w:p>
            <w:pPr>
              <w:spacing w:after="40" w:before="0" w:line="259" w:lineRule="auto"/>
            </w:pPr>
            <w:r>
              <w:rPr>
                <w:rFonts w:ascii="Calibri" w:hAnsi="Calibri"/>
                <w:b w:val="0"/>
                <w:i w:val="0"/>
                <w:color w:val="212121"/>
                <w:sz w:val="16"/>
              </w:rPr>
              <w:t>≈ 1.5–9.3 IU/L</w:t>
            </w:r>
          </w:p>
        </w:tc>
        <w:tc>
          <w:tcPr>
            <w:tcW w:type="dxa" w:w="950"/>
            <w:vAlign w:val="top"/>
          </w:tcPr>
          <w:p>
            <w:pPr>
              <w:spacing w:after="40" w:before="0" w:line="259" w:lineRule="auto"/>
            </w:pPr>
            <w:r>
              <w:rPr>
                <w:rFonts w:ascii="Calibri" w:hAnsi="Calibri"/>
                <w:b w:val="0"/>
                <w:i w:val="0"/>
                <w:color w:val="212121"/>
                <w:sz w:val="16"/>
              </w:rPr>
              <w:t>High (primary) or low/inappropriately normal (secondary)</w:t>
            </w:r>
          </w:p>
        </w:tc>
        <w:tc>
          <w:tcPr>
            <w:tcW w:type="dxa" w:w="1036"/>
            <w:vAlign w:val="top"/>
          </w:tcPr>
          <w:p>
            <w:pPr>
              <w:spacing w:after="40" w:before="0" w:line="259" w:lineRule="auto"/>
            </w:pPr>
            <w:r>
              <w:rPr>
                <w:rFonts w:ascii="Calibri" w:hAnsi="Calibri"/>
                <w:b w:val="0"/>
                <w:i w:val="0"/>
                <w:color w:val="212121"/>
                <w:sz w:val="16"/>
              </w:rPr>
              <w:t>Localises the defect to testis vs hypothalamic–pituitary</w:t>
            </w:r>
          </w:p>
        </w:tc>
        <w:tc>
          <w:tcPr>
            <w:tcW w:type="dxa" w:w="1036"/>
            <w:vAlign w:val="top"/>
          </w:tcPr>
          <w:p>
            <w:pPr>
              <w:spacing w:after="40" w:before="0" w:line="259" w:lineRule="auto"/>
            </w:pPr>
            <w:r>
              <w:rPr>
                <w:rFonts w:ascii="Calibri" w:hAnsi="Calibri"/>
                <w:b w:val="0"/>
                <w:i w:val="0"/>
                <w:color w:val="212121"/>
                <w:sz w:val="16"/>
              </w:rPr>
              <w:t>All confirmed low-testosterone men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Interpret together with FSH and testosterone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Follicle-stimulating hormone (FSH)</w:t>
            </w:r>
          </w:p>
        </w:tc>
        <w:tc>
          <w:tcPr>
            <w:tcW w:type="dxa" w:w="892"/>
            <w:vAlign w:val="top"/>
          </w:tcPr>
          <w:p>
            <w:pPr>
              <w:spacing w:after="40" w:before="0" w:line="259" w:lineRule="auto"/>
            </w:pPr>
            <w:r>
              <w:rPr>
                <w:rFonts w:ascii="Calibri" w:hAnsi="Calibri"/>
                <w:b w:val="0"/>
                <w:i w:val="0"/>
                <w:color w:val="212121"/>
                <w:sz w:val="16"/>
              </w:rPr>
              <w:t>Gonadotropin</w:t>
            </w:r>
          </w:p>
        </w:tc>
        <w:tc>
          <w:tcPr>
            <w:tcW w:type="dxa" w:w="950"/>
            <w:vAlign w:val="top"/>
          </w:tcPr>
          <w:p>
            <w:pPr>
              <w:spacing w:after="40" w:before="0" w:line="259" w:lineRule="auto"/>
            </w:pPr>
            <w:r>
              <w:rPr>
                <w:rFonts w:ascii="Calibri" w:hAnsi="Calibri"/>
                <w:b w:val="0"/>
                <w:i w:val="0"/>
                <w:color w:val="212121"/>
                <w:sz w:val="16"/>
              </w:rPr>
              <w:t>≈ 1.5–12.4 IU/L</w:t>
            </w:r>
          </w:p>
        </w:tc>
        <w:tc>
          <w:tcPr>
            <w:tcW w:type="dxa" w:w="950"/>
            <w:vAlign w:val="top"/>
          </w:tcPr>
          <w:p>
            <w:pPr>
              <w:spacing w:after="40" w:before="0" w:line="259" w:lineRule="auto"/>
            </w:pPr>
            <w:r>
              <w:rPr>
                <w:rFonts w:ascii="Calibri" w:hAnsi="Calibri"/>
                <w:b w:val="0"/>
                <w:i w:val="0"/>
                <w:color w:val="212121"/>
                <w:sz w:val="16"/>
              </w:rPr>
              <w:t>High in primary (esp. seminiferous-tubule) failure</w:t>
            </w:r>
          </w:p>
        </w:tc>
        <w:tc>
          <w:tcPr>
            <w:tcW w:type="dxa" w:w="1036"/>
            <w:vAlign w:val="top"/>
          </w:tcPr>
          <w:p>
            <w:pPr>
              <w:spacing w:after="40" w:before="0" w:line="259" w:lineRule="auto"/>
            </w:pPr>
            <w:r>
              <w:rPr>
                <w:rFonts w:ascii="Calibri" w:hAnsi="Calibri"/>
                <w:b w:val="0"/>
                <w:i w:val="0"/>
                <w:color w:val="212121"/>
                <w:sz w:val="16"/>
              </w:rPr>
              <w:t>Complements LH; markedly high in Klinefelter and tubular damage</w:t>
            </w:r>
          </w:p>
        </w:tc>
        <w:tc>
          <w:tcPr>
            <w:tcW w:type="dxa" w:w="1036"/>
            <w:vAlign w:val="top"/>
          </w:tcPr>
          <w:p>
            <w:pPr>
              <w:spacing w:after="40" w:before="0" w:line="259" w:lineRule="auto"/>
            </w:pPr>
            <w:r>
              <w:rPr>
                <w:rFonts w:ascii="Calibri" w:hAnsi="Calibri"/>
                <w:b w:val="0"/>
                <w:i w:val="0"/>
                <w:color w:val="212121"/>
                <w:sz w:val="16"/>
              </w:rPr>
              <w:t>Men with small testes/azoospermia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Very high FSH suggests primary gonadal failure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prolactin</w:t>
            </w:r>
          </w:p>
        </w:tc>
        <w:tc>
          <w:tcPr>
            <w:tcW w:type="dxa" w:w="892"/>
            <w:vAlign w:val="top"/>
          </w:tcPr>
          <w:p>
            <w:pPr>
              <w:spacing w:after="40" w:before="0" w:line="259" w:lineRule="auto"/>
            </w:pPr>
            <w:r>
              <w:rPr>
                <w:rFonts w:ascii="Calibri" w:hAnsi="Calibri"/>
                <w:b w:val="0"/>
                <w:i w:val="0"/>
                <w:color w:val="212121"/>
                <w:sz w:val="16"/>
              </w:rPr>
              <w:t>Pituitary hormone</w:t>
            </w:r>
          </w:p>
        </w:tc>
        <w:tc>
          <w:tcPr>
            <w:tcW w:type="dxa" w:w="950"/>
            <w:vAlign w:val="top"/>
          </w:tcPr>
          <w:p>
            <w:pPr>
              <w:spacing w:after="40" w:before="0" w:line="259" w:lineRule="auto"/>
            </w:pPr>
            <w:r>
              <w:rPr>
                <w:rFonts w:ascii="Calibri" w:hAnsi="Calibri"/>
                <w:b w:val="0"/>
                <w:i w:val="0"/>
                <w:color w:val="212121"/>
                <w:sz w:val="16"/>
              </w:rPr>
              <w:t>&lt; 20 ng/mL (men)</w:t>
            </w:r>
          </w:p>
        </w:tc>
        <w:tc>
          <w:tcPr>
            <w:tcW w:type="dxa" w:w="950"/>
            <w:vAlign w:val="top"/>
          </w:tcPr>
          <w:p>
            <w:pPr>
              <w:spacing w:after="40" w:before="0" w:line="259" w:lineRule="auto"/>
            </w:pPr>
            <w:r>
              <w:rPr>
                <w:rFonts w:ascii="Calibri" w:hAnsi="Calibri"/>
                <w:b w:val="0"/>
                <w:i w:val="0"/>
                <w:color w:val="212121"/>
                <w:sz w:val="16"/>
              </w:rPr>
              <w:t>Elevated</w:t>
            </w:r>
          </w:p>
        </w:tc>
        <w:tc>
          <w:tcPr>
            <w:tcW w:type="dxa" w:w="1036"/>
            <w:vAlign w:val="top"/>
          </w:tcPr>
          <w:p>
            <w:pPr>
              <w:spacing w:after="40" w:before="0" w:line="259" w:lineRule="auto"/>
            </w:pPr>
            <w:r>
              <w:rPr>
                <w:rFonts w:ascii="Calibri" w:hAnsi="Calibri"/>
                <w:b w:val="0"/>
                <w:i w:val="0"/>
                <w:color w:val="212121"/>
                <w:sz w:val="16"/>
              </w:rPr>
              <w:t>Hyperprolactinaemia (prolactinoma or drugs) is a treatable secondary cause</w:t>
            </w:r>
          </w:p>
        </w:tc>
        <w:tc>
          <w:tcPr>
            <w:tcW w:type="dxa" w:w="1036"/>
            <w:vAlign w:val="top"/>
          </w:tcPr>
          <w:p>
            <w:pPr>
              <w:spacing w:after="40" w:before="0" w:line="259" w:lineRule="auto"/>
            </w:pPr>
            <w:r>
              <w:rPr>
                <w:rFonts w:ascii="Calibri" w:hAnsi="Calibri"/>
                <w:b w:val="0"/>
                <w:i w:val="0"/>
                <w:color w:val="212121"/>
                <w:sz w:val="16"/>
              </w:rPr>
              <w:t>Secondary hypogonadism, low libido/galactorrhoea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Aetiological</w:t>
            </w:r>
          </w:p>
        </w:tc>
        <w:tc>
          <w:tcPr>
            <w:tcW w:type="dxa" w:w="720"/>
            <w:vAlign w:val="top"/>
          </w:tcPr>
          <w:p>
            <w:pPr>
              <w:spacing w:after="40" w:before="0" w:line="259" w:lineRule="auto"/>
            </w:pPr>
            <w:r>
              <w:rPr>
                <w:rFonts w:ascii="Calibri" w:hAnsi="Calibri"/>
                <w:b w:val="0"/>
                <w:i w:val="0"/>
                <w:color w:val="212121"/>
                <w:sz w:val="16"/>
              </w:rPr>
              <w:t>Recheck fasting/rested; review dopamine-blocking drugs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Iron studies (ferritin, transferrin saturation)</w:t>
            </w:r>
          </w:p>
        </w:tc>
        <w:tc>
          <w:tcPr>
            <w:tcW w:type="dxa" w:w="892"/>
            <w:vAlign w:val="top"/>
          </w:tcPr>
          <w:p>
            <w:pPr>
              <w:spacing w:after="40" w:before="0" w:line="259" w:lineRule="auto"/>
            </w:pPr>
            <w:r>
              <w:rPr>
                <w:rFonts w:ascii="Calibri" w:hAnsi="Calibri"/>
                <w:b w:val="0"/>
                <w:i w:val="0"/>
                <w:color w:val="212121"/>
                <w:sz w:val="16"/>
              </w:rPr>
              <w:t>Iron overload screen</w:t>
            </w:r>
          </w:p>
        </w:tc>
        <w:tc>
          <w:tcPr>
            <w:tcW w:type="dxa" w:w="950"/>
            <w:vAlign w:val="top"/>
          </w:tcPr>
          <w:p>
            <w:pPr>
              <w:spacing w:after="40" w:before="0" w:line="259" w:lineRule="auto"/>
            </w:pPr>
            <w:r>
              <w:rPr>
                <w:rFonts w:ascii="Calibri" w:hAnsi="Calibri"/>
                <w:b w:val="0"/>
                <w:i w:val="0"/>
                <w:color w:val="212121"/>
                <w:sz w:val="16"/>
              </w:rPr>
              <w:t>Transferrin saturation &lt; 45%</w:t>
            </w:r>
          </w:p>
        </w:tc>
        <w:tc>
          <w:tcPr>
            <w:tcW w:type="dxa" w:w="950"/>
            <w:vAlign w:val="top"/>
          </w:tcPr>
          <w:p>
            <w:pPr>
              <w:spacing w:after="40" w:before="0" w:line="259" w:lineRule="auto"/>
            </w:pPr>
            <w:r>
              <w:rPr>
                <w:rFonts w:ascii="Calibri" w:hAnsi="Calibri"/>
                <w:b w:val="0"/>
                <w:i w:val="0"/>
                <w:color w:val="212121"/>
                <w:sz w:val="16"/>
              </w:rPr>
              <w:t>Transferrin saturation &gt; 45% / high ferritin</w:t>
            </w:r>
          </w:p>
        </w:tc>
        <w:tc>
          <w:tcPr>
            <w:tcW w:type="dxa" w:w="1036"/>
            <w:vAlign w:val="top"/>
          </w:tcPr>
          <w:p>
            <w:pPr>
              <w:spacing w:after="40" w:before="0" w:line="259" w:lineRule="auto"/>
            </w:pPr>
            <w:r>
              <w:rPr>
                <w:rFonts w:ascii="Calibri" w:hAnsi="Calibri"/>
                <w:b w:val="0"/>
                <w:i w:val="0"/>
                <w:color w:val="212121"/>
                <w:sz w:val="16"/>
              </w:rPr>
              <w:t>Screens for haemochromatosis infiltrating pituitary and testis</w:t>
            </w:r>
          </w:p>
        </w:tc>
        <w:tc>
          <w:tcPr>
            <w:tcW w:type="dxa" w:w="1036"/>
            <w:vAlign w:val="top"/>
          </w:tcPr>
          <w:p>
            <w:pPr>
              <w:spacing w:after="40" w:before="0" w:line="259" w:lineRule="auto"/>
            </w:pPr>
            <w:r>
              <w:rPr>
                <w:rFonts w:ascii="Calibri" w:hAnsi="Calibri"/>
                <w:b w:val="0"/>
                <w:i w:val="0"/>
                <w:color w:val="212121"/>
                <w:sz w:val="16"/>
              </w:rPr>
              <w:t>Secondary/combined hypogonadism, family history</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Aetiological</w:t>
            </w:r>
          </w:p>
        </w:tc>
        <w:tc>
          <w:tcPr>
            <w:tcW w:type="dxa" w:w="720"/>
            <w:vAlign w:val="top"/>
          </w:tcPr>
          <w:p>
            <w:pPr>
              <w:spacing w:after="40" w:before="0" w:line="259" w:lineRule="auto"/>
            </w:pPr>
            <w:r>
              <w:rPr>
                <w:rFonts w:ascii="Calibri" w:hAnsi="Calibri"/>
                <w:b w:val="0"/>
                <w:i w:val="0"/>
                <w:color w:val="212121"/>
                <w:sz w:val="16"/>
              </w:rPr>
              <w:t>Reversible cause if detected and treated early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HbA1c / fasting glucose &amp; lipid profile</w:t>
            </w:r>
          </w:p>
        </w:tc>
        <w:tc>
          <w:tcPr>
            <w:tcW w:type="dxa" w:w="892"/>
            <w:vAlign w:val="top"/>
          </w:tcPr>
          <w:p>
            <w:pPr>
              <w:spacing w:after="40" w:before="0" w:line="259" w:lineRule="auto"/>
            </w:pPr>
            <w:r>
              <w:rPr>
                <w:rFonts w:ascii="Calibri" w:hAnsi="Calibri"/>
                <w:b w:val="0"/>
                <w:i w:val="0"/>
                <w:color w:val="212121"/>
                <w:sz w:val="16"/>
              </w:rPr>
              <w:t>Metabolic screen</w:t>
            </w:r>
          </w:p>
        </w:tc>
        <w:tc>
          <w:tcPr>
            <w:tcW w:type="dxa" w:w="950"/>
            <w:vAlign w:val="top"/>
          </w:tcPr>
          <w:p>
            <w:pPr>
              <w:spacing w:after="40" w:before="0" w:line="259" w:lineRule="auto"/>
            </w:pPr>
            <w:r>
              <w:rPr>
                <w:rFonts w:ascii="Calibri" w:hAnsi="Calibri"/>
                <w:b w:val="0"/>
                <w:i w:val="0"/>
                <w:color w:val="212121"/>
                <w:sz w:val="16"/>
              </w:rPr>
              <w:t>HbA1c &lt; 5.7%</w:t>
            </w:r>
          </w:p>
        </w:tc>
        <w:tc>
          <w:tcPr>
            <w:tcW w:type="dxa" w:w="950"/>
            <w:vAlign w:val="top"/>
          </w:tcPr>
          <w:p>
            <w:pPr>
              <w:spacing w:after="40" w:before="0" w:line="259" w:lineRule="auto"/>
            </w:pPr>
            <w:r>
              <w:rPr>
                <w:rFonts w:ascii="Calibri" w:hAnsi="Calibri"/>
                <w:b w:val="0"/>
                <w:i w:val="0"/>
                <w:color w:val="212121"/>
                <w:sz w:val="16"/>
              </w:rPr>
              <w:t>HbA1c ≥ 6.5% / dyslipidaemia</w:t>
            </w:r>
          </w:p>
        </w:tc>
        <w:tc>
          <w:tcPr>
            <w:tcW w:type="dxa" w:w="1036"/>
            <w:vAlign w:val="top"/>
          </w:tcPr>
          <w:p>
            <w:pPr>
              <w:spacing w:after="40" w:before="0" w:line="259" w:lineRule="auto"/>
            </w:pPr>
            <w:r>
              <w:rPr>
                <w:rFonts w:ascii="Calibri" w:hAnsi="Calibri"/>
                <w:b w:val="0"/>
                <w:i w:val="0"/>
                <w:color w:val="212121"/>
                <w:sz w:val="16"/>
              </w:rPr>
              <w:t>Identifies type 2 diabetes and metabolic syndrome driving functional hypogonadism</w:t>
            </w:r>
          </w:p>
        </w:tc>
        <w:tc>
          <w:tcPr>
            <w:tcW w:type="dxa" w:w="1036"/>
            <w:vAlign w:val="top"/>
          </w:tcPr>
          <w:p>
            <w:pPr>
              <w:spacing w:after="40" w:before="0" w:line="259" w:lineRule="auto"/>
            </w:pPr>
            <w:r>
              <w:rPr>
                <w:rFonts w:ascii="Calibri" w:hAnsi="Calibri"/>
                <w:b w:val="0"/>
                <w:i w:val="0"/>
                <w:color w:val="212121"/>
                <w:sz w:val="16"/>
              </w:rPr>
              <w:t>Obese and diabetic men</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Aetiological</w:t>
            </w:r>
          </w:p>
        </w:tc>
        <w:tc>
          <w:tcPr>
            <w:tcW w:type="dxa" w:w="720"/>
            <w:vAlign w:val="top"/>
          </w:tcPr>
          <w:p>
            <w:pPr>
              <w:spacing w:after="40" w:before="0" w:line="259" w:lineRule="auto"/>
            </w:pPr>
            <w:r>
              <w:rPr>
                <w:rFonts w:ascii="Calibri" w:hAnsi="Calibri"/>
                <w:b w:val="0"/>
                <w:i w:val="0"/>
                <w:color w:val="212121"/>
                <w:sz w:val="16"/>
              </w:rPr>
              <w:t>Weight loss/glycaemic control can restore testosterone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Cytogenetic</w:t>
            </w:r>
          </w:p>
        </w:tc>
        <w:tc>
          <w:tcPr>
            <w:tcW w:type="dxa" w:w="1036"/>
            <w:vAlign w:val="top"/>
          </w:tcPr>
          <w:p>
            <w:pPr>
              <w:spacing w:after="40" w:before="0" w:line="259" w:lineRule="auto"/>
            </w:pPr>
            <w:r>
              <w:rPr>
                <w:rFonts w:ascii="Calibri" w:hAnsi="Calibri"/>
                <w:b w:val="0"/>
                <w:i w:val="0"/>
                <w:color w:val="212121"/>
                <w:sz w:val="16"/>
              </w:rPr>
              <w:t>Karyotype (47,XXY)</w:t>
            </w:r>
          </w:p>
        </w:tc>
        <w:tc>
          <w:tcPr>
            <w:tcW w:type="dxa" w:w="892"/>
            <w:vAlign w:val="top"/>
          </w:tcPr>
          <w:p>
            <w:pPr>
              <w:spacing w:after="40" w:before="0" w:line="259" w:lineRule="auto"/>
            </w:pPr>
            <w:r>
              <w:rPr>
                <w:rFonts w:ascii="Calibri" w:hAnsi="Calibri"/>
                <w:b w:val="0"/>
                <w:i w:val="0"/>
                <w:color w:val="212121"/>
                <w:sz w:val="16"/>
              </w:rPr>
              <w:t>Chromosomal analysis</w:t>
            </w:r>
          </w:p>
        </w:tc>
        <w:tc>
          <w:tcPr>
            <w:tcW w:type="dxa" w:w="950"/>
            <w:vAlign w:val="top"/>
          </w:tcPr>
          <w:p>
            <w:pPr>
              <w:spacing w:after="40" w:before="0" w:line="259" w:lineRule="auto"/>
            </w:pPr>
            <w:r>
              <w:rPr>
                <w:rFonts w:ascii="Calibri" w:hAnsi="Calibri"/>
                <w:b w:val="0"/>
                <w:i w:val="0"/>
                <w:color w:val="212121"/>
                <w:sz w:val="16"/>
              </w:rPr>
              <w:t>46,XY</w:t>
            </w:r>
          </w:p>
        </w:tc>
        <w:tc>
          <w:tcPr>
            <w:tcW w:type="dxa" w:w="950"/>
            <w:vAlign w:val="top"/>
          </w:tcPr>
          <w:p>
            <w:pPr>
              <w:spacing w:after="40" w:before="0" w:line="259" w:lineRule="auto"/>
            </w:pPr>
            <w:r>
              <w:rPr>
                <w:rFonts w:ascii="Calibri" w:hAnsi="Calibri"/>
                <w:b w:val="0"/>
                <w:i w:val="0"/>
                <w:color w:val="212121"/>
                <w:sz w:val="16"/>
              </w:rPr>
              <w:t>47,XXY (Klinefelter) or variants</w:t>
            </w:r>
          </w:p>
        </w:tc>
        <w:tc>
          <w:tcPr>
            <w:tcW w:type="dxa" w:w="1036"/>
            <w:vAlign w:val="top"/>
          </w:tcPr>
          <w:p>
            <w:pPr>
              <w:spacing w:after="40" w:before="0" w:line="259" w:lineRule="auto"/>
            </w:pPr>
            <w:r>
              <w:rPr>
                <w:rFonts w:ascii="Calibri" w:hAnsi="Calibri"/>
                <w:b w:val="0"/>
                <w:i w:val="0"/>
                <w:color w:val="212121"/>
                <w:sz w:val="16"/>
              </w:rPr>
              <w:t>Confirms the commonest congenital primary hypogonadism</w:t>
            </w:r>
          </w:p>
        </w:tc>
        <w:tc>
          <w:tcPr>
            <w:tcW w:type="dxa" w:w="1036"/>
            <w:vAlign w:val="top"/>
          </w:tcPr>
          <w:p>
            <w:pPr>
              <w:spacing w:after="40" w:before="0" w:line="259" w:lineRule="auto"/>
            </w:pPr>
            <w:r>
              <w:rPr>
                <w:rFonts w:ascii="Calibri" w:hAnsi="Calibri"/>
                <w:b w:val="0"/>
                <w:i w:val="0"/>
                <w:color w:val="212121"/>
                <w:sz w:val="16"/>
              </w:rPr>
              <w:t>Primary hypogonadism with small firm testes/azoospermia</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Aetiological</w:t>
            </w:r>
          </w:p>
        </w:tc>
        <w:tc>
          <w:tcPr>
            <w:tcW w:type="dxa" w:w="720"/>
            <w:vAlign w:val="top"/>
          </w:tcPr>
          <w:p>
            <w:pPr>
              <w:spacing w:after="40" w:before="0" w:line="259" w:lineRule="auto"/>
            </w:pPr>
            <w:r>
              <w:rPr>
                <w:rFonts w:ascii="Calibri" w:hAnsi="Calibri"/>
                <w:b w:val="0"/>
                <w:i w:val="0"/>
                <w:color w:val="212121"/>
                <w:sz w:val="16"/>
              </w:rPr>
              <w:t>Combine with semen analysis; consider fertility counselling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 / bone</w:t>
            </w:r>
          </w:p>
        </w:tc>
        <w:tc>
          <w:tcPr>
            <w:tcW w:type="dxa" w:w="1036"/>
            <w:vAlign w:val="top"/>
          </w:tcPr>
          <w:p>
            <w:pPr>
              <w:spacing w:after="40" w:before="0" w:line="259" w:lineRule="auto"/>
            </w:pPr>
            <w:r>
              <w:rPr>
                <w:rFonts w:ascii="Calibri" w:hAnsi="Calibri"/>
                <w:b w:val="0"/>
                <w:i w:val="0"/>
                <w:color w:val="212121"/>
                <w:sz w:val="16"/>
              </w:rPr>
              <w:t>DEXA bone mineral density</w:t>
            </w:r>
          </w:p>
        </w:tc>
        <w:tc>
          <w:tcPr>
            <w:tcW w:type="dxa" w:w="892"/>
            <w:vAlign w:val="top"/>
          </w:tcPr>
          <w:p>
            <w:pPr>
              <w:spacing w:after="40" w:before="0" w:line="259" w:lineRule="auto"/>
            </w:pPr>
            <w:r>
              <w:rPr>
                <w:rFonts w:ascii="Calibri" w:hAnsi="Calibri"/>
                <w:b w:val="0"/>
                <w:i w:val="0"/>
                <w:color w:val="212121"/>
                <w:sz w:val="16"/>
              </w:rPr>
              <w:t>Densitometry</w:t>
            </w:r>
          </w:p>
        </w:tc>
        <w:tc>
          <w:tcPr>
            <w:tcW w:type="dxa" w:w="950"/>
            <w:vAlign w:val="top"/>
          </w:tcPr>
          <w:p>
            <w:pPr>
              <w:spacing w:after="40" w:before="0" w:line="259" w:lineRule="auto"/>
            </w:pPr>
            <w:r>
              <w:rPr>
                <w:rFonts w:ascii="Calibri" w:hAnsi="Calibri"/>
                <w:b w:val="0"/>
                <w:i w:val="0"/>
                <w:color w:val="212121"/>
                <w:sz w:val="16"/>
              </w:rPr>
              <w:t>T-score &gt; −1.0</w:t>
            </w:r>
          </w:p>
        </w:tc>
        <w:tc>
          <w:tcPr>
            <w:tcW w:type="dxa" w:w="950"/>
            <w:vAlign w:val="top"/>
          </w:tcPr>
          <w:p>
            <w:pPr>
              <w:spacing w:after="40" w:before="0" w:line="259" w:lineRule="auto"/>
            </w:pPr>
            <w:r>
              <w:rPr>
                <w:rFonts w:ascii="Calibri" w:hAnsi="Calibri"/>
                <w:b w:val="0"/>
                <w:i w:val="0"/>
                <w:color w:val="212121"/>
                <w:sz w:val="16"/>
              </w:rPr>
              <w:t>Osteopenia (−1.0 to −2.5) / osteoporosis (≤ −2.5)</w:t>
            </w:r>
          </w:p>
        </w:tc>
        <w:tc>
          <w:tcPr>
            <w:tcW w:type="dxa" w:w="1036"/>
            <w:vAlign w:val="top"/>
          </w:tcPr>
          <w:p>
            <w:pPr>
              <w:spacing w:after="40" w:before="0" w:line="259" w:lineRule="auto"/>
            </w:pPr>
            <w:r>
              <w:rPr>
                <w:rFonts w:ascii="Calibri" w:hAnsi="Calibri"/>
                <w:b w:val="0"/>
                <w:i w:val="0"/>
                <w:color w:val="212121"/>
                <w:sz w:val="16"/>
              </w:rPr>
              <w:t>Assesses skeletal consequences of long-standing androgen deficiency</w:t>
            </w:r>
          </w:p>
        </w:tc>
        <w:tc>
          <w:tcPr>
            <w:tcW w:type="dxa" w:w="1036"/>
            <w:vAlign w:val="top"/>
          </w:tcPr>
          <w:p>
            <w:pPr>
              <w:spacing w:after="40" w:before="0" w:line="259" w:lineRule="auto"/>
            </w:pPr>
            <w:r>
              <w:rPr>
                <w:rFonts w:ascii="Calibri" w:hAnsi="Calibri"/>
                <w:b w:val="0"/>
                <w:i w:val="0"/>
                <w:color w:val="212121"/>
                <w:sz w:val="16"/>
              </w:rPr>
              <w:t>Long-standing/older hypogonadal men</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Bone density is frequently under-tested in hypogonadal men</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Sexual &amp; androgen-deficiency symptoms (ADAM screen)</w:t>
            </w:r>
          </w:p>
        </w:tc>
        <w:tc>
          <w:tcPr>
            <w:tcW w:type="dxa" w:w="979"/>
            <w:vAlign w:val="top"/>
          </w:tcPr>
          <w:p>
            <w:pPr>
              <w:spacing w:after="40" w:before="0" w:line="259" w:lineRule="auto"/>
            </w:pPr>
            <w:r>
              <w:rPr>
                <w:rFonts w:ascii="Calibri" w:hAnsi="Calibri"/>
                <w:b w:val="0"/>
                <w:i w:val="0"/>
                <w:color w:val="212121"/>
                <w:sz w:val="16"/>
              </w:rPr>
              <w:t>Low libido, erectile dysfunction, reduced morning erections, fatigue, low mood</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Any present (esp. the three sexual symptoms)</w:t>
            </w:r>
          </w:p>
        </w:tc>
        <w:tc>
          <w:tcPr>
            <w:tcW w:type="dxa" w:w="1036"/>
            <w:vAlign w:val="top"/>
          </w:tcPr>
          <w:p>
            <w:pPr>
              <w:spacing w:after="40" w:before="0" w:line="259" w:lineRule="auto"/>
            </w:pPr>
            <w:r>
              <w:rPr>
                <w:rFonts w:ascii="Calibri" w:hAnsi="Calibri"/>
                <w:b w:val="0"/>
                <w:i w:val="0"/>
                <w:color w:val="212121"/>
                <w:sz w:val="16"/>
              </w:rPr>
              <w:t>Symptom cluster required alongside low testosterone for diagnosis</w:t>
            </w:r>
          </w:p>
        </w:tc>
        <w:tc>
          <w:tcPr>
            <w:tcW w:type="dxa" w:w="1036"/>
            <w:vAlign w:val="top"/>
          </w:tcPr>
          <w:p>
            <w:pPr>
              <w:spacing w:after="40" w:before="0" w:line="259" w:lineRule="auto"/>
            </w:pPr>
            <w:r>
              <w:rPr>
                <w:rFonts w:ascii="Calibri" w:hAnsi="Calibri"/>
                <w:b w:val="0"/>
                <w:i w:val="0"/>
                <w:color w:val="212121"/>
                <w:sz w:val="16"/>
              </w:rPr>
              <w:t>Middle-aged &amp; older men, diabetic/obese men</w:t>
            </w:r>
          </w:p>
        </w:tc>
        <w:tc>
          <w:tcPr>
            <w:tcW w:type="dxa" w:w="720"/>
            <w:vAlign w:val="top"/>
          </w:tcPr>
          <w:p>
            <w:pPr>
              <w:spacing w:after="40" w:before="0" w:line="259" w:lineRule="auto"/>
            </w:pPr>
            <w:r>
              <w:rPr>
                <w:rFonts w:ascii="Calibri" w:hAnsi="Calibri"/>
                <w:b w:val="0"/>
                <w:i w:val="0"/>
                <w:color w:val="212121"/>
                <w:sz w:val="16"/>
              </w:rPr>
              <w:t>Mental health; Sleep</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The three sexual symptoms are the most specific for low testosterone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Drug, substance &amp; alcohol history</w:t>
            </w:r>
          </w:p>
        </w:tc>
        <w:tc>
          <w:tcPr>
            <w:tcW w:type="dxa" w:w="979"/>
            <w:vAlign w:val="top"/>
          </w:tcPr>
          <w:p>
            <w:pPr>
              <w:spacing w:after="40" w:before="0" w:line="259" w:lineRule="auto"/>
            </w:pPr>
            <w:r>
              <w:rPr>
                <w:rFonts w:ascii="Calibri" w:hAnsi="Calibri"/>
                <w:b w:val="0"/>
                <w:i w:val="0"/>
                <w:color w:val="212121"/>
                <w:sz w:val="16"/>
              </w:rPr>
              <w:t>Opioids, glucocorticoids, anabolic-androgenic steroids, heavy alcohol, antipsychotics</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Any chronic use</w:t>
            </w:r>
          </w:p>
        </w:tc>
        <w:tc>
          <w:tcPr>
            <w:tcW w:type="dxa" w:w="1036"/>
            <w:vAlign w:val="top"/>
          </w:tcPr>
          <w:p>
            <w:pPr>
              <w:spacing w:after="40" w:before="0" w:line="259" w:lineRule="auto"/>
            </w:pPr>
            <w:r>
              <w:rPr>
                <w:rFonts w:ascii="Calibri" w:hAnsi="Calibri"/>
                <w:b w:val="0"/>
                <w:i w:val="0"/>
                <w:color w:val="212121"/>
                <w:sz w:val="16"/>
              </w:rPr>
              <w:t>Identifies reversible iatrogenic/lifestyle causes of secondary hypogonadism</w:t>
            </w:r>
          </w:p>
        </w:tc>
        <w:tc>
          <w:tcPr>
            <w:tcW w:type="dxa" w:w="1036"/>
            <w:vAlign w:val="top"/>
          </w:tcPr>
          <w:p>
            <w:pPr>
              <w:spacing w:after="40" w:before="0" w:line="259" w:lineRule="auto"/>
            </w:pPr>
            <w:r>
              <w:rPr>
                <w:rFonts w:ascii="Calibri" w:hAnsi="Calibri"/>
                <w:b w:val="0"/>
                <w:i w:val="0"/>
                <w:color w:val="212121"/>
                <w:sz w:val="16"/>
              </w:rPr>
              <w:t>Chronic-pain, gym, psychiatric and heavy-drinking populations</w:t>
            </w:r>
          </w:p>
        </w:tc>
        <w:tc>
          <w:tcPr>
            <w:tcW w:type="dxa" w:w="720"/>
            <w:vAlign w:val="top"/>
          </w:tcPr>
          <w:p>
            <w:pPr>
              <w:spacing w:after="40" w:before="0" w:line="259" w:lineRule="auto"/>
            </w:pPr>
            <w:r>
              <w:rPr>
                <w:rFonts w:ascii="Calibri" w:hAnsi="Calibri"/>
                <w:b w:val="0"/>
                <w:i w:val="0"/>
                <w:color w:val="212121"/>
                <w:sz w:val="16"/>
              </w:rPr>
              <w:t>Provoking factors; Alcohol</w:t>
            </w:r>
          </w:p>
        </w:tc>
        <w:tc>
          <w:tcPr>
            <w:tcW w:type="dxa" w:w="720"/>
            <w:vAlign w:val="top"/>
          </w:tcPr>
          <w:p>
            <w:pPr>
              <w:spacing w:after="40" w:before="0" w:line="259" w:lineRule="auto"/>
            </w:pPr>
            <w:r>
              <w:rPr>
                <w:rFonts w:ascii="Calibri" w:hAnsi="Calibri"/>
                <w:b w:val="0"/>
                <w:i w:val="0"/>
                <w:color w:val="212121"/>
                <w:sz w:val="16"/>
              </w:rPr>
              <w:t>Aetiological</w:t>
            </w:r>
          </w:p>
        </w:tc>
        <w:tc>
          <w:tcPr>
            <w:tcW w:type="dxa" w:w="720"/>
            <w:vAlign w:val="top"/>
          </w:tcPr>
          <w:p>
            <w:pPr>
              <w:spacing w:after="40" w:before="0" w:line="259" w:lineRule="auto"/>
            </w:pPr>
            <w:r>
              <w:rPr>
                <w:rFonts w:ascii="Calibri" w:hAnsi="Calibri"/>
                <w:b w:val="0"/>
                <w:i w:val="0"/>
                <w:color w:val="212121"/>
                <w:sz w:val="16"/>
              </w:rPr>
              <w:t>Often overlooked; may reverse on stopping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Developmental, pubertal &amp; fertility history</w:t>
            </w:r>
          </w:p>
        </w:tc>
        <w:tc>
          <w:tcPr>
            <w:tcW w:type="dxa" w:w="979"/>
            <w:vAlign w:val="top"/>
          </w:tcPr>
          <w:p>
            <w:pPr>
              <w:spacing w:after="40" w:before="0" w:line="259" w:lineRule="auto"/>
            </w:pPr>
            <w:r>
              <w:rPr>
                <w:rFonts w:ascii="Calibri" w:hAnsi="Calibri"/>
                <w:b w:val="0"/>
                <w:i w:val="0"/>
                <w:color w:val="212121"/>
                <w:sz w:val="16"/>
              </w:rPr>
              <w:t>Delayed/absent puberty, anosmia, cryptorchidism, subfertility</w:t>
            </w:r>
          </w:p>
        </w:tc>
        <w:tc>
          <w:tcPr>
            <w:tcW w:type="dxa" w:w="950"/>
            <w:vAlign w:val="top"/>
          </w:tcPr>
          <w:p>
            <w:pPr>
              <w:spacing w:after="40" w:before="0" w:line="259" w:lineRule="auto"/>
            </w:pPr>
            <w:r>
              <w:rPr>
                <w:rFonts w:ascii="Calibri" w:hAnsi="Calibri"/>
                <w:b w:val="0"/>
                <w:i w:val="0"/>
                <w:color w:val="212121"/>
                <w:sz w:val="16"/>
              </w:rPr>
              <w:t>Normal puberty &amp; fertility</w:t>
            </w:r>
          </w:p>
        </w:tc>
        <w:tc>
          <w:tcPr>
            <w:tcW w:type="dxa" w:w="950"/>
            <w:vAlign w:val="top"/>
          </w:tcPr>
          <w:p>
            <w:pPr>
              <w:spacing w:after="40" w:before="0" w:line="259" w:lineRule="auto"/>
            </w:pPr>
            <w:r>
              <w:rPr>
                <w:rFonts w:ascii="Calibri" w:hAnsi="Calibri"/>
                <w:b w:val="0"/>
                <w:i w:val="0"/>
                <w:color w:val="212121"/>
                <w:sz w:val="16"/>
              </w:rPr>
              <w:t>Delayed puberty, anosmia or infertility</w:t>
            </w:r>
          </w:p>
        </w:tc>
        <w:tc>
          <w:tcPr>
            <w:tcW w:type="dxa" w:w="1036"/>
            <w:vAlign w:val="top"/>
          </w:tcPr>
          <w:p>
            <w:pPr>
              <w:spacing w:after="40" w:before="0" w:line="259" w:lineRule="auto"/>
            </w:pPr>
            <w:r>
              <w:rPr>
                <w:rFonts w:ascii="Calibri" w:hAnsi="Calibri"/>
                <w:b w:val="0"/>
                <w:i w:val="0"/>
                <w:color w:val="212121"/>
                <w:sz w:val="16"/>
              </w:rPr>
              <w:t>Points to congenital causes (Kallmann, Klinefelter)</w:t>
            </w:r>
          </w:p>
        </w:tc>
        <w:tc>
          <w:tcPr>
            <w:tcW w:type="dxa" w:w="1036"/>
            <w:vAlign w:val="top"/>
          </w:tcPr>
          <w:p>
            <w:pPr>
              <w:spacing w:after="40" w:before="0" w:line="259" w:lineRule="auto"/>
            </w:pPr>
            <w:r>
              <w:rPr>
                <w:rFonts w:ascii="Calibri" w:hAnsi="Calibri"/>
                <w:b w:val="0"/>
                <w:i w:val="0"/>
                <w:color w:val="212121"/>
                <w:sz w:val="16"/>
              </w:rPr>
              <w:t>Adolescents/young men, infertile men</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Anosmia strongly suggests Kallmann syndrome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Testicular volume &amp; consistency</w:t>
            </w:r>
          </w:p>
        </w:tc>
        <w:tc>
          <w:tcPr>
            <w:tcW w:type="dxa" w:w="979"/>
            <w:vAlign w:val="top"/>
          </w:tcPr>
          <w:p>
            <w:pPr>
              <w:spacing w:after="40" w:before="0" w:line="259" w:lineRule="auto"/>
            </w:pPr>
            <w:r>
              <w:rPr>
                <w:rFonts w:ascii="Calibri" w:hAnsi="Calibri"/>
                <w:b w:val="0"/>
                <w:i w:val="0"/>
                <w:color w:val="212121"/>
                <w:sz w:val="16"/>
              </w:rPr>
              <w:t>Prader orchidometer / measured volume</w:t>
            </w:r>
          </w:p>
        </w:tc>
        <w:tc>
          <w:tcPr>
            <w:tcW w:type="dxa" w:w="950"/>
            <w:vAlign w:val="top"/>
          </w:tcPr>
          <w:p>
            <w:pPr>
              <w:spacing w:after="40" w:before="0" w:line="259" w:lineRule="auto"/>
            </w:pPr>
            <w:r>
              <w:rPr>
                <w:rFonts w:ascii="Calibri" w:hAnsi="Calibri"/>
                <w:b w:val="0"/>
                <w:i w:val="0"/>
                <w:color w:val="212121"/>
                <w:sz w:val="16"/>
              </w:rPr>
              <w:t>≥ 20 mL (≥ 4 cm long)</w:t>
            </w:r>
          </w:p>
        </w:tc>
        <w:tc>
          <w:tcPr>
            <w:tcW w:type="dxa" w:w="950"/>
            <w:vAlign w:val="top"/>
          </w:tcPr>
          <w:p>
            <w:pPr>
              <w:spacing w:after="40" w:before="0" w:line="259" w:lineRule="auto"/>
            </w:pPr>
            <w:r>
              <w:rPr>
                <w:rFonts w:ascii="Calibri" w:hAnsi="Calibri"/>
                <w:b w:val="0"/>
                <w:i w:val="0"/>
                <w:color w:val="212121"/>
                <w:sz w:val="16"/>
              </w:rPr>
              <w:t>Small firm (Klinefelter) or small soft (secondary/atrophic)</w:t>
            </w:r>
          </w:p>
        </w:tc>
        <w:tc>
          <w:tcPr>
            <w:tcW w:type="dxa" w:w="1036"/>
            <w:vAlign w:val="top"/>
          </w:tcPr>
          <w:p>
            <w:pPr>
              <w:spacing w:after="40" w:before="0" w:line="259" w:lineRule="auto"/>
            </w:pPr>
            <w:r>
              <w:rPr>
                <w:rFonts w:ascii="Calibri" w:hAnsi="Calibri"/>
                <w:b w:val="0"/>
                <w:i w:val="0"/>
                <w:color w:val="212121"/>
                <w:sz w:val="16"/>
              </w:rPr>
              <w:t>Small firm testes suggest primary tubular failure; small soft suggests secondary</w:t>
            </w:r>
          </w:p>
        </w:tc>
        <w:tc>
          <w:tcPr>
            <w:tcW w:type="dxa" w:w="1036"/>
            <w:vAlign w:val="top"/>
          </w:tcPr>
          <w:p>
            <w:pPr>
              <w:spacing w:after="40" w:before="0" w:line="259" w:lineRule="auto"/>
            </w:pPr>
            <w:r>
              <w:rPr>
                <w:rFonts w:ascii="Calibri" w:hAnsi="Calibri"/>
                <w:b w:val="0"/>
                <w:i w:val="0"/>
                <w:color w:val="212121"/>
                <w:sz w:val="16"/>
              </w:rPr>
              <w:t>All men being evaluated</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Key bedside sign; document both testes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Virilisation, gynaecomastia &amp; body hair</w:t>
            </w:r>
          </w:p>
        </w:tc>
        <w:tc>
          <w:tcPr>
            <w:tcW w:type="dxa" w:w="979"/>
            <w:vAlign w:val="top"/>
          </w:tcPr>
          <w:p>
            <w:pPr>
              <w:spacing w:after="40" w:before="0" w:line="259" w:lineRule="auto"/>
            </w:pPr>
            <w:r>
              <w:rPr>
                <w:rFonts w:ascii="Calibri" w:hAnsi="Calibri"/>
                <w:b w:val="0"/>
                <w:i w:val="0"/>
                <w:color w:val="212121"/>
                <w:sz w:val="16"/>
              </w:rPr>
              <w:t>Gynaecomastia, reduced facial/axillary/pubic hair, muscle bulk</w:t>
            </w:r>
          </w:p>
        </w:tc>
        <w:tc>
          <w:tcPr>
            <w:tcW w:type="dxa" w:w="950"/>
            <w:vAlign w:val="top"/>
          </w:tcPr>
          <w:p>
            <w:pPr>
              <w:spacing w:after="40" w:before="0" w:line="259" w:lineRule="auto"/>
            </w:pPr>
            <w:r>
              <w:rPr>
                <w:rFonts w:ascii="Calibri" w:hAnsi="Calibri"/>
                <w:b w:val="0"/>
                <w:i w:val="0"/>
                <w:color w:val="212121"/>
                <w:sz w:val="16"/>
              </w:rPr>
              <w:t>Normal virilisation</w:t>
            </w:r>
          </w:p>
        </w:tc>
        <w:tc>
          <w:tcPr>
            <w:tcW w:type="dxa" w:w="950"/>
            <w:vAlign w:val="top"/>
          </w:tcPr>
          <w:p>
            <w:pPr>
              <w:spacing w:after="40" w:before="0" w:line="259" w:lineRule="auto"/>
            </w:pPr>
            <w:r>
              <w:rPr>
                <w:rFonts w:ascii="Calibri" w:hAnsi="Calibri"/>
                <w:b w:val="0"/>
                <w:i w:val="0"/>
                <w:color w:val="212121"/>
                <w:sz w:val="16"/>
              </w:rPr>
              <w:t>Gynaecomastia and/or reduced hair &amp; muscle mass</w:t>
            </w:r>
          </w:p>
        </w:tc>
        <w:tc>
          <w:tcPr>
            <w:tcW w:type="dxa" w:w="1036"/>
            <w:vAlign w:val="top"/>
          </w:tcPr>
          <w:p>
            <w:pPr>
              <w:spacing w:after="40" w:before="0" w:line="259" w:lineRule="auto"/>
            </w:pPr>
            <w:r>
              <w:rPr>
                <w:rFonts w:ascii="Calibri" w:hAnsi="Calibri"/>
                <w:b w:val="0"/>
                <w:i w:val="0"/>
                <w:color w:val="212121"/>
                <w:sz w:val="16"/>
              </w:rPr>
              <w:t>Signs of androgen deficiency and increased oestrogen action</w:t>
            </w:r>
          </w:p>
        </w:tc>
        <w:tc>
          <w:tcPr>
            <w:tcW w:type="dxa" w:w="1036"/>
            <w:vAlign w:val="top"/>
          </w:tcPr>
          <w:p>
            <w:pPr>
              <w:spacing w:after="40" w:before="0" w:line="259" w:lineRule="auto"/>
            </w:pPr>
            <w:r>
              <w:rPr>
                <w:rFonts w:ascii="Calibri" w:hAnsi="Calibri"/>
                <w:b w:val="0"/>
                <w:i w:val="0"/>
                <w:color w:val="212121"/>
                <w:sz w:val="16"/>
              </w:rPr>
              <w:t>Hypogonadal men, obese/cirrhotic men</w:t>
            </w:r>
          </w:p>
        </w:tc>
        <w:tc>
          <w:tcPr>
            <w:tcW w:type="dxa" w:w="720"/>
            <w:vAlign w:val="top"/>
          </w:tcPr>
          <w:p>
            <w:pPr>
              <w:spacing w:after="40" w:before="0" w:line="259" w:lineRule="auto"/>
            </w:pPr>
            <w:r>
              <w:rPr>
                <w:rFonts w:ascii="Calibri" w:hAnsi="Calibri"/>
                <w:b w:val="0"/>
                <w:i w:val="0"/>
                <w:color w:val="212121"/>
                <w:sz w:val="16"/>
              </w:rPr>
              <w:t>Alcohol</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Gynaecomastia warrants oestradiol and drug review</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Anthropometry &amp; body composition</w:t>
            </w:r>
          </w:p>
        </w:tc>
        <w:tc>
          <w:tcPr>
            <w:tcW w:type="dxa" w:w="979"/>
            <w:vAlign w:val="top"/>
          </w:tcPr>
          <w:p>
            <w:pPr>
              <w:spacing w:after="40" w:before="0" w:line="259" w:lineRule="auto"/>
            </w:pPr>
            <w:r>
              <w:rPr>
                <w:rFonts w:ascii="Calibri" w:hAnsi="Calibri"/>
                <w:b w:val="0"/>
                <w:i w:val="0"/>
                <w:color w:val="212121"/>
                <w:sz w:val="16"/>
              </w:rPr>
              <w:t>BMI, waist circumference, central adiposity</w:t>
            </w:r>
          </w:p>
        </w:tc>
        <w:tc>
          <w:tcPr>
            <w:tcW w:type="dxa" w:w="950"/>
            <w:vAlign w:val="top"/>
          </w:tcPr>
          <w:p>
            <w:pPr>
              <w:spacing w:after="40" w:before="0" w:line="259" w:lineRule="auto"/>
            </w:pPr>
            <w:r>
              <w:rPr>
                <w:rFonts w:ascii="Calibri" w:hAnsi="Calibri"/>
                <w:b w:val="0"/>
                <w:i w:val="0"/>
                <w:color w:val="212121"/>
                <w:sz w:val="16"/>
              </w:rPr>
              <w:t>BMI &lt; 23, waist &lt; 90 cm</w:t>
            </w:r>
          </w:p>
        </w:tc>
        <w:tc>
          <w:tcPr>
            <w:tcW w:type="dxa" w:w="950"/>
            <w:vAlign w:val="top"/>
          </w:tcPr>
          <w:p>
            <w:pPr>
              <w:spacing w:after="40" w:before="0" w:line="259" w:lineRule="auto"/>
            </w:pPr>
            <w:r>
              <w:rPr>
                <w:rFonts w:ascii="Calibri" w:hAnsi="Calibri"/>
                <w:b w:val="0"/>
                <w:i w:val="0"/>
                <w:color w:val="212121"/>
                <w:sz w:val="16"/>
              </w:rPr>
              <w:t>Central obesity</w:t>
            </w:r>
          </w:p>
        </w:tc>
        <w:tc>
          <w:tcPr>
            <w:tcW w:type="dxa" w:w="1036"/>
            <w:vAlign w:val="top"/>
          </w:tcPr>
          <w:p>
            <w:pPr>
              <w:spacing w:after="40" w:before="0" w:line="259" w:lineRule="auto"/>
            </w:pPr>
            <w:r>
              <w:rPr>
                <w:rFonts w:ascii="Calibri" w:hAnsi="Calibri"/>
                <w:b w:val="0"/>
                <w:i w:val="0"/>
                <w:color w:val="212121"/>
                <w:sz w:val="16"/>
              </w:rPr>
              <w:t>Links functional hypogonadism to obesity/metabolic syndrome</w:t>
            </w:r>
          </w:p>
        </w:tc>
        <w:tc>
          <w:tcPr>
            <w:tcW w:type="dxa" w:w="1036"/>
            <w:vAlign w:val="top"/>
          </w:tcPr>
          <w:p>
            <w:pPr>
              <w:spacing w:after="40" w:before="0" w:line="259" w:lineRule="auto"/>
            </w:pPr>
            <w:r>
              <w:rPr>
                <w:rFonts w:ascii="Calibri" w:hAnsi="Calibri"/>
                <w:b w:val="0"/>
                <w:i w:val="0"/>
                <w:color w:val="212121"/>
                <w:sz w:val="16"/>
              </w:rPr>
              <w:t>Obese &amp; diabetic men</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Aetiological</w:t>
            </w:r>
          </w:p>
        </w:tc>
        <w:tc>
          <w:tcPr>
            <w:tcW w:type="dxa" w:w="720"/>
            <w:vAlign w:val="top"/>
          </w:tcPr>
          <w:p>
            <w:pPr>
              <w:spacing w:after="40" w:before="0" w:line="259" w:lineRule="auto"/>
            </w:pPr>
            <w:r>
              <w:rPr>
                <w:rFonts w:ascii="Calibri" w:hAnsi="Calibri"/>
                <w:b w:val="0"/>
                <w:i w:val="0"/>
                <w:color w:val="212121"/>
                <w:sz w:val="16"/>
              </w:rPr>
              <w:t>Guides weight-loss-first management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Pituitary / sellar assessment</w:t>
            </w:r>
          </w:p>
        </w:tc>
        <w:tc>
          <w:tcPr>
            <w:tcW w:type="dxa" w:w="979"/>
            <w:vAlign w:val="top"/>
          </w:tcPr>
          <w:p>
            <w:pPr>
              <w:spacing w:after="40" w:before="0" w:line="259" w:lineRule="auto"/>
            </w:pPr>
            <w:r>
              <w:rPr>
                <w:rFonts w:ascii="Calibri" w:hAnsi="Calibri"/>
                <w:b w:val="0"/>
                <w:i w:val="0"/>
                <w:color w:val="212121"/>
                <w:sz w:val="16"/>
              </w:rPr>
              <w:t>Visual fields, headache, other pituitary hormone deficits</w:t>
            </w:r>
          </w:p>
        </w:tc>
        <w:tc>
          <w:tcPr>
            <w:tcW w:type="dxa" w:w="950"/>
            <w:vAlign w:val="top"/>
          </w:tcPr>
          <w:p>
            <w:pPr>
              <w:spacing w:after="40" w:before="0" w:line="259" w:lineRule="auto"/>
            </w:pPr>
            <w:r>
              <w:rPr>
                <w:rFonts w:ascii="Calibri" w:hAnsi="Calibri"/>
                <w:b w:val="0"/>
                <w:i w:val="0"/>
                <w:color w:val="212121"/>
                <w:sz w:val="16"/>
              </w:rPr>
              <w:t>Intact fields, no deficits</w:t>
            </w:r>
          </w:p>
        </w:tc>
        <w:tc>
          <w:tcPr>
            <w:tcW w:type="dxa" w:w="950"/>
            <w:vAlign w:val="top"/>
          </w:tcPr>
          <w:p>
            <w:pPr>
              <w:spacing w:after="40" w:before="0" w:line="259" w:lineRule="auto"/>
            </w:pPr>
            <w:r>
              <w:rPr>
                <w:rFonts w:ascii="Calibri" w:hAnsi="Calibri"/>
                <w:b w:val="0"/>
                <w:i w:val="0"/>
                <w:color w:val="212121"/>
                <w:sz w:val="16"/>
              </w:rPr>
              <w:t>Bitemporal hemianopia or additional deficits</w:t>
            </w:r>
          </w:p>
        </w:tc>
        <w:tc>
          <w:tcPr>
            <w:tcW w:type="dxa" w:w="1036"/>
            <w:vAlign w:val="top"/>
          </w:tcPr>
          <w:p>
            <w:pPr>
              <w:spacing w:after="40" w:before="0" w:line="259" w:lineRule="auto"/>
            </w:pPr>
            <w:r>
              <w:rPr>
                <w:rFonts w:ascii="Calibri" w:hAnsi="Calibri"/>
                <w:b w:val="0"/>
                <w:i w:val="0"/>
                <w:color w:val="212121"/>
                <w:sz w:val="16"/>
              </w:rPr>
              <w:t>Suggests a sellar mass — prompts pituitary MRI and full pituitary panel</w:t>
            </w:r>
          </w:p>
        </w:tc>
        <w:tc>
          <w:tcPr>
            <w:tcW w:type="dxa" w:w="1036"/>
            <w:vAlign w:val="top"/>
          </w:tcPr>
          <w:p>
            <w:pPr>
              <w:spacing w:after="40" w:before="0" w:line="259" w:lineRule="auto"/>
            </w:pPr>
            <w:r>
              <w:rPr>
                <w:rFonts w:ascii="Calibri" w:hAnsi="Calibri"/>
                <w:b w:val="0"/>
                <w:i w:val="0"/>
                <w:color w:val="212121"/>
                <w:sz w:val="16"/>
              </w:rPr>
              <w:t>Severe secondary hypogonadism</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Aetiological</w:t>
            </w:r>
          </w:p>
        </w:tc>
        <w:tc>
          <w:tcPr>
            <w:tcW w:type="dxa" w:w="720"/>
            <w:vAlign w:val="top"/>
          </w:tcPr>
          <w:p>
            <w:pPr>
              <w:spacing w:after="40" w:before="0" w:line="259" w:lineRule="auto"/>
            </w:pPr>
            <w:r>
              <w:rPr>
                <w:rFonts w:ascii="Calibri" w:hAnsi="Calibri"/>
                <w:b w:val="0"/>
                <w:i w:val="0"/>
                <w:color w:val="212121"/>
                <w:sz w:val="16"/>
              </w:rPr>
              <w:t>Very low testosterone with low LH/FSH needs imaging</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Reduced sexual desire (low libido)</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One of the most specific symptoms of testosterone deficiency.</w:t>
            </w:r>
          </w:p>
        </w:tc>
      </w:tr>
      <w:tr>
        <w:trPr>
          <w:cantSplit/>
        </w:trPr>
        <w:tc>
          <w:tcPr>
            <w:tcW w:type="dxa" w:w="2304"/>
            <w:vAlign w:val="top"/>
          </w:tcPr>
          <w:p>
            <w:pPr>
              <w:spacing w:after="40" w:before="0" w:line="259" w:lineRule="auto"/>
            </w:pPr>
            <w:r>
              <w:rPr>
                <w:rFonts w:ascii="Calibri" w:hAnsi="Calibri"/>
                <w:b/>
                <w:i w:val="0"/>
                <w:color w:val="212121"/>
                <w:sz w:val="19"/>
              </w:rPr>
              <w:t>Erectile dysfunction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Reduced rigidity and difficulty maintaining erections; often overlaps with vascular disease and diabetes.</w:t>
            </w:r>
          </w:p>
        </w:tc>
      </w:tr>
      <w:tr>
        <w:trPr>
          <w:cantSplit/>
        </w:trPr>
        <w:tc>
          <w:tcPr>
            <w:tcW w:type="dxa" w:w="2304"/>
            <w:vAlign w:val="top"/>
          </w:tcPr>
          <w:p>
            <w:pPr>
              <w:spacing w:after="40" w:before="0" w:line="259" w:lineRule="auto"/>
            </w:pPr>
            <w:r>
              <w:rPr>
                <w:rFonts w:ascii="Calibri" w:hAnsi="Calibri"/>
                <w:b/>
                <w:i w:val="0"/>
                <w:color w:val="212121"/>
                <w:sz w:val="19"/>
              </w:rPr>
              <w:t>Reduced morning / spontaneous erections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Decline in nocturnal and early-morning erections is an early, specific androgen-deficiency symptom.</w:t>
            </w:r>
          </w:p>
        </w:tc>
      </w:tr>
      <w:tr>
        <w:trPr>
          <w:cantSplit/>
        </w:trPr>
        <w:tc>
          <w:tcPr>
            <w:tcW w:type="dxa" w:w="2304"/>
            <w:vAlign w:val="top"/>
          </w:tcPr>
          <w:p>
            <w:pPr>
              <w:spacing w:after="40" w:before="0" w:line="259" w:lineRule="auto"/>
            </w:pPr>
            <w:r>
              <w:rPr>
                <w:rFonts w:ascii="Calibri" w:hAnsi="Calibri"/>
                <w:b/>
                <w:i w:val="0"/>
                <w:color w:val="212121"/>
                <w:sz w:val="19"/>
              </w:rPr>
              <w:t>Fatigue and low energy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Persistent tiredness and reduced stamina from low anabolic drive.</w:t>
            </w:r>
          </w:p>
        </w:tc>
      </w:tr>
      <w:tr>
        <w:trPr>
          <w:cantSplit/>
        </w:trPr>
        <w:tc>
          <w:tcPr>
            <w:tcW w:type="dxa" w:w="2304"/>
            <w:vAlign w:val="top"/>
          </w:tcPr>
          <w:p>
            <w:pPr>
              <w:spacing w:after="40" w:before="0" w:line="259" w:lineRule="auto"/>
            </w:pPr>
            <w:r>
              <w:rPr>
                <w:rFonts w:ascii="Calibri" w:hAnsi="Calibri"/>
                <w:b/>
                <w:i w:val="0"/>
                <w:color w:val="212121"/>
                <w:sz w:val="19"/>
              </w:rPr>
              <w:t>Depressed mood / irritability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Low mood, poor motivation and irritability; bidirectionally linked with depression.</w:t>
            </w:r>
          </w:p>
        </w:tc>
      </w:tr>
      <w:tr>
        <w:trPr>
          <w:cantSplit/>
        </w:trPr>
        <w:tc>
          <w:tcPr>
            <w:tcW w:type="dxa" w:w="2304"/>
            <w:vAlign w:val="top"/>
          </w:tcPr>
          <w:p>
            <w:pPr>
              <w:spacing w:after="40" w:before="0" w:line="259" w:lineRule="auto"/>
            </w:pPr>
            <w:r>
              <w:rPr>
                <w:rFonts w:ascii="Calibri" w:hAnsi="Calibri"/>
                <w:b/>
                <w:i w:val="0"/>
                <w:color w:val="212121"/>
                <w:sz w:val="19"/>
              </w:rPr>
              <w:t>Loss of muscle mass and strength</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Reduced anabolic drive lowers lean mass and physical performance.</w:t>
            </w:r>
          </w:p>
        </w:tc>
      </w:tr>
      <w:tr>
        <w:trPr>
          <w:cantSplit/>
        </w:trPr>
        <w:tc>
          <w:tcPr>
            <w:tcW w:type="dxa" w:w="2304"/>
            <w:vAlign w:val="top"/>
          </w:tcPr>
          <w:p>
            <w:pPr>
              <w:spacing w:after="40" w:before="0" w:line="259" w:lineRule="auto"/>
            </w:pPr>
            <w:r>
              <w:rPr>
                <w:rFonts w:ascii="Calibri" w:hAnsi="Calibri"/>
                <w:b/>
                <w:i w:val="0"/>
                <w:color w:val="212121"/>
                <w:sz w:val="19"/>
              </w:rPr>
              <w:t>Poor concentration / ‘brain fog’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Impaired concentration, memory and sense of vitality.</w:t>
            </w:r>
          </w:p>
        </w:tc>
      </w:tr>
      <w:tr>
        <w:trPr>
          <w:cantSplit/>
        </w:trPr>
        <w:tc>
          <w:tcPr>
            <w:tcW w:type="dxa" w:w="2304"/>
            <w:vAlign w:val="top"/>
          </w:tcPr>
          <w:p>
            <w:pPr>
              <w:spacing w:after="40" w:before="0" w:line="259" w:lineRule="auto"/>
            </w:pPr>
            <w:r>
              <w:rPr>
                <w:rFonts w:ascii="Calibri" w:hAnsi="Calibri"/>
                <w:b/>
                <w:i w:val="0"/>
                <w:color w:val="212121"/>
                <w:sz w:val="19"/>
              </w:rPr>
              <w:t>Increased body fat / weight gain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Rise in central adiposity, part of the obesity–low-testosterone cycle.</w:t>
            </w:r>
          </w:p>
        </w:tc>
      </w:tr>
      <w:tr>
        <w:trPr>
          <w:cantSplit/>
        </w:trPr>
        <w:tc>
          <w:tcPr>
            <w:tcW w:type="dxa" w:w="2304"/>
            <w:vAlign w:val="top"/>
          </w:tcPr>
          <w:p>
            <w:pPr>
              <w:spacing w:after="40" w:before="0" w:line="259" w:lineRule="auto"/>
            </w:pPr>
            <w:r>
              <w:rPr>
                <w:rFonts w:ascii="Calibri" w:hAnsi="Calibri"/>
                <w:b/>
                <w:i w:val="0"/>
                <w:color w:val="212121"/>
                <w:sz w:val="19"/>
              </w:rPr>
              <w:t>Hot flushes and sweats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Vasomotor symptoms, especially with severe or acute (e.g., post-castration) deficiency.</w:t>
            </w:r>
          </w:p>
        </w:tc>
      </w:tr>
      <w:tr>
        <w:trPr>
          <w:cantSplit/>
        </w:trPr>
        <w:tc>
          <w:tcPr>
            <w:tcW w:type="dxa" w:w="2304"/>
            <w:vAlign w:val="top"/>
          </w:tcPr>
          <w:p>
            <w:pPr>
              <w:spacing w:after="40" w:before="0" w:line="259" w:lineRule="auto"/>
            </w:pPr>
            <w:r>
              <w:rPr>
                <w:rFonts w:ascii="Calibri" w:hAnsi="Calibri"/>
                <w:b/>
                <w:i w:val="0"/>
                <w:color w:val="212121"/>
                <w:sz w:val="19"/>
              </w:rPr>
              <w:t>Reduced shaving frequency / body hair</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Slowed facial and body hair growth reflecting reduced androgen action.</w:t>
            </w:r>
          </w:p>
        </w:tc>
      </w:tr>
      <w:tr>
        <w:trPr>
          <w:cantSplit/>
        </w:trPr>
        <w:tc>
          <w:tcPr>
            <w:tcW w:type="dxa" w:w="2304"/>
            <w:vAlign w:val="top"/>
          </w:tcPr>
          <w:p>
            <w:pPr>
              <w:spacing w:after="40" w:before="0" w:line="259" w:lineRule="auto"/>
            </w:pPr>
            <w:r>
              <w:rPr>
                <w:rFonts w:ascii="Calibri" w:hAnsi="Calibri"/>
                <w:b/>
                <w:i w:val="0"/>
                <w:color w:val="212121"/>
                <w:sz w:val="19"/>
              </w:rPr>
              <w:t>Infertility / reduced ejaculate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Impaired spermatogenesis, prominent in primary hypogonadism (e.g., Klinefelter).</w:t>
            </w:r>
          </w:p>
        </w:tc>
      </w:tr>
      <w:tr>
        <w:trPr>
          <w:cantSplit/>
        </w:trPr>
        <w:tc>
          <w:tcPr>
            <w:tcW w:type="dxa" w:w="2304"/>
            <w:vAlign w:val="top"/>
          </w:tcPr>
          <w:p>
            <w:pPr>
              <w:spacing w:after="40" w:before="0" w:line="259" w:lineRule="auto"/>
            </w:pPr>
            <w:r>
              <w:rPr>
                <w:rFonts w:ascii="Calibri" w:hAnsi="Calibri"/>
                <w:b/>
                <w:i w:val="0"/>
                <w:color w:val="212121"/>
                <w:sz w:val="19"/>
              </w:rPr>
              <w:t>Sleep disturbance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Poor or fragmented sleep, often intertwined with obstructive sleep apnoea.</w:t>
            </w:r>
          </w:p>
        </w:tc>
      </w:tr>
      <w:tr>
        <w:trPr>
          <w:cantSplit/>
        </w:trPr>
        <w:tc>
          <w:tcPr>
            <w:tcW w:type="dxa" w:w="2304"/>
            <w:vAlign w:val="top"/>
          </w:tcPr>
          <w:p>
            <w:pPr>
              <w:spacing w:after="40" w:before="0" w:line="259" w:lineRule="auto"/>
            </w:pPr>
            <w:r>
              <w:rPr>
                <w:rFonts w:ascii="Calibri" w:hAnsi="Calibri"/>
                <w:b/>
                <w:i w:val="0"/>
                <w:color w:val="212121"/>
                <w:sz w:val="19"/>
              </w:rPr>
              <w:t>Anosmia (with congenital forms)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Absent sense of smell points to Kallmann syndrome.</w:t>
            </w:r>
          </w:p>
        </w:tc>
      </w:tr>
      <w:tr>
        <w:trPr>
          <w:cantSplit/>
        </w:trPr>
        <w:tc>
          <w:tcPr>
            <w:tcW w:type="dxa" w:w="2304"/>
            <w:vAlign w:val="top"/>
          </w:tcPr>
          <w:p>
            <w:pPr>
              <w:spacing w:after="40" w:before="0" w:line="259" w:lineRule="auto"/>
            </w:pPr>
            <w:r>
              <w:rPr>
                <w:rFonts w:ascii="Calibri" w:hAnsi="Calibri"/>
                <w:b/>
                <w:i w:val="0"/>
                <w:color w:val="212121"/>
                <w:sz w:val="19"/>
              </w:rPr>
              <w:t>Back pain / loss of height</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May reflect osteoporotic vertebral fracture from long-standing deficiency.</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Small testes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Small firm testes (&lt; 20 mL) suggest primary tubular failure/Klinefelter; small soft testes suggest secondary/atrophic disease.</w:t>
            </w:r>
          </w:p>
        </w:tc>
      </w:tr>
      <w:tr>
        <w:trPr>
          <w:cantSplit/>
        </w:trPr>
        <w:tc>
          <w:tcPr>
            <w:tcW w:type="dxa" w:w="3456"/>
            <w:vAlign w:val="top"/>
          </w:tcPr>
          <w:p>
            <w:pPr>
              <w:spacing w:after="40" w:before="0" w:line="259" w:lineRule="auto"/>
            </w:pPr>
            <w:r>
              <w:rPr>
                <w:rFonts w:ascii="Calibri" w:hAnsi="Calibri"/>
                <w:b/>
                <w:i w:val="0"/>
                <w:color w:val="212121"/>
                <w:sz w:val="19"/>
              </w:rPr>
              <w:t>Gynaecomastia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Glandular breast tissue from a low testosterone-to-oestrogen ratio.</w:t>
            </w:r>
          </w:p>
        </w:tc>
      </w:tr>
      <w:tr>
        <w:trPr>
          <w:cantSplit/>
        </w:trPr>
        <w:tc>
          <w:tcPr>
            <w:tcW w:type="dxa" w:w="3456"/>
            <w:vAlign w:val="top"/>
          </w:tcPr>
          <w:p>
            <w:pPr>
              <w:spacing w:after="40" w:before="0" w:line="259" w:lineRule="auto"/>
            </w:pPr>
            <w:r>
              <w:rPr>
                <w:rFonts w:ascii="Calibri" w:hAnsi="Calibri"/>
                <w:b/>
                <w:i w:val="0"/>
                <w:color w:val="212121"/>
                <w:sz w:val="19"/>
              </w:rPr>
              <w:t>Reduced body, facial, axillary and pubic hair</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Decreased androgen-dependent hair growth and slower beard growth.</w:t>
            </w:r>
          </w:p>
        </w:tc>
      </w:tr>
      <w:tr>
        <w:trPr>
          <w:cantSplit/>
        </w:trPr>
        <w:tc>
          <w:tcPr>
            <w:tcW w:type="dxa" w:w="3456"/>
            <w:vAlign w:val="top"/>
          </w:tcPr>
          <w:p>
            <w:pPr>
              <w:spacing w:after="40" w:before="0" w:line="259" w:lineRule="auto"/>
            </w:pPr>
            <w:r>
              <w:rPr>
                <w:rFonts w:ascii="Calibri" w:hAnsi="Calibri"/>
                <w:b/>
                <w:i w:val="0"/>
                <w:color w:val="212121"/>
                <w:sz w:val="19"/>
              </w:rPr>
              <w:t>Decreased muscle mass / increased central adiposity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Reduced lean mass with abdominal fat accumulation.</w:t>
            </w:r>
          </w:p>
        </w:tc>
      </w:tr>
      <w:tr>
        <w:trPr>
          <w:cantSplit/>
        </w:trPr>
        <w:tc>
          <w:tcPr>
            <w:tcW w:type="dxa" w:w="3456"/>
            <w:vAlign w:val="top"/>
          </w:tcPr>
          <w:p>
            <w:pPr>
              <w:spacing w:after="40" w:before="0" w:line="259" w:lineRule="auto"/>
            </w:pPr>
            <w:r>
              <w:rPr>
                <w:rFonts w:ascii="Calibri" w:hAnsi="Calibri"/>
                <w:b/>
                <w:i w:val="0"/>
                <w:color w:val="212121"/>
                <w:sz w:val="19"/>
              </w:rPr>
              <w:t>Central obesity (raised waist circumference)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Marker of the functional hypogonadism–metabolic syndrome overlap.</w:t>
            </w:r>
          </w:p>
        </w:tc>
      </w:tr>
      <w:tr>
        <w:trPr>
          <w:cantSplit/>
        </w:trPr>
        <w:tc>
          <w:tcPr>
            <w:tcW w:type="dxa" w:w="3456"/>
            <w:vAlign w:val="top"/>
          </w:tcPr>
          <w:p>
            <w:pPr>
              <w:spacing w:after="40" w:before="0" w:line="259" w:lineRule="auto"/>
            </w:pPr>
            <w:r>
              <w:rPr>
                <w:rFonts w:ascii="Calibri" w:hAnsi="Calibri"/>
                <w:b/>
                <w:i w:val="0"/>
                <w:color w:val="212121"/>
                <w:sz w:val="19"/>
              </w:rPr>
              <w:t>Eunuchoid body proportions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Arm span exceeding height and long limbs when androgen deficiency predates puberty (delayed epiphyseal fusion).</w:t>
            </w:r>
          </w:p>
        </w:tc>
      </w:tr>
      <w:tr>
        <w:trPr>
          <w:cantSplit/>
        </w:trPr>
        <w:tc>
          <w:tcPr>
            <w:tcW w:type="dxa" w:w="3456"/>
            <w:vAlign w:val="top"/>
          </w:tcPr>
          <w:p>
            <w:pPr>
              <w:spacing w:after="40" w:before="0" w:line="259" w:lineRule="auto"/>
            </w:pPr>
            <w:r>
              <w:rPr>
                <w:rFonts w:ascii="Calibri" w:hAnsi="Calibri"/>
                <w:b/>
                <w:i w:val="0"/>
                <w:color w:val="212121"/>
                <w:sz w:val="19"/>
              </w:rPr>
              <w:t>Reduced bone density / fragility fracture (kyphosis)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Osteopenia/osteoporosis on DEXA; vertebral or hip fragility fractures in long-standing disease.</w:t>
            </w:r>
          </w:p>
        </w:tc>
      </w:tr>
      <w:tr>
        <w:trPr>
          <w:cantSplit/>
        </w:trPr>
        <w:tc>
          <w:tcPr>
            <w:tcW w:type="dxa" w:w="3456"/>
            <w:vAlign w:val="top"/>
          </w:tcPr>
          <w:p>
            <w:pPr>
              <w:spacing w:after="40" w:before="0" w:line="259" w:lineRule="auto"/>
            </w:pPr>
            <w:r>
              <w:rPr>
                <w:rFonts w:ascii="Calibri" w:hAnsi="Calibri"/>
                <w:b/>
                <w:i w:val="0"/>
                <w:color w:val="212121"/>
                <w:sz w:val="19"/>
              </w:rPr>
              <w:t>Pallor of anaemia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Normocytic anaemia from loss of testosterone’s erythropoietic drive.</w:t>
            </w:r>
          </w:p>
        </w:tc>
      </w:tr>
      <w:tr>
        <w:trPr>
          <w:cantSplit/>
        </w:trPr>
        <w:tc>
          <w:tcPr>
            <w:tcW w:type="dxa" w:w="3456"/>
            <w:vAlign w:val="top"/>
          </w:tcPr>
          <w:p>
            <w:pPr>
              <w:spacing w:after="40" w:before="0" w:line="259" w:lineRule="auto"/>
            </w:pPr>
            <w:r>
              <w:rPr>
                <w:rFonts w:ascii="Calibri" w:hAnsi="Calibri"/>
                <w:b/>
                <w:i w:val="0"/>
                <w:color w:val="212121"/>
                <w:sz w:val="19"/>
              </w:rPr>
              <w:t>Delayed puberty (in adolescents)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Lack of testicular enlargement and secondary sexual characteristics beyond expected age.</w:t>
            </w:r>
          </w:p>
        </w:tc>
      </w:tr>
      <w:tr>
        <w:trPr>
          <w:cantSplit/>
        </w:trPr>
        <w:tc>
          <w:tcPr>
            <w:tcW w:type="dxa" w:w="3456"/>
            <w:vAlign w:val="top"/>
          </w:tcPr>
          <w:p>
            <w:pPr>
              <w:spacing w:after="40" w:before="0" w:line="259" w:lineRule="auto"/>
            </w:pPr>
            <w:r>
              <w:rPr>
                <w:rFonts w:ascii="Calibri" w:hAnsi="Calibri"/>
                <w:b/>
                <w:i w:val="0"/>
                <w:color w:val="212121"/>
                <w:sz w:val="19"/>
              </w:rPr>
              <w:t>Anosmia</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Absent smell sensation in Kallmann syndrome (congenital GnRH deficiency).</w:t>
            </w:r>
          </w:p>
        </w:tc>
      </w:tr>
      <w:tr>
        <w:trPr>
          <w:cantSplit/>
        </w:trPr>
        <w:tc>
          <w:tcPr>
            <w:tcW w:type="dxa" w:w="3456"/>
            <w:vAlign w:val="top"/>
          </w:tcPr>
          <w:p>
            <w:pPr>
              <w:spacing w:after="40" w:before="0" w:line="259" w:lineRule="auto"/>
            </w:pPr>
            <w:r>
              <w:rPr>
                <w:rFonts w:ascii="Calibri" w:hAnsi="Calibri"/>
                <w:b/>
                <w:i w:val="0"/>
                <w:color w:val="212121"/>
                <w:sz w:val="19"/>
              </w:rPr>
              <w:t>Bitemporal visual-field defect</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Suggests a pituitary macroadenoma compressing the optic chiasm as a cause of secondary hypogonadism.</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Sexual dysfunction — low libido and erectile dysfunction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Impaired spermatogenesis — oligospermia to azoospermia and infertility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Vasomotor symptoms (hot flushes) and reduced sense of wellbeing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Fatigue, low mood and reduced physical performance</w:t>
            </w:r>
          </w:p>
        </w:tc>
        <w:tc>
          <w:tcPr>
            <w:tcW w:type="dxa" w:w="2980"/>
            <w:vAlign w:val="top"/>
          </w:tcPr>
          <w:p>
            <w:pPr>
              <w:spacing w:after="40" w:before="0" w:line="259" w:lineRule="auto"/>
            </w:pPr>
            <w:r>
              <w:rPr>
                <w:rFonts w:ascii="Calibri" w:hAnsi="Calibri"/>
                <w:b w:val="0"/>
                <w:i w:val="0"/>
                <w:color w:val="212121"/>
                <w:sz w:val="19"/>
              </w:rPr>
              <w:t>Direct consequences of insufficient testosterone action on reproductive and general tissues</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Osteopenia and osteoporosis with increased fracture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Sarcopenia — loss of muscle mass and strength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Worsened insulin resistance, central obesity and metabolic syndrome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Dyslipidaemia and increased visceral fat / NAFLD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Normocytic anaemia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Depression and impaired cognition / quality of life</w:t>
            </w:r>
          </w:p>
        </w:tc>
        <w:tc>
          <w:tcPr>
            <w:tcW w:type="dxa" w:w="2980"/>
            <w:vAlign w:val="top"/>
          </w:tcPr>
          <w:p>
            <w:pPr>
              <w:spacing w:after="40" w:before="0" w:line="259" w:lineRule="auto"/>
            </w:pPr>
            <w:r>
              <w:rPr>
                <w:rFonts w:ascii="Calibri" w:hAnsi="Calibri"/>
                <w:b w:val="0"/>
                <w:i w:val="0"/>
                <w:color w:val="212121"/>
                <w:sz w:val="19"/>
              </w:rPr>
              <w:t>Consequences of sustained androgen deficiency on bone, muscle, metabolism, blood and mood</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Fragility hip and vertebral fractures with disability and loss of independence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 frailty and functional decline in the 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Permanent infertility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Higher burden of cardiovascular disease and increased all-cause mortality risk (association)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Major depression and markedly reduced quality of life</w:t>
            </w:r>
          </w:p>
        </w:tc>
        <w:tc>
          <w:tcPr>
            <w:tcW w:type="dxa" w:w="2980"/>
            <w:vAlign w:val="top"/>
          </w:tcPr>
          <w:p>
            <w:pPr>
              <w:spacing w:after="40" w:before="0" w:line="259" w:lineRule="auto"/>
            </w:pPr>
            <w:r>
              <w:rPr>
                <w:rFonts w:ascii="Calibri" w:hAnsi="Calibri"/>
                <w:b w:val="0"/>
                <w:i w:val="0"/>
                <w:color w:val="212121"/>
                <w:sz w:val="19"/>
              </w:rPr>
              <w:t>Irreversible or disabling end-stage outcomes of long-standing, untreated hypogonadism and its complications</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Type 2 diabetes mellitus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Insulin resistance, central obesity and low SHBG lower testosterone, while low testosterone worsens insulin resistance — a bidirectional loop that is highly prevalent in India.</w:t>
            </w:r>
          </w:p>
          <w:p>
            <w:pPr>
              <w:spacing w:after="40" w:before="0" w:line="259" w:lineRule="auto"/>
            </w:pPr>
            <w:r>
              <w:rPr>
                <w:rFonts w:ascii="Calibri" w:hAnsi="Calibri"/>
                <w:b/>
                <w:i w:val="0"/>
                <w:color w:val="212121"/>
                <w:sz w:val="19"/>
              </w:rPr>
              <w:t>≈18% (Indian T2DM men, total T &lt; 300 ng/dL)</w:t>
            </w:r>
          </w:p>
        </w:tc>
      </w:tr>
      <w:tr>
        <w:trPr>
          <w:cantSplit/>
        </w:trPr>
        <w:tc>
          <w:tcPr>
            <w:tcW w:type="dxa" w:w="2232"/>
            <w:vAlign w:val="top"/>
          </w:tcPr>
          <w:p>
            <w:pPr>
              <w:spacing w:after="40" w:before="0" w:line="259" w:lineRule="auto"/>
            </w:pPr>
            <w:r>
              <w:rPr>
                <w:rFonts w:ascii="Calibri" w:hAnsi="Calibri"/>
                <w:b/>
                <w:i w:val="0"/>
                <w:color w:val="212121"/>
                <w:sz w:val="19"/>
              </w:rPr>
              <w:t>Obesity</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Central adiposity is the leading driver of functional hypogonadism through aromatisation and reduced SHBG, and low testosterone in turn promotes further fat gain.</w:t>
            </w:r>
          </w:p>
        </w:tc>
      </w:tr>
      <w:tr>
        <w:trPr>
          <w:cantSplit/>
        </w:trPr>
        <w:tc>
          <w:tcPr>
            <w:tcW w:type="dxa" w:w="2232"/>
            <w:vAlign w:val="top"/>
          </w:tcPr>
          <w:p>
            <w:pPr>
              <w:spacing w:after="40" w:before="0" w:line="259" w:lineRule="auto"/>
            </w:pPr>
            <w:r>
              <w:rPr>
                <w:rFonts w:ascii="Calibri" w:hAnsi="Calibri"/>
                <w:b/>
                <w:i w:val="0"/>
                <w:color w:val="212121"/>
                <w:sz w:val="19"/>
              </w:rPr>
              <w:t>Metabolic syndrome</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Low testosterone and the metabolic syndrome cluster strongly together and share the pathophysiology of insulin resistance and visceral fat.</w:t>
            </w:r>
          </w:p>
          <w:p>
            <w:pPr>
              <w:spacing w:after="40" w:before="0" w:line="259" w:lineRule="auto"/>
            </w:pPr>
            <w:r>
              <w:rPr>
                <w:rFonts w:ascii="Calibri" w:hAnsi="Calibri"/>
                <w:b/>
                <w:i w:val="0"/>
                <w:color w:val="212121"/>
                <w:sz w:val="19"/>
              </w:rPr>
              <w:t>~26% co-prevalence (men 20–59)</w:t>
            </w:r>
          </w:p>
        </w:tc>
      </w:tr>
      <w:tr>
        <w:trPr>
          <w:cantSplit/>
        </w:trPr>
        <w:tc>
          <w:tcPr>
            <w:tcW w:type="dxa" w:w="2232"/>
            <w:vAlign w:val="top"/>
          </w:tcPr>
          <w:p>
            <w:pPr>
              <w:spacing w:after="40" w:before="0" w:line="259" w:lineRule="auto"/>
            </w:pPr>
            <w:r>
              <w:rPr>
                <w:rFonts w:ascii="Calibri" w:hAnsi="Calibri"/>
                <w:b/>
                <w:i w:val="0"/>
                <w:color w:val="212121"/>
                <w:sz w:val="19"/>
              </w:rPr>
              <w:t>Obstructive sleep apnoea</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OSA lowers testosterone by disrupting sleep-entrained secretion, while testosterone therapy can worsen OSA — so the two must be managed together.</w:t>
            </w:r>
          </w:p>
        </w:tc>
      </w:tr>
      <w:tr>
        <w:trPr>
          <w:cantSplit/>
        </w:trPr>
        <w:tc>
          <w:tcPr>
            <w:tcW w:type="dxa" w:w="2232"/>
            <w:vAlign w:val="top"/>
          </w:tcPr>
          <w:p>
            <w:pPr>
              <w:spacing w:after="40" w:before="0" w:line="259" w:lineRule="auto"/>
            </w:pPr>
            <w:r>
              <w:rPr>
                <w:rFonts w:ascii="Calibri" w:hAnsi="Calibri"/>
                <w:b/>
                <w:i w:val="0"/>
                <w:color w:val="212121"/>
                <w:sz w:val="19"/>
              </w:rPr>
              <w:t>Erectile dysfunction</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Erectile dysfunction is a cardinal symptom and frequent associate of hypogonadism; both share vascular and metabolic mechanisms and management overlaps.</w:t>
            </w:r>
          </w:p>
        </w:tc>
      </w:tr>
      <w:tr>
        <w:trPr>
          <w:cantSplit/>
        </w:trPr>
        <w:tc>
          <w:tcPr>
            <w:tcW w:type="dxa" w:w="2232"/>
            <w:vAlign w:val="top"/>
          </w:tcPr>
          <w:p>
            <w:pPr>
              <w:spacing w:after="40" w:before="0" w:line="259" w:lineRule="auto"/>
            </w:pPr>
            <w:r>
              <w:rPr>
                <w:rFonts w:ascii="Calibri" w:hAnsi="Calibri"/>
                <w:b/>
                <w:i w:val="0"/>
                <w:color w:val="212121"/>
                <w:sz w:val="19"/>
              </w:rPr>
              <w:t>Osteoporosis / low bone mineral density</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Testosterone (and its aromatisation to oestrogen) maintains male bone; deficiency causes low BMD and fragility fractures, and is the best-documented risk factor for osteoporosis in men.</w:t>
            </w:r>
          </w:p>
          <w:p>
            <w:pPr>
              <w:spacing w:after="40" w:before="0" w:line="259" w:lineRule="auto"/>
            </w:pPr>
            <w:r>
              <w:rPr>
                <w:rFonts w:ascii="Calibri" w:hAnsi="Calibri"/>
                <w:b/>
                <w:i w:val="0"/>
                <w:color w:val="212121"/>
                <w:sz w:val="19"/>
              </w:rPr>
              <w:t>Up to 20% of vertebral- and ~50% of hip-fracture men are hypogonadal</w:t>
            </w:r>
          </w:p>
        </w:tc>
      </w:tr>
      <w:tr>
        <w:trPr>
          <w:cantSplit/>
        </w:trPr>
        <w:tc>
          <w:tcPr>
            <w:tcW w:type="dxa" w:w="2232"/>
            <w:vAlign w:val="top"/>
          </w:tcPr>
          <w:p>
            <w:pPr>
              <w:spacing w:after="40" w:before="0" w:line="259" w:lineRule="auto"/>
            </w:pPr>
            <w:r>
              <w:rPr>
                <w:rFonts w:ascii="Calibri" w:hAnsi="Calibri"/>
                <w:b/>
                <w:i w:val="0"/>
                <w:color w:val="212121"/>
                <w:sz w:val="19"/>
              </w:rPr>
              <w:t>Depression</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Depression and low testosterone are bidirectionally associated through shared inflammatory and behavioural pathways, and each can worsen the other.</w:t>
            </w:r>
          </w:p>
        </w:tc>
      </w:tr>
      <w:tr>
        <w:trPr>
          <w:cantSplit/>
        </w:trPr>
        <w:tc>
          <w:tcPr>
            <w:tcW w:type="dxa" w:w="2232"/>
            <w:vAlign w:val="top"/>
          </w:tcPr>
          <w:p>
            <w:pPr>
              <w:spacing w:after="40" w:before="0" w:line="259" w:lineRule="auto"/>
            </w:pPr>
            <w:r>
              <w:rPr>
                <w:rFonts w:ascii="Calibri" w:hAnsi="Calibri"/>
                <w:b/>
                <w:i w:val="0"/>
                <w:color w:val="212121"/>
                <w:sz w:val="19"/>
              </w:rPr>
              <w:t>Male infertility / subfertility</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Impaired spermatogenesis is intrinsic to hypogonadism (especially primary/Klinefelter), and exogenous testosterone further suppresses fertility — a key treatment interaction.</w:t>
            </w:r>
          </w:p>
        </w:tc>
      </w:tr>
      <w:tr>
        <w:trPr>
          <w:cantSplit/>
        </w:trPr>
        <w:tc>
          <w:tcPr>
            <w:tcW w:type="dxa" w:w="2232"/>
            <w:vAlign w:val="top"/>
          </w:tcPr>
          <w:p>
            <w:pPr>
              <w:spacing w:after="40" w:before="0" w:line="259" w:lineRule="auto"/>
            </w:pPr>
            <w:r>
              <w:rPr>
                <w:rFonts w:ascii="Calibri" w:hAnsi="Calibri"/>
                <w:b/>
                <w:i w:val="0"/>
                <w:color w:val="212121"/>
                <w:sz w:val="19"/>
              </w:rPr>
              <w:t>Anaemia</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Testosterone stimulates erythropoiesis; deficiency causes a normocytic anaemia that improves with replacement.</w:t>
            </w:r>
          </w:p>
        </w:tc>
      </w:tr>
      <w:tr>
        <w:trPr>
          <w:cantSplit/>
        </w:trPr>
        <w:tc>
          <w:tcPr>
            <w:tcW w:type="dxa" w:w="2232"/>
            <w:vAlign w:val="top"/>
          </w:tcPr>
          <w:p>
            <w:pPr>
              <w:spacing w:after="40" w:before="0" w:line="259" w:lineRule="auto"/>
            </w:pPr>
            <w:r>
              <w:rPr>
                <w:rFonts w:ascii="Calibri" w:hAnsi="Calibri"/>
                <w:b/>
                <w:i w:val="0"/>
                <w:color w:val="212121"/>
                <w:sz w:val="19"/>
              </w:rPr>
              <w:t>Cardiovascular disease</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Low testosterone associates with adverse cardiometabolic risk and higher mortality; the causal direction is debated and testosterone therapy needs individualised cardiovascular assessment.</w:t>
            </w:r>
          </w:p>
        </w:tc>
      </w:tr>
      <w:tr>
        <w:trPr>
          <w:cantSplit/>
        </w:trPr>
        <w:tc>
          <w:tcPr>
            <w:tcW w:type="dxa" w:w="2232"/>
            <w:vAlign w:val="top"/>
          </w:tcPr>
          <w:p>
            <w:pPr>
              <w:spacing w:after="40" w:before="0" w:line="259" w:lineRule="auto"/>
            </w:pPr>
            <w:r>
              <w:rPr>
                <w:rFonts w:ascii="Calibri" w:hAnsi="Calibri"/>
                <w:b/>
                <w:i w:val="0"/>
                <w:color w:val="212121"/>
                <w:sz w:val="19"/>
              </w:rPr>
              <w:t>Hyperprolactinaemia / pituitary disease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Prolactinomas, sellar masses and dopamine-blocking drugs suppress GnRH to cause secondary hypogonadism; treating the pituitary problem restores testosterone.</w:t>
            </w:r>
          </w:p>
        </w:tc>
      </w:tr>
      <w:tr>
        <w:trPr>
          <w:cantSplit/>
        </w:trPr>
        <w:tc>
          <w:tcPr>
            <w:tcW w:type="dxa" w:w="2232"/>
            <w:vAlign w:val="top"/>
          </w:tcPr>
          <w:p>
            <w:pPr>
              <w:spacing w:after="40" w:before="0" w:line="259" w:lineRule="auto"/>
            </w:pPr>
            <w:r>
              <w:rPr>
                <w:rFonts w:ascii="Calibri" w:hAnsi="Calibri"/>
                <w:b/>
                <w:i w:val="0"/>
                <w:color w:val="212121"/>
                <w:sz w:val="19"/>
              </w:rPr>
              <w:t>Klinefelter syndrome (47,XXY)</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The commonest congenital cause of primary hypogonadism; its diagnosis changes fertility counselling, androgen replacement and screening for associated conditions.</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persistent low libido, erectile dysfunction, loss of morning erections, fatigue and low mood may signal testosterone deficiency and deserve testing rather than being dismissed as ‘normal ageing’.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a diagnosis needs symptoms plus a low morning testosterone confirmed on a repeat fasting sample — not a single random test.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Know that in most adults low testosterone is ‘functional’ and driven by obesity, type 2 diabetes, poor sleep, alcohol and certain drugs — much of which is reversible.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Achieve and maintain a healthy waist (&lt; 90 cm) and weight, since central fat is the strongest modifiable cause of low testosterone.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Disclose all medications and substances — opioids, steroids, anabolic (gym) steroids and heavy alcohol — which commonly suppress testosterone.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early evaluation for delayed puberty, small testes, infertility or an absent sense of smell, which may indicate a treatable congenital cause.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 &amp; ageing 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obesity or diabetes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on chronic opioids/steroids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Couples with infertility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 with delayed puberty</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gradual 5–10% weight loss where overweight/obese, focusing on reducing central (abdominal) fat, which can meaningfully raise testosterone.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Perform ≥ 150 minutes/week of moderate aerobic activity (brisk walking, cycling, swimming).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 resistance/strength training 2–3 days/week to rebuild muscle mass and improve insulin sensitivity.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Break up prolonged sitting and build daily movement into work routines.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exercise with dietary change — the two together are more effective at restoring testosterone than either alone.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type 2 diabetes/metabolic syndrome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office &amp; shift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functional hypogonadism</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balanced, fibre-rich diet with whole grains and millets (ragi, jowar, bajra), pulses, vegetables, fruit and lean protein.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refined carbohydrates, sugar-sweetened beverages, fried and ultra-processed foods that promote central obesity and insulin resistance.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Moderate portion sizes and avoid habitual overeating and late-night meals.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vitamin D and zinc through diet, sunlight and correction of proven deficiency (common in India and in vegetarian diets).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crash or very-low-energy diets, which can themselves suppress the hypothalamic–pituitary axis.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at metabolic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Obese &amp; diabetic 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Vegetarian men at risk of micronutrient deficiency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Urban high-calorie-diet consumers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Protect 7–9 hours of good-quality sleep, since most testosterone is secreted during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obstructive sleep apnoea (snoring, witnessed apnoeas, daytime sleepiness) — CPAP and weight loss help.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regular sleep–wake timing and improve sleep hygiene, especially for shift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weight, alcohol and evening screen use, which all worsen sleep and lower testosterone.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OSA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Shift &amp; night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Obese 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fatigue and low testosterone</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alcohol within low-risk limits (≤ 14 units/week) and avoid binge and daily heavy drinking.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chronic heavy drinking damages the testes and, with liver disease, causes feminisation and gynaecomastia.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support to cut down or stop if intake is heavy or dependent.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Reducing alcohol can partially reverse alcohol-related suppression of testosterone.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or dependent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liver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gynaecomastia</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and all tobacco use to protect sperm quality and erectile-vascular 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cessation support (counselling, nicotine replacement or pharmacotherapy) for the best chance of quitting.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smokeless tobacco (khaini, gutka, zarda), which is common in India and also harms vascular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quitting with weight and activity measures for overall reproductive and metabolic benefit.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who smoke or use smokeless tobacco</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infertility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erectile dysfunction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Assess and treat depression, anxiety and chronic stress, which both mimic and worsen hypogonadism.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counselling about the reversible, lifestyle-driven nature of most functional hypogonadism to reduce anxiety and improve adherence.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couples around sexual function and fertility concerns with sensitive, non-judgemental 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Review psychotropic drugs (e.g., dopamine-blocking antipsychotics causing hyperprolactinaemia) that can suppress testosterone.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physical activity, sleep and social support as combined mood- and testosterone-supporting measures.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depression/low mood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Couples with sexual or fertility concerns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on prolactin-raising psychotropics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Build lifelong regular activity and strength training to preserve muscle, bone and insulin sensitivity as testosterone naturally declines with 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Prevent central weight gain from mid-life onward, since abdominal fat accelerates the age-related fall in testosterone.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active commuting and reduced screen/sitting time in urban 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weight-bearing exercise to protect bone density, a key target organ of androgen deficiency.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Ageing 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Urban sedentary 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a family history of osteoporosis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wishing to preserve fertility &amp; vitality</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ubmed.ncbi.nlm.nih.gov/21683825/" TargetMode="External"/><Relationship Id="rId10" Type="http://schemas.openxmlformats.org/officeDocument/2006/relationships/hyperlink" Target="https://pubmed.ncbi.nlm.nih.gov/20554979/" TargetMode="External"/><Relationship Id="rId11" Type="http://schemas.openxmlformats.org/officeDocument/2006/relationships/hyperlink" Target="https://pubmed.ncbi.nlm.nih.gov/19672344/" TargetMode="External"/><Relationship Id="rId12" Type="http://schemas.openxmlformats.org/officeDocument/2006/relationships/hyperlink" Target="https://pubmed.ncbi.nlm.nih.gov/39676785/" TargetMode="External"/><Relationship Id="rId13" Type="http://schemas.openxmlformats.org/officeDocument/2006/relationships/hyperlink" Target="https://pubmed.ncbi.nlm.nih.gov/32617747/" TargetMode="External"/><Relationship Id="rId14" Type="http://schemas.openxmlformats.org/officeDocument/2006/relationships/hyperlink" Target="https://pubmed.ncbi.nlm.nih.gov/29774669/" TargetMode="External"/><Relationship Id="rId15" Type="http://schemas.openxmlformats.org/officeDocument/2006/relationships/hyperlink" Target="https://pubmed.ncbi.nlm.nih.gov/30343356/" TargetMode="External"/><Relationship Id="rId16" Type="http://schemas.openxmlformats.org/officeDocument/2006/relationships/hyperlink" Target="https://pubmed.ncbi.nlm.nih.gov/26500921/" TargetMode="External"/><Relationship Id="rId17" Type="http://schemas.openxmlformats.org/officeDocument/2006/relationships/hyperlink" Target="https://pubmed.ncbi.nlm.nih.gov/295623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