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i w:val="0"/>
          <w:color w:val="2B2B33"/>
          <w:sz w:val="44"/>
        </w:rPr>
        <w:t>Osteomalacia</w:t>
      </w:r>
    </w:p>
    <w:p>
      <w:pPr>
        <w:spacing w:before="0" w:after="160"/>
      </w:pPr>
      <w:r>
        <w:rPr>
          <w:rFonts w:ascii="Calibri" w:hAnsi="Calibri"/>
          <w:b/>
          <w:i w:val="0"/>
          <w:color w:val="212121"/>
          <w:sz w:val="22"/>
        </w:rPr>
        <w:t xml:space="preserve">AKA </w:t>
      </w:r>
      <w:r>
        <w:rPr>
          <w:rFonts w:ascii="Calibri" w:hAnsi="Calibri"/>
          <w:b w:val="0"/>
          <w:i w:val="0"/>
          <w:color w:val="212121"/>
          <w:sz w:val="22"/>
        </w:rPr>
        <w:t>i.e., Adult rickets, Soft-bone disease, Bone softening, Adult vitamin D–deficiency bone disease</w:t>
      </w:r>
    </w:p>
    <w:p>
      <w:pPr>
        <w:spacing w:before="280" w:after="120"/>
      </w:pPr>
      <w:r>
        <w:rPr>
          <w:rFonts w:ascii="Calibri" w:hAnsi="Calibri"/>
          <w:b/>
          <w:i w:val="0"/>
          <w:color w:val="212121"/>
          <w:sz w:val="31"/>
        </w:rPr>
        <w:t>Introduction to MCP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Definition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Osteomalacia is a metabolic bone disorder in which newly formed bone matrix (osteoid) fails to mineralise normally, most often because of prolonged vitamin D deficiency and the resulting calcium and/or phosphate deficiency. The under-mineralised bone becomes soft and weak, so it bends, aches and fractures with little or no trauma. It is the adult counterpart of rickets: because the growth plates are already fused, the dominant features are diffuse bone pain, proximal muscle weakness and Looser-zone (pseudofracture) insufficiency fractures rather than the growth deformity seen in children.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Prevalence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Osteomalacia is under-diagnosed, but its principal cause — vitamin D deficiency — is near-epidemic in India, with reported deficiency of roughly 70–100% of the general population across multiple Indian studies. Deficiency exceeds 90% in several high-risk urban groups (e.g., Delhi adults aged ≥50 years ~91% and pregnant women ~96%). Combined with a habitually low dietary calcium intake and limited safe sun exposure, this makes clinical and subclinical osteomalacia common in India, particularly among veiled/purdah-observing women, the housebound elderly, and people with malabsorption or chronic kidney disease.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Diagnosis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Osteomalacia is diagnosed by combining the characteristic biochemical pattern of defective mineralisation with supportive imaging (and, when uncertain, bone biopsy). Suggestive findings include: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low serum 25-hydroxyvitamin D — typically &lt; 10 ng/mL (&lt; 25 nmol/L) in nutritional osteomalacia; deficiency is defined as &lt; 12 ng/mL (&lt; 30 nmol/L) and insufficiency as 12–20 ng/mL (30–50 nmol/L);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low or low-normal serum calcium and/or low serum phosphate (hypocalcaemia and/or hypophosphataemia from impaired mineral absorption or renal phosphate wasting);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raised total and bone-specific alkaline phosphatase (ALP) — reflecting increased osteoblast activity on unmineralised osteoid (often the earliest and most consistent abnormality);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elevated parathyroid hormone (PTH) with low 24-hour urinary calcium — secondary hyperparathyroidism driven by hypocalcaemia and low vitamin D;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radiographic Looser zones (pseudofractures) — transverse lucent bands perpendicular to the cortex, characteristically bilateral and symmetrical at the femoral necks, pubic and ischial rami, ribs and scapulae, with generalised osteopenia and biconcave “codfish” vertebrae;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a “definite osteomalacia” combination of hypophosphataemia or hypocalcaemia + high bone ALP + bone pain/muscle weakness + bone mineral density &lt; 80% of the young-adult mean + Looser zones (or multiple uptake zones on bone scan); trans-iliac bone biopsy after tetracycline double-labelling remains the histological gold standard when the diagnosis is in doubt.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Classification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Osteomalacia is classified by the underlying mineralisation defect: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(1) Vitamin D–deficient (nutritional / “privational”) osteomalacia — by far the commonest form in India, arising from inadequate cutaneous synthesis (limited sun exposure, skin pigmentation, veiling), poor dietary intake and/or malabsorption, and leading to calcium and phosphate deficiency with secondary hyperparathyroidism;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(2) Calcium-deficiency osteomalacia — from chronically low dietary calcium and high phytate intake even when vitamin D is adequate, a pattern well described in Indian and other South-Asian cereal-based diets;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(3) Hypophosphataemic (phosphate-wasting) osteomalacia — from renal phosphate loss, including hereditary X-linked hypophosphataemia, Fanconi syndrome / renal tubular acidosis and drug effects (e.g., intravenous iron, tenofovir, adefovir);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(4) Tumour-induced (oncogenic) osteomalacia — a rare paraneoplastic syndrome in which FGF23-secreting mesenchymal tumours cause renal phosphate wasting and low 1,25-dihydroxyvitamin D;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(5) Renal osteodystrophy / CKD–mineral and bone disorder — impaired renal 1-α-hydroxylation of vitamin D and phosphate retention in chronic kidney disease;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(6) Drug- and disorder-induced defective mineralisation — long-term anticonvulsants (phenytoin, phenobarbital, carbamazepine), chronic liver disease, and rare hypophosphatasia (low ALP) producing an osteomalacia-like picture.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Etiology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1. </w:t>
      </w:r>
      <w:r>
        <w:rPr>
          <w:rFonts w:ascii="Calibri" w:hAnsi="Calibri"/>
          <w:b w:val="0"/>
          <w:i w:val="0"/>
          <w:color w:val="212121"/>
          <w:sz w:val="21"/>
        </w:rPr>
        <w:t>Vitamin D deficiency: The dominant cause worldwide and in India — inadequate sunlight-driven skin synthesis plus poor dietary intake impairs intestinal calcium and phosphate absorption and the mineralisation of osteoid.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2. </w:t>
      </w:r>
      <w:r>
        <w:rPr>
          <w:rFonts w:ascii="Calibri" w:hAnsi="Calibri"/>
          <w:b w:val="0"/>
          <w:i w:val="0"/>
          <w:color w:val="212121"/>
          <w:sz w:val="21"/>
        </w:rPr>
        <w:t>Reduced sunlight / cutaneous synthesis: Dark (high-melanin) skin, veiling and purdah, indoor lifestyles, urban air pollution and higher latitudes all cut cutaneous vitamin D production.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3. </w:t>
      </w:r>
      <w:r>
        <w:rPr>
          <w:rFonts w:ascii="Calibri" w:hAnsi="Calibri"/>
          <w:b w:val="0"/>
          <w:i w:val="0"/>
          <w:color w:val="212121"/>
          <w:sz w:val="21"/>
        </w:rPr>
        <w:t>Dietary calcium and phosphate deficiency: Predominantly cereal-based, low-dairy vegetarian diets with a high phytate/calcium ratio reduce calcium bioavailability; phosphate deficiency or wasting impairs mineralisation.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4. </w:t>
      </w:r>
      <w:r>
        <w:rPr>
          <w:rFonts w:ascii="Calibri" w:hAnsi="Calibri"/>
          <w:b w:val="0"/>
          <w:i w:val="0"/>
          <w:color w:val="212121"/>
          <w:sz w:val="21"/>
        </w:rPr>
        <w:t>Malabsorption: Coeliac disease, inflammatory bowel disease, chronic pancreatitis, cystic fibrosis and bariatric or gastric surgery reduce absorption of fat-soluble vitamin D and of calcium.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5. </w:t>
      </w:r>
      <w:r>
        <w:rPr>
          <w:rFonts w:ascii="Calibri" w:hAnsi="Calibri"/>
          <w:b w:val="0"/>
          <w:i w:val="0"/>
          <w:color w:val="212121"/>
          <w:sz w:val="21"/>
        </w:rPr>
        <w:t>Chronic kidney and liver disease: Impaired 25- and 1-α-hydroxylation reduces active vitamin D (calcitriol); CKD additionally causes phosphate retention and renal osteodystrophy.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6. </w:t>
      </w:r>
      <w:r>
        <w:rPr>
          <w:rFonts w:ascii="Calibri" w:hAnsi="Calibri"/>
          <w:b w:val="0"/>
          <w:i w:val="0"/>
          <w:color w:val="212121"/>
          <w:sz w:val="21"/>
        </w:rPr>
        <w:t>Renal phosphate wasting: Hereditary hypophosphataemias, renal tubular acidosis and FGF23-secreting tumours cause hypophosphataemic osteomalacia independent of vitamin D.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7. </w:t>
      </w:r>
      <w:r>
        <w:rPr>
          <w:rFonts w:ascii="Calibri" w:hAnsi="Calibri"/>
          <w:b w:val="0"/>
          <w:i w:val="0"/>
          <w:color w:val="212121"/>
          <w:sz w:val="21"/>
        </w:rPr>
        <w:t>Medications: Long-term anticonvulsants, glucocorticoids, some antiretrovirals and antifungal/antitubercular drugs accelerate vitamin D catabolism or cause phosphate loss.</w:t>
      </w:r>
    </w:p>
    <w:p>
      <w:pPr>
        <w:spacing w:before="280" w:after="120"/>
      </w:pPr>
      <w:r>
        <w:rPr>
          <w:rFonts w:ascii="Calibri" w:hAnsi="Calibri"/>
          <w:b/>
          <w:i w:val="0"/>
          <w:color w:val="212121"/>
          <w:sz w:val="31"/>
        </w:rPr>
        <w:t>Research Draft of MCP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Profiles Prone To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401"/>
        <w:gridCol w:w="2401"/>
        <w:gridCol w:w="2401"/>
        <w:gridCol w:w="2401"/>
      </w:tblGrid>
      <w:tr>
        <w:trPr>
          <w:cantSplit/>
        </w:trPr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Category</w:t>
            </w:r>
          </w:p>
        </w:tc>
        <w:tc>
          <w:tcPr>
            <w:tcW w:type="dxa" w:w="165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Disposition</w:t>
            </w:r>
          </w:p>
        </w:tc>
        <w:tc>
          <w:tcPr>
            <w:tcW w:type="dxa" w:w="216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Profiles</w:t>
            </w:r>
          </w:p>
        </w:tc>
        <w:tc>
          <w:tcPr>
            <w:tcW w:type="dxa" w:w="427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Explanation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Demographic factors</w:t>
            </w:r>
          </w:p>
        </w:tc>
        <w:tc>
          <w:tcPr>
            <w:tcW w:type="dxa" w:w="1655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Age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 (reproductive-age &amp; middle-aged, especially women)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 adults the growth plates are fused, so vitamin D and calcium deficiency produce defective remodelling of existing bone rather than growth deformity — presenting as bone pain, proximal myopathy and pseudofractures. Repeated pregnancy and prolonged lactation deplete maternal vitamin D and calcium and are classic Indian precipitants.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 Delhi, 96.3% of pregnant women and 99.7% of lactating mothers were vitamin D deficient — the biochemical substrate for adult osteomalacia.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mdpi.com — Vitamin D deficiency in India (Nutrients 2014)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#osteomalacia  #vitaminD  #pregnancy  #lactation  #bonepain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Elderly (≥60 years, housebound)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Ageing skin synthesises far less vitamin D, renal 1-α-hydroxylation declines, dietary intake and appetite fall, and many older Indians are housebound — a combination that drives deficiency, proximal weakness and falls.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Among Delhi adults aged ≥50 years, 91.2% were vitamin D deficient.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mdpi.com — Vitamin D deficiency in India (Nutrients 2014)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#elderly  #housebound  #falls  #proximalmyopathy  #ageing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Sex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Female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Veiling and purdah, predominantly indoor roles and the calcium/vitamin D demands of repeated pregnancy and lactation make Indian women markedly more deficient than men, and privational osteomalacia is classically described in South-Asian women.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 Kashmir, vitamin D deficiency affected 94.4% of women versus 76.6% of men.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mdpi.com — Vitamin D deficiency in India (Nutrients 2014)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#women  #purdah  #veiling  #maternalhealth  #privational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Socioeconomic status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Low-income / urban poor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Crowded housing, indoor manual or shift labour, limited access to fortified foods and poorer diets reduce both sun exposure and intake — though deficiency in India is so widespread that even higher-income groups are heavily affected.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Delhi adolescents from lower-income families were 92.6% deficient versus 84.9% in higher-income families.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mdpi.com — Vitamin D deficiency in India (Nutrients 2014)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#poverty  #urbanpoor  #foodinsecurity  #access  #fortification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Geographic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Ethnicity / Region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North Indians (Kashmir, Delhi, Himalayan belt)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Higher latitude, cold winters and consequent heavy clothing sharply reduce effective UVB exposure across northern India, so deficiency and osteomalacia are especially common there.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Vitamin D deficiency reached 83% in Kashmiri adults (85.7% urban, 80% rural).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mdpi.com — Vitamin D deficiency in India (Nutrients 2014)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#northindia  #kashmir  #latitude  #winter  #UVB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Urban residence / air pollution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City dwellers in polluted metros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Atmospheric smog and particulate pollution absorb UVB, while high-rise crowding, indoor sedentary work and sun avoidance further cut cutaneous synthesis, keeping urban Indians deficient despite abundant latitude sunshine.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Infants in a high air-pollution area had a mean 25(OH)D of 12.4 ng/mL versus 27.1 ng/mL in a low-pollution area.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mdpi.com — Vitamin D deficiency in India (Nutrients 2014)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#airpollution  #smog  #urbanisation  #UVB  #sunlight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Lifestyle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Sedentary / indoor lifestyle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IT/office workers, homemakers, housebound elderly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Indoor daytime routines mean little or no midday sun on exposed skin; physical inactivity also reduces the mechanical loading that maintains bone and worsens proximal muscle weakness.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Vitamin D is synthesised in skin only on direct UVB exposure; predominantly indoor lifestyles are a leading modifiable cause of deficiency and osteomalacia.</w:t>
            </w:r>
          </w:p>
          <w:p>
            <w:pPr>
              <w:spacing w:after="40" w:line="252" w:lineRule="auto"/>
            </w:pPr>
            <w:hyperlink r:id="rId10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ods.od.nih.gov — Vitamin D (Health Professional)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#sedentary  #indoor  #screenbound  #inactivity  #sunlight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Sun avoidance / concealing clothing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Veiled/purdah-observing women, heavy sunscreen users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Full-body covering for cultural or religious modesty, and habitual sunscreen use, block the UVB needed for skin vitamin D synthesis — a major, culturally patterned driver of osteomalacia in Indian women.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Indian social and religious norms of modesty mean most of the body is kept covered, markedly reducing cutaneous vitamin D production.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mdpi.com — Vitamin D deficiency in India (Nutrients 2014)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#purdah  #veiling  #clothing  #sunscreen  #modesty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Current smokers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 is associated with lower circulating 25(OH)D and impaired osteoblast function and fracture healing, compounding defective mineralisation and delaying recovery of pseudofractures.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 adversely affects bone remodelling and is linked to lower vitamin D status and poorer bone healing.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#smoking  #tobacco  #bonehealing  #osteoblast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/ heavy drinkers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alcohol impairs hepatic hydroxylation of vitamin D, displaces a nutritious diet, promotes renal phosphate and magnesium wasting and increases falls — all of which favour osteomalacia and fractures.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liver disease and alcohol-related malnutrition reduce activation of vitamin D and impair bone mineralisation.</w:t>
            </w:r>
          </w:p>
          <w:p>
            <w:pPr>
              <w:spacing w:after="40" w:line="252" w:lineRule="auto"/>
            </w:pPr>
            <w:hyperlink r:id="rId11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ncbi.nlm.nih.gov — Osteomalacia (StatPearls)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#alcohol  #liver  #malnutrition  #phosphate  #falls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Obese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 with obesity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Vitamin D is fat-soluble and is sequestered in adipose tissue, lowering its bioavailability; obesity is therefore an independent risk factor for deficiency and its skeletal consequences.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Obesity reduces cutaneous vitamin D availability and is listed among the causes of decreased vitamin D in osteomalacia.</w:t>
            </w:r>
          </w:p>
          <w:p>
            <w:pPr>
              <w:spacing w:after="40" w:line="252" w:lineRule="auto"/>
            </w:pPr>
            <w:hyperlink r:id="rId11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ncbi.nlm.nih.gov — Osteomalacia (StatPearls)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#obesity  #adiposity  #sequestration  #bioavailability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Dietary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Dietary preference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Vegetarians / vegans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Natural dietary vitamin D is concentrated in oily fish, egg yolk and liver; strict vegetarian and vegan diets — very common in India — provide little vitamin D and often low calcium, leaving skin synthesis as the only meaningful source.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Most Indians are vegetarian, and vitamin D–rich dietary sources are limited and unaffordable to much of the population.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mdpi.com — Vitamin D deficiency in India (Nutrients 2014)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#vegetarian  #vegan  #diet  #lowintake  #calcium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 calcium &amp; high phytate intake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Cereal-predominant, low-dairy diets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Diets built on cereals and pulses with little dairy carry a high phytate/calcium ratio that reduces calcium absorption; the resulting calcium deficiency can cause or worsen osteomalacia even when vitamin D is only modestly low.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Indian studies report low dietary calcium intake together with a high phytate/calcium ratio, impairing calcium bioavailability.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mdpi.com — Vitamin D deficiency in India (Nutrients 2014)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#calcium  #phytate  #cereals  #lowdairy  #bioavailability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Genetic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Skin pigmentation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Dark-skinned (Fitzpatrick V–VI) Indians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Melanin acts as a natural sunscreen, so darkly pigmented skin needs several-fold longer sun exposure to make the same amount of vitamin D — an intrinsic, genetically determined risk factor in the Indian population.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Darker skin, with high melanin content, produces significantly less vitamin D than fairer skin for the same UVB exposure.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mdpi.com — Vitamin D deficiency in India (Nutrients 2014)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#melanin  #skinpigment  #Fitzpatrick  #UVB  #synthesis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Family history / hereditary phosphate wasting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X-linked &amp; other hereditary hypophosphataemias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Inherited renal phosphate-wasting disorders (notably X-linked hypophosphataemia due to PHEX mutations, with high FGF23) cause a vitamin D–resistant, familial form of osteomalacia and rickets that clusters in families.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Hereditary hypophosphataemic disorders and renal tubular acidosis cause phosphate wasting and a familial osteomalacia phenotype.</w:t>
            </w:r>
          </w:p>
          <w:p>
            <w:pPr>
              <w:spacing w:after="40" w:line="252" w:lineRule="auto"/>
            </w:pPr>
            <w:hyperlink r:id="rId11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ncbi.nlm.nih.gov — Osteomalacia (StatPearls)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#hypophosphataemia  #XLH  #FGF23  #hereditary  #PHEX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Medical conditions profile (mcp)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kidney disease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CKD / on dialysis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Failing kidneys cannot 1-α-hydroxylate vitamin D to active calcitriol and retain phosphate, producing hypocalcaemia, secondary hyperparathyroidism and the defective mineralisation of renal osteodystrophy.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kidney disease and nephrotic syndrome reduce calcidiol activation and are recognised causes of osteomalacia.</w:t>
            </w:r>
          </w:p>
          <w:p>
            <w:pPr>
              <w:spacing w:after="40" w:line="252" w:lineRule="auto"/>
            </w:pPr>
            <w:hyperlink r:id="rId11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ncbi.nlm.nih.gov — Osteomalacia (StatPearls)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#CKD  #renalosteodystrophy  #calcitriol  #phosphate  #hyperparathyroidism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Coeliac disease / malabsorption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Coeliac, IBD, chronic pancreatitis, cystic fibrosis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Fat malabsorption prevents uptake of fat-soluble vitamin D and impairs calcium absorption, so osteomalacia can be the presenting feature of undiagnosed coeliac or other malabsorptive disease.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Malabsorptive syndromes (Crohn disease, cystic fibrosis, coeliac disease, gastric bypass) impair absorption of fat-soluble vitamins and cause osteomalacia.</w:t>
            </w:r>
          </w:p>
          <w:p>
            <w:pPr>
              <w:spacing w:after="40" w:line="252" w:lineRule="auto"/>
            </w:pPr>
            <w:hyperlink r:id="rId11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ncbi.nlm.nih.gov — Osteomalacia (StatPearls)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#coeliac  #malabsorption  #IBD  #fatsoluble  #gutbone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Bariatric / gastric surgery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Post-bariatric surgery &amp; gastrectomy patients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Bypass or removal of absorptive gut surface markedly reduces uptake of vitamin D and calcium, so metabolic bone disease and osteomalacia are recognised long-term complications requiring lifelong supplementation.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Gastric bypass is listed among the malabsorptive causes of impaired vitamin D absorption leading to osteomalacia.</w:t>
            </w:r>
          </w:p>
          <w:p>
            <w:pPr>
              <w:spacing w:after="40" w:line="252" w:lineRule="auto"/>
            </w:pPr>
            <w:hyperlink r:id="rId11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ncbi.nlm.nih.gov — Osteomalacia (StatPearls)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#bariatric  #gastrectomy  #malabsorption  #supplementation  #metabolicbone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Long-term anticonvulsant / steroid therapy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on chronic phenytoin, phenobarbital, carbamazepine or corticosteroids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Enzyme-inducing anticonvulsants accelerate hepatic catabolism of vitamin D, and long-term corticosteroids impair calcium handling and bone formation, producing drug-induced osteomalacia.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Antiepileptic drugs (phenobarbital, phenytoin, carbamazepine) and long-term corticosteroids interfere with vitamin D metabolism and cause osteomalacia.</w:t>
            </w:r>
          </w:p>
          <w:p>
            <w:pPr>
              <w:spacing w:after="40" w:line="252" w:lineRule="auto"/>
            </w:pPr>
            <w:hyperlink r:id="rId11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ncbi.nlm.nih.gov — Osteomalacia (StatPearls)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#anticonvulsants  #steroids  #druginduced  #enzymeinduction  #polypharmacy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Lifestyle Health Parameters ( LHP )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Order of Parameter Influence Study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230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LHP</w:t>
            </w:r>
          </w:p>
        </w:tc>
        <w:tc>
          <w:tcPr>
            <w:tcW w:type="dxa" w:w="180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Influence Level</w:t>
            </w:r>
          </w:p>
        </w:tc>
        <w:tc>
          <w:tcPr>
            <w:tcW w:type="dxa" w:w="550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Influence Study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Physical activity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Outdoor weight-bearing activity is doubly protective — it both exposes skin to UVB for vitamin D synthesis and mechanically loads bone; sedentary, indoor lifestyles are a leading modifiable cause of deficiency, while inactivity worsens proximal myopathy and bone loss.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Food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Dietary vitamin D (oily fish, egg yolk, fortified foods) is scarce in Indian vegetarian diets, and cereal-based, low-dairy, high-phytate diets provide little bioavailable calcium — jointly the nutritional basis of most osteomalacia in India.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Sleep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 strong direct causal link to mineralisation; disturbed sleep and a housebound routine are indirectly associated with lower daytime sun exposure and poorer bone health.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 is associated with lower serum 25(OH)D and impaired osteoblast function and fracture healing, compounding defective mineralisation.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heavy alcohol use impairs hepatic vitamin D hydroxylation, worsens diet, causes phosphate/magnesium wasting and increases falls and fractures.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Mental health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Vitamin D deficiency is associated with low mood, and depression can reduce outdoor activity and sun exposure; the relationship is bidirectional but the causal contribution to osteomalacia is modest.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Water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NA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NA — water intake has no established role in vitamin D status or bone mineralisation and is not a recognised risk factor for osteomalacia.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Caffeine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Very high caffeine intake modestly increases urinary calcium excretion, a minor contributor that is easily offset by adequate calcium intake.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Hygiene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NA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NA — general hygiene is not causally related to bone mineralisation or osteomalacia.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Provoking factors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Pregnancy and prolonged lactation, sustained veiling/sun avoidance, malabsorption (coeliac disease, bariatric surgery), chronic kidney or liver disease, and long-term anticonvulsant or steroid therapy classically unmask or accelerate osteomalacia.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Posture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NA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NA — postural change (kyphosis, waddling gait, bowing) is a consequence of osteomalacia rather than a cause.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LHP Metric Triggers &amp; Specifications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601"/>
        <w:gridCol w:w="1601"/>
        <w:gridCol w:w="1601"/>
        <w:gridCol w:w="1601"/>
        <w:gridCol w:w="1601"/>
        <w:gridCol w:w="1601"/>
      </w:tblGrid>
      <w:tr>
        <w:trPr>
          <w:cantSplit/>
        </w:trPr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LHP</w:t>
            </w:r>
          </w:p>
        </w:tc>
        <w:tc>
          <w:tcPr>
            <w:tcW w:type="dxa" w:w="194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Metric</w:t>
            </w:r>
          </w:p>
        </w:tc>
        <w:tc>
          <w:tcPr>
            <w:tcW w:type="dxa" w:w="165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Profile</w:t>
            </w:r>
          </w:p>
        </w:tc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Ideal Values</w:t>
            </w:r>
          </w:p>
        </w:tc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Trigger Values</w:t>
            </w:r>
          </w:p>
        </w:tc>
        <w:tc>
          <w:tcPr>
            <w:tcW w:type="dxa" w:w="146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Food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Serum 25-hydroxyvitamin D (ng/mL)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All adults, veiled women, elderly, malabsorption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≥ 20 ng/mL (many labs target ≥ 30)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12 ng/mL (deficiency); &lt; 10 ng/mL typical of nutritional osteomalacia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Primary biochemical marker of vitamin D status</w:t>
            </w:r>
          </w:p>
          <w:p>
            <w:pPr>
              <w:spacing w:after="40" w:line="252" w:lineRule="auto"/>
            </w:pPr>
            <w:hyperlink r:id="rId10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https://ods.od.nih.gov/factsheets/VitaminD-HealthProfessional/</w:t>
              </w:r>
            </w:hyperlink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Dietary calcium intake (mg/day)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Adults, vegetarians, pregnant/lactating women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1000 mg/day (1200 mg for women &gt; 50 and adults &gt; 70)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Habitual intake well below 1000 mg/day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 calcium with high phytate impairs mineralisation</w:t>
            </w:r>
          </w:p>
          <w:p>
            <w:pPr>
              <w:spacing w:after="40" w:line="252" w:lineRule="auto"/>
            </w:pPr>
            <w:hyperlink r:id="rId12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https://ods.od.nih.gov/factsheets/Calcium-HealthProfessional/</w:t>
              </w:r>
            </w:hyperlink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Serum corrected calcium (mg/dL)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 with suspected osteomalacia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8.5–10.2 mg/dL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8.5 mg/dL (hypocalcaemia)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May be low or low-normal; drives secondary hyperparathyroidism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Serum inorganic phosphate (mg/dL)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Adults, hypophosphataemic/renal forms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2.5–4.5 mg/dL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2.5 mg/dL (hypophosphataemia)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 in phosphate-wasting and vitamin D–deficient osteomalacia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Alkaline phosphatase (U/L)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 with bone pain / weakness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Within laboratory reference (≈ 40–129 U/L)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Raised total / bone-specific ALP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Often the earliest and most consistent abnormality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Provoking factors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Serum intact PTH (pg/mL)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 with low vitamin D / calcium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≈ 15–65 pg/mL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Elevated (secondary hyperparathyroidism)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Reflects the parathyroid response to hypocalcaemia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Physical activity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Safe sun exposure (min/session)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Veiled women, indoor workers, housebound elderly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≈ 15–30 min midday sun to face, arms and legs several times/week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Minimal or no direct skin exposure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Dark skin and pollution require longer exposure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https://www.mdpi.com/2072-6643/6/2/729</w:t>
              </w:r>
            </w:hyperlink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Weight-bearing activity (min/week)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Adults, elderly, sedentary workers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≥ 150 min/week of moderate activity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Predominantly sedentary / housebound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Loads bone and reduces falls and myopathy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Body Mass Index (kg/m²)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 (Asian-Indian cut-offs)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18.5–22.9 kg/m²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≥ 25 (obesity → vitamin D sequestration); very low BMI → frailty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Both obesity and undernutrition raise risk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Cigarettes per day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Adults, elderly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0 cigarettes/day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≥ 1 cigarette/day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 lowers 25(OH)D and impairs bone healing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 intake (units/week)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Adults, heavy drinkers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None to low (≤ 14 units/week)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&gt; 14 units/week / chronic heavy use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Impairs vitamin D activation and promotes falls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Traditional Health Parameters ( THP )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Quantitative THP</w:t>
      </w:r>
    </w:p>
    <w:tbl>
      <w:tblPr>
        <w:tblW w:type="dxa" w:w="9792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</w:tblGrid>
      <w:tr>
        <w:trPr>
          <w:cantSplit/>
        </w:trPr>
        <w:tc>
          <w:tcPr>
            <w:tcW w:type="dxa" w:w="89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Diagnostic workup</w:t>
            </w:r>
          </w:p>
        </w:tc>
        <w:tc>
          <w:tcPr>
            <w:tcW w:type="dxa" w:w="83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Tests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Parameter</w:t>
            </w:r>
          </w:p>
        </w:tc>
        <w:tc>
          <w:tcPr>
            <w:tcW w:type="dxa" w:w="89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THP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Normal values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Abnormal values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Interpretation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Profiles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LHP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Importance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Biochemical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25-Hydroxyvitamin D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Serum vitamin D assay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≥ 20–30 ng/mL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&lt; 12 ng/mL (deficiency); &lt; 10 ng/mL in nutritional osteomalacia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Confirms vitamin D deficiency as the mineralisation defect's cause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Veiled women, elderly, vegetarians, malabsorption, CKD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Food; Physical activity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Gold standard for vitamin D status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Measure 25(OH)D, not 1,25(OH)2D, for nutritional status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Biochemical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Serum corrected calcium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Serum calcium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8.5–10.2 mg/dL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&lt; 8.5 mg/dL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Low/low-normal calcium reflects impaired absorption and drives PTH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Adults with bone pain, hypocalcaemic symptoms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Correct for serum albumin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Biochemical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Serum inorganic phosphate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Serum phosphate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2.5–4.5 mg/dL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&lt; 2.5 mg/dL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Low in vitamin D–deficient and phosphate-wasting forms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Hypophosphataemic, renal, tumour-induced osteomalacia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Persistent low phosphate warrants FGF23/urine phosphate workup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Biochemical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Alkaline phosphatase (total/bone)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Serum ALP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≈ 40–129 U/L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Elevated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Raised osteoblastic ALP on unmineralised osteoid — often earliest clue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Adults with diffuse bone pain / weakness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Sensitive marker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Exclude hepatic ALP source with GGT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Biochemical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Intact parathyroid hormone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Serum PTH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≈ 15–65 pg/mL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Elevated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Secondary hyperparathyroidism from hypocalcaemia / low vitamin D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Vitamin D–deficient adults, CKD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Diagnostic &amp; monitoring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Very high or rising PTH suggests tertiary change in CKD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Biochemical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24-hour urinary calcium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Urinary calcium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Age/intake dependent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Low (avid renal retention)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Low urine calcium supports deficiency-driven osteomalacia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Adults being worked up for osteomalacia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Supportive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High urine calcium points to phosphate-wasting types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Biochemical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Renal function &amp; electrolytes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Creatinine/eGFR, Mg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eGFR ≥ 60 mL/min/1.73m²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Reduced eGFR / abnormal electrolytes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Identifies CKD-related and tubular (Fanconi/RTA) causes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Patients with CKD, tubulopathy, drug exposure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Aetiological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Assess acidosis and magnesium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Imaging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Plain radiographs (Looser zones)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X-ray of pelvis/femur/ribs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 pseudofractures; normal cortex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Looser zones, generalised osteopenia, biconcave vertebrae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Bilateral symmetrical pseudofractures are near-pathognomonic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Adults with bone pain / insufficiency fractures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NA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Confirmatory imaging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Common sites: femoral necks, pubic/ischial rami, ribs, scapulae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Histology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Trans-iliac bone biopsy (tetracycline-labelled)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Bone histomorphometry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Normal mineralisation lag time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Widened osteoid seams, prolonged mineralisation lag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Definitive proof of defective mineralisation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Diagnostically uncertain or atypical cases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NA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Histological gold standard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Reserved for unclear cases due to invasiveness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Qualitative THP</w:t>
      </w:r>
    </w:p>
    <w:tbl>
      <w:tblPr>
        <w:tblW w:type="dxa" w:w="9792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</w:tblGrid>
      <w:tr>
        <w:trPr>
          <w:cantSplit/>
        </w:trPr>
        <w:tc>
          <w:tcPr>
            <w:tcW w:type="dxa" w:w="89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Diagnostic Workup</w:t>
            </w:r>
          </w:p>
        </w:tc>
        <w:tc>
          <w:tcPr>
            <w:tcW w:type="dxa" w:w="83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Tests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THP</w:t>
            </w:r>
          </w:p>
        </w:tc>
        <w:tc>
          <w:tcPr>
            <w:tcW w:type="dxa" w:w="979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Parameter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Normal findings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Abnormal findings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Interpretation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Profiles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LHP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Importance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Chief complaints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Diffuse bone pain &amp; proximal muscle weakness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None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Aching pain in back/pelvis/legs with weakness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Cardinal symptom pattern of osteomalacia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Adults, elderly, veiled women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Food; Physical activity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Pain is often dull, symmetrical and weight-bearing related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Sun exposure &amp; clothing history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Daily UVB exposure, veiling, sunscreen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Regular safe sun exposure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Minimal exposure / full covering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Quantifies the dominant modifiable cause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Purdah-observing women, indoor workers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Physical activity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Aetiological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Also note skin pigmentation and latitude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Dietary history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Calcium/vitamin D intake, vegetarianism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Adequate dairy/calcium &amp; vitamin D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Low-dairy vegetarian, high phytate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Identifies nutritional deficiency and calcium lack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Vegetarians, low-income, elderly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Aetiological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Ask about fortified foods and supplements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Obstetric &amp; drug history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Pregnancies/lactation; anticonvulsants, steroids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 high-risk exposures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Repeated pregnancy/lactation; enzyme-inducing drugs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Reveals precipitating and drug-induced causes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Multiparous women, epilepsy/steroid patients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Also screen for malabsorption and prior GI surgery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Physical Exam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Proximal myopathy assessment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Hip-girdle strength, gait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Normal strength &amp; gait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Waddling gait, difficulty rising from chair/stairs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Vitamin D–deficiency myopathy — a key clinical clue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Elderly, veiled women, malabsorption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Physical activity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Test sit-to-stand and squat-to-rise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Physical Exam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Bone tenderness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Pressure over sternum, ribs, tibia, pelvis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 tenderness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Localised bony tenderness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Reflects under-mineralised, painful bone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Adults with diffuse skeletal pain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NA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Supportive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Often diffuse and reproducible on pressure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Physical Exam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Signs of hypocalcaemia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Chvostek &amp; Trousseau signs, tetany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Negative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Positive Chvostek/Trousseau, carpopedal spasm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Indicates significant hypocalcaemia needing prompt correction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Severely deficient adults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NA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Safety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Severe cases may present with tetany or seizures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Physical Exam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Skeletal deformity &amp; gait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Kyphosis, bowing, height loss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 deformity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Kyphoscoliosis, bowing, reduced height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Features of long-standing, untreated disease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Chronic/advanced osteomalacia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Posture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May coexist with pelvic narrowing in women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Clinical features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Symptoms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230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Symptom</w:t>
            </w:r>
          </w:p>
        </w:tc>
        <w:tc>
          <w:tcPr>
            <w:tcW w:type="dxa" w:w="158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571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Diffuse bone pain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Dull, aching pain in the lower back, pelvis, hips, ribs and legs, typically worse on weight-bearing.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Proximal muscle weakness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Weak hip- and shoulder-girdle muscles from vitamin D–deficiency myopathy.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Difficulty rising from a chair or climbing stairs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 direct consequence of proximal myopathy; patients push up with their arms.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Waddling gait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Broad-based, rolling gait due to bilateral hip-girdle weakness.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Generalised fatigue and weakness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Reflects both myopathy and the underlying metabolic disturbance.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Muscle cramps and aches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Related to hypocalcaemia and phosphate depletion.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Bone tenderness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Bones are tender to pressure, especially the sternum, ribs and shins.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Fragility fractures with minimal trauma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Insufficiency fractures and Looser-zone pseudofractures, often at hips, pelvis and feet.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Difficulty walking and frequent falls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Combined weakness and pain reduce mobility and increase fall risk.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Tingling or pins-and-needles (paraesthesiae)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Peri-oral or peripheral tingling from hypocalcaemia.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Height loss and spinal deformity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Progressive kyphosis from softened, deforming vertebrae in chronic disease.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Tetany and muscle spasms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Carpopedal spasm from significant hypocalcaemia.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Seizures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Occur only with severe, acute hypocalcaemia.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Signs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345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Sign</w:t>
            </w:r>
          </w:p>
        </w:tc>
        <w:tc>
          <w:tcPr>
            <w:tcW w:type="dxa" w:w="172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44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Proximal myopathy (weak hip girdle)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Difficulty with sit-to-stand and squat-to-rise; hallmark of vitamin D–deficiency osteomalacia.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Waddling / antalgic gait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Broad-based rolling gait from bilateral proximal weakness and bone pain.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Diffuse bone tenderness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Reproducible tenderness on pressure over sternum, ribs, pelvis and tibia.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Reduced bone mineral density on DXA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BMD is typically below 80% of the young-adult mean, overlapping with osteoporosis.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Looser zones (pseudofractures) on X-ray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Bilateral, symmetrical transverse lucencies at femoral necks, pubic/ischial rami, ribs and scapulae — near-pathognomonic.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Positive Chvostek sign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Facial muscle twitch on tapping the facial nerve — a sign of hypocalcaemia.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Positive Trousseau sign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Carpopedal spasm on inflating a BP cuff — a sign of hypocalcaemia.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Skeletal deformity (kyphosis, bowing)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Softened bone deforms under load in long-standing disease; may include pelvic narrowing.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Biconcave “codfish” vertebrae on imaging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Vertebral endplate deformity from under-mineralised, softened bone.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Carpopedal spasm / tetany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Overt neuromuscular irritability from marked hypocalcaemia.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Concomitant conditions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Relationship Types (classification key)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02"/>
        <w:gridCol w:w="4802"/>
      </w:tblGrid>
      <w:tr>
        <w:trPr>
          <w:cantSplit/>
        </w:trPr>
        <w:tc>
          <w:tcPr>
            <w:tcW w:type="dxa" w:w="280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Relationship type</w:t>
            </w:r>
          </w:p>
        </w:tc>
        <w:tc>
          <w:tcPr>
            <w:tcW w:type="dxa" w:w="679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Definition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Predisposes To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One condition increases the likelihood of developing another.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Bidirectional Association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Both conditions influence each 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Shared Pathophysiology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 biological mechanisms and shared etiologies.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Complication Of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One condition develops as a consequence of the 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Treatment Interaction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Treatment of one condition affects the 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Clinical Management Impact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Coexistence alters diagnosis, monitoring, prognosis, or treatment planning.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Complications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172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489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Complications</w:t>
            </w:r>
          </w:p>
        </w:tc>
        <w:tc>
          <w:tcPr>
            <w:tcW w:type="dxa" w:w="298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Primary</w:t>
            </w:r>
          </w:p>
        </w:tc>
        <w:tc>
          <w:tcPr>
            <w:tcW w:type="dxa" w:w="489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Symptomatic hypocalcaemia (peri-oral/peripheral paraesthesiae, cramps, carpopedal spasm, rarely tetany or seizures)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Insufficiency fractures and Looser-zone pseudofractures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Disabling proximal myopathy with falls</w:t>
            </w:r>
          </w:p>
        </w:tc>
        <w:tc>
          <w:tcPr>
            <w:tcW w:type="dxa" w:w="298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Direct consequences of defective mineralisation and the associated calcium/phosphate deficiency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Secondary</w:t>
            </w:r>
          </w:p>
        </w:tc>
        <w:tc>
          <w:tcPr>
            <w:tcW w:type="dxa" w:w="489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Secondary hyperparathyroidism with accelerated bone resorption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Fragility fractures of the hip, spine, pelvis and feet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Skeletal deformity — kyphoscoliosis, long-bone bowing, pelvic narrowing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musculoskeletal pain and reduced mobility</w:t>
            </w:r>
          </w:p>
        </w:tc>
        <w:tc>
          <w:tcPr>
            <w:tcW w:type="dxa" w:w="298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Result from sustained hypocalcaemia, PTH drive and progressive bone softening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Tertiary</w:t>
            </w:r>
          </w:p>
        </w:tc>
        <w:tc>
          <w:tcPr>
            <w:tcW w:type="dxa" w:w="489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Permanent disability and loss of independence from repeated fractures and deformity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Obstetric complications from pelvic deformity (obstructed labour)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Tertiary (autonomous) hyperparathyroidism, particularly in CKD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Increased morbidity and mortality following hip fracture and prolonged immobility</w:t>
            </w:r>
          </w:p>
        </w:tc>
        <w:tc>
          <w:tcPr>
            <w:tcW w:type="dxa" w:w="298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Irreversible, disabling outcomes of longstanding, untreated osteomalacia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Associated Medical Conditions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223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AMC</w:t>
            </w:r>
          </w:p>
        </w:tc>
        <w:tc>
          <w:tcPr>
            <w:tcW w:type="dxa" w:w="25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Relationship</w:t>
            </w:r>
          </w:p>
        </w:tc>
        <w:tc>
          <w:tcPr>
            <w:tcW w:type="dxa" w:w="485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Vitamin D deficiency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Treatment Interaction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 dominant underlying cause; near-universal in Indian osteomalacia and the target of first-line treatment.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~70–100% (India, general population)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Secondary hyperparathyroidism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Complication Of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Hypocalcaemia and low vitamin D drive a compensatory rise in PTH that accelerates bone resorption.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Hypocalcaemia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Complication Of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Impaired calcium absorption lowers serum calcium, causing cramps, paraesthesiae and, if severe, tetany.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Osteoporosis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Bidirectional Association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Frequently coexists and produces overlapping low BMD; the two must be distinguished because treatment differs, and vitamin D repletion is needed before anti-resorptive therapy.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Chronic kidney disease / renal osteodystrophy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Impaired 1-α-hydroxylation and phosphate retention cause CKD–mineral and bone disorder with an osteomalacic component.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Coeliac disease &amp; malabsorption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Fat malabsorption reduces vitamin D and calcium uptake; osteomalacia may be the presenting feature.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Chronic liver disease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Reduced hepatic 25-hydroxylation and malnutrition lower active vitamin D and impair mineralisation.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Hypophosphataemia / renal phosphate wasting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Complication Of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Phosphate-wasting states (XLH, Fanconi/RTA, drugs) cause a vitamin D–resistant osteomalacia.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Tumour-induced (oncogenic) osteomalacia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Treatment Interaction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FGF23-secreting mesenchymal tumours cause phosphate wasting and low calcitriol; removal is curative.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Proximal myopathy, sarcopenia &amp; falls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Complication Of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Bidirectional Association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Vitamin D–deficiency myopathy weakens the hip girdle, increasing falls and fracture risk.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Fragility &amp; insufficiency fractures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Complication Of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Under-mineralised bone fractures with minimal trauma, notably at hip, pelvis and feet.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Long-term anticonvulsant / corticosteroid therapy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Treatment Interaction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Enzyme induction and impaired bone formation cause drug-induced osteomalacia; dosing must account for this.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Post-bariatric surgery / gastrectomy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Treatment Interaction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Reduced absorptive surface impairs vitamin D and calcium uptake, mandating lifelong supplementation.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Depression / low mood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Bidirectional Association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Associated with low vitamin D and with reduced outdoor activity and sun exposure.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Suggestions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1"/>
        <w:gridCol w:w="1921"/>
        <w:gridCol w:w="1921"/>
        <w:gridCol w:w="1921"/>
        <w:gridCol w:w="1921"/>
      </w:tblGrid>
      <w:tr>
        <w:trPr>
          <w:cantSplit/>
        </w:trPr>
        <w:tc>
          <w:tcPr>
            <w:tcW w:type="dxa" w:w="122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LHP</w:t>
            </w:r>
          </w:p>
        </w:tc>
        <w:tc>
          <w:tcPr>
            <w:tcW w:type="dxa" w:w="122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417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Suggestion</w:t>
            </w:r>
          </w:p>
        </w:tc>
        <w:tc>
          <w:tcPr>
            <w:tcW w:type="dxa" w:w="194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Profile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Importance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Education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Understand that osteomalacia is “soft-bone disease” — bone that fails to harden because of vitamin D, calcium or phosphate deficiency — and that it is largely preventable and treatable.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Recognise the warning combination of diffuse bone pain plus muscle weakness (trouble rising from a chair, climbing stairs or a waddling walk) and seek testing.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Know the major Indian risk groups: veiled or purdah-observing women, the housebound elderly, strict vegetarians, people with gut/kidney/liver disease and those on long-term anti-epileptic or steroid drugs.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Learn that safe midday sun on the face, arms and legs a few times a week, plus a calcium- and vitamin D–adequate diet, prevents most cases.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Understand that darker skin and city air pollution need longer sun exposure to make the same vitamin D.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Ask for screening of at-risk family members, especially pregnant and lactating women and older relatives.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All adults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Veiled/purdah-observing women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Elderly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Vegetarians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People on anticonvulsants/steroids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NA</w:t>
            </w:r>
          </w:p>
        </w:tc>
      </w:tr>
      <w:tr>
        <w:trPr>
          <w:cantSplit/>
        </w:trPr>
        <w:tc>
          <w:tcPr>
            <w:tcW w:type="dxa" w:w="1224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Physical Activity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Get regular safe sun exposure — roughly 15–30 minutes of midday sun on the face, arms and legs several times a week, with longer for darker skin.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Do weight-bearing activity (brisk walking, stair climbing) and light resistance work to load bone and build muscle.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For the housebound elderly, arrange time outdoors or by an open window and structured mobility exercises.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Combine outdoor activity with balance and strengthening exercises to counter proximal weakness and reduce falls.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Indoor/office workers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Housebound elderly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Veiled women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Sedentary adults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  <w:tr>
        <w:trPr>
          <w:cantSplit/>
        </w:trPr>
        <w:tc>
          <w:tcPr>
            <w:tcW w:type="dxa" w:w="1224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Therapeutic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Once treatment begins, add supervised muscle-strengthening for the hip and shoulder girdles to reverse myopathy.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Introduce a structured falls-prevention and balance programme, particularly for older adults.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Progress weight-bearing exercise gradually as bone pain settles with vitamin D and calcium repletion.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Use walking aids and home safety measures (good lighting, grab-rails, no loose rugs) until strength recovers.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osteomalacia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Elderly with myopathy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Post-fracture patients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 with falls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  <w:tr>
        <w:trPr>
          <w:cantSplit/>
        </w:trPr>
        <w:tc>
          <w:tcPr>
            <w:tcW w:type="dxa" w:w="1224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Food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Include vitamin D sources where acceptable — oily fish, egg yolk and vitamin D–fortified milk or foods; fortified options matter for vegetarians.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Ensure adequate calcium (aim ~1000 mg/day; 1200 mg for women over 50) from milk, curd, paneer, ragi (finger millet), sesame (til), almonds and green leafy vegetables.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Reduce reliance on high-phytate refined-cereal meals that block calcium absorption; soak, ferment or sprout grains and pulses.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Choose fortified foods and, where diet is inadequate, discuss vitamin D supplementation with a clinician.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For pregnant and lactating women, prioritise calcium- and vitamin D–adequate intake to protect both mother and infant.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Vegetarians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Pregnant/lactating women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Low-income families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Elderly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  <w:tr>
        <w:trPr>
          <w:cantSplit/>
        </w:trPr>
        <w:tc>
          <w:tcPr>
            <w:tcW w:type="dxa" w:w="1224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Therapeutic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Correct deficiency with clinician-supervised vitamin D repletion (e.g., high-dose cholecalciferol loading followed by a maintenance dose) alongside elemental calcium.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Ensure adequate calcium intake (typically ~1000–1200 mg/day) during treatment to allow the softened bone to mineralise.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Treat the underlying cause — a gluten-free diet in coeliac disease, enzyme replacement in pancreatic insufficiency, or phosphate and active vitamin D in phosphate-wasting/renal forms.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Monitor calcium, phosphate, ALP, PTH and 25(OH)D to confirm response and avoid over-treatment/hypercalcaemia.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osteomalacia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Malabsorption patients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CKD patients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Hypophosphataemic osteomalacia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Sleep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Keep a regular sleep–wake routine that includes daytime outdoor time for sun exposure.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Treat pain adequately so bone pain does not disrupt sleep, and review night cramps that may signal hypocalcaemia.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 with bone pain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Housebound elderly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Stop smoking, which lowers vitamin D levels and impairs bone formation and fracture healing.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Use cessation support (counselling, nicotine replacement) and avoid second-hand smoke.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Current smokers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Post-fracture patients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 with low BMD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Limit alcohol, which impairs vitamin D activation in the liver, worsens diet and increases falls and fractures.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 heavy drinkers, screen for liver disease, malnutrition and low phosphate/magnesium.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Heavy drinkers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 with liver disease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Malnourished adults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Mental health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Address low mood and social isolation that keep people indoors and reduce sun exposure and activity.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Encourage outdoor group activity, which improves both mood and vitamin D status.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Screen housebound or depressed older adults for vitamin D deficiency and osteomalacia.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Housebound elderly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 with depression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Socially isolated individuals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</w:tr>
    </w:tbl>
    <w:sectPr w:rsidR="00FC693F" w:rsidRPr="0006063C" w:rsidSect="00034616"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269" w:lineRule="auto"/>
    </w:pPr>
    <w:rPr>
      <w:rFonts w:ascii="Calibri" w:hAnsi="Calibri" w:cs="Calibri"/>
      <w:color w:val="2121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mdpi.com/2072-6643/6/2/729" TargetMode="External"/><Relationship Id="rId10" Type="http://schemas.openxmlformats.org/officeDocument/2006/relationships/hyperlink" Target="https://ods.od.nih.gov/factsheets/VitaminD-HealthProfessional/" TargetMode="External"/><Relationship Id="rId11" Type="http://schemas.openxmlformats.org/officeDocument/2006/relationships/hyperlink" Target="https://www.ncbi.nlm.nih.gov/books/NBK551616/" TargetMode="External"/><Relationship Id="rId12" Type="http://schemas.openxmlformats.org/officeDocument/2006/relationships/hyperlink" Target="https://ods.od.nih.gov/factsheets/Calcium-HealthProfessiona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