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Vitamin A Deficiency</w:t>
      </w:r>
    </w:p>
    <w:p>
      <w:pPr>
        <w:spacing w:before="0" w:after="160"/>
      </w:pPr>
      <w:r>
        <w:rPr>
          <w:rFonts w:ascii="Calibri" w:hAnsi="Calibri"/>
          <w:b/>
          <w:i w:val="0"/>
          <w:color w:val="212121"/>
          <w:sz w:val="22"/>
        </w:rPr>
        <w:t xml:space="preserve">AKA </w:t>
      </w:r>
      <w:r>
        <w:rPr>
          <w:rFonts w:ascii="Calibri" w:hAnsi="Calibri"/>
          <w:b w:val="0"/>
          <w:i w:val="0"/>
          <w:color w:val="212121"/>
          <w:sz w:val="22"/>
        </w:rPr>
        <w:t>i.e., VAD, Hypovitaminosis A, Retinol deficiency, Xerophthalmia (ocular form), Night blindness (“Rataundhi”)</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Vitamin A deficiency (VAD) is a systemic micronutrient disorder caused by inadequate dietary intake, impaired absorption, defective storage/transport, or increased utilisation and loss of vitamin A (preformed retinol and provitamin A carotenoids), leading to progressive depletion of hepatic and circulating stores. Vitamin A is essential for vision, epithelial integrity, immune competence, growth and reproduction, so deficiency produces the ocular spectrum termed xerophthalmia (night blindness through to irreversible keratomalacia) together with impaired immunity. It is the world’s leading cause of preventable childhood blindness and markedly increases the severity of, and mortality from, infections such as measles and diarrhoea, particularly in young children and pregnant women.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Vitamin A deficiency is one of the highest-burden micronutrient problems in South Asia, where an estimated 44% of preschool children are affected — among the highest rates worldwide and well above sub-Saharan Africa in absolute numbers. Within India, subclinical deficiency (serum retinol &lt; 0.70 µmol/L) is estimated to affect roughly one in six children (about 15–22% depending on age group), which places the country in the WHO ‘moderate’ public-health-significance band; the burden is concentrated among children under five, pregnant and lactating women, and poorer rural, tribal and food-insecure communities, especially in the Empowered Action Group (EAG) states of northern and eastern India.</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Vitamin A deficiency is diagnosed by combining biochemical, clinical (ocular) and functional criteria, interpreted against the WHO xerophthalmia classification and public-health cut-offs: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Serum/plasma retinol &lt; 0.70 µmol/L (&lt; 20 µg/dL) indicates subclinical deficiency, and &lt; 0.35 µmol/L (&lt; 10 µg/dL) indicates severe deficiency (interpret alongside a C-reactive protein, as retinol falls transiently during infection/inflammation);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xerophthalmia graded by the WHO classification: night blindness (XN), conjunctival xerosis (X1A), Bitot’s spots (X1B), corneal xerosis (X2), corneal ulceration/keratomalacia involving &lt; or ≥ one-third of the cornea (X3A / X3B), corneal scar (XS) and xerophthalmic fundus (XF);</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Functional tests of dark adaptation (delayed rod dark-adaptation / abnormal rod scotometry) confirming night blindness, and conjunctival impression cytology showing loss of goblet cells and keratinisation;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Relative dose-response (RDR) or modified RDR (MRDR) ≥ 20%, indicating depleted hepatic vitamin A stores when serum retinol is equivocal;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Population/public-health level: serum retinol &lt; 0.70 µmol/L in ≥ 15–20% of preschool children, Bitot’s spots in ≥ 0.5%, night blindness in ≥ 1% of children, or night blindness in ≥ 5% of pregnant women each define VAD as a public-health problem in that population;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supportive dietary history of chronically low vitamin A intake (cereal-predominant, low-fat, largely vegetarian diet) plus response of night blindness to vitamin A supplementation.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Vitamin A deficiency is described along three complementary axes — biochemical severity, the WHO clinical staging of xerophthalmia, and underlying cause:</w:t>
      </w:r>
    </w:p>
    <w:p>
      <w:pPr>
        <w:spacing w:before="0" w:after="80"/>
      </w:pPr>
      <w:r>
        <w:rPr>
          <w:rFonts w:ascii="Calibri" w:hAnsi="Calibri"/>
          <w:b w:val="0"/>
          <w:i w:val="0"/>
          <w:color w:val="212121"/>
          <w:sz w:val="21"/>
        </w:rPr>
        <w:t>(1) Subclinical (biochemical) deficiency — depleted stores with serum retinol &lt; 0.70 µmol/L but no overt eye signs. Immune impairment and increased infection risk are already present; this is by far the commonest form in Indian children and the main target of prevention programmes.</w:t>
      </w:r>
    </w:p>
    <w:p>
      <w:pPr>
        <w:spacing w:before="0" w:after="80"/>
      </w:pPr>
      <w:r>
        <w:rPr>
          <w:rFonts w:ascii="Calibri" w:hAnsi="Calibri"/>
          <w:b w:val="0"/>
          <w:i w:val="0"/>
          <w:color w:val="212121"/>
          <w:sz w:val="21"/>
        </w:rPr>
        <w:t>(2) Xerophthalmia — the ocular disease spectrum, staged by WHO as XN (night blindness), X1A (conjunctival xerosis), X1B (Bitot’s spots), X2 (corneal xerosis), X3A (corneal ulceration/keratomalacia &lt; one-third of cornea), X3B (keratomalacia ≥ one-third), XS (corneal scar) and XF (xerophthalmic fundus). XN–X1B are reversible; X2–X3B are sight-threatening emergencies.</w:t>
      </w:r>
    </w:p>
    <w:p>
      <w:pPr>
        <w:spacing w:before="0" w:after="80"/>
      </w:pPr>
      <w:r>
        <w:rPr>
          <w:rFonts w:ascii="Calibri" w:hAnsi="Calibri"/>
          <w:b w:val="0"/>
          <w:i w:val="0"/>
          <w:color w:val="212121"/>
          <w:sz w:val="21"/>
        </w:rPr>
        <w:t>(3) By severity — mild-to-moderate (serum retinol &lt; 0.70 µmol/L, reversible ocular signs) versus severe (serum retinol &lt; 0.35 µmol/L, corneal involvement) deficiency.</w:t>
      </w:r>
    </w:p>
    <w:p>
      <w:pPr>
        <w:spacing w:before="0" w:after="80"/>
      </w:pPr>
      <w:r>
        <w:rPr>
          <w:rFonts w:ascii="Calibri" w:hAnsi="Calibri"/>
          <w:b w:val="0"/>
          <w:i w:val="0"/>
          <w:color w:val="212121"/>
          <w:sz w:val="21"/>
        </w:rPr>
        <w:t>(4) By aetiology — primary/nutritional VAD (inadequate dietary intake, the dominant form in India) versus secondary VAD (fat malabsorption, cholestatic/liver disease, increased utilisation during infection, or increased loss), which requires treatment of the underlying disorder.</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Inadequate dietary intake: Cereal-predominant, low-fat and largely vegetarian Indian diets provide little preformed retinol (from liver, egg, fish, dairy) and rely on provitamin A carotenoids from green leafy and orange vegetables, which have substantially lower bioavailability.</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Fat malabsorption: Vitamin A is fat-soluble, so exocrine pancreatic insufficiency (up to ~90% of cystic fibrosis patients), cholestatic and chronic liver disease, coeliac disease and inflammatory bowel disease impair its absorption.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Increased utilisation and loss during infection: Measles, persistent diarrhoea and recurrent respiratory infection consume vitamin A stores and increase urinary and mucosal losses, precipitating acute deficiency in a marginally-replete child.</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Impaired storage and transport: Liver cirrhosis reduces hepatic retinol storage (up to ~70% of cirrhotics are deficient), while protein-energy malnutrition and zinc deficiency lower synthesis of retinol-binding protein needed to mobilise retinol.</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Increased physiological demand: Infancy, rapid childhood growth, pregnancy and especially lactation raise requirements (lactation RDA ~1,300 µg RAE/day), unmasking marginal diets.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Chronic alcohol excess: Alcohol depletes hepatic vitamin A stores, competes for shared metabolic pathways and adds hepatotoxic injury.</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Poverty and food insecurity: Limit access to animal-source foods, dairy, eggs and coloured fruits/vegetables and cluster with poor sanitation and high infection burden.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Infants &amp; children under 5 years (esp. 6–59 months)</w:t>
            </w:r>
          </w:p>
        </w:tc>
        <w:tc>
          <w:tcPr>
            <w:tcW w:type="dxa" w:w="4276"/>
            <w:vAlign w:val="top"/>
          </w:tcPr>
          <w:p>
            <w:pPr>
              <w:spacing w:after="60" w:line="259" w:lineRule="auto"/>
            </w:pPr>
            <w:r>
              <w:rPr>
                <w:rFonts w:ascii="Calibri" w:hAnsi="Calibri"/>
                <w:b w:val="0"/>
                <w:i w:val="0"/>
                <w:color w:val="212121"/>
                <w:sz w:val="19"/>
              </w:rPr>
              <w:t>Highest-risk group: low body stores at birth, rapid growth, weaning onto low-vitamin-A staples and a heavy infection burden combine to deplete retinol, damaging the corneal and conjunctival epithelium and impairing immunity.</w:t>
            </w:r>
          </w:p>
          <w:p>
            <w:pPr>
              <w:spacing w:after="40" w:before="60" w:line="259" w:lineRule="auto"/>
            </w:pPr>
            <w:r>
              <w:rPr>
                <w:rFonts w:ascii="Calibri" w:hAnsi="Calibri"/>
                <w:b w:val="0"/>
                <w:i w:val="0"/>
                <w:color w:val="212121"/>
                <w:sz w:val="19"/>
              </w:rPr>
              <w:t>An estimated 250,000–500,000 vitamin A-deficient children become blind every year, and about half die within 12 months of losing their sight.</w:t>
            </w:r>
          </w:p>
          <w:p>
            <w:pPr>
              <w:spacing w:after="40" w:line="252" w:lineRule="auto"/>
            </w:pPr>
            <w:hyperlink r:id="rId9">
              <w:r>
                <w:rPr>
                  <w:rFonts w:ascii="Calibri" w:hAnsi="Calibri" w:cs="Calibri"/>
                  <w:sz w:val="18"/>
                  <w:color w:val="1155CC"/>
                  <w:u w:val="single"/>
                </w:rPr>
                <w:t xml:space="preserve">who.int — vitamin A deficiency (NLIS)</w:t>
              </w:r>
            </w:hyperlink>
          </w:p>
          <w:p>
            <w:pPr>
              <w:spacing w:before="60" w:after="40"/>
            </w:pPr>
            <w:r>
              <w:rPr>
                <w:rFonts w:ascii="Calibri" w:hAnsi="Calibri"/>
                <w:b w:val="0"/>
                <w:i w:val="0"/>
                <w:color w:val="5A5A5A"/>
                <w:sz w:val="18"/>
              </w:rPr>
              <w:t>#underfive  #childhoodblindness  #xerophthalmia  #weaning  #immunity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School-age children &amp; adolescents</w:t>
            </w:r>
          </w:p>
        </w:tc>
        <w:tc>
          <w:tcPr>
            <w:tcW w:type="dxa" w:w="4276"/>
            <w:vAlign w:val="top"/>
          </w:tcPr>
          <w:p>
            <w:pPr>
              <w:spacing w:after="60" w:line="259" w:lineRule="auto"/>
            </w:pPr>
            <w:r>
              <w:rPr>
                <w:rFonts w:ascii="Calibri" w:hAnsi="Calibri"/>
                <w:b w:val="0"/>
                <w:i w:val="0"/>
                <w:color w:val="212121"/>
                <w:sz w:val="19"/>
              </w:rPr>
              <w:t>Subclinical deficiency persists beyond the preschool years in low-income settings, impairing growth, dark adaptation and resistance to infection even where frank xerophthalmia is uncommon.</w:t>
            </w:r>
          </w:p>
          <w:p>
            <w:pPr>
              <w:spacing w:after="40" w:before="60" w:line="259" w:lineRule="auto"/>
            </w:pPr>
            <w:r>
              <w:rPr>
                <w:rFonts w:ascii="Calibri" w:hAnsi="Calibri"/>
                <w:b w:val="0"/>
                <w:i w:val="0"/>
                <w:color w:val="212121"/>
                <w:sz w:val="19"/>
              </w:rPr>
              <w:t>In South Asia around 44% of preschool children are vitamin A-deficient, and a substantial subclinical burden continues into school age and adolescence.</w:t>
            </w:r>
          </w:p>
          <w:p>
            <w:pPr>
              <w:spacing w:after="40" w:line="252" w:lineRule="auto"/>
            </w:pPr>
            <w:hyperlink r:id="rId10">
              <w:r>
                <w:rPr>
                  <w:rFonts w:ascii="Calibri" w:hAnsi="Calibri" w:cs="Calibri"/>
                  <w:sz w:val="18"/>
                  <w:color w:val="1155CC"/>
                  <w:u w:val="single"/>
                </w:rPr>
                <w:t xml:space="preserve">data.unicef.org — vitamin A deficiency</w:t>
              </w:r>
            </w:hyperlink>
          </w:p>
          <w:p>
            <w:pPr>
              <w:spacing w:before="60" w:after="40"/>
            </w:pPr>
            <w:r>
              <w:rPr>
                <w:rFonts w:ascii="Calibri" w:hAnsi="Calibri"/>
                <w:b w:val="0"/>
                <w:i w:val="0"/>
                <w:color w:val="5A5A5A"/>
                <w:sz w:val="18"/>
              </w:rPr>
              <w:t>#adolescents  #subclinical  #growth  #darkadaptation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Pregnant &amp; lactating women (women of reproductive age)</w:t>
            </w:r>
          </w:p>
        </w:tc>
        <w:tc>
          <w:tcPr>
            <w:tcW w:type="dxa" w:w="4276"/>
            <w:vAlign w:val="top"/>
          </w:tcPr>
          <w:p>
            <w:pPr>
              <w:spacing w:after="60" w:line="259" w:lineRule="auto"/>
            </w:pPr>
            <w:r>
              <w:rPr>
                <w:rFonts w:ascii="Calibri" w:hAnsi="Calibri"/>
                <w:b w:val="0"/>
                <w:i w:val="0"/>
                <w:color w:val="212121"/>
                <w:sz w:val="19"/>
              </w:rPr>
              <w:t>Rising fetal demand plus the high retinol cost of lactation deplete maternal stores; maternal night blindness is a recognised marker of deficiency and is linked to anaemia and higher maternal and infant mortality.</w:t>
            </w:r>
          </w:p>
          <w:p>
            <w:pPr>
              <w:spacing w:after="40" w:before="60" w:line="259" w:lineRule="auto"/>
            </w:pPr>
            <w:r>
              <w:rPr>
                <w:rFonts w:ascii="Calibri" w:hAnsi="Calibri"/>
                <w:b w:val="0"/>
                <w:i w:val="0"/>
                <w:color w:val="212121"/>
                <w:sz w:val="19"/>
              </w:rPr>
              <w:t>Night blindness in ≥ 5% of pregnant women in a population signals a moderate public-health vitamin A problem.</w:t>
            </w:r>
          </w:p>
          <w:p>
            <w:pPr>
              <w:spacing w:after="40" w:line="252" w:lineRule="auto"/>
            </w:pPr>
            <w:hyperlink r:id="rId9">
              <w:r>
                <w:rPr>
                  <w:rFonts w:ascii="Calibri" w:hAnsi="Calibri" w:cs="Calibri"/>
                  <w:sz w:val="18"/>
                  <w:color w:val="1155CC"/>
                  <w:u w:val="single"/>
                </w:rPr>
                <w:t xml:space="preserve">who.int — vitamin A deficiency (NLIS)</w:t>
              </w:r>
            </w:hyperlink>
          </w:p>
          <w:p>
            <w:pPr>
              <w:spacing w:before="60" w:after="40"/>
            </w:pPr>
            <w:r>
              <w:rPr>
                <w:rFonts w:ascii="Calibri" w:hAnsi="Calibri"/>
                <w:b w:val="0"/>
                <w:i w:val="0"/>
                <w:color w:val="5A5A5A"/>
                <w:sz w:val="18"/>
              </w:rPr>
              <w:t>#pregnancy  #lactation  #maternalnutrition  #nightblindness  #anemia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Elderly &amp; institutionalised adults</w:t>
            </w:r>
          </w:p>
        </w:tc>
        <w:tc>
          <w:tcPr>
            <w:tcW w:type="dxa" w:w="4276"/>
            <w:vAlign w:val="top"/>
          </w:tcPr>
          <w:p>
            <w:pPr>
              <w:spacing w:after="60" w:line="259" w:lineRule="auto"/>
            </w:pPr>
            <w:r>
              <w:rPr>
                <w:rFonts w:ascii="Calibri" w:hAnsi="Calibri"/>
                <w:b w:val="0"/>
                <w:i w:val="0"/>
                <w:color w:val="212121"/>
                <w:sz w:val="19"/>
              </w:rPr>
              <w:t>Poor dentition, monotonous diets, reduced intake and age-related malabsorption or chronic illness can lower vitamin A status, though frank xerophthalmia is far less common than in children.</w:t>
            </w:r>
          </w:p>
          <w:p>
            <w:pPr>
              <w:spacing w:after="40" w:before="60" w:line="259" w:lineRule="auto"/>
            </w:pPr>
            <w:r>
              <w:rPr>
                <w:rFonts w:ascii="Calibri" w:hAnsi="Calibri"/>
                <w:b w:val="0"/>
                <w:i w:val="0"/>
                <w:color w:val="212121"/>
                <w:sz w:val="19"/>
              </w:rPr>
              <w:t>Deficiency in adults is usually secondary to malabsorption or liver disease rather than diet alone.</w:t>
            </w:r>
          </w:p>
          <w:p>
            <w:pPr>
              <w:spacing w:after="40" w:line="252" w:lineRule="auto"/>
            </w:pPr>
            <w:hyperlink r:id="rId11">
              <w:r>
                <w:rPr>
                  <w:rFonts w:ascii="Calibri" w:hAnsi="Calibri" w:cs="Calibri"/>
                  <w:sz w:val="18"/>
                  <w:color w:val="1155CC"/>
                  <w:u w:val="single"/>
                </w:rPr>
                <w:t xml:space="preserve">ncbi.nlm.nih.gov — StatPearls: Vitamin A Deficiency</w:t>
              </w:r>
            </w:hyperlink>
          </w:p>
          <w:p>
            <w:pPr>
              <w:spacing w:before="60" w:after="40"/>
            </w:pPr>
            <w:r>
              <w:rPr>
                <w:rFonts w:ascii="Calibri" w:hAnsi="Calibri"/>
                <w:b w:val="0"/>
                <w:i w:val="0"/>
                <w:color w:val="5A5A5A"/>
                <w:sz w:val="18"/>
              </w:rPr>
              <w:t>#elderly  #malabsorption  #poorintake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ethnicity</w:t>
            </w:r>
          </w:p>
        </w:tc>
        <w:tc>
          <w:tcPr>
            <w:tcW w:type="dxa" w:w="2160"/>
            <w:vAlign w:val="top"/>
          </w:tcPr>
          <w:p>
            <w:pPr>
              <w:spacing w:after="40" w:before="0" w:line="259" w:lineRule="auto"/>
            </w:pPr>
            <w:r>
              <w:rPr>
                <w:rFonts w:ascii="Calibri" w:hAnsi="Calibri"/>
                <w:b w:val="0"/>
                <w:i w:val="0"/>
                <w:color w:val="212121"/>
                <w:sz w:val="19"/>
              </w:rPr>
              <w:t>EAG &amp; north-eastern states, tribal populations</w:t>
            </w:r>
          </w:p>
        </w:tc>
        <w:tc>
          <w:tcPr>
            <w:tcW w:type="dxa" w:w="4276"/>
            <w:vAlign w:val="top"/>
          </w:tcPr>
          <w:p>
            <w:pPr>
              <w:spacing w:after="60" w:line="259" w:lineRule="auto"/>
            </w:pPr>
            <w:r>
              <w:rPr>
                <w:rFonts w:ascii="Calibri" w:hAnsi="Calibri"/>
                <w:b w:val="0"/>
                <w:i w:val="0"/>
                <w:color w:val="212121"/>
                <w:sz w:val="19"/>
              </w:rPr>
              <w:t>Higher poverty, lower dietary diversity, food insecurity and weaker health-service coverage in states such as Bihar, Uttar Pradesh, Madhya Pradesh, Jharkhand, Chhattisgarh and Odisha, and among tribal communities, concentrate deficiency.</w:t>
            </w:r>
          </w:p>
          <w:p>
            <w:pPr>
              <w:spacing w:after="40" w:before="60" w:line="259" w:lineRule="auto"/>
            </w:pPr>
            <w:r>
              <w:rPr>
                <w:rFonts w:ascii="Calibri" w:hAnsi="Calibri"/>
                <w:b w:val="0"/>
                <w:i w:val="0"/>
                <w:color w:val="212121"/>
                <w:sz w:val="19"/>
              </w:rPr>
              <w:t>Vitamin A deficiency is a public-health problem in more than half of all countries, particularly across South-East Asia.</w:t>
            </w:r>
          </w:p>
          <w:p>
            <w:pPr>
              <w:spacing w:after="40" w:line="252" w:lineRule="auto"/>
            </w:pPr>
            <w:hyperlink r:id="rId9">
              <w:r>
                <w:rPr>
                  <w:rFonts w:ascii="Calibri" w:hAnsi="Calibri" w:cs="Calibri"/>
                  <w:sz w:val="18"/>
                  <w:color w:val="1155CC"/>
                  <w:u w:val="single"/>
                </w:rPr>
                <w:t xml:space="preserve">who.int — vitamin A deficiency (NLIS)</w:t>
              </w:r>
            </w:hyperlink>
          </w:p>
          <w:p>
            <w:pPr>
              <w:spacing w:before="60" w:after="40"/>
            </w:pPr>
            <w:r>
              <w:rPr>
                <w:rFonts w:ascii="Calibri" w:hAnsi="Calibri"/>
                <w:b w:val="0"/>
                <w:i w:val="0"/>
                <w:color w:val="5A5A5A"/>
                <w:sz w:val="18"/>
              </w:rPr>
              <w:t>#EAGstates  #tribal  #foodinsecurity  #India  #dietarydiversity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Residence</w:t>
            </w:r>
          </w:p>
        </w:tc>
        <w:tc>
          <w:tcPr>
            <w:tcW w:type="dxa" w:w="2160"/>
            <w:vAlign w:val="top"/>
          </w:tcPr>
          <w:p>
            <w:pPr>
              <w:spacing w:after="40" w:before="0" w:line="259" w:lineRule="auto"/>
            </w:pPr>
            <w:r>
              <w:rPr>
                <w:rFonts w:ascii="Calibri" w:hAnsi="Calibri"/>
                <w:b w:val="0"/>
                <w:i w:val="0"/>
                <w:color w:val="212121"/>
                <w:sz w:val="19"/>
              </w:rPr>
              <w:t>Rural &amp; urban-slum communities</w:t>
            </w:r>
          </w:p>
        </w:tc>
        <w:tc>
          <w:tcPr>
            <w:tcW w:type="dxa" w:w="4276"/>
            <w:vAlign w:val="top"/>
          </w:tcPr>
          <w:p>
            <w:pPr>
              <w:spacing w:after="60" w:line="259" w:lineRule="auto"/>
            </w:pPr>
            <w:r>
              <w:rPr>
                <w:rFonts w:ascii="Calibri" w:hAnsi="Calibri"/>
                <w:b w:val="0"/>
                <w:i w:val="0"/>
                <w:color w:val="212121"/>
                <w:sz w:val="19"/>
              </w:rPr>
              <w:t>Limited affordability and availability of animal-source foods, dairy, eggs and coloured produce, combined with poor sanitation and recurrent diarrhoea, raise deficiency risk relative to better-off urban households.</w:t>
            </w:r>
          </w:p>
          <w:p>
            <w:pPr>
              <w:spacing w:after="40" w:before="60" w:line="259" w:lineRule="auto"/>
            </w:pPr>
            <w:r>
              <w:rPr>
                <w:rFonts w:ascii="Calibri" w:hAnsi="Calibri"/>
                <w:b w:val="0"/>
                <w:i w:val="0"/>
                <w:color w:val="212121"/>
                <w:sz w:val="19"/>
              </w:rPr>
              <w:t>Deficiency clusters with poverty, poor water/sanitation and high childhood infection burden.</w:t>
            </w:r>
          </w:p>
          <w:p>
            <w:pPr>
              <w:spacing w:after="40" w:line="252" w:lineRule="auto"/>
            </w:pPr>
            <w:hyperlink r:id="rId9">
              <w:r>
                <w:rPr>
                  <w:rFonts w:ascii="Calibri" w:hAnsi="Calibri" w:cs="Calibri"/>
                  <w:sz w:val="18"/>
                  <w:color w:val="1155CC"/>
                  <w:u w:val="single"/>
                </w:rPr>
                <w:t xml:space="preserve">who.int — vitamin A deficiency (NLIS)</w:t>
              </w:r>
            </w:hyperlink>
          </w:p>
          <w:p>
            <w:pPr>
              <w:spacing w:before="60" w:after="40"/>
            </w:pPr>
            <w:r>
              <w:rPr>
                <w:rFonts w:ascii="Calibri" w:hAnsi="Calibri"/>
                <w:b w:val="0"/>
                <w:i w:val="0"/>
                <w:color w:val="5A5A5A"/>
                <w:sz w:val="18"/>
              </w:rPr>
              <w:t>#rural  #urbanslum  #WASH  #poverty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South Asia (India, Bangladesh, Nepal, Pakistan)</w:t>
            </w:r>
          </w:p>
        </w:tc>
        <w:tc>
          <w:tcPr>
            <w:tcW w:type="dxa" w:w="4276"/>
            <w:vAlign w:val="top"/>
          </w:tcPr>
          <w:p>
            <w:pPr>
              <w:spacing w:after="60" w:line="259" w:lineRule="auto"/>
            </w:pPr>
            <w:r>
              <w:rPr>
                <w:rFonts w:ascii="Calibri" w:hAnsi="Calibri"/>
                <w:b w:val="0"/>
                <w:i w:val="0"/>
                <w:color w:val="212121"/>
                <w:sz w:val="19"/>
              </w:rPr>
              <w:t>South Asia carries one of the world’s largest absolute burdens of childhood vitamin A deficiency owing to cereal-based diets, high fertility and infection rates, and widespread vegetarianism.</w:t>
            </w:r>
          </w:p>
          <w:p>
            <w:pPr>
              <w:spacing w:after="40" w:before="60" w:line="259" w:lineRule="auto"/>
            </w:pPr>
            <w:r>
              <w:rPr>
                <w:rFonts w:ascii="Calibri" w:hAnsi="Calibri"/>
                <w:b w:val="0"/>
                <w:i w:val="0"/>
                <w:color w:val="212121"/>
                <w:sz w:val="19"/>
              </w:rPr>
              <w:t>About 44% of preschool children in South Asia are vitamin A-deficient (vs ~48% in sub-Saharan Africa).</w:t>
            </w:r>
          </w:p>
          <w:p>
            <w:pPr>
              <w:spacing w:after="40" w:line="252" w:lineRule="auto"/>
            </w:pPr>
            <w:hyperlink r:id="rId10">
              <w:r>
                <w:rPr>
                  <w:rFonts w:ascii="Calibri" w:hAnsi="Calibri" w:cs="Calibri"/>
                  <w:sz w:val="18"/>
                  <w:color w:val="1155CC"/>
                  <w:u w:val="single"/>
                </w:rPr>
                <w:t xml:space="preserve">data.unicef.org — vitamin A deficiency</w:t>
              </w:r>
            </w:hyperlink>
          </w:p>
          <w:p>
            <w:pPr>
              <w:spacing w:before="60" w:after="40"/>
            </w:pPr>
            <w:r>
              <w:rPr>
                <w:rFonts w:ascii="Calibri" w:hAnsi="Calibri"/>
                <w:b w:val="0"/>
                <w:i w:val="0"/>
                <w:color w:val="5A5A5A"/>
                <w:sz w:val="18"/>
              </w:rPr>
              <w:t>#SouthAsia  #regionalburden  #cerealdiet</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Lacto-vegetarian &amp; vegan populations</w:t>
            </w:r>
          </w:p>
        </w:tc>
        <w:tc>
          <w:tcPr>
            <w:tcW w:type="dxa" w:w="4276"/>
            <w:vAlign w:val="top"/>
          </w:tcPr>
          <w:p>
            <w:pPr>
              <w:spacing w:after="60" w:line="259" w:lineRule="auto"/>
            </w:pPr>
            <w:r>
              <w:rPr>
                <w:rFonts w:ascii="Calibri" w:hAnsi="Calibri"/>
                <w:b w:val="0"/>
                <w:i w:val="0"/>
                <w:color w:val="212121"/>
                <w:sz w:val="19"/>
              </w:rPr>
              <w:t>Vegetarian and vegan diets contain no preformed retinol and depend on provitamin A carotenoids, whose conversion to retinol is inefficient and variable; low dietary fat further limits carotenoid absorption.</w:t>
            </w:r>
          </w:p>
          <w:p>
            <w:pPr>
              <w:spacing w:after="40" w:before="60" w:line="259" w:lineRule="auto"/>
            </w:pPr>
            <w:r>
              <w:rPr>
                <w:rFonts w:ascii="Calibri" w:hAnsi="Calibri"/>
                <w:b w:val="0"/>
                <w:i w:val="0"/>
                <w:color w:val="212121"/>
                <w:sz w:val="19"/>
              </w:rPr>
              <w:t>Preformed retinol (liver, egg, fish, dairy) is far better absorbed than plant β-carotene, and absorption of both requires dietary fat.</w:t>
            </w:r>
          </w:p>
          <w:p>
            <w:pPr>
              <w:spacing w:after="40" w:line="252" w:lineRule="auto"/>
            </w:pPr>
            <w:hyperlink r:id="rId12">
              <w:r>
                <w:rPr>
                  <w:rFonts w:ascii="Calibri" w:hAnsi="Calibri" w:cs="Calibri"/>
                  <w:sz w:val="18"/>
                  <w:color w:val="1155CC"/>
                  <w:u w:val="single"/>
                </w:rPr>
                <w:t xml:space="preserve">ods.od.nih.gov — Vitamin A (Health Professional)</w:t>
              </w:r>
            </w:hyperlink>
          </w:p>
          <w:p>
            <w:pPr>
              <w:spacing w:before="60" w:after="40"/>
            </w:pPr>
            <w:r>
              <w:rPr>
                <w:rFonts w:ascii="Calibri" w:hAnsi="Calibri"/>
                <w:b w:val="0"/>
                <w:i w:val="0"/>
                <w:color w:val="5A5A5A"/>
                <w:sz w:val="18"/>
              </w:rPr>
              <w:t>#vegetarian  #vegan  #betacarotene  #bioavailability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drinkers</w:t>
            </w:r>
          </w:p>
        </w:tc>
        <w:tc>
          <w:tcPr>
            <w:tcW w:type="dxa" w:w="4276"/>
            <w:vAlign w:val="top"/>
          </w:tcPr>
          <w:p>
            <w:pPr>
              <w:spacing w:after="60" w:line="259" w:lineRule="auto"/>
            </w:pPr>
            <w:r>
              <w:rPr>
                <w:rFonts w:ascii="Calibri" w:hAnsi="Calibri"/>
                <w:b w:val="0"/>
                <w:i w:val="0"/>
                <w:color w:val="212121"/>
                <w:sz w:val="19"/>
              </w:rPr>
              <w:t>Chronic alcohol use depletes hepatic vitamin A stores, competes for shared metabolic pathways and causes liver injury that impairs storage and retinol-binding-protein synthesis; intake is usually poor as well.</w:t>
            </w:r>
          </w:p>
          <w:p>
            <w:pPr>
              <w:spacing w:after="40" w:before="60" w:line="259" w:lineRule="auto"/>
            </w:pPr>
            <w:r>
              <w:rPr>
                <w:rFonts w:ascii="Calibri" w:hAnsi="Calibri"/>
                <w:b w:val="0"/>
                <w:i w:val="0"/>
                <w:color w:val="212121"/>
                <w:sz w:val="19"/>
              </w:rPr>
              <w:t>Up to ~70% of patients with cirrhosis are vitamin A deficient.</w:t>
            </w:r>
          </w:p>
          <w:p>
            <w:pPr>
              <w:spacing w:after="40" w:line="252" w:lineRule="auto"/>
            </w:pPr>
            <w:hyperlink r:id="rId11">
              <w:r>
                <w:rPr>
                  <w:rFonts w:ascii="Calibri" w:hAnsi="Calibri" w:cs="Calibri"/>
                  <w:sz w:val="18"/>
                  <w:color w:val="1155CC"/>
                  <w:u w:val="single"/>
                </w:rPr>
                <w:t xml:space="preserve">ncbi.nlm.nih.gov — StatPearls: Vitamin A Deficiency</w:t>
              </w:r>
            </w:hyperlink>
          </w:p>
          <w:p>
            <w:pPr>
              <w:spacing w:before="60" w:after="40"/>
            </w:pPr>
            <w:r>
              <w:rPr>
                <w:rFonts w:ascii="Calibri" w:hAnsi="Calibri"/>
                <w:b w:val="0"/>
                <w:i w:val="0"/>
                <w:color w:val="5A5A5A"/>
                <w:sz w:val="18"/>
              </w:rPr>
              <w:t>#alcohol  #liver  #hepaticdepletion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Hygiene / sanitation</w:t>
            </w:r>
          </w:p>
        </w:tc>
        <w:tc>
          <w:tcPr>
            <w:tcW w:type="dxa" w:w="2160"/>
            <w:vAlign w:val="top"/>
          </w:tcPr>
          <w:p>
            <w:pPr>
              <w:spacing w:after="40" w:before="0" w:line="259" w:lineRule="auto"/>
            </w:pPr>
            <w:r>
              <w:rPr>
                <w:rFonts w:ascii="Calibri" w:hAnsi="Calibri"/>
                <w:b w:val="0"/>
                <w:i w:val="0"/>
                <w:color w:val="212121"/>
                <w:sz w:val="19"/>
              </w:rPr>
              <w:t>Poor WASH &amp; recurrent diarrhoea</w:t>
            </w:r>
          </w:p>
        </w:tc>
        <w:tc>
          <w:tcPr>
            <w:tcW w:type="dxa" w:w="4276"/>
            <w:vAlign w:val="top"/>
          </w:tcPr>
          <w:p>
            <w:pPr>
              <w:spacing w:after="60" w:line="259" w:lineRule="auto"/>
            </w:pPr>
            <w:r>
              <w:rPr>
                <w:rFonts w:ascii="Calibri" w:hAnsi="Calibri"/>
                <w:b w:val="0"/>
                <w:i w:val="0"/>
                <w:color w:val="212121"/>
                <w:sz w:val="19"/>
              </w:rPr>
              <w:t>Inadequate water, sanitation and hygiene drive repeated diarrhoeal and measles infections that consume and increase losses of vitamin A, creating a cycle of infection and deficiency.</w:t>
            </w:r>
          </w:p>
          <w:p>
            <w:pPr>
              <w:spacing w:after="40" w:before="60" w:line="259" w:lineRule="auto"/>
            </w:pPr>
            <w:r>
              <w:rPr>
                <w:rFonts w:ascii="Calibri" w:hAnsi="Calibri"/>
                <w:b w:val="0"/>
                <w:i w:val="0"/>
                <w:color w:val="212121"/>
                <w:sz w:val="19"/>
              </w:rPr>
              <w:t>Infection (measles, diarrhoea) both worsens and is worsened by vitamin A deficiency.</w:t>
            </w:r>
          </w:p>
          <w:p>
            <w:pPr>
              <w:spacing w:after="40" w:line="252" w:lineRule="auto"/>
            </w:pPr>
            <w:hyperlink r:id="rId12">
              <w:r>
                <w:rPr>
                  <w:rFonts w:ascii="Calibri" w:hAnsi="Calibri" w:cs="Calibri"/>
                  <w:sz w:val="18"/>
                  <w:color w:val="1155CC"/>
                  <w:u w:val="single"/>
                </w:rPr>
                <w:t xml:space="preserve">ods.od.nih.gov — Vitamin A (Health Professional)</w:t>
              </w:r>
            </w:hyperlink>
          </w:p>
          <w:p>
            <w:pPr>
              <w:spacing w:before="60" w:after="40"/>
            </w:pPr>
            <w:r>
              <w:rPr>
                <w:rFonts w:ascii="Calibri" w:hAnsi="Calibri"/>
                <w:b w:val="0"/>
                <w:i w:val="0"/>
                <w:color w:val="5A5A5A"/>
                <w:sz w:val="18"/>
              </w:rPr>
              <w:t>#WASH  #diarrhoea  #infectioncycle  #sanitation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Infant feeding</w:t>
            </w:r>
          </w:p>
        </w:tc>
        <w:tc>
          <w:tcPr>
            <w:tcW w:type="dxa" w:w="2160"/>
            <w:vAlign w:val="top"/>
          </w:tcPr>
          <w:p>
            <w:pPr>
              <w:spacing w:after="40" w:before="0" w:line="259" w:lineRule="auto"/>
            </w:pPr>
            <w:r>
              <w:rPr>
                <w:rFonts w:ascii="Calibri" w:hAnsi="Calibri"/>
                <w:b w:val="0"/>
                <w:i w:val="0"/>
                <w:color w:val="212121"/>
                <w:sz w:val="19"/>
              </w:rPr>
              <w:t>Non-breastfed infants / infants of VAD mothers</w:t>
            </w:r>
          </w:p>
        </w:tc>
        <w:tc>
          <w:tcPr>
            <w:tcW w:type="dxa" w:w="4276"/>
            <w:vAlign w:val="top"/>
          </w:tcPr>
          <w:p>
            <w:pPr>
              <w:spacing w:after="60" w:line="259" w:lineRule="auto"/>
            </w:pPr>
            <w:r>
              <w:rPr>
                <w:rFonts w:ascii="Calibri" w:hAnsi="Calibri"/>
                <w:b w:val="0"/>
                <w:i w:val="0"/>
                <w:color w:val="212121"/>
                <w:sz w:val="19"/>
              </w:rPr>
              <w:t>Breast milk is the main vitamin A source for young infants; non-breastfed infants, or those whose mothers are deficient, receive little retinol and deplete their small stores rapidly.</w:t>
            </w:r>
          </w:p>
          <w:p>
            <w:pPr>
              <w:spacing w:after="40" w:before="60" w:line="259" w:lineRule="auto"/>
            </w:pPr>
            <w:r>
              <w:rPr>
                <w:rFonts w:ascii="Calibri" w:hAnsi="Calibri"/>
                <w:b w:val="0"/>
                <w:i w:val="0"/>
                <w:color w:val="212121"/>
                <w:sz w:val="19"/>
              </w:rPr>
              <w:t>Inadequate breast-milk vitamin A is a recognised cause of infant deficiency in low-income settings.</w:t>
            </w:r>
          </w:p>
          <w:p>
            <w:pPr>
              <w:spacing w:after="40" w:line="252" w:lineRule="auto"/>
            </w:pPr>
            <w:hyperlink r:id="rId11">
              <w:r>
                <w:rPr>
                  <w:rFonts w:ascii="Calibri" w:hAnsi="Calibri" w:cs="Calibri"/>
                  <w:sz w:val="18"/>
                  <w:color w:val="1155CC"/>
                  <w:u w:val="single"/>
                </w:rPr>
                <w:t xml:space="preserve">ncbi.nlm.nih.gov — StatPearls: Vitamin A Deficiency</w:t>
              </w:r>
            </w:hyperlink>
          </w:p>
          <w:p>
            <w:pPr>
              <w:spacing w:before="60" w:after="40"/>
            </w:pPr>
            <w:r>
              <w:rPr>
                <w:rFonts w:ascii="Calibri" w:hAnsi="Calibri"/>
                <w:b w:val="0"/>
                <w:i w:val="0"/>
                <w:color w:val="5A5A5A"/>
                <w:sz w:val="18"/>
              </w:rPr>
              <w:t>#breastfeeding  #infantnutrition  #maternalstatus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Staple diet</w:t>
            </w:r>
          </w:p>
        </w:tc>
        <w:tc>
          <w:tcPr>
            <w:tcW w:type="dxa" w:w="2160"/>
            <w:vAlign w:val="top"/>
          </w:tcPr>
          <w:p>
            <w:pPr>
              <w:spacing w:after="40" w:before="0" w:line="259" w:lineRule="auto"/>
            </w:pPr>
            <w:r>
              <w:rPr>
                <w:rFonts w:ascii="Calibri" w:hAnsi="Calibri"/>
                <w:b w:val="0"/>
                <w:i w:val="0"/>
                <w:color w:val="212121"/>
                <w:sz w:val="19"/>
              </w:rPr>
              <w:t>Cereal-predominant, low animal-source-food diets</w:t>
            </w:r>
          </w:p>
        </w:tc>
        <w:tc>
          <w:tcPr>
            <w:tcW w:type="dxa" w:w="4276"/>
            <w:vAlign w:val="top"/>
          </w:tcPr>
          <w:p>
            <w:pPr>
              <w:spacing w:after="60" w:line="259" w:lineRule="auto"/>
            </w:pPr>
            <w:r>
              <w:rPr>
                <w:rFonts w:ascii="Calibri" w:hAnsi="Calibri"/>
                <w:b w:val="0"/>
                <w:i w:val="0"/>
                <w:color w:val="212121"/>
                <w:sz w:val="19"/>
              </w:rPr>
              <w:t>Diets built on polished rice or wheat with little dairy, egg, fish or liver supply minimal retinol; without coloured vegetables/fruit and cooking fat, carotenoid intake and absorption also stay low.</w:t>
            </w:r>
          </w:p>
          <w:p>
            <w:pPr>
              <w:spacing w:after="40" w:before="60" w:line="259" w:lineRule="auto"/>
            </w:pPr>
            <w:r>
              <w:rPr>
                <w:rFonts w:ascii="Calibri" w:hAnsi="Calibri"/>
                <w:b w:val="0"/>
                <w:i w:val="0"/>
                <w:color w:val="212121"/>
                <w:sz w:val="19"/>
              </w:rPr>
              <w:t>Adult RDA is ~900 µg RAE (men) and ~700 µg RAE (women); cereal-based diets often fall well short.</w:t>
            </w:r>
          </w:p>
          <w:p>
            <w:pPr>
              <w:spacing w:after="40" w:line="252" w:lineRule="auto"/>
            </w:pPr>
            <w:hyperlink r:id="rId12">
              <w:r>
                <w:rPr>
                  <w:rFonts w:ascii="Calibri" w:hAnsi="Calibri" w:cs="Calibri"/>
                  <w:sz w:val="18"/>
                  <w:color w:val="1155CC"/>
                  <w:u w:val="single"/>
                </w:rPr>
                <w:t xml:space="preserve">ods.od.nih.gov — Vitamin A (Health Professional)</w:t>
              </w:r>
            </w:hyperlink>
          </w:p>
          <w:p>
            <w:pPr>
              <w:spacing w:before="60" w:after="40"/>
            </w:pPr>
            <w:r>
              <w:rPr>
                <w:rFonts w:ascii="Calibri" w:hAnsi="Calibri"/>
                <w:b w:val="0"/>
                <w:i w:val="0"/>
                <w:color w:val="5A5A5A"/>
                <w:sz w:val="18"/>
              </w:rPr>
              <w:t>#riceandwheat  #lowASF  #RAE  #staplediet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Low carotenoid intake</w:t>
            </w:r>
          </w:p>
        </w:tc>
        <w:tc>
          <w:tcPr>
            <w:tcW w:type="dxa" w:w="2160"/>
            <w:vAlign w:val="top"/>
          </w:tcPr>
          <w:p>
            <w:pPr>
              <w:spacing w:after="40" w:before="0" w:line="259" w:lineRule="auto"/>
            </w:pPr>
            <w:r>
              <w:rPr>
                <w:rFonts w:ascii="Calibri" w:hAnsi="Calibri"/>
                <w:b w:val="0"/>
                <w:i w:val="0"/>
                <w:color w:val="212121"/>
                <w:sz w:val="19"/>
              </w:rPr>
              <w:t>Low intake of green leafy &amp; orange produce</w:t>
            </w:r>
          </w:p>
        </w:tc>
        <w:tc>
          <w:tcPr>
            <w:tcW w:type="dxa" w:w="4276"/>
            <w:vAlign w:val="top"/>
          </w:tcPr>
          <w:p>
            <w:pPr>
              <w:spacing w:after="60" w:line="259" w:lineRule="auto"/>
            </w:pPr>
            <w:r>
              <w:rPr>
                <w:rFonts w:ascii="Calibri" w:hAnsi="Calibri"/>
                <w:b w:val="0"/>
                <w:i w:val="0"/>
                <w:color w:val="212121"/>
                <w:sz w:val="19"/>
              </w:rPr>
              <w:t>Dark green leafy vegetables (spinach, amaranth, drumstick leaves) and orange/yellow produce (carrot, pumpkin, ripe mango, papaya) are the main plant vitamin A sources; low intake removes the principal dietary defence in vegetarian diets.</w:t>
            </w:r>
          </w:p>
          <w:p>
            <w:pPr>
              <w:spacing w:after="40" w:before="60" w:line="259" w:lineRule="auto"/>
            </w:pPr>
            <w:r>
              <w:rPr>
                <w:rFonts w:ascii="Calibri" w:hAnsi="Calibri"/>
                <w:b w:val="0"/>
                <w:i w:val="0"/>
                <w:color w:val="212121"/>
                <w:sz w:val="19"/>
              </w:rPr>
              <w:t>Carotenoid bioavailability rises when these foods are cooked and eaten with a little fat/oil.</w:t>
            </w:r>
          </w:p>
          <w:p>
            <w:pPr>
              <w:spacing w:after="40" w:line="252" w:lineRule="auto"/>
            </w:pPr>
            <w:hyperlink r:id="rId12">
              <w:r>
                <w:rPr>
                  <w:rFonts w:ascii="Calibri" w:hAnsi="Calibri" w:cs="Calibri"/>
                  <w:sz w:val="18"/>
                  <w:color w:val="1155CC"/>
                  <w:u w:val="single"/>
                </w:rPr>
                <w:t xml:space="preserve">ods.od.nih.gov — Vitamin A (Health Professional)</w:t>
              </w:r>
            </w:hyperlink>
          </w:p>
          <w:p>
            <w:pPr>
              <w:spacing w:before="60" w:after="40"/>
            </w:pPr>
            <w:r>
              <w:rPr>
                <w:rFonts w:ascii="Calibri" w:hAnsi="Calibri"/>
                <w:b w:val="0"/>
                <w:i w:val="0"/>
                <w:color w:val="5A5A5A"/>
                <w:sz w:val="18"/>
              </w:rPr>
              <w:t>#greenleafy  #carotenoids  #mango  #carrot</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Carotenoid conversion</w:t>
            </w:r>
          </w:p>
        </w:tc>
        <w:tc>
          <w:tcPr>
            <w:tcW w:type="dxa" w:w="2160"/>
            <w:vAlign w:val="top"/>
          </w:tcPr>
          <w:p>
            <w:pPr>
              <w:spacing w:after="40" w:before="0" w:line="259" w:lineRule="auto"/>
            </w:pPr>
            <w:r>
              <w:rPr>
                <w:rFonts w:ascii="Calibri" w:hAnsi="Calibri"/>
                <w:b w:val="0"/>
                <w:i w:val="0"/>
                <w:color w:val="212121"/>
                <w:sz w:val="19"/>
              </w:rPr>
              <w:t>Low-activity BCO1 (β-carotene oxygenase 1) variants</w:t>
            </w:r>
          </w:p>
        </w:tc>
        <w:tc>
          <w:tcPr>
            <w:tcW w:type="dxa" w:w="4276"/>
            <w:vAlign w:val="top"/>
          </w:tcPr>
          <w:p>
            <w:pPr>
              <w:spacing w:after="60" w:line="259" w:lineRule="auto"/>
            </w:pPr>
            <w:r>
              <w:rPr>
                <w:rFonts w:ascii="Calibri" w:hAnsi="Calibri"/>
                <w:b w:val="0"/>
                <w:i w:val="0"/>
                <w:color w:val="212121"/>
                <w:sz w:val="19"/>
              </w:rPr>
              <w:t>Common polymorphisms in the BCO1 gene reduce enzymatic conversion of provitamin A β-carotene to retinol, so carotenoid-reliant (e.g. vegetarian) individuals carrying low-activity variants can remain deficient despite adequate β-carotene intake.</w:t>
            </w:r>
          </w:p>
          <w:p>
            <w:pPr>
              <w:spacing w:after="40" w:before="60" w:line="259" w:lineRule="auto"/>
            </w:pPr>
            <w:r>
              <w:rPr>
                <w:rFonts w:ascii="Calibri" w:hAnsi="Calibri"/>
                <w:b w:val="0"/>
                <w:i w:val="0"/>
                <w:color w:val="212121"/>
                <w:sz w:val="19"/>
              </w:rPr>
              <w:t>Genetic variation in β-carotene conversion helps explain why some people stay deficient on plant-only vitamin A sources.</w:t>
            </w:r>
          </w:p>
          <w:p>
            <w:pPr>
              <w:spacing w:before="60" w:after="40"/>
            </w:pPr>
            <w:r>
              <w:rPr>
                <w:rFonts w:ascii="Calibri" w:hAnsi="Calibri"/>
                <w:b w:val="0"/>
                <w:i w:val="0"/>
                <w:color w:val="5A5A5A"/>
                <w:sz w:val="18"/>
              </w:rPr>
              <w:t>#BCO1  #geneticpolymorphism  #carotenoidconversion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Household clustering</w:t>
            </w:r>
          </w:p>
        </w:tc>
        <w:tc>
          <w:tcPr>
            <w:tcW w:type="dxa" w:w="2160"/>
            <w:vAlign w:val="top"/>
          </w:tcPr>
          <w:p>
            <w:pPr>
              <w:spacing w:after="40" w:before="0" w:line="259" w:lineRule="auto"/>
            </w:pPr>
            <w:r>
              <w:rPr>
                <w:rFonts w:ascii="Calibri" w:hAnsi="Calibri"/>
                <w:b w:val="0"/>
                <w:i w:val="0"/>
                <w:color w:val="212121"/>
                <w:sz w:val="19"/>
              </w:rPr>
              <w:t>Siblings/households sharing diet &amp; poverty</w:t>
            </w:r>
          </w:p>
        </w:tc>
        <w:tc>
          <w:tcPr>
            <w:tcW w:type="dxa" w:w="4276"/>
            <w:vAlign w:val="top"/>
          </w:tcPr>
          <w:p>
            <w:pPr>
              <w:spacing w:after="60" w:line="259" w:lineRule="auto"/>
            </w:pPr>
            <w:r>
              <w:rPr>
                <w:rFonts w:ascii="Calibri" w:hAnsi="Calibri"/>
                <w:b w:val="0"/>
                <w:i w:val="0"/>
                <w:color w:val="212121"/>
                <w:sz w:val="19"/>
              </w:rPr>
              <w:t>Vitamin A status clusters within households through shared diet, feeding practices, poverty and infection exposure rather than single-gene inheritance, so affected children often have affected siblings.</w:t>
            </w:r>
          </w:p>
          <w:p>
            <w:pPr>
              <w:spacing w:after="40" w:before="60" w:line="259" w:lineRule="auto"/>
            </w:pPr>
            <w:r>
              <w:rPr>
                <w:rFonts w:ascii="Calibri" w:hAnsi="Calibri"/>
                <w:b w:val="0"/>
                <w:i w:val="0"/>
                <w:color w:val="212121"/>
                <w:sz w:val="19"/>
              </w:rPr>
              <w:t>Shared diet and environment make deficiency cluster within families and communities.</w:t>
            </w:r>
          </w:p>
          <w:p>
            <w:pPr>
              <w:spacing w:before="60" w:after="40"/>
            </w:pPr>
            <w:r>
              <w:rPr>
                <w:rFonts w:ascii="Calibri" w:hAnsi="Calibri"/>
                <w:b w:val="0"/>
                <w:i w:val="0"/>
                <w:color w:val="5A5A5A"/>
                <w:sz w:val="18"/>
              </w:rPr>
              <w:t>#householdclustering  #shareddiet  #familyrisk</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Measles</w:t>
            </w:r>
          </w:p>
        </w:tc>
        <w:tc>
          <w:tcPr>
            <w:tcW w:type="dxa" w:w="2160"/>
            <w:vAlign w:val="top"/>
          </w:tcPr>
          <w:p>
            <w:pPr>
              <w:spacing w:after="40" w:before="0" w:line="259" w:lineRule="auto"/>
            </w:pPr>
            <w:r>
              <w:rPr>
                <w:rFonts w:ascii="Calibri" w:hAnsi="Calibri"/>
                <w:b w:val="0"/>
                <w:i w:val="0"/>
                <w:color w:val="212121"/>
                <w:sz w:val="19"/>
              </w:rPr>
              <w:t>Children with measles</w:t>
            </w:r>
          </w:p>
        </w:tc>
        <w:tc>
          <w:tcPr>
            <w:tcW w:type="dxa" w:w="4276"/>
            <w:vAlign w:val="top"/>
          </w:tcPr>
          <w:p>
            <w:pPr>
              <w:spacing w:after="60" w:line="259" w:lineRule="auto"/>
            </w:pPr>
            <w:r>
              <w:rPr>
                <w:rFonts w:ascii="Calibri" w:hAnsi="Calibri"/>
                <w:b w:val="0"/>
                <w:i w:val="0"/>
                <w:color w:val="212121"/>
                <w:sz w:val="19"/>
              </w:rPr>
              <w:t>Measles sharply increases vitamin A utilisation and losses while damaging epithelium, and pre-existing deficiency worsens measles severity and mortality — a bidirectional, potentially lethal interaction.</w:t>
            </w:r>
          </w:p>
          <w:p>
            <w:pPr>
              <w:spacing w:after="40" w:before="60" w:line="259" w:lineRule="auto"/>
            </w:pPr>
            <w:r>
              <w:rPr>
                <w:rFonts w:ascii="Calibri" w:hAnsi="Calibri"/>
                <w:b w:val="0"/>
                <w:i w:val="0"/>
                <w:color w:val="212121"/>
                <w:sz w:val="19"/>
              </w:rPr>
              <w:t>Vitamin A supplementation reduced the risk of new measles cases by ~50% in children 6 months–5 years in low-income settings.</w:t>
            </w:r>
          </w:p>
          <w:p>
            <w:pPr>
              <w:spacing w:after="40" w:line="252" w:lineRule="auto"/>
            </w:pPr>
            <w:hyperlink r:id="rId12">
              <w:r>
                <w:rPr>
                  <w:rFonts w:ascii="Calibri" w:hAnsi="Calibri" w:cs="Calibri"/>
                  <w:sz w:val="18"/>
                  <w:color w:val="1155CC"/>
                  <w:u w:val="single"/>
                </w:rPr>
                <w:t xml:space="preserve">ods.od.nih.gov — Vitamin A (Health Professional)</w:t>
              </w:r>
            </w:hyperlink>
          </w:p>
          <w:p>
            <w:pPr>
              <w:spacing w:before="60" w:after="40"/>
            </w:pPr>
            <w:r>
              <w:rPr>
                <w:rFonts w:ascii="Calibri" w:hAnsi="Calibri"/>
                <w:b w:val="0"/>
                <w:i w:val="0"/>
                <w:color w:val="5A5A5A"/>
                <w:sz w:val="18"/>
              </w:rPr>
              <w:t>#measles  #immunity  #supplementation  #mortality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Persistent diarrhoea</w:t>
            </w:r>
          </w:p>
        </w:tc>
        <w:tc>
          <w:tcPr>
            <w:tcW w:type="dxa" w:w="2160"/>
            <w:vAlign w:val="top"/>
          </w:tcPr>
          <w:p>
            <w:pPr>
              <w:spacing w:after="40" w:before="0" w:line="259" w:lineRule="auto"/>
            </w:pPr>
            <w:r>
              <w:rPr>
                <w:rFonts w:ascii="Calibri" w:hAnsi="Calibri"/>
                <w:b w:val="0"/>
                <w:i w:val="0"/>
                <w:color w:val="212121"/>
                <w:sz w:val="19"/>
              </w:rPr>
              <w:t>Children with chronic/persistent diarrhoea</w:t>
            </w:r>
          </w:p>
        </w:tc>
        <w:tc>
          <w:tcPr>
            <w:tcW w:type="dxa" w:w="4276"/>
            <w:vAlign w:val="top"/>
          </w:tcPr>
          <w:p>
            <w:pPr>
              <w:spacing w:after="60" w:line="259" w:lineRule="auto"/>
            </w:pPr>
            <w:r>
              <w:rPr>
                <w:rFonts w:ascii="Calibri" w:hAnsi="Calibri"/>
                <w:b w:val="0"/>
                <w:i w:val="0"/>
                <w:color w:val="212121"/>
                <w:sz w:val="19"/>
              </w:rPr>
              <w:t>Diarrhoeal disease causes malabsorption and increased intestinal loss of vitamin A, while deficiency impairs gut epithelial integrity and immunity, prolonging and worsening diarrhoea.</w:t>
            </w:r>
          </w:p>
          <w:p>
            <w:pPr>
              <w:spacing w:after="40" w:before="60" w:line="259" w:lineRule="auto"/>
            </w:pPr>
            <w:r>
              <w:rPr>
                <w:rFonts w:ascii="Calibri" w:hAnsi="Calibri"/>
                <w:b w:val="0"/>
                <w:i w:val="0"/>
                <w:color w:val="212121"/>
                <w:sz w:val="19"/>
              </w:rPr>
              <w:t>Deficiency increases the severity and mortality of infection-associated diarrhoea.</w:t>
            </w:r>
          </w:p>
          <w:p>
            <w:pPr>
              <w:spacing w:after="40" w:line="252" w:lineRule="auto"/>
            </w:pPr>
            <w:hyperlink r:id="rId12">
              <w:r>
                <w:rPr>
                  <w:rFonts w:ascii="Calibri" w:hAnsi="Calibri" w:cs="Calibri"/>
                  <w:sz w:val="18"/>
                  <w:color w:val="1155CC"/>
                  <w:u w:val="single"/>
                </w:rPr>
                <w:t xml:space="preserve">ods.od.nih.gov — Vitamin A (Health Professional)</w:t>
              </w:r>
            </w:hyperlink>
          </w:p>
          <w:p>
            <w:pPr>
              <w:spacing w:before="60" w:after="40"/>
            </w:pPr>
            <w:r>
              <w:rPr>
                <w:rFonts w:ascii="Calibri" w:hAnsi="Calibri"/>
                <w:b w:val="0"/>
                <w:i w:val="0"/>
                <w:color w:val="5A5A5A"/>
                <w:sz w:val="18"/>
              </w:rPr>
              <w:t>#diarrhoea  #malabsorption  #viciouscycle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Severe malnutrition</w:t>
            </w:r>
          </w:p>
        </w:tc>
        <w:tc>
          <w:tcPr>
            <w:tcW w:type="dxa" w:w="2160"/>
            <w:vAlign w:val="top"/>
          </w:tcPr>
          <w:p>
            <w:pPr>
              <w:spacing w:after="40" w:before="0" w:line="259" w:lineRule="auto"/>
            </w:pPr>
            <w:r>
              <w:rPr>
                <w:rFonts w:ascii="Calibri" w:hAnsi="Calibri"/>
                <w:b w:val="0"/>
                <w:i w:val="0"/>
                <w:color w:val="212121"/>
                <w:sz w:val="19"/>
              </w:rPr>
              <w:t>Protein-energy malnutrition / SAM</w:t>
            </w:r>
          </w:p>
        </w:tc>
        <w:tc>
          <w:tcPr>
            <w:tcW w:type="dxa" w:w="4276"/>
            <w:vAlign w:val="top"/>
          </w:tcPr>
          <w:p>
            <w:pPr>
              <w:spacing w:after="60" w:line="259" w:lineRule="auto"/>
            </w:pPr>
            <w:r>
              <w:rPr>
                <w:rFonts w:ascii="Calibri" w:hAnsi="Calibri"/>
                <w:b w:val="0"/>
                <w:i w:val="0"/>
                <w:color w:val="212121"/>
                <w:sz w:val="19"/>
              </w:rPr>
              <w:t>Severe acute malnutrition combines low intake with reduced retinol-binding-protein synthesis, so circulating retinol falls and the risk of blinding xerophthalmia rises steeply.</w:t>
            </w:r>
          </w:p>
          <w:p>
            <w:pPr>
              <w:spacing w:after="40" w:before="60" w:line="259" w:lineRule="auto"/>
            </w:pPr>
            <w:r>
              <w:rPr>
                <w:rFonts w:ascii="Calibri" w:hAnsi="Calibri"/>
                <w:b w:val="0"/>
                <w:i w:val="0"/>
                <w:color w:val="212121"/>
                <w:sz w:val="19"/>
              </w:rPr>
              <w:t>Reduced retinol-binding protein in protein-energy malnutrition lowers circulating vitamin A and precipitates xerophthalmia.</w:t>
            </w:r>
          </w:p>
          <w:p>
            <w:pPr>
              <w:spacing w:after="40" w:line="252" w:lineRule="auto"/>
            </w:pPr>
            <w:hyperlink r:id="rId11">
              <w:r>
                <w:rPr>
                  <w:rFonts w:ascii="Calibri" w:hAnsi="Calibri" w:cs="Calibri"/>
                  <w:sz w:val="18"/>
                  <w:color w:val="1155CC"/>
                  <w:u w:val="single"/>
                </w:rPr>
                <w:t xml:space="preserve">ncbi.nlm.nih.gov — StatPearls: Vitamin A Deficiency</w:t>
              </w:r>
            </w:hyperlink>
          </w:p>
          <w:p>
            <w:pPr>
              <w:spacing w:before="60" w:after="40"/>
            </w:pPr>
            <w:r>
              <w:rPr>
                <w:rFonts w:ascii="Calibri" w:hAnsi="Calibri"/>
                <w:b w:val="0"/>
                <w:i w:val="0"/>
                <w:color w:val="5A5A5A"/>
                <w:sz w:val="18"/>
              </w:rPr>
              <w:t>#SAM  #PEM  #RBP  #stunting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Fat malabsorption</w:t>
            </w:r>
          </w:p>
        </w:tc>
        <w:tc>
          <w:tcPr>
            <w:tcW w:type="dxa" w:w="2160"/>
            <w:vAlign w:val="top"/>
          </w:tcPr>
          <w:p>
            <w:pPr>
              <w:spacing w:after="40" w:before="0" w:line="259" w:lineRule="auto"/>
            </w:pPr>
            <w:r>
              <w:rPr>
                <w:rFonts w:ascii="Calibri" w:hAnsi="Calibri"/>
                <w:b w:val="0"/>
                <w:i w:val="0"/>
                <w:color w:val="212121"/>
                <w:sz w:val="19"/>
              </w:rPr>
              <w:t>Cystic fibrosis, cholestasis, IBD, coeliac disease</w:t>
            </w:r>
          </w:p>
        </w:tc>
        <w:tc>
          <w:tcPr>
            <w:tcW w:type="dxa" w:w="4276"/>
            <w:vAlign w:val="top"/>
          </w:tcPr>
          <w:p>
            <w:pPr>
              <w:spacing w:after="60" w:line="259" w:lineRule="auto"/>
            </w:pPr>
            <w:r>
              <w:rPr>
                <w:rFonts w:ascii="Calibri" w:hAnsi="Calibri"/>
                <w:b w:val="0"/>
                <w:i w:val="0"/>
                <w:color w:val="212121"/>
                <w:sz w:val="19"/>
              </w:rPr>
              <w:t>Because vitamin A is fat-soluble, disorders causing fat malabsorption — pancreatic insufficiency, cholestatic/chronic liver disease, inflammatory bowel disease and coeliac disease — cause secondary deficiency that needs targeted monitoring and supplementation.</w:t>
            </w:r>
          </w:p>
          <w:p>
            <w:pPr>
              <w:spacing w:after="40" w:before="60" w:line="259" w:lineRule="auto"/>
            </w:pPr>
            <w:r>
              <w:rPr>
                <w:rFonts w:ascii="Calibri" w:hAnsi="Calibri"/>
                <w:b w:val="0"/>
                <w:i w:val="0"/>
                <w:color w:val="212121"/>
                <w:sz w:val="19"/>
              </w:rPr>
              <w:t>Up to ~90% of people with cystic fibrosis have pancreatic insufficiency, and ~16% of IBD patients are vitamin A deficient at diagnosis.</w:t>
            </w:r>
          </w:p>
          <w:p>
            <w:pPr>
              <w:spacing w:after="40" w:line="252" w:lineRule="auto"/>
            </w:pPr>
            <w:hyperlink r:id="rId12">
              <w:r>
                <w:rPr>
                  <w:rFonts w:ascii="Calibri" w:hAnsi="Calibri" w:cs="Calibri"/>
                  <w:sz w:val="18"/>
                  <w:color w:val="1155CC"/>
                  <w:u w:val="single"/>
                </w:rPr>
                <w:t xml:space="preserve">ods.od.nih.gov — Vitamin A (Health Professional)</w:t>
              </w:r>
            </w:hyperlink>
          </w:p>
          <w:p>
            <w:pPr>
              <w:spacing w:before="60" w:after="40"/>
            </w:pPr>
            <w:r>
              <w:rPr>
                <w:rFonts w:ascii="Calibri" w:hAnsi="Calibri"/>
                <w:b w:val="0"/>
                <w:i w:val="0"/>
                <w:color w:val="5A5A5A"/>
                <w:sz w:val="18"/>
              </w:rPr>
              <w:t>#cysticfibrosis  #cholestasis  #IBD  #coeliac  #malabsorption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is not a direct cause of vitamin A deficiency; any link is indirect, through overall nutritional status, food security and growth.</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Dietary intake of preformed retinol and provitamin A carotenoids is the principal determinant of vitamin A status; cereal-predominant, low-fat, vegetarian diets are the dominant cause of deficiency in India, while diversified diets and fortification prevent it.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quantity is not causal; however, night blindness from VAD impairs functioning and safe mobility in low light, an effect that reverses with treatment.</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lowers circulating carotenoids; importantly, high-dose β-carotene supplements increased lung-cancer risk in smokers (ATBC/CARET trials), so β-carotene supplementation must be avoided in smokers.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alcohol use depletes hepatic vitamin A stores, competes for shared metabolic pathways and causes liver injury that impairs storage and mobilisation.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link; caregiver depression, poverty and stress can indirectly impair child feeding practices and dietary diversity.</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Safe water and sanitation reduce diarrhoeal disease that depletes vitamin A and impairs its absorption, so WASH improvements support vitamin A status.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Good hygiene, immunisation and deworming reduce the measles, diarrhoeal and helminth infections that drive vitamin A depletion and precipitate xerophthalmia.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Measles, persistent diarrhoea and severe respiratory infection, plus the demands of pregnancy and lactation, can acutely precipitate xerophthalmia and keratomalacia in a marginally-deficient individual.</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vitamin A intake (µg RAE/day)</w:t>
            </w:r>
          </w:p>
        </w:tc>
        <w:tc>
          <w:tcPr>
            <w:tcW w:type="dxa" w:w="1655"/>
            <w:vAlign w:val="top"/>
          </w:tcPr>
          <w:p>
            <w:pPr>
              <w:spacing w:after="40" w:before="0" w:line="259" w:lineRule="auto"/>
            </w:pPr>
            <w:r>
              <w:rPr>
                <w:rFonts w:ascii="Calibri" w:hAnsi="Calibri"/>
                <w:b w:val="0"/>
                <w:i w:val="0"/>
                <w:color w:val="212121"/>
                <w:sz w:val="19"/>
              </w:rPr>
              <w:t>Children, adults, pregnant/lactating women</w:t>
            </w:r>
          </w:p>
        </w:tc>
        <w:tc>
          <w:tcPr>
            <w:tcW w:type="dxa" w:w="1512"/>
            <w:vAlign w:val="top"/>
          </w:tcPr>
          <w:p>
            <w:pPr>
              <w:spacing w:after="40" w:before="0" w:line="259" w:lineRule="auto"/>
            </w:pPr>
            <w:r>
              <w:rPr>
                <w:rFonts w:ascii="Calibri" w:hAnsi="Calibri"/>
                <w:b w:val="0"/>
                <w:i w:val="0"/>
                <w:color w:val="212121"/>
                <w:sz w:val="19"/>
              </w:rPr>
              <w:t>~300–600 µg RAE (children); 700 (women), 900 (men); 770 pregnancy; 1,300 lactation</w:t>
            </w:r>
          </w:p>
        </w:tc>
        <w:tc>
          <w:tcPr>
            <w:tcW w:type="dxa" w:w="1512"/>
            <w:vAlign w:val="top"/>
          </w:tcPr>
          <w:p>
            <w:pPr>
              <w:spacing w:after="40" w:before="0" w:line="259" w:lineRule="auto"/>
            </w:pPr>
            <w:r>
              <w:rPr>
                <w:rFonts w:ascii="Calibri" w:hAnsi="Calibri"/>
                <w:b w:val="0"/>
                <w:i w:val="0"/>
                <w:color w:val="212121"/>
                <w:sz w:val="19"/>
              </w:rPr>
              <w:t>Chronic intake persistently below the age/sex RDA (esp. &lt; 50%)</w:t>
            </w:r>
          </w:p>
        </w:tc>
        <w:tc>
          <w:tcPr>
            <w:tcW w:type="dxa" w:w="1468"/>
            <w:vAlign w:val="top"/>
          </w:tcPr>
          <w:p>
            <w:pPr>
              <w:spacing w:after="60" w:line="259" w:lineRule="auto"/>
            </w:pPr>
            <w:r>
              <w:rPr>
                <w:rFonts w:ascii="Calibri" w:hAnsi="Calibri"/>
                <w:b w:val="0"/>
                <w:i w:val="0"/>
                <w:color w:val="212121"/>
                <w:sz w:val="19"/>
              </w:rPr>
              <w:t>Cereal-based, low-animal-source diets frequently fall short of the RDA.</w:t>
            </w:r>
          </w:p>
          <w:p>
            <w:pPr>
              <w:spacing w:after="40" w:line="252" w:lineRule="auto"/>
            </w:pPr>
            <w:hyperlink r:id="rId12">
              <w:r>
                <w:rPr>
                  <w:rFonts w:ascii="Calibri" w:hAnsi="Calibri" w:cs="Calibri"/>
                  <w:sz w:val="18"/>
                  <w:color w:val="1155CC"/>
                  <w:u w:val="single"/>
                </w:rPr>
                <w:t xml:space="preserve">https://ods.od.nih.gov/factsheets/VitaminA-HealthProfessional/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Serum/plasma retinol (µmol/L)</w:t>
            </w:r>
          </w:p>
        </w:tc>
        <w:tc>
          <w:tcPr>
            <w:tcW w:type="dxa" w:w="1655"/>
            <w:vAlign w:val="top"/>
          </w:tcPr>
          <w:p>
            <w:pPr>
              <w:spacing w:after="40" w:before="0" w:line="259" w:lineRule="auto"/>
            </w:pPr>
            <w:r>
              <w:rPr>
                <w:rFonts w:ascii="Calibri" w:hAnsi="Calibri"/>
                <w:b w:val="0"/>
                <w:i w:val="0"/>
                <w:color w:val="212121"/>
                <w:sz w:val="19"/>
              </w:rPr>
              <w:t>At-risk children, pregnant women</w:t>
            </w:r>
          </w:p>
        </w:tc>
        <w:tc>
          <w:tcPr>
            <w:tcW w:type="dxa" w:w="1512"/>
            <w:vAlign w:val="top"/>
          </w:tcPr>
          <w:p>
            <w:pPr>
              <w:spacing w:after="40" w:before="0" w:line="259" w:lineRule="auto"/>
            </w:pPr>
            <w:r>
              <w:rPr>
                <w:rFonts w:ascii="Calibri" w:hAnsi="Calibri"/>
                <w:b w:val="0"/>
                <w:i w:val="0"/>
                <w:color w:val="212121"/>
                <w:sz w:val="19"/>
              </w:rPr>
              <w:t>≥ 0.70 µmol/L (≥ 20 µg/dL)</w:t>
            </w:r>
          </w:p>
        </w:tc>
        <w:tc>
          <w:tcPr>
            <w:tcW w:type="dxa" w:w="1512"/>
            <w:vAlign w:val="top"/>
          </w:tcPr>
          <w:p>
            <w:pPr>
              <w:spacing w:after="40" w:before="0" w:line="259" w:lineRule="auto"/>
            </w:pPr>
            <w:r>
              <w:rPr>
                <w:rFonts w:ascii="Calibri" w:hAnsi="Calibri"/>
                <w:b w:val="0"/>
                <w:i w:val="0"/>
                <w:color w:val="212121"/>
                <w:sz w:val="19"/>
              </w:rPr>
              <w:t>&lt; 0.70 µmol/L (deficient); &lt; 0.35 µmol/L (severe)</w:t>
            </w:r>
          </w:p>
        </w:tc>
        <w:tc>
          <w:tcPr>
            <w:tcW w:type="dxa" w:w="1468"/>
            <w:vAlign w:val="top"/>
          </w:tcPr>
          <w:p>
            <w:pPr>
              <w:spacing w:after="60" w:line="259" w:lineRule="auto"/>
            </w:pPr>
            <w:r>
              <w:rPr>
                <w:rFonts w:ascii="Calibri" w:hAnsi="Calibri"/>
                <w:b w:val="0"/>
                <w:i w:val="0"/>
                <w:color w:val="212121"/>
                <w:sz w:val="19"/>
              </w:rPr>
              <w:t>Primary biochemical marker; falls transiently during infection — pair with CRP.</w:t>
            </w:r>
          </w:p>
          <w:p>
            <w:pPr>
              <w:spacing w:after="40" w:line="252" w:lineRule="auto"/>
            </w:pPr>
            <w:hyperlink r:id="rId9">
              <w:r>
                <w:rPr>
                  <w:rFonts w:ascii="Calibri" w:hAnsi="Calibri" w:cs="Calibri"/>
                  <w:sz w:val="18"/>
                  <w:color w:val="1155CC"/>
                  <w:u w:val="single"/>
                </w:rPr>
                <w:t xml:space="preserve">https://www.who.int/data/nutrition/nlis/info/vitamin-a-deficiency</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fat with vitamin A-rich meals (g)</w:t>
            </w:r>
          </w:p>
        </w:tc>
        <w:tc>
          <w:tcPr>
            <w:tcW w:type="dxa" w:w="1655"/>
            <w:vAlign w:val="top"/>
          </w:tcPr>
          <w:p>
            <w:pPr>
              <w:spacing w:after="40" w:before="0" w:line="259" w:lineRule="auto"/>
            </w:pPr>
            <w:r>
              <w:rPr>
                <w:rFonts w:ascii="Calibri" w:hAnsi="Calibri"/>
                <w:b w:val="0"/>
                <w:i w:val="0"/>
                <w:color w:val="212121"/>
                <w:sz w:val="19"/>
              </w:rPr>
              <w:t>Vegetarian &amp; low-fat diets</w:t>
            </w:r>
          </w:p>
        </w:tc>
        <w:tc>
          <w:tcPr>
            <w:tcW w:type="dxa" w:w="1512"/>
            <w:vAlign w:val="top"/>
          </w:tcPr>
          <w:p>
            <w:pPr>
              <w:spacing w:after="40" w:before="0" w:line="259" w:lineRule="auto"/>
            </w:pPr>
            <w:r>
              <w:rPr>
                <w:rFonts w:ascii="Calibri" w:hAnsi="Calibri"/>
                <w:b w:val="0"/>
                <w:i w:val="0"/>
                <w:color w:val="212121"/>
                <w:sz w:val="19"/>
              </w:rPr>
              <w:t>Some fat/oil (≥ ~5–10 g) eaten with carotenoid-rich food</w:t>
            </w:r>
          </w:p>
        </w:tc>
        <w:tc>
          <w:tcPr>
            <w:tcW w:type="dxa" w:w="1512"/>
            <w:vAlign w:val="top"/>
          </w:tcPr>
          <w:p>
            <w:pPr>
              <w:spacing w:after="40" w:before="0" w:line="259" w:lineRule="auto"/>
            </w:pPr>
            <w:r>
              <w:rPr>
                <w:rFonts w:ascii="Calibri" w:hAnsi="Calibri"/>
                <w:b w:val="0"/>
                <w:i w:val="0"/>
                <w:color w:val="212121"/>
                <w:sz w:val="19"/>
              </w:rPr>
              <w:t>Very-low-fat meals; carotenoid foods eaten without any fat</w:t>
            </w:r>
          </w:p>
        </w:tc>
        <w:tc>
          <w:tcPr>
            <w:tcW w:type="dxa" w:w="1468"/>
            <w:vAlign w:val="top"/>
          </w:tcPr>
          <w:p>
            <w:pPr>
              <w:spacing w:after="40" w:before="0" w:line="259" w:lineRule="auto"/>
            </w:pPr>
            <w:r>
              <w:rPr>
                <w:rFonts w:ascii="Calibri" w:hAnsi="Calibri"/>
                <w:b w:val="0"/>
                <w:i w:val="0"/>
                <w:color w:val="212121"/>
                <w:sz w:val="19"/>
              </w:rPr>
              <w:t>Dietary fat is required to absorb both retinol and β-carotene.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Preformed vitamin A intake vs upper limit (µg/day)</w:t>
            </w:r>
          </w:p>
        </w:tc>
        <w:tc>
          <w:tcPr>
            <w:tcW w:type="dxa" w:w="1655"/>
            <w:vAlign w:val="top"/>
          </w:tcPr>
          <w:p>
            <w:pPr>
              <w:spacing w:after="40" w:before="0" w:line="259" w:lineRule="auto"/>
            </w:pPr>
            <w:r>
              <w:rPr>
                <w:rFonts w:ascii="Calibri" w:hAnsi="Calibri"/>
                <w:b w:val="0"/>
                <w:i w:val="0"/>
                <w:color w:val="212121"/>
                <w:sz w:val="19"/>
              </w:rPr>
              <w:t>All ages (safety)</w:t>
            </w:r>
          </w:p>
        </w:tc>
        <w:tc>
          <w:tcPr>
            <w:tcW w:type="dxa" w:w="1512"/>
            <w:vAlign w:val="top"/>
          </w:tcPr>
          <w:p>
            <w:pPr>
              <w:spacing w:after="40" w:before="0" w:line="259" w:lineRule="auto"/>
            </w:pPr>
            <w:r>
              <w:rPr>
                <w:rFonts w:ascii="Calibri" w:hAnsi="Calibri"/>
                <w:b w:val="0"/>
                <w:i w:val="0"/>
                <w:color w:val="212121"/>
                <w:sz w:val="19"/>
              </w:rPr>
              <w:t>Below the tolerable upper intake level</w:t>
            </w:r>
          </w:p>
        </w:tc>
        <w:tc>
          <w:tcPr>
            <w:tcW w:type="dxa" w:w="1512"/>
            <w:vAlign w:val="top"/>
          </w:tcPr>
          <w:p>
            <w:pPr>
              <w:spacing w:after="40" w:before="0" w:line="259" w:lineRule="auto"/>
            </w:pPr>
            <w:r>
              <w:rPr>
                <w:rFonts w:ascii="Calibri" w:hAnsi="Calibri"/>
                <w:b w:val="0"/>
                <w:i w:val="0"/>
                <w:color w:val="212121"/>
                <w:sz w:val="19"/>
              </w:rPr>
              <w:t>Chronic intake &gt; UL: 600 (1–3 y), 900 (4–8 y), 3,000 (adults) µg/day</w:t>
            </w:r>
          </w:p>
        </w:tc>
        <w:tc>
          <w:tcPr>
            <w:tcW w:type="dxa" w:w="1468"/>
            <w:vAlign w:val="top"/>
          </w:tcPr>
          <w:p>
            <w:pPr>
              <w:spacing w:after="60" w:line="259" w:lineRule="auto"/>
            </w:pPr>
            <w:r>
              <w:rPr>
                <w:rFonts w:ascii="Calibri" w:hAnsi="Calibri"/>
                <w:b w:val="0"/>
                <w:i w:val="0"/>
                <w:color w:val="212121"/>
                <w:sz w:val="19"/>
              </w:rPr>
              <w:t>Excess preformed vitamin A causes hypervitaminosis A; carotenoids do not.</w:t>
            </w:r>
          </w:p>
          <w:p>
            <w:pPr>
              <w:spacing w:after="40" w:line="252" w:lineRule="auto"/>
            </w:pPr>
            <w:hyperlink r:id="rId12">
              <w:r>
                <w:rPr>
                  <w:rFonts w:ascii="Calibri" w:hAnsi="Calibri" w:cs="Calibri"/>
                  <w:sz w:val="18"/>
                  <w:color w:val="1155CC"/>
                  <w:u w:val="single"/>
                </w:rPr>
                <w:t xml:space="preserve">https://ods.od.nih.gov/factsheets/VitaminA-HealthProfessional/</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Measles immunisation / recent measles</w:t>
            </w:r>
          </w:p>
        </w:tc>
        <w:tc>
          <w:tcPr>
            <w:tcW w:type="dxa" w:w="1655"/>
            <w:vAlign w:val="top"/>
          </w:tcPr>
          <w:p>
            <w:pPr>
              <w:spacing w:after="40" w:before="0" w:line="259" w:lineRule="auto"/>
            </w:pPr>
            <w:r>
              <w:rPr>
                <w:rFonts w:ascii="Calibri" w:hAnsi="Calibri"/>
                <w:b w:val="0"/>
                <w:i w:val="0"/>
                <w:color w:val="212121"/>
                <w:sz w:val="19"/>
              </w:rPr>
              <w:t>Children 6–59 months</w:t>
            </w:r>
          </w:p>
        </w:tc>
        <w:tc>
          <w:tcPr>
            <w:tcW w:type="dxa" w:w="1512"/>
            <w:vAlign w:val="top"/>
          </w:tcPr>
          <w:p>
            <w:pPr>
              <w:spacing w:after="40" w:before="0" w:line="259" w:lineRule="auto"/>
            </w:pPr>
            <w:r>
              <w:rPr>
                <w:rFonts w:ascii="Calibri" w:hAnsi="Calibri"/>
                <w:b w:val="0"/>
                <w:i w:val="0"/>
                <w:color w:val="212121"/>
                <w:sz w:val="19"/>
              </w:rPr>
              <w:t>Fully measles-immunised, no recent measles</w:t>
            </w:r>
          </w:p>
        </w:tc>
        <w:tc>
          <w:tcPr>
            <w:tcW w:type="dxa" w:w="1512"/>
            <w:vAlign w:val="top"/>
          </w:tcPr>
          <w:p>
            <w:pPr>
              <w:spacing w:after="40" w:before="0" w:line="259" w:lineRule="auto"/>
            </w:pPr>
            <w:r>
              <w:rPr>
                <w:rFonts w:ascii="Calibri" w:hAnsi="Calibri"/>
                <w:b w:val="0"/>
                <w:i w:val="0"/>
                <w:color w:val="212121"/>
                <w:sz w:val="19"/>
              </w:rPr>
              <w:t>Unimmunised or recent measles infection</w:t>
            </w:r>
          </w:p>
        </w:tc>
        <w:tc>
          <w:tcPr>
            <w:tcW w:type="dxa" w:w="1468"/>
            <w:vAlign w:val="top"/>
          </w:tcPr>
          <w:p>
            <w:pPr>
              <w:spacing w:after="60" w:line="259" w:lineRule="auto"/>
            </w:pPr>
            <w:r>
              <w:rPr>
                <w:rFonts w:ascii="Calibri" w:hAnsi="Calibri"/>
                <w:b w:val="0"/>
                <w:i w:val="0"/>
                <w:color w:val="212121"/>
                <w:sz w:val="19"/>
              </w:rPr>
              <w:t>Measles precipitates xerophthalmia; vitamin A halves measles incidence and is given in every case.</w:t>
            </w:r>
          </w:p>
          <w:p>
            <w:pPr>
              <w:spacing w:after="40" w:line="252" w:lineRule="auto"/>
            </w:pPr>
            <w:hyperlink r:id="rId12">
              <w:r>
                <w:rPr>
                  <w:rFonts w:ascii="Calibri" w:hAnsi="Calibri" w:cs="Calibri"/>
                  <w:sz w:val="18"/>
                  <w:color w:val="1155CC"/>
                  <w:u w:val="single"/>
                </w:rPr>
                <w:t xml:space="preserve">https://ods.od.nih.gov/factsheets/VitaminA-HealthProfessional/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Vitamin A supplementation coverage (9–59 months)</w:t>
            </w:r>
          </w:p>
        </w:tc>
        <w:tc>
          <w:tcPr>
            <w:tcW w:type="dxa" w:w="1655"/>
            <w:vAlign w:val="top"/>
          </w:tcPr>
          <w:p>
            <w:pPr>
              <w:spacing w:after="40" w:before="0" w:line="259" w:lineRule="auto"/>
            </w:pPr>
            <w:r>
              <w:rPr>
                <w:rFonts w:ascii="Calibri" w:hAnsi="Calibri"/>
                <w:b w:val="0"/>
                <w:i w:val="0"/>
                <w:color w:val="212121"/>
                <w:sz w:val="19"/>
              </w:rPr>
              <w:t>Preschool children</w:t>
            </w:r>
          </w:p>
        </w:tc>
        <w:tc>
          <w:tcPr>
            <w:tcW w:type="dxa" w:w="1512"/>
            <w:vAlign w:val="top"/>
          </w:tcPr>
          <w:p>
            <w:pPr>
              <w:spacing w:after="40" w:before="0" w:line="259" w:lineRule="auto"/>
            </w:pPr>
            <w:r>
              <w:rPr>
                <w:rFonts w:ascii="Calibri" w:hAnsi="Calibri"/>
                <w:b w:val="0"/>
                <w:i w:val="0"/>
                <w:color w:val="212121"/>
                <w:sz w:val="19"/>
              </w:rPr>
              <w:t>Received biannual high-dose vitamin A (national programme)</w:t>
            </w:r>
          </w:p>
        </w:tc>
        <w:tc>
          <w:tcPr>
            <w:tcW w:type="dxa" w:w="1512"/>
            <w:vAlign w:val="top"/>
          </w:tcPr>
          <w:p>
            <w:pPr>
              <w:spacing w:after="40" w:before="0" w:line="259" w:lineRule="auto"/>
            </w:pPr>
            <w:r>
              <w:rPr>
                <w:rFonts w:ascii="Calibri" w:hAnsi="Calibri"/>
                <w:b w:val="0"/>
                <w:i w:val="0"/>
                <w:color w:val="212121"/>
                <w:sz w:val="19"/>
              </w:rPr>
              <w:t>Dose not received / no programme contact</w:t>
            </w:r>
          </w:p>
        </w:tc>
        <w:tc>
          <w:tcPr>
            <w:tcW w:type="dxa" w:w="1468"/>
            <w:vAlign w:val="top"/>
          </w:tcPr>
          <w:p>
            <w:pPr>
              <w:spacing w:after="60" w:line="259" w:lineRule="auto"/>
            </w:pPr>
            <w:r>
              <w:rPr>
                <w:rFonts w:ascii="Calibri" w:hAnsi="Calibri"/>
                <w:b w:val="0"/>
                <w:i w:val="0"/>
                <w:color w:val="212121"/>
                <w:sz w:val="19"/>
              </w:rPr>
              <w:t>Supplementation reduces all-cause under-5 mortality by 12–24%.</w:t>
            </w:r>
          </w:p>
          <w:p>
            <w:pPr>
              <w:spacing w:after="40" w:line="252" w:lineRule="auto"/>
            </w:pPr>
            <w:hyperlink r:id="rId10">
              <w:r>
                <w:rPr>
                  <w:rFonts w:ascii="Calibri" w:hAnsi="Calibri" w:cs="Calibri"/>
                  <w:sz w:val="18"/>
                  <w:color w:val="1155CC"/>
                  <w:u w:val="single"/>
                </w:rPr>
                <w:t xml:space="preserve">https://data.unicef.org/topic/nutrition/vitamin-a-deficiency/</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Diarrhoeal episodes per year</w:t>
            </w:r>
          </w:p>
        </w:tc>
        <w:tc>
          <w:tcPr>
            <w:tcW w:type="dxa" w:w="1655"/>
            <w:vAlign w:val="top"/>
          </w:tcPr>
          <w:p>
            <w:pPr>
              <w:spacing w:after="40" w:before="0" w:line="259" w:lineRule="auto"/>
            </w:pPr>
            <w:r>
              <w:rPr>
                <w:rFonts w:ascii="Calibri" w:hAnsi="Calibri"/>
                <w:b w:val="0"/>
                <w:i w:val="0"/>
                <w:color w:val="212121"/>
                <w:sz w:val="19"/>
              </w:rPr>
              <w:t>Young children</w:t>
            </w:r>
          </w:p>
        </w:tc>
        <w:tc>
          <w:tcPr>
            <w:tcW w:type="dxa" w:w="1512"/>
            <w:vAlign w:val="top"/>
          </w:tcPr>
          <w:p>
            <w:pPr>
              <w:spacing w:after="40" w:before="0" w:line="259" w:lineRule="auto"/>
            </w:pPr>
            <w:r>
              <w:rPr>
                <w:rFonts w:ascii="Calibri" w:hAnsi="Calibri"/>
                <w:b w:val="0"/>
                <w:i w:val="0"/>
                <w:color w:val="212121"/>
                <w:sz w:val="19"/>
              </w:rPr>
              <w:t>Few, short episodes</w:t>
            </w:r>
          </w:p>
        </w:tc>
        <w:tc>
          <w:tcPr>
            <w:tcW w:type="dxa" w:w="1512"/>
            <w:vAlign w:val="top"/>
          </w:tcPr>
          <w:p>
            <w:pPr>
              <w:spacing w:after="40" w:before="0" w:line="259" w:lineRule="auto"/>
            </w:pPr>
            <w:r>
              <w:rPr>
                <w:rFonts w:ascii="Calibri" w:hAnsi="Calibri"/>
                <w:b w:val="0"/>
                <w:i w:val="0"/>
                <w:color w:val="212121"/>
                <w:sz w:val="19"/>
              </w:rPr>
              <w:t>Frequent or persistent diarrhoea</w:t>
            </w:r>
          </w:p>
        </w:tc>
        <w:tc>
          <w:tcPr>
            <w:tcW w:type="dxa" w:w="1468"/>
            <w:vAlign w:val="top"/>
          </w:tcPr>
          <w:p>
            <w:pPr>
              <w:spacing w:after="60" w:line="259" w:lineRule="auto"/>
            </w:pPr>
            <w:r>
              <w:rPr>
                <w:rFonts w:ascii="Calibri" w:hAnsi="Calibri"/>
                <w:b w:val="0"/>
                <w:i w:val="0"/>
                <w:color w:val="212121"/>
                <w:sz w:val="19"/>
              </w:rPr>
              <w:t>Recurrent diarrhoea causes malabsorption and increased loss of vitamin A.</w:t>
            </w:r>
          </w:p>
          <w:p>
            <w:pPr>
              <w:spacing w:after="40" w:line="252" w:lineRule="auto"/>
            </w:pPr>
            <w:hyperlink r:id="rId12">
              <w:r>
                <w:rPr>
                  <w:rFonts w:ascii="Calibri" w:hAnsi="Calibri" w:cs="Calibri"/>
                  <w:sz w:val="18"/>
                  <w:color w:val="1155CC"/>
                  <w:u w:val="single"/>
                </w:rPr>
                <w:t xml:space="preserve">https://ods.od.nih.gov/factsheets/VitaminA-HealthProfessional/</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 liver disease</w:t>
            </w:r>
          </w:p>
        </w:tc>
        <w:tc>
          <w:tcPr>
            <w:tcW w:type="dxa" w:w="1512"/>
            <w:vAlign w:val="top"/>
          </w:tcPr>
          <w:p>
            <w:pPr>
              <w:spacing w:after="40" w:before="0" w:line="259" w:lineRule="auto"/>
            </w:pPr>
            <w:r>
              <w:rPr>
                <w:rFonts w:ascii="Calibri" w:hAnsi="Calibri"/>
                <w:b w:val="0"/>
                <w:i w:val="0"/>
                <w:color w:val="212121"/>
                <w:sz w:val="19"/>
              </w:rPr>
              <w:t>None to moderate</w:t>
            </w:r>
          </w:p>
        </w:tc>
        <w:tc>
          <w:tcPr>
            <w:tcW w:type="dxa" w:w="1512"/>
            <w:vAlign w:val="top"/>
          </w:tcPr>
          <w:p>
            <w:pPr>
              <w:spacing w:after="40" w:before="0" w:line="259" w:lineRule="auto"/>
            </w:pPr>
            <w:r>
              <w:rPr>
                <w:rFonts w:ascii="Calibri" w:hAnsi="Calibri"/>
                <w:b w:val="0"/>
                <w:i w:val="0"/>
                <w:color w:val="212121"/>
                <w:sz w:val="19"/>
              </w:rPr>
              <w:t>Chronic heavy consumption</w:t>
            </w:r>
          </w:p>
        </w:tc>
        <w:tc>
          <w:tcPr>
            <w:tcW w:type="dxa" w:w="1468"/>
            <w:vAlign w:val="top"/>
          </w:tcPr>
          <w:p>
            <w:pPr>
              <w:spacing w:after="40" w:before="0" w:line="259" w:lineRule="auto"/>
            </w:pPr>
            <w:r>
              <w:rPr>
                <w:rFonts w:ascii="Calibri" w:hAnsi="Calibri"/>
                <w:b w:val="0"/>
                <w:i w:val="0"/>
                <w:color w:val="212121"/>
                <w:sz w:val="19"/>
              </w:rPr>
              <w:t>Depletes hepatic vitamin A stores and impairs storage/mobilisation.</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Exclusive breastfeeding &amp; maternal vitamin A status</w:t>
            </w:r>
          </w:p>
        </w:tc>
        <w:tc>
          <w:tcPr>
            <w:tcW w:type="dxa" w:w="1655"/>
            <w:vAlign w:val="top"/>
          </w:tcPr>
          <w:p>
            <w:pPr>
              <w:spacing w:after="40" w:before="0" w:line="259" w:lineRule="auto"/>
            </w:pPr>
            <w:r>
              <w:rPr>
                <w:rFonts w:ascii="Calibri" w:hAnsi="Calibri"/>
                <w:b w:val="0"/>
                <w:i w:val="0"/>
                <w:color w:val="212121"/>
                <w:sz w:val="19"/>
              </w:rPr>
              <w:t>Infants &lt; 6 months</w:t>
            </w:r>
          </w:p>
        </w:tc>
        <w:tc>
          <w:tcPr>
            <w:tcW w:type="dxa" w:w="1512"/>
            <w:vAlign w:val="top"/>
          </w:tcPr>
          <w:p>
            <w:pPr>
              <w:spacing w:after="40" w:before="0" w:line="259" w:lineRule="auto"/>
            </w:pPr>
            <w:r>
              <w:rPr>
                <w:rFonts w:ascii="Calibri" w:hAnsi="Calibri"/>
                <w:b w:val="0"/>
                <w:i w:val="0"/>
                <w:color w:val="212121"/>
                <w:sz w:val="19"/>
              </w:rPr>
              <w:t>Exclusive breastfeeding from a vitamin A-replete mother</w:t>
            </w:r>
          </w:p>
        </w:tc>
        <w:tc>
          <w:tcPr>
            <w:tcW w:type="dxa" w:w="1512"/>
            <w:vAlign w:val="top"/>
          </w:tcPr>
          <w:p>
            <w:pPr>
              <w:spacing w:after="40" w:before="0" w:line="259" w:lineRule="auto"/>
            </w:pPr>
            <w:r>
              <w:rPr>
                <w:rFonts w:ascii="Calibri" w:hAnsi="Calibri"/>
                <w:b w:val="0"/>
                <w:i w:val="0"/>
                <w:color w:val="212121"/>
                <w:sz w:val="19"/>
              </w:rPr>
              <w:t>Non-breastfed, or breast milk from a deficient mother</w:t>
            </w:r>
          </w:p>
        </w:tc>
        <w:tc>
          <w:tcPr>
            <w:tcW w:type="dxa" w:w="1468"/>
            <w:vAlign w:val="top"/>
          </w:tcPr>
          <w:p>
            <w:pPr>
              <w:spacing w:after="40" w:before="0" w:line="259" w:lineRule="auto"/>
            </w:pPr>
            <w:r>
              <w:rPr>
                <w:rFonts w:ascii="Calibri" w:hAnsi="Calibri"/>
                <w:b w:val="0"/>
                <w:i w:val="0"/>
                <w:color w:val="212121"/>
                <w:sz w:val="19"/>
              </w:rPr>
              <w:t>Breast milk is the main retinol source for young infants.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Relative dose-response (RDR/MRDR)</w:t>
            </w:r>
          </w:p>
        </w:tc>
        <w:tc>
          <w:tcPr>
            <w:tcW w:type="dxa" w:w="1655"/>
            <w:vAlign w:val="top"/>
          </w:tcPr>
          <w:p>
            <w:pPr>
              <w:spacing w:after="40" w:before="0" w:line="259" w:lineRule="auto"/>
            </w:pPr>
            <w:r>
              <w:rPr>
                <w:rFonts w:ascii="Calibri" w:hAnsi="Calibri"/>
                <w:b w:val="0"/>
                <w:i w:val="0"/>
                <w:color w:val="212121"/>
                <w:sz w:val="19"/>
              </w:rPr>
              <w:t>Equivocal serum retinol</w:t>
            </w:r>
          </w:p>
        </w:tc>
        <w:tc>
          <w:tcPr>
            <w:tcW w:type="dxa" w:w="1512"/>
            <w:vAlign w:val="top"/>
          </w:tcPr>
          <w:p>
            <w:pPr>
              <w:spacing w:after="40" w:before="0" w:line="259" w:lineRule="auto"/>
            </w:pPr>
            <w:r>
              <w:rPr>
                <w:rFonts w:ascii="Calibri" w:hAnsi="Calibri"/>
                <w:b w:val="0"/>
                <w:i w:val="0"/>
                <w:color w:val="212121"/>
                <w:sz w:val="19"/>
              </w:rPr>
              <w:t>&lt; 20%</w:t>
            </w:r>
          </w:p>
        </w:tc>
        <w:tc>
          <w:tcPr>
            <w:tcW w:type="dxa" w:w="1512"/>
            <w:vAlign w:val="top"/>
          </w:tcPr>
          <w:p>
            <w:pPr>
              <w:spacing w:after="40" w:before="0" w:line="259" w:lineRule="auto"/>
            </w:pPr>
            <w:r>
              <w:rPr>
                <w:rFonts w:ascii="Calibri" w:hAnsi="Calibri"/>
                <w:b w:val="0"/>
                <w:i w:val="0"/>
                <w:color w:val="212121"/>
                <w:sz w:val="19"/>
              </w:rPr>
              <w:t>≥ 20%</w:t>
            </w:r>
          </w:p>
        </w:tc>
        <w:tc>
          <w:tcPr>
            <w:tcW w:type="dxa" w:w="1468"/>
            <w:vAlign w:val="top"/>
          </w:tcPr>
          <w:p>
            <w:pPr>
              <w:spacing w:after="40" w:before="0" w:line="259" w:lineRule="auto"/>
            </w:pPr>
            <w:r>
              <w:rPr>
                <w:rFonts w:ascii="Calibri" w:hAnsi="Calibri"/>
                <w:b w:val="0"/>
                <w:i w:val="0"/>
                <w:color w:val="212121"/>
                <w:sz w:val="19"/>
              </w:rPr>
              <w:t>Functional indicator of depleted hepatic vitamin A stores.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Serum/plasma retinol</w:t>
            </w:r>
          </w:p>
        </w:tc>
        <w:tc>
          <w:tcPr>
            <w:tcW w:type="dxa" w:w="892"/>
            <w:vAlign w:val="top"/>
          </w:tcPr>
          <w:p>
            <w:pPr>
              <w:spacing w:after="40" w:before="0" w:line="259" w:lineRule="auto"/>
            </w:pPr>
            <w:r>
              <w:rPr>
                <w:rFonts w:ascii="Calibri" w:hAnsi="Calibri"/>
                <w:b w:val="0"/>
                <w:i w:val="0"/>
                <w:color w:val="212121"/>
                <w:sz w:val="16"/>
              </w:rPr>
              <w:t>HPLC assay</w:t>
            </w:r>
          </w:p>
        </w:tc>
        <w:tc>
          <w:tcPr>
            <w:tcW w:type="dxa" w:w="950"/>
            <w:vAlign w:val="top"/>
          </w:tcPr>
          <w:p>
            <w:pPr>
              <w:spacing w:after="40" w:before="0" w:line="259" w:lineRule="auto"/>
            </w:pPr>
            <w:r>
              <w:rPr>
                <w:rFonts w:ascii="Calibri" w:hAnsi="Calibri"/>
                <w:b w:val="0"/>
                <w:i w:val="0"/>
                <w:color w:val="212121"/>
                <w:sz w:val="16"/>
              </w:rPr>
              <w:t>≥ 0.70 µmol/L (20–60 µg/dL)</w:t>
            </w:r>
          </w:p>
        </w:tc>
        <w:tc>
          <w:tcPr>
            <w:tcW w:type="dxa" w:w="950"/>
            <w:vAlign w:val="top"/>
          </w:tcPr>
          <w:p>
            <w:pPr>
              <w:spacing w:after="40" w:before="0" w:line="259" w:lineRule="auto"/>
            </w:pPr>
            <w:r>
              <w:rPr>
                <w:rFonts w:ascii="Calibri" w:hAnsi="Calibri"/>
                <w:b w:val="0"/>
                <w:i w:val="0"/>
                <w:color w:val="212121"/>
                <w:sz w:val="16"/>
              </w:rPr>
              <w:t>&lt; 0.70 µmol/L; &lt; 0.35 severe</w:t>
            </w:r>
          </w:p>
        </w:tc>
        <w:tc>
          <w:tcPr>
            <w:tcW w:type="dxa" w:w="1036"/>
            <w:vAlign w:val="top"/>
          </w:tcPr>
          <w:p>
            <w:pPr>
              <w:spacing w:after="40" w:before="0" w:line="259" w:lineRule="auto"/>
            </w:pPr>
            <w:r>
              <w:rPr>
                <w:rFonts w:ascii="Calibri" w:hAnsi="Calibri"/>
                <w:b w:val="0"/>
                <w:i w:val="0"/>
                <w:color w:val="212121"/>
                <w:sz w:val="16"/>
              </w:rPr>
              <w:t>Confirms subclinical/severe vitamin A deficiency</w:t>
            </w:r>
          </w:p>
        </w:tc>
        <w:tc>
          <w:tcPr>
            <w:tcW w:type="dxa" w:w="1036"/>
            <w:vAlign w:val="top"/>
          </w:tcPr>
          <w:p>
            <w:pPr>
              <w:spacing w:after="40" w:before="0" w:line="259" w:lineRule="auto"/>
            </w:pPr>
            <w:r>
              <w:rPr>
                <w:rFonts w:ascii="Calibri" w:hAnsi="Calibri"/>
                <w:b w:val="0"/>
                <w:i w:val="0"/>
                <w:color w:val="212121"/>
                <w:sz w:val="16"/>
              </w:rPr>
              <w:t>At-risk children, pregnant women, malabsorption</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Primary biochemical test</w:t>
            </w:r>
          </w:p>
        </w:tc>
        <w:tc>
          <w:tcPr>
            <w:tcW w:type="dxa" w:w="720"/>
            <w:vAlign w:val="top"/>
          </w:tcPr>
          <w:p>
            <w:pPr>
              <w:spacing w:after="40" w:before="0" w:line="259" w:lineRule="auto"/>
            </w:pPr>
            <w:r>
              <w:rPr>
                <w:rFonts w:ascii="Calibri" w:hAnsi="Calibri"/>
                <w:b w:val="0"/>
                <w:i w:val="0"/>
                <w:color w:val="212121"/>
                <w:sz w:val="16"/>
              </w:rPr>
              <w:t>Falls transiently in infection; interpret with CRP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C-reactive protein / acute-phase reactants</w:t>
            </w:r>
          </w:p>
        </w:tc>
        <w:tc>
          <w:tcPr>
            <w:tcW w:type="dxa" w:w="892"/>
            <w:vAlign w:val="top"/>
          </w:tcPr>
          <w:p>
            <w:pPr>
              <w:spacing w:after="40" w:before="0" w:line="259" w:lineRule="auto"/>
            </w:pPr>
            <w:r>
              <w:rPr>
                <w:rFonts w:ascii="Calibri" w:hAnsi="Calibri"/>
                <w:b w:val="0"/>
                <w:i w:val="0"/>
                <w:color w:val="212121"/>
                <w:sz w:val="16"/>
              </w:rPr>
              <w:t>CRP, AGP</w:t>
            </w:r>
          </w:p>
        </w:tc>
        <w:tc>
          <w:tcPr>
            <w:tcW w:type="dxa" w:w="950"/>
            <w:vAlign w:val="top"/>
          </w:tcPr>
          <w:p>
            <w:pPr>
              <w:spacing w:after="40" w:before="0" w:line="259" w:lineRule="auto"/>
            </w:pPr>
            <w:r>
              <w:rPr>
                <w:rFonts w:ascii="Calibri" w:hAnsi="Calibri"/>
                <w:b w:val="0"/>
                <w:i w:val="0"/>
                <w:color w:val="212121"/>
                <w:sz w:val="16"/>
              </w:rPr>
              <w:t>Normal (no active inflammation)</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Serum retinol is depressed during inflammation; needed to avoid over-diagnosis</w:t>
            </w:r>
          </w:p>
        </w:tc>
        <w:tc>
          <w:tcPr>
            <w:tcW w:type="dxa" w:w="1036"/>
            <w:vAlign w:val="top"/>
          </w:tcPr>
          <w:p>
            <w:pPr>
              <w:spacing w:after="40" w:before="0" w:line="259" w:lineRule="auto"/>
            </w:pPr>
            <w:r>
              <w:rPr>
                <w:rFonts w:ascii="Calibri" w:hAnsi="Calibri"/>
                <w:b w:val="0"/>
                <w:i w:val="0"/>
                <w:color w:val="212121"/>
                <w:sz w:val="16"/>
              </w:rPr>
              <w:t>Children with concurrent infection</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Interpretation aid</w:t>
            </w:r>
          </w:p>
        </w:tc>
        <w:tc>
          <w:tcPr>
            <w:tcW w:type="dxa" w:w="720"/>
            <w:vAlign w:val="top"/>
          </w:tcPr>
          <w:p>
            <w:pPr>
              <w:spacing w:after="40" w:before="0" w:line="259" w:lineRule="auto"/>
            </w:pPr>
            <w:r>
              <w:rPr>
                <w:rFonts w:ascii="Calibri" w:hAnsi="Calibri"/>
                <w:b w:val="0"/>
                <w:i w:val="0"/>
                <w:color w:val="212121"/>
                <w:sz w:val="16"/>
              </w:rPr>
              <w:t>Correct/flag retinol when CRP raised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Functional</w:t>
            </w:r>
          </w:p>
        </w:tc>
        <w:tc>
          <w:tcPr>
            <w:tcW w:type="dxa" w:w="1036"/>
            <w:vAlign w:val="top"/>
          </w:tcPr>
          <w:p>
            <w:pPr>
              <w:spacing w:after="40" w:before="0" w:line="259" w:lineRule="auto"/>
            </w:pPr>
            <w:r>
              <w:rPr>
                <w:rFonts w:ascii="Calibri" w:hAnsi="Calibri"/>
                <w:b w:val="0"/>
                <w:i w:val="0"/>
                <w:color w:val="212121"/>
                <w:sz w:val="16"/>
              </w:rPr>
              <w:t>Relative dose-response (RDR/MRDR)</w:t>
            </w:r>
          </w:p>
        </w:tc>
        <w:tc>
          <w:tcPr>
            <w:tcW w:type="dxa" w:w="892"/>
            <w:vAlign w:val="top"/>
          </w:tcPr>
          <w:p>
            <w:pPr>
              <w:spacing w:after="40" w:before="0" w:line="259" w:lineRule="auto"/>
            </w:pPr>
            <w:r>
              <w:rPr>
                <w:rFonts w:ascii="Calibri" w:hAnsi="Calibri"/>
                <w:b w:val="0"/>
                <w:i w:val="0"/>
                <w:color w:val="212121"/>
                <w:sz w:val="16"/>
              </w:rPr>
              <w:t>Dose-response test</w:t>
            </w:r>
          </w:p>
        </w:tc>
        <w:tc>
          <w:tcPr>
            <w:tcW w:type="dxa" w:w="950"/>
            <w:vAlign w:val="top"/>
          </w:tcPr>
          <w:p>
            <w:pPr>
              <w:spacing w:after="40" w:before="0" w:line="259" w:lineRule="auto"/>
            </w:pPr>
            <w:r>
              <w:rPr>
                <w:rFonts w:ascii="Calibri" w:hAnsi="Calibri"/>
                <w:b w:val="0"/>
                <w:i w:val="0"/>
                <w:color w:val="212121"/>
                <w:sz w:val="16"/>
              </w:rPr>
              <w:t>&lt; 20%</w:t>
            </w:r>
          </w:p>
        </w:tc>
        <w:tc>
          <w:tcPr>
            <w:tcW w:type="dxa" w:w="950"/>
            <w:vAlign w:val="top"/>
          </w:tcPr>
          <w:p>
            <w:pPr>
              <w:spacing w:after="40" w:before="0" w:line="259" w:lineRule="auto"/>
            </w:pPr>
            <w:r>
              <w:rPr>
                <w:rFonts w:ascii="Calibri" w:hAnsi="Calibri"/>
                <w:b w:val="0"/>
                <w:i w:val="0"/>
                <w:color w:val="212121"/>
                <w:sz w:val="16"/>
              </w:rPr>
              <w:t>≥ 20%</w:t>
            </w:r>
          </w:p>
        </w:tc>
        <w:tc>
          <w:tcPr>
            <w:tcW w:type="dxa" w:w="1036"/>
            <w:vAlign w:val="top"/>
          </w:tcPr>
          <w:p>
            <w:pPr>
              <w:spacing w:after="40" w:before="0" w:line="259" w:lineRule="auto"/>
            </w:pPr>
            <w:r>
              <w:rPr>
                <w:rFonts w:ascii="Calibri" w:hAnsi="Calibri"/>
                <w:b w:val="0"/>
                <w:i w:val="0"/>
                <w:color w:val="212121"/>
                <w:sz w:val="16"/>
              </w:rPr>
              <w:t>Indicates depleted hepatic vitamin A stores</w:t>
            </w:r>
          </w:p>
        </w:tc>
        <w:tc>
          <w:tcPr>
            <w:tcW w:type="dxa" w:w="1036"/>
            <w:vAlign w:val="top"/>
          </w:tcPr>
          <w:p>
            <w:pPr>
              <w:spacing w:after="40" w:before="0" w:line="259" w:lineRule="auto"/>
            </w:pPr>
            <w:r>
              <w:rPr>
                <w:rFonts w:ascii="Calibri" w:hAnsi="Calibri"/>
                <w:b w:val="0"/>
                <w:i w:val="0"/>
                <w:color w:val="212121"/>
                <w:sz w:val="16"/>
              </w:rPr>
              <w:t>Equivocal serum retinol, research/field</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Functional store test</w:t>
            </w:r>
          </w:p>
        </w:tc>
        <w:tc>
          <w:tcPr>
            <w:tcW w:type="dxa" w:w="720"/>
            <w:vAlign w:val="top"/>
          </w:tcPr>
          <w:p>
            <w:pPr>
              <w:spacing w:after="40" w:before="0" w:line="259" w:lineRule="auto"/>
            </w:pPr>
            <w:r>
              <w:rPr>
                <w:rFonts w:ascii="Calibri" w:hAnsi="Calibri"/>
                <w:b w:val="0"/>
                <w:i w:val="0"/>
                <w:color w:val="212121"/>
                <w:sz w:val="16"/>
              </w:rPr>
              <w:t>Useful when serum retinol is borderline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retinol-binding protein (RBP)</w:t>
            </w:r>
          </w:p>
        </w:tc>
        <w:tc>
          <w:tcPr>
            <w:tcW w:type="dxa" w:w="892"/>
            <w:vAlign w:val="top"/>
          </w:tcPr>
          <w:p>
            <w:pPr>
              <w:spacing w:after="40" w:before="0" w:line="259" w:lineRule="auto"/>
            </w:pPr>
            <w:r>
              <w:rPr>
                <w:rFonts w:ascii="Calibri" w:hAnsi="Calibri"/>
                <w:b w:val="0"/>
                <w:i w:val="0"/>
                <w:color w:val="212121"/>
                <w:sz w:val="16"/>
              </w:rPr>
              <w:t>Immunoassay</w:t>
            </w:r>
          </w:p>
        </w:tc>
        <w:tc>
          <w:tcPr>
            <w:tcW w:type="dxa" w:w="950"/>
            <w:vAlign w:val="top"/>
          </w:tcPr>
          <w:p>
            <w:pPr>
              <w:spacing w:after="40" w:before="0" w:line="259" w:lineRule="auto"/>
            </w:pPr>
            <w:r>
              <w:rPr>
                <w:rFonts w:ascii="Calibri" w:hAnsi="Calibri"/>
                <w:b w:val="0"/>
                <w:i w:val="0"/>
                <w:color w:val="212121"/>
                <w:sz w:val="16"/>
              </w:rPr>
              <w:t>Age-appropriate reference range</w:t>
            </w:r>
          </w:p>
        </w:tc>
        <w:tc>
          <w:tcPr>
            <w:tcW w:type="dxa" w:w="950"/>
            <w:vAlign w:val="top"/>
          </w:tcPr>
          <w:p>
            <w:pPr>
              <w:spacing w:after="40" w:before="0" w:line="259" w:lineRule="auto"/>
            </w:pPr>
            <w:r>
              <w:rPr>
                <w:rFonts w:ascii="Calibri" w:hAnsi="Calibri"/>
                <w:b w:val="0"/>
                <w:i w:val="0"/>
                <w:color w:val="212121"/>
                <w:sz w:val="16"/>
              </w:rPr>
              <w:t>Low</w:t>
            </w:r>
          </w:p>
        </w:tc>
        <w:tc>
          <w:tcPr>
            <w:tcW w:type="dxa" w:w="1036"/>
            <w:vAlign w:val="top"/>
          </w:tcPr>
          <w:p>
            <w:pPr>
              <w:spacing w:after="40" w:before="0" w:line="259" w:lineRule="auto"/>
            </w:pPr>
            <w:r>
              <w:rPr>
                <w:rFonts w:ascii="Calibri" w:hAnsi="Calibri"/>
                <w:b w:val="0"/>
                <w:i w:val="0"/>
                <w:color w:val="212121"/>
                <w:sz w:val="16"/>
              </w:rPr>
              <w:t>Field surrogate for retinol; also low in PEM, infection and zinc deficiency</w:t>
            </w:r>
          </w:p>
        </w:tc>
        <w:tc>
          <w:tcPr>
            <w:tcW w:type="dxa" w:w="1036"/>
            <w:vAlign w:val="top"/>
          </w:tcPr>
          <w:p>
            <w:pPr>
              <w:spacing w:after="40" w:before="0" w:line="259" w:lineRule="auto"/>
            </w:pPr>
            <w:r>
              <w:rPr>
                <w:rFonts w:ascii="Calibri" w:hAnsi="Calibri"/>
                <w:b w:val="0"/>
                <w:i w:val="0"/>
                <w:color w:val="212121"/>
                <w:sz w:val="16"/>
              </w:rPr>
              <w:t>Field surveys, resource-limited settings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Surrogate marker</w:t>
            </w:r>
          </w:p>
        </w:tc>
        <w:tc>
          <w:tcPr>
            <w:tcW w:type="dxa" w:w="720"/>
            <w:vAlign w:val="top"/>
          </w:tcPr>
          <w:p>
            <w:pPr>
              <w:spacing w:after="40" w:before="0" w:line="259" w:lineRule="auto"/>
            </w:pPr>
            <w:r>
              <w:rPr>
                <w:rFonts w:ascii="Calibri" w:hAnsi="Calibri"/>
                <w:b w:val="0"/>
                <w:i w:val="0"/>
                <w:color w:val="212121"/>
                <w:sz w:val="16"/>
              </w:rPr>
              <w:t>Cheaper/stable proxy; confounded by inflammation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zinc</w:t>
            </w:r>
          </w:p>
        </w:tc>
        <w:tc>
          <w:tcPr>
            <w:tcW w:type="dxa" w:w="892"/>
            <w:vAlign w:val="top"/>
          </w:tcPr>
          <w:p>
            <w:pPr>
              <w:spacing w:after="40" w:before="0" w:line="259" w:lineRule="auto"/>
            </w:pPr>
            <w:r>
              <w:rPr>
                <w:rFonts w:ascii="Calibri" w:hAnsi="Calibri"/>
                <w:b w:val="0"/>
                <w:i w:val="0"/>
                <w:color w:val="212121"/>
                <w:sz w:val="16"/>
              </w:rPr>
              <w:t>Micronutrient panel</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Low</w:t>
            </w:r>
          </w:p>
        </w:tc>
        <w:tc>
          <w:tcPr>
            <w:tcW w:type="dxa" w:w="1036"/>
            <w:vAlign w:val="top"/>
          </w:tcPr>
          <w:p>
            <w:pPr>
              <w:spacing w:after="40" w:before="0" w:line="259" w:lineRule="auto"/>
            </w:pPr>
            <w:r>
              <w:rPr>
                <w:rFonts w:ascii="Calibri" w:hAnsi="Calibri"/>
                <w:b w:val="0"/>
                <w:i w:val="0"/>
                <w:color w:val="212121"/>
                <w:sz w:val="16"/>
              </w:rPr>
              <w:t>Zinc is needed for RBP synthesis and retinol mobilisation; co-deficiency blunts response</w:t>
            </w:r>
          </w:p>
        </w:tc>
        <w:tc>
          <w:tcPr>
            <w:tcW w:type="dxa" w:w="1036"/>
            <w:vAlign w:val="top"/>
          </w:tcPr>
          <w:p>
            <w:pPr>
              <w:spacing w:after="40" w:before="0" w:line="259" w:lineRule="auto"/>
            </w:pPr>
            <w:r>
              <w:rPr>
                <w:rFonts w:ascii="Calibri" w:hAnsi="Calibri"/>
                <w:b w:val="0"/>
                <w:i w:val="0"/>
                <w:color w:val="212121"/>
                <w:sz w:val="16"/>
              </w:rPr>
              <w:t>Malnourished children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Co-factor status</w:t>
            </w:r>
          </w:p>
        </w:tc>
        <w:tc>
          <w:tcPr>
            <w:tcW w:type="dxa" w:w="720"/>
            <w:vAlign w:val="top"/>
          </w:tcPr>
          <w:p>
            <w:pPr>
              <w:spacing w:after="40" w:before="0" w:line="259" w:lineRule="auto"/>
            </w:pPr>
            <w:r>
              <w:rPr>
                <w:rFonts w:ascii="Calibri" w:hAnsi="Calibri"/>
                <w:b w:val="0"/>
                <w:i w:val="0"/>
                <w:color w:val="212121"/>
                <w:sz w:val="16"/>
              </w:rPr>
              <w:t>Correct zinc to optimise vitamin A therapy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Haemoglobin &amp; iron studies</w:t>
            </w:r>
          </w:p>
        </w:tc>
        <w:tc>
          <w:tcPr>
            <w:tcW w:type="dxa" w:w="892"/>
            <w:vAlign w:val="top"/>
          </w:tcPr>
          <w:p>
            <w:pPr>
              <w:spacing w:after="40" w:before="0" w:line="259" w:lineRule="auto"/>
            </w:pPr>
            <w:r>
              <w:rPr>
                <w:rFonts w:ascii="Calibri" w:hAnsi="Calibri"/>
                <w:b w:val="0"/>
                <w:i w:val="0"/>
                <w:color w:val="212121"/>
                <w:sz w:val="16"/>
              </w:rPr>
              <w:t>CBC, ferritin, iron</w:t>
            </w:r>
          </w:p>
        </w:tc>
        <w:tc>
          <w:tcPr>
            <w:tcW w:type="dxa" w:w="950"/>
            <w:vAlign w:val="top"/>
          </w:tcPr>
          <w:p>
            <w:pPr>
              <w:spacing w:after="40" w:before="0" w:line="259" w:lineRule="auto"/>
            </w:pPr>
            <w:r>
              <w:rPr>
                <w:rFonts w:ascii="Calibri" w:hAnsi="Calibri"/>
                <w:b w:val="0"/>
                <w:i w:val="0"/>
                <w:color w:val="212121"/>
                <w:sz w:val="16"/>
              </w:rPr>
              <w:t>Age/sex-appropriate</w:t>
            </w:r>
          </w:p>
        </w:tc>
        <w:tc>
          <w:tcPr>
            <w:tcW w:type="dxa" w:w="950"/>
            <w:vAlign w:val="top"/>
          </w:tcPr>
          <w:p>
            <w:pPr>
              <w:spacing w:after="40" w:before="0" w:line="259" w:lineRule="auto"/>
            </w:pPr>
            <w:r>
              <w:rPr>
                <w:rFonts w:ascii="Calibri" w:hAnsi="Calibri"/>
                <w:b w:val="0"/>
                <w:i w:val="0"/>
                <w:color w:val="212121"/>
                <w:sz w:val="16"/>
              </w:rPr>
              <w:t>Anaemia; low ferritin</w:t>
            </w:r>
          </w:p>
        </w:tc>
        <w:tc>
          <w:tcPr>
            <w:tcW w:type="dxa" w:w="1036"/>
            <w:vAlign w:val="top"/>
          </w:tcPr>
          <w:p>
            <w:pPr>
              <w:spacing w:after="40" w:before="0" w:line="259" w:lineRule="auto"/>
            </w:pPr>
            <w:r>
              <w:rPr>
                <w:rFonts w:ascii="Calibri" w:hAnsi="Calibri"/>
                <w:b w:val="0"/>
                <w:i w:val="0"/>
                <w:color w:val="212121"/>
                <w:sz w:val="16"/>
              </w:rPr>
              <w:t>VAD impairs iron mobilisation/erythropoiesis; commonly coexists with iron-deficiency anaemia</w:t>
            </w:r>
          </w:p>
        </w:tc>
        <w:tc>
          <w:tcPr>
            <w:tcW w:type="dxa" w:w="1036"/>
            <w:vAlign w:val="top"/>
          </w:tcPr>
          <w:p>
            <w:pPr>
              <w:spacing w:after="40" w:before="0" w:line="259" w:lineRule="auto"/>
            </w:pPr>
            <w:r>
              <w:rPr>
                <w:rFonts w:ascii="Calibri" w:hAnsi="Calibri"/>
                <w:b w:val="0"/>
                <w:i w:val="0"/>
                <w:color w:val="212121"/>
                <w:sz w:val="16"/>
              </w:rPr>
              <w:t>Anaemic children and women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Detects coexisting anaemia</w:t>
            </w:r>
          </w:p>
        </w:tc>
        <w:tc>
          <w:tcPr>
            <w:tcW w:type="dxa" w:w="720"/>
            <w:vAlign w:val="top"/>
          </w:tcPr>
          <w:p>
            <w:pPr>
              <w:spacing w:after="40" w:before="0" w:line="259" w:lineRule="auto"/>
            </w:pPr>
            <w:r>
              <w:rPr>
                <w:rFonts w:ascii="Calibri" w:hAnsi="Calibri"/>
                <w:b w:val="0"/>
                <w:i w:val="0"/>
                <w:color w:val="212121"/>
                <w:sz w:val="16"/>
              </w:rPr>
              <w:t>Combined vitamin A + iron improves Hb</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Ophthalmic/cytology</w:t>
            </w:r>
          </w:p>
        </w:tc>
        <w:tc>
          <w:tcPr>
            <w:tcW w:type="dxa" w:w="1036"/>
            <w:vAlign w:val="top"/>
          </w:tcPr>
          <w:p>
            <w:pPr>
              <w:spacing w:after="40" w:before="0" w:line="259" w:lineRule="auto"/>
            </w:pPr>
            <w:r>
              <w:rPr>
                <w:rFonts w:ascii="Calibri" w:hAnsi="Calibri"/>
                <w:b w:val="0"/>
                <w:i w:val="0"/>
                <w:color w:val="212121"/>
                <w:sz w:val="16"/>
              </w:rPr>
              <w:t>Conjunctival impression cytology (CIC)</w:t>
            </w:r>
          </w:p>
        </w:tc>
        <w:tc>
          <w:tcPr>
            <w:tcW w:type="dxa" w:w="892"/>
            <w:vAlign w:val="top"/>
          </w:tcPr>
          <w:p>
            <w:pPr>
              <w:spacing w:after="40" w:before="0" w:line="259" w:lineRule="auto"/>
            </w:pPr>
            <w:r>
              <w:rPr>
                <w:rFonts w:ascii="Calibri" w:hAnsi="Calibri"/>
                <w:b w:val="0"/>
                <w:i w:val="0"/>
                <w:color w:val="212121"/>
                <w:sz w:val="16"/>
              </w:rPr>
              <w:t>Impression cytology</w:t>
            </w:r>
          </w:p>
        </w:tc>
        <w:tc>
          <w:tcPr>
            <w:tcW w:type="dxa" w:w="950"/>
            <w:vAlign w:val="top"/>
          </w:tcPr>
          <w:p>
            <w:pPr>
              <w:spacing w:after="40" w:before="0" w:line="259" w:lineRule="auto"/>
            </w:pPr>
            <w:r>
              <w:rPr>
                <w:rFonts w:ascii="Calibri" w:hAnsi="Calibri"/>
                <w:b w:val="0"/>
                <w:i w:val="0"/>
                <w:color w:val="212121"/>
                <w:sz w:val="16"/>
              </w:rPr>
              <w:t>Intact goblet cells, non-keratinised epithelium</w:t>
            </w:r>
          </w:p>
        </w:tc>
        <w:tc>
          <w:tcPr>
            <w:tcW w:type="dxa" w:w="950"/>
            <w:vAlign w:val="top"/>
          </w:tcPr>
          <w:p>
            <w:pPr>
              <w:spacing w:after="40" w:before="0" w:line="259" w:lineRule="auto"/>
            </w:pPr>
            <w:r>
              <w:rPr>
                <w:rFonts w:ascii="Calibri" w:hAnsi="Calibri"/>
                <w:b w:val="0"/>
                <w:i w:val="0"/>
                <w:color w:val="212121"/>
                <w:sz w:val="16"/>
              </w:rPr>
              <w:t>Goblet-cell loss, keratinisation</w:t>
            </w:r>
          </w:p>
        </w:tc>
        <w:tc>
          <w:tcPr>
            <w:tcW w:type="dxa" w:w="1036"/>
            <w:vAlign w:val="top"/>
          </w:tcPr>
          <w:p>
            <w:pPr>
              <w:spacing w:after="40" w:before="0" w:line="259" w:lineRule="auto"/>
            </w:pPr>
            <w:r>
              <w:rPr>
                <w:rFonts w:ascii="Calibri" w:hAnsi="Calibri"/>
                <w:b w:val="0"/>
                <w:i w:val="0"/>
                <w:color w:val="212121"/>
                <w:sz w:val="16"/>
              </w:rPr>
              <w:t>Detects early conjunctival changes before overt xerosis</w:t>
            </w:r>
          </w:p>
        </w:tc>
        <w:tc>
          <w:tcPr>
            <w:tcW w:type="dxa" w:w="1036"/>
            <w:vAlign w:val="top"/>
          </w:tcPr>
          <w:p>
            <w:pPr>
              <w:spacing w:after="40" w:before="0" w:line="259" w:lineRule="auto"/>
            </w:pPr>
            <w:r>
              <w:rPr>
                <w:rFonts w:ascii="Calibri" w:hAnsi="Calibri"/>
                <w:b w:val="0"/>
                <w:i w:val="0"/>
                <w:color w:val="212121"/>
                <w:sz w:val="16"/>
              </w:rPr>
              <w:t>Screening high-risk populations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Early ocular marker</w:t>
            </w:r>
          </w:p>
        </w:tc>
        <w:tc>
          <w:tcPr>
            <w:tcW w:type="dxa" w:w="720"/>
            <w:vAlign w:val="top"/>
          </w:tcPr>
          <w:p>
            <w:pPr>
              <w:spacing w:after="40" w:before="0" w:line="259" w:lineRule="auto"/>
            </w:pPr>
            <w:r>
              <w:rPr>
                <w:rFonts w:ascii="Calibri" w:hAnsi="Calibri"/>
                <w:b w:val="0"/>
                <w:i w:val="0"/>
                <w:color w:val="212121"/>
                <w:sz w:val="16"/>
              </w:rPr>
              <w:t>Supports subclinical diagnosis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Dietary &amp; feeding history</w:t>
            </w:r>
          </w:p>
        </w:tc>
        <w:tc>
          <w:tcPr>
            <w:tcW w:type="dxa" w:w="979"/>
            <w:vAlign w:val="top"/>
          </w:tcPr>
          <w:p>
            <w:pPr>
              <w:spacing w:after="40" w:before="0" w:line="259" w:lineRule="auto"/>
            </w:pPr>
            <w:r>
              <w:rPr>
                <w:rFonts w:ascii="Calibri" w:hAnsi="Calibri"/>
                <w:b w:val="0"/>
                <w:i w:val="0"/>
                <w:color w:val="212121"/>
                <w:sz w:val="16"/>
              </w:rPr>
              <w:t>Vitamin A/ASF intake, breastfeeding</w:t>
            </w:r>
          </w:p>
        </w:tc>
        <w:tc>
          <w:tcPr>
            <w:tcW w:type="dxa" w:w="950"/>
            <w:vAlign w:val="top"/>
          </w:tcPr>
          <w:p>
            <w:pPr>
              <w:spacing w:after="40" w:before="0" w:line="259" w:lineRule="auto"/>
            </w:pPr>
            <w:r>
              <w:rPr>
                <w:rFonts w:ascii="Calibri" w:hAnsi="Calibri"/>
                <w:b w:val="0"/>
                <w:i w:val="0"/>
                <w:color w:val="212121"/>
                <w:sz w:val="16"/>
              </w:rPr>
              <w:t>Adequate, diverse vitamin A intake</w:t>
            </w:r>
          </w:p>
        </w:tc>
        <w:tc>
          <w:tcPr>
            <w:tcW w:type="dxa" w:w="950"/>
            <w:vAlign w:val="top"/>
          </w:tcPr>
          <w:p>
            <w:pPr>
              <w:spacing w:after="40" w:before="0" w:line="259" w:lineRule="auto"/>
            </w:pPr>
            <w:r>
              <w:rPr>
                <w:rFonts w:ascii="Calibri" w:hAnsi="Calibri"/>
                <w:b w:val="0"/>
                <w:i w:val="0"/>
                <w:color w:val="212121"/>
                <w:sz w:val="16"/>
              </w:rPr>
              <w:t>Cereal-predominant, low-ASF, non-breastfed</w:t>
            </w:r>
          </w:p>
        </w:tc>
        <w:tc>
          <w:tcPr>
            <w:tcW w:type="dxa" w:w="1036"/>
            <w:vAlign w:val="top"/>
          </w:tcPr>
          <w:p>
            <w:pPr>
              <w:spacing w:after="40" w:before="0" w:line="259" w:lineRule="auto"/>
            </w:pPr>
            <w:r>
              <w:rPr>
                <w:rFonts w:ascii="Calibri" w:hAnsi="Calibri"/>
                <w:b w:val="0"/>
                <w:i w:val="0"/>
                <w:color w:val="212121"/>
                <w:sz w:val="16"/>
              </w:rPr>
              <w:t>Identifies primary nutritional deficiency</w:t>
            </w:r>
          </w:p>
        </w:tc>
        <w:tc>
          <w:tcPr>
            <w:tcW w:type="dxa" w:w="1036"/>
            <w:vAlign w:val="top"/>
          </w:tcPr>
          <w:p>
            <w:pPr>
              <w:spacing w:after="40" w:before="0" w:line="259" w:lineRule="auto"/>
            </w:pPr>
            <w:r>
              <w:rPr>
                <w:rFonts w:ascii="Calibri" w:hAnsi="Calibri"/>
                <w:b w:val="0"/>
                <w:i w:val="0"/>
                <w:color w:val="212121"/>
                <w:sz w:val="16"/>
              </w:rPr>
              <w:t>Vegetarian, poor, non-breastfed</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about coloured vegetables, dairy, egg, fish, cooking fat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Night-vision history</w:t>
            </w:r>
          </w:p>
        </w:tc>
        <w:tc>
          <w:tcPr>
            <w:tcW w:type="dxa" w:w="979"/>
            <w:vAlign w:val="top"/>
          </w:tcPr>
          <w:p>
            <w:pPr>
              <w:spacing w:after="40" w:before="0" w:line="259" w:lineRule="auto"/>
            </w:pPr>
            <w:r>
              <w:rPr>
                <w:rFonts w:ascii="Calibri" w:hAnsi="Calibri"/>
                <w:b w:val="0"/>
                <w:i w:val="0"/>
                <w:color w:val="212121"/>
                <w:sz w:val="16"/>
              </w:rPr>
              <w:t>Night blindness (“Rataundhi”)</w:t>
            </w:r>
          </w:p>
        </w:tc>
        <w:tc>
          <w:tcPr>
            <w:tcW w:type="dxa" w:w="950"/>
            <w:vAlign w:val="top"/>
          </w:tcPr>
          <w:p>
            <w:pPr>
              <w:spacing w:after="40" w:before="0" w:line="259" w:lineRule="auto"/>
            </w:pPr>
            <w:r>
              <w:rPr>
                <w:rFonts w:ascii="Calibri" w:hAnsi="Calibri"/>
                <w:b w:val="0"/>
                <w:i w:val="0"/>
                <w:color w:val="212121"/>
                <w:sz w:val="16"/>
              </w:rPr>
              <w:t>Normal vision in dim light</w:t>
            </w:r>
          </w:p>
        </w:tc>
        <w:tc>
          <w:tcPr>
            <w:tcW w:type="dxa" w:w="950"/>
            <w:vAlign w:val="top"/>
          </w:tcPr>
          <w:p>
            <w:pPr>
              <w:spacing w:after="40" w:before="0" w:line="259" w:lineRule="auto"/>
            </w:pPr>
            <w:r>
              <w:rPr>
                <w:rFonts w:ascii="Calibri" w:hAnsi="Calibri"/>
                <w:b w:val="0"/>
                <w:i w:val="0"/>
                <w:color w:val="212121"/>
                <w:sz w:val="16"/>
              </w:rPr>
              <w:t>Difficulty seeing at dusk/in dim light</w:t>
            </w:r>
          </w:p>
        </w:tc>
        <w:tc>
          <w:tcPr>
            <w:tcW w:type="dxa" w:w="1036"/>
            <w:vAlign w:val="top"/>
          </w:tcPr>
          <w:p>
            <w:pPr>
              <w:spacing w:after="40" w:before="0" w:line="259" w:lineRule="auto"/>
            </w:pPr>
            <w:r>
              <w:rPr>
                <w:rFonts w:ascii="Calibri" w:hAnsi="Calibri"/>
                <w:b w:val="0"/>
                <w:i w:val="0"/>
                <w:color w:val="212121"/>
                <w:sz w:val="16"/>
              </w:rPr>
              <w:t>Earliest functional symptom of xerophthalmia</w:t>
            </w:r>
          </w:p>
        </w:tc>
        <w:tc>
          <w:tcPr>
            <w:tcW w:type="dxa" w:w="1036"/>
            <w:vAlign w:val="top"/>
          </w:tcPr>
          <w:p>
            <w:pPr>
              <w:spacing w:after="40" w:before="0" w:line="259" w:lineRule="auto"/>
            </w:pPr>
            <w:r>
              <w:rPr>
                <w:rFonts w:ascii="Calibri" w:hAnsi="Calibri"/>
                <w:b w:val="0"/>
                <w:i w:val="0"/>
                <w:color w:val="212121"/>
                <w:sz w:val="16"/>
              </w:rPr>
              <w:t>Children, pregnant women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Cardinal early symptom</w:t>
            </w:r>
          </w:p>
        </w:tc>
        <w:tc>
          <w:tcPr>
            <w:tcW w:type="dxa" w:w="720"/>
            <w:vAlign w:val="top"/>
          </w:tcPr>
          <w:p>
            <w:pPr>
              <w:spacing w:after="40" w:before="0" w:line="259" w:lineRule="auto"/>
            </w:pPr>
            <w:r>
              <w:rPr>
                <w:rFonts w:ascii="Calibri" w:hAnsi="Calibri"/>
                <w:b w:val="0"/>
                <w:i w:val="0"/>
                <w:color w:val="212121"/>
                <w:sz w:val="16"/>
              </w:rPr>
              <w:t>Local terms (e.g. Rataundhi) aid case-finding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Infection &amp; illness history</w:t>
            </w:r>
          </w:p>
        </w:tc>
        <w:tc>
          <w:tcPr>
            <w:tcW w:type="dxa" w:w="979"/>
            <w:vAlign w:val="top"/>
          </w:tcPr>
          <w:p>
            <w:pPr>
              <w:spacing w:after="40" w:before="0" w:line="259" w:lineRule="auto"/>
            </w:pPr>
            <w:r>
              <w:rPr>
                <w:rFonts w:ascii="Calibri" w:hAnsi="Calibri"/>
                <w:b w:val="0"/>
                <w:i w:val="0"/>
                <w:color w:val="212121"/>
                <w:sz w:val="16"/>
              </w:rPr>
              <w:t>Measles, diarrhoea, respiratory infection</w:t>
            </w:r>
          </w:p>
        </w:tc>
        <w:tc>
          <w:tcPr>
            <w:tcW w:type="dxa" w:w="950"/>
            <w:vAlign w:val="top"/>
          </w:tcPr>
          <w:p>
            <w:pPr>
              <w:spacing w:after="40" w:before="0" w:line="259" w:lineRule="auto"/>
            </w:pPr>
            <w:r>
              <w:rPr>
                <w:rFonts w:ascii="Calibri" w:hAnsi="Calibri"/>
                <w:b w:val="0"/>
                <w:i w:val="0"/>
                <w:color w:val="212121"/>
                <w:sz w:val="16"/>
              </w:rPr>
              <w:t>No recent significant infection</w:t>
            </w:r>
          </w:p>
        </w:tc>
        <w:tc>
          <w:tcPr>
            <w:tcW w:type="dxa" w:w="950"/>
            <w:vAlign w:val="top"/>
          </w:tcPr>
          <w:p>
            <w:pPr>
              <w:spacing w:after="40" w:before="0" w:line="259" w:lineRule="auto"/>
            </w:pPr>
            <w:r>
              <w:rPr>
                <w:rFonts w:ascii="Calibri" w:hAnsi="Calibri"/>
                <w:b w:val="0"/>
                <w:i w:val="0"/>
                <w:color w:val="212121"/>
                <w:sz w:val="16"/>
              </w:rPr>
              <w:t>Recent measles/persistent diarrhoea</w:t>
            </w:r>
          </w:p>
        </w:tc>
        <w:tc>
          <w:tcPr>
            <w:tcW w:type="dxa" w:w="1036"/>
            <w:vAlign w:val="top"/>
          </w:tcPr>
          <w:p>
            <w:pPr>
              <w:spacing w:after="40" w:before="0" w:line="259" w:lineRule="auto"/>
            </w:pPr>
            <w:r>
              <w:rPr>
                <w:rFonts w:ascii="Calibri" w:hAnsi="Calibri"/>
                <w:b w:val="0"/>
                <w:i w:val="0"/>
                <w:color w:val="212121"/>
                <w:sz w:val="16"/>
              </w:rPr>
              <w:t>Precipitants that deplete stores and trigger acute xerophthalmia</w:t>
            </w:r>
          </w:p>
        </w:tc>
        <w:tc>
          <w:tcPr>
            <w:tcW w:type="dxa" w:w="1036"/>
            <w:vAlign w:val="top"/>
          </w:tcPr>
          <w:p>
            <w:pPr>
              <w:spacing w:after="40" w:before="0" w:line="259" w:lineRule="auto"/>
            </w:pPr>
            <w:r>
              <w:rPr>
                <w:rFonts w:ascii="Calibri" w:hAnsi="Calibri"/>
                <w:b w:val="0"/>
                <w:i w:val="0"/>
                <w:color w:val="212121"/>
                <w:sz w:val="16"/>
              </w:rPr>
              <w:t>Children with recurrent infection</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Risk assessment</w:t>
            </w:r>
          </w:p>
        </w:tc>
        <w:tc>
          <w:tcPr>
            <w:tcW w:type="dxa" w:w="720"/>
            <w:vAlign w:val="top"/>
          </w:tcPr>
          <w:p>
            <w:pPr>
              <w:spacing w:after="40" w:before="0" w:line="259" w:lineRule="auto"/>
            </w:pPr>
            <w:r>
              <w:rPr>
                <w:rFonts w:ascii="Calibri" w:hAnsi="Calibri"/>
                <w:b w:val="0"/>
                <w:i w:val="0"/>
                <w:color w:val="212121"/>
                <w:sz w:val="16"/>
              </w:rPr>
              <w:t>Recent measles warrants immediate vitamin 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Ocular examination</w:t>
            </w:r>
          </w:p>
        </w:tc>
        <w:tc>
          <w:tcPr>
            <w:tcW w:type="dxa" w:w="979"/>
            <w:vAlign w:val="top"/>
          </w:tcPr>
          <w:p>
            <w:pPr>
              <w:spacing w:after="40" w:before="0" w:line="259" w:lineRule="auto"/>
            </w:pPr>
            <w:r>
              <w:rPr>
                <w:rFonts w:ascii="Calibri" w:hAnsi="Calibri"/>
                <w:b w:val="0"/>
                <w:i w:val="0"/>
                <w:color w:val="212121"/>
                <w:sz w:val="16"/>
              </w:rPr>
              <w:t>Xerophthalmia signs (Bitot’s, xerosis, cornea)</w:t>
            </w:r>
          </w:p>
        </w:tc>
        <w:tc>
          <w:tcPr>
            <w:tcW w:type="dxa" w:w="950"/>
            <w:vAlign w:val="top"/>
          </w:tcPr>
          <w:p>
            <w:pPr>
              <w:spacing w:after="40" w:before="0" w:line="259" w:lineRule="auto"/>
            </w:pPr>
            <w:r>
              <w:rPr>
                <w:rFonts w:ascii="Calibri" w:hAnsi="Calibri"/>
                <w:b w:val="0"/>
                <w:i w:val="0"/>
                <w:color w:val="212121"/>
                <w:sz w:val="16"/>
              </w:rPr>
              <w:t>Clear, moist conjunctiva &amp; cornea</w:t>
            </w:r>
          </w:p>
        </w:tc>
        <w:tc>
          <w:tcPr>
            <w:tcW w:type="dxa" w:w="950"/>
            <w:vAlign w:val="top"/>
          </w:tcPr>
          <w:p>
            <w:pPr>
              <w:spacing w:after="40" w:before="0" w:line="259" w:lineRule="auto"/>
            </w:pPr>
            <w:r>
              <w:rPr>
                <w:rFonts w:ascii="Calibri" w:hAnsi="Calibri"/>
                <w:b w:val="0"/>
                <w:i w:val="0"/>
                <w:color w:val="212121"/>
                <w:sz w:val="16"/>
              </w:rPr>
              <w:t>Bitot’s spots, xerosis, ulceration/keratomalacia</w:t>
            </w:r>
          </w:p>
        </w:tc>
        <w:tc>
          <w:tcPr>
            <w:tcW w:type="dxa" w:w="1036"/>
            <w:vAlign w:val="top"/>
          </w:tcPr>
          <w:p>
            <w:pPr>
              <w:spacing w:after="40" w:before="0" w:line="259" w:lineRule="auto"/>
            </w:pPr>
            <w:r>
              <w:rPr>
                <w:rFonts w:ascii="Calibri" w:hAnsi="Calibri"/>
                <w:b w:val="0"/>
                <w:i w:val="0"/>
                <w:color w:val="212121"/>
                <w:sz w:val="16"/>
              </w:rPr>
              <w:t>Grades WHO xerophthalmia stage; corneal signs are emergencies</w:t>
            </w:r>
          </w:p>
        </w:tc>
        <w:tc>
          <w:tcPr>
            <w:tcW w:type="dxa" w:w="1036"/>
            <w:vAlign w:val="top"/>
          </w:tcPr>
          <w:p>
            <w:pPr>
              <w:spacing w:after="40" w:before="0" w:line="259" w:lineRule="auto"/>
            </w:pPr>
            <w:r>
              <w:rPr>
                <w:rFonts w:ascii="Calibri" w:hAnsi="Calibri"/>
                <w:b w:val="0"/>
                <w:i w:val="0"/>
                <w:color w:val="212121"/>
                <w:sz w:val="16"/>
              </w:rPr>
              <w:t>Deficient children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 &amp; staging</w:t>
            </w:r>
          </w:p>
        </w:tc>
        <w:tc>
          <w:tcPr>
            <w:tcW w:type="dxa" w:w="720"/>
            <w:vAlign w:val="top"/>
          </w:tcPr>
          <w:p>
            <w:pPr>
              <w:spacing w:after="40" w:before="0" w:line="259" w:lineRule="auto"/>
            </w:pPr>
            <w:r>
              <w:rPr>
                <w:rFonts w:ascii="Calibri" w:hAnsi="Calibri"/>
                <w:b w:val="0"/>
                <w:i w:val="0"/>
                <w:color w:val="212121"/>
                <w:sz w:val="16"/>
              </w:rPr>
              <w:t>Corneal involvement needs same-day treatment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Dermatological examination</w:t>
            </w:r>
          </w:p>
        </w:tc>
        <w:tc>
          <w:tcPr>
            <w:tcW w:type="dxa" w:w="979"/>
            <w:vAlign w:val="top"/>
          </w:tcPr>
          <w:p>
            <w:pPr>
              <w:spacing w:after="40" w:before="0" w:line="259" w:lineRule="auto"/>
            </w:pPr>
            <w:r>
              <w:rPr>
                <w:rFonts w:ascii="Calibri" w:hAnsi="Calibri"/>
                <w:b w:val="0"/>
                <w:i w:val="0"/>
                <w:color w:val="212121"/>
                <w:sz w:val="16"/>
              </w:rPr>
              <w:t>Follicular hyperkeratosis / xeroderma</w:t>
            </w:r>
          </w:p>
        </w:tc>
        <w:tc>
          <w:tcPr>
            <w:tcW w:type="dxa" w:w="950"/>
            <w:vAlign w:val="top"/>
          </w:tcPr>
          <w:p>
            <w:pPr>
              <w:spacing w:after="40" w:before="0" w:line="259" w:lineRule="auto"/>
            </w:pPr>
            <w:r>
              <w:rPr>
                <w:rFonts w:ascii="Calibri" w:hAnsi="Calibri"/>
                <w:b w:val="0"/>
                <w:i w:val="0"/>
                <w:color w:val="212121"/>
                <w:sz w:val="16"/>
              </w:rPr>
              <w:t>Smooth, well-hydrated skin</w:t>
            </w:r>
          </w:p>
        </w:tc>
        <w:tc>
          <w:tcPr>
            <w:tcW w:type="dxa" w:w="950"/>
            <w:vAlign w:val="top"/>
          </w:tcPr>
          <w:p>
            <w:pPr>
              <w:spacing w:after="40" w:before="0" w:line="259" w:lineRule="auto"/>
            </w:pPr>
            <w:r>
              <w:rPr>
                <w:rFonts w:ascii="Calibri" w:hAnsi="Calibri"/>
                <w:b w:val="0"/>
                <w:i w:val="0"/>
                <w:color w:val="212121"/>
                <w:sz w:val="16"/>
              </w:rPr>
              <w:t>Dry skin, phrynoderma (“toad skin”) on extensors</w:t>
            </w:r>
          </w:p>
        </w:tc>
        <w:tc>
          <w:tcPr>
            <w:tcW w:type="dxa" w:w="1036"/>
            <w:vAlign w:val="top"/>
          </w:tcPr>
          <w:p>
            <w:pPr>
              <w:spacing w:after="40" w:before="0" w:line="259" w:lineRule="auto"/>
            </w:pPr>
            <w:r>
              <w:rPr>
                <w:rFonts w:ascii="Calibri" w:hAnsi="Calibri"/>
                <w:b w:val="0"/>
                <w:i w:val="0"/>
                <w:color w:val="212121"/>
                <w:sz w:val="16"/>
              </w:rPr>
              <w:t>Epithelial keratinisation from vitamin A deficiency</w:t>
            </w:r>
          </w:p>
        </w:tc>
        <w:tc>
          <w:tcPr>
            <w:tcW w:type="dxa" w:w="1036"/>
            <w:vAlign w:val="top"/>
          </w:tcPr>
          <w:p>
            <w:pPr>
              <w:spacing w:after="40" w:before="0" w:line="259" w:lineRule="auto"/>
            </w:pPr>
            <w:r>
              <w:rPr>
                <w:rFonts w:ascii="Calibri" w:hAnsi="Calibri"/>
                <w:b w:val="0"/>
                <w:i w:val="0"/>
                <w:color w:val="212121"/>
                <w:sz w:val="16"/>
              </w:rPr>
              <w:t>Chronically deficient</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 sign</w:t>
            </w:r>
          </w:p>
        </w:tc>
        <w:tc>
          <w:tcPr>
            <w:tcW w:type="dxa" w:w="720"/>
            <w:vAlign w:val="top"/>
          </w:tcPr>
          <w:p>
            <w:pPr>
              <w:spacing w:after="40" w:before="0" w:line="259" w:lineRule="auto"/>
            </w:pPr>
            <w:r>
              <w:rPr>
                <w:rFonts w:ascii="Calibri" w:hAnsi="Calibri"/>
                <w:b w:val="0"/>
                <w:i w:val="0"/>
                <w:color w:val="212121"/>
                <w:sz w:val="16"/>
              </w:rPr>
              <w:t>Non-specific; supports overall picture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Growth &amp; malabsorption assessment</w:t>
            </w:r>
          </w:p>
        </w:tc>
        <w:tc>
          <w:tcPr>
            <w:tcW w:type="dxa" w:w="979"/>
            <w:vAlign w:val="top"/>
          </w:tcPr>
          <w:p>
            <w:pPr>
              <w:spacing w:after="40" w:before="0" w:line="259" w:lineRule="auto"/>
            </w:pPr>
            <w:r>
              <w:rPr>
                <w:rFonts w:ascii="Calibri" w:hAnsi="Calibri"/>
                <w:b w:val="0"/>
                <w:i w:val="0"/>
                <w:color w:val="212121"/>
                <w:sz w:val="16"/>
              </w:rPr>
              <w:t>Anthropometry; signs of PEM/liver/GI disease</w:t>
            </w:r>
          </w:p>
        </w:tc>
        <w:tc>
          <w:tcPr>
            <w:tcW w:type="dxa" w:w="950"/>
            <w:vAlign w:val="top"/>
          </w:tcPr>
          <w:p>
            <w:pPr>
              <w:spacing w:after="40" w:before="0" w:line="259" w:lineRule="auto"/>
            </w:pPr>
            <w:r>
              <w:rPr>
                <w:rFonts w:ascii="Calibri" w:hAnsi="Calibri"/>
                <w:b w:val="0"/>
                <w:i w:val="0"/>
                <w:color w:val="212121"/>
                <w:sz w:val="16"/>
              </w:rPr>
              <w:t>Normal growth, no malabsorption</w:t>
            </w:r>
          </w:p>
        </w:tc>
        <w:tc>
          <w:tcPr>
            <w:tcW w:type="dxa" w:w="950"/>
            <w:vAlign w:val="top"/>
          </w:tcPr>
          <w:p>
            <w:pPr>
              <w:spacing w:after="40" w:before="0" w:line="259" w:lineRule="auto"/>
            </w:pPr>
            <w:r>
              <w:rPr>
                <w:rFonts w:ascii="Calibri" w:hAnsi="Calibri"/>
                <w:b w:val="0"/>
                <w:i w:val="0"/>
                <w:color w:val="212121"/>
                <w:sz w:val="16"/>
              </w:rPr>
              <w:t>Stunting/wasting; cholestasis, CF, IBD, coeliac</w:t>
            </w:r>
          </w:p>
        </w:tc>
        <w:tc>
          <w:tcPr>
            <w:tcW w:type="dxa" w:w="1036"/>
            <w:vAlign w:val="top"/>
          </w:tcPr>
          <w:p>
            <w:pPr>
              <w:spacing w:after="40" w:before="0" w:line="259" w:lineRule="auto"/>
            </w:pPr>
            <w:r>
              <w:rPr>
                <w:rFonts w:ascii="Calibri" w:hAnsi="Calibri"/>
                <w:b w:val="0"/>
                <w:i w:val="0"/>
                <w:color w:val="212121"/>
                <w:sz w:val="16"/>
              </w:rPr>
              <w:t>Detects concurrent SAM and secondary (malabsorptive) causes</w:t>
            </w:r>
          </w:p>
        </w:tc>
        <w:tc>
          <w:tcPr>
            <w:tcW w:type="dxa" w:w="1036"/>
            <w:vAlign w:val="top"/>
          </w:tcPr>
          <w:p>
            <w:pPr>
              <w:spacing w:after="40" w:before="0" w:line="259" w:lineRule="auto"/>
            </w:pPr>
            <w:r>
              <w:rPr>
                <w:rFonts w:ascii="Calibri" w:hAnsi="Calibri"/>
                <w:b w:val="0"/>
                <w:i w:val="0"/>
                <w:color w:val="212121"/>
                <w:sz w:val="16"/>
              </w:rPr>
              <w:t>Malnourished, chronic GI/liver disease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Identifies cause &amp; severity</w:t>
            </w:r>
          </w:p>
        </w:tc>
        <w:tc>
          <w:tcPr>
            <w:tcW w:type="dxa" w:w="720"/>
            <w:vAlign w:val="top"/>
          </w:tcPr>
          <w:p>
            <w:pPr>
              <w:spacing w:after="40" w:before="0" w:line="259" w:lineRule="auto"/>
            </w:pPr>
            <w:r>
              <w:rPr>
                <w:rFonts w:ascii="Calibri" w:hAnsi="Calibri"/>
                <w:b w:val="0"/>
                <w:i w:val="0"/>
                <w:color w:val="212121"/>
                <w:sz w:val="16"/>
              </w:rPr>
              <w:t>Directs treatment of underlying disorder</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Night blindness (nyctalopia)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Earliest symptom — difficulty seeing at dusk or in dim light; locally called “Rataundhi”; reversible with treatment.</w:t>
            </w:r>
          </w:p>
        </w:tc>
      </w:tr>
      <w:tr>
        <w:trPr>
          <w:cantSplit/>
        </w:trPr>
        <w:tc>
          <w:tcPr>
            <w:tcW w:type="dxa" w:w="2304"/>
            <w:vAlign w:val="top"/>
          </w:tcPr>
          <w:p>
            <w:pPr>
              <w:spacing w:after="40" w:before="0" w:line="259" w:lineRule="auto"/>
            </w:pPr>
            <w:r>
              <w:rPr>
                <w:rFonts w:ascii="Calibri" w:hAnsi="Calibri"/>
                <w:b/>
                <w:i w:val="0"/>
                <w:color w:val="212121"/>
                <w:sz w:val="19"/>
              </w:rPr>
              <w:t>Dry, gritty eyes / foreign-body sensation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conjunctival xerosis from loss of tear-film mucin and goblet cells.</w:t>
            </w:r>
          </w:p>
        </w:tc>
      </w:tr>
      <w:tr>
        <w:trPr>
          <w:cantSplit/>
        </w:trPr>
        <w:tc>
          <w:tcPr>
            <w:tcW w:type="dxa" w:w="2304"/>
            <w:vAlign w:val="top"/>
          </w:tcPr>
          <w:p>
            <w:pPr>
              <w:spacing w:after="40" w:before="0" w:line="259" w:lineRule="auto"/>
            </w:pPr>
            <w:r>
              <w:rPr>
                <w:rFonts w:ascii="Calibri" w:hAnsi="Calibri"/>
                <w:b/>
                <w:i w:val="0"/>
                <w:color w:val="212121"/>
                <w:sz w:val="19"/>
              </w:rPr>
              <w:t>Increased frequency &amp; severity of infections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Impaired mucosal and cellular immunity raises risk from measles, diarrhoea and respiratory infection.</w:t>
            </w:r>
          </w:p>
        </w:tc>
      </w:tr>
      <w:tr>
        <w:trPr>
          <w:cantSplit/>
        </w:trPr>
        <w:tc>
          <w:tcPr>
            <w:tcW w:type="dxa" w:w="2304"/>
            <w:vAlign w:val="top"/>
          </w:tcPr>
          <w:p>
            <w:pPr>
              <w:spacing w:after="40" w:before="0" w:line="259" w:lineRule="auto"/>
            </w:pPr>
            <w:r>
              <w:rPr>
                <w:rFonts w:ascii="Calibri" w:hAnsi="Calibri"/>
                <w:b/>
                <w:i w:val="0"/>
                <w:color w:val="212121"/>
                <w:sz w:val="19"/>
              </w:rPr>
              <w:t>Dry, rough, scaly skin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Xeroderma and follicular hyperkeratosis (phrynoderma) from epithelial keratinisation.</w:t>
            </w:r>
          </w:p>
        </w:tc>
      </w:tr>
      <w:tr>
        <w:trPr>
          <w:cantSplit/>
        </w:trPr>
        <w:tc>
          <w:tcPr>
            <w:tcW w:type="dxa" w:w="2304"/>
            <w:vAlign w:val="top"/>
          </w:tcPr>
          <w:p>
            <w:pPr>
              <w:spacing w:after="40" w:before="0" w:line="259" w:lineRule="auto"/>
            </w:pPr>
            <w:r>
              <w:rPr>
                <w:rFonts w:ascii="Calibri" w:hAnsi="Calibri"/>
                <w:b/>
                <w:i w:val="0"/>
                <w:color w:val="212121"/>
                <w:sz w:val="19"/>
              </w:rPr>
              <w:t>Poor growth / failure to thrive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Deficiency impairs childhood growth, often alongside protein-energy malnutrition.</w:t>
            </w:r>
          </w:p>
        </w:tc>
      </w:tr>
      <w:tr>
        <w:trPr>
          <w:cantSplit/>
        </w:trPr>
        <w:tc>
          <w:tcPr>
            <w:tcW w:type="dxa" w:w="2304"/>
            <w:vAlign w:val="top"/>
          </w:tcPr>
          <w:p>
            <w:pPr>
              <w:spacing w:after="40" w:before="0" w:line="259" w:lineRule="auto"/>
            </w:pPr>
            <w:r>
              <w:rPr>
                <w:rFonts w:ascii="Calibri" w:hAnsi="Calibri"/>
                <w:b/>
                <w:i w:val="0"/>
                <w:color w:val="212121"/>
                <w:sz w:val="19"/>
              </w:rPr>
              <w:t>Blurred or reduced vision in low light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Slowed rod dark-adaptation and evolving corneal/conjunctival change.</w:t>
            </w:r>
          </w:p>
        </w:tc>
      </w:tr>
      <w:tr>
        <w:trPr>
          <w:cantSplit/>
        </w:trPr>
        <w:tc>
          <w:tcPr>
            <w:tcW w:type="dxa" w:w="2304"/>
            <w:vAlign w:val="top"/>
          </w:tcPr>
          <w:p>
            <w:pPr>
              <w:spacing w:after="40" w:before="0" w:line="259" w:lineRule="auto"/>
            </w:pPr>
            <w:r>
              <w:rPr>
                <w:rFonts w:ascii="Calibri" w:hAnsi="Calibri"/>
                <w:b/>
                <w:i w:val="0"/>
                <w:color w:val="212121"/>
                <w:sz w:val="19"/>
              </w:rPr>
              <w:t>Delayed dark adaptation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Rod photoreceptors depend on retinal (vitamin A aldehyde) to regenerate rhodopsin.</w:t>
            </w:r>
          </w:p>
        </w:tc>
      </w:tr>
      <w:tr>
        <w:trPr>
          <w:cantSplit/>
        </w:trPr>
        <w:tc>
          <w:tcPr>
            <w:tcW w:type="dxa" w:w="2304"/>
            <w:vAlign w:val="top"/>
          </w:tcPr>
          <w:p>
            <w:pPr>
              <w:spacing w:after="40" w:before="0" w:line="259" w:lineRule="auto"/>
            </w:pPr>
            <w:r>
              <w:rPr>
                <w:rFonts w:ascii="Calibri" w:hAnsi="Calibri"/>
                <w:b/>
                <w:i w:val="0"/>
                <w:color w:val="212121"/>
                <w:sz w:val="19"/>
              </w:rPr>
              <w:t>Photophobia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Occurs as corneal surface changes and xerosis progress.</w:t>
            </w:r>
          </w:p>
        </w:tc>
      </w:tr>
      <w:tr>
        <w:trPr>
          <w:cantSplit/>
        </w:trPr>
        <w:tc>
          <w:tcPr>
            <w:tcW w:type="dxa" w:w="2304"/>
            <w:vAlign w:val="top"/>
          </w:tcPr>
          <w:p>
            <w:pPr>
              <w:spacing w:after="40" w:before="0" w:line="259" w:lineRule="auto"/>
            </w:pPr>
            <w:r>
              <w:rPr>
                <w:rFonts w:ascii="Calibri" w:hAnsi="Calibri"/>
                <w:b/>
                <w:i w:val="0"/>
                <w:color w:val="212121"/>
                <w:sz w:val="19"/>
              </w:rPr>
              <w:t>Eye pain / redness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Signals advancing corneal xerosis or ulceration — requires urgent review.</w:t>
            </w:r>
          </w:p>
        </w:tc>
      </w:tr>
      <w:tr>
        <w:trPr>
          <w:cantSplit/>
        </w:trPr>
        <w:tc>
          <w:tcPr>
            <w:tcW w:type="dxa" w:w="2304"/>
            <w:vAlign w:val="top"/>
          </w:tcPr>
          <w:p>
            <w:pPr>
              <w:spacing w:after="40" w:before="0" w:line="259" w:lineRule="auto"/>
            </w:pPr>
            <w:r>
              <w:rPr>
                <w:rFonts w:ascii="Calibri" w:hAnsi="Calibri"/>
                <w:b/>
                <w:i w:val="0"/>
                <w:color w:val="212121"/>
                <w:sz w:val="19"/>
              </w:rPr>
              <w:t>Sudden painless corneal clouding / vision loss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Keratomalacia — corneal softening and liquefaction; a blinding ophthalmic emergency.</w:t>
            </w:r>
          </w:p>
        </w:tc>
      </w:tr>
      <w:tr>
        <w:trPr>
          <w:cantSplit/>
        </w:trPr>
        <w:tc>
          <w:tcPr>
            <w:tcW w:type="dxa" w:w="2304"/>
            <w:vAlign w:val="top"/>
          </w:tcPr>
          <w:p>
            <w:pPr>
              <w:spacing w:after="40" w:before="0" w:line="259" w:lineRule="auto"/>
            </w:pPr>
            <w:r>
              <w:rPr>
                <w:rFonts w:ascii="Calibri" w:hAnsi="Calibri"/>
                <w:b/>
                <w:i w:val="0"/>
                <w:color w:val="212121"/>
                <w:sz w:val="19"/>
              </w:rPr>
              <w:t>Fatigue &amp; pallor (from coexisting anaemia)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VAD impairs iron mobilisation and frequently coexists with iron-deficiency anaemia.</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Bitot’s spots (X1B)</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Foamy, keratinised, silvery-white plaques on the temporal bulbar conjunctiva — highly specific for xerophthalmia.</w:t>
            </w:r>
          </w:p>
        </w:tc>
      </w:tr>
      <w:tr>
        <w:trPr>
          <w:cantSplit/>
        </w:trPr>
        <w:tc>
          <w:tcPr>
            <w:tcW w:type="dxa" w:w="3456"/>
            <w:vAlign w:val="top"/>
          </w:tcPr>
          <w:p>
            <w:pPr>
              <w:spacing w:after="40" w:before="0" w:line="259" w:lineRule="auto"/>
            </w:pPr>
            <w:r>
              <w:rPr>
                <w:rFonts w:ascii="Calibri" w:hAnsi="Calibri"/>
                <w:b/>
                <w:i w:val="0"/>
                <w:color w:val="212121"/>
                <w:sz w:val="19"/>
              </w:rPr>
              <w:t>Conjunctival xerosis (X1A)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Dry, lustreless, wrinkled, non-wettable conjunctiva; earliest visible ocular sign.</w:t>
            </w:r>
          </w:p>
        </w:tc>
      </w:tr>
      <w:tr>
        <w:trPr>
          <w:cantSplit/>
        </w:trPr>
        <w:tc>
          <w:tcPr>
            <w:tcW w:type="dxa" w:w="3456"/>
            <w:vAlign w:val="top"/>
          </w:tcPr>
          <w:p>
            <w:pPr>
              <w:spacing w:after="40" w:before="0" w:line="259" w:lineRule="auto"/>
            </w:pPr>
            <w:r>
              <w:rPr>
                <w:rFonts w:ascii="Calibri" w:hAnsi="Calibri"/>
                <w:b/>
                <w:i w:val="0"/>
                <w:color w:val="212121"/>
                <w:sz w:val="19"/>
              </w:rPr>
              <w:t>Follicular hyperkeratosis / phrynoderma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“Toad skin” — keratotic papules over extensor surfaces and shoulders from epithelial keratinisation.</w:t>
            </w:r>
          </w:p>
        </w:tc>
      </w:tr>
      <w:tr>
        <w:trPr>
          <w:cantSplit/>
        </w:trPr>
        <w:tc>
          <w:tcPr>
            <w:tcW w:type="dxa" w:w="3456"/>
            <w:vAlign w:val="top"/>
          </w:tcPr>
          <w:p>
            <w:pPr>
              <w:spacing w:after="40" w:before="0" w:line="259" w:lineRule="auto"/>
            </w:pPr>
            <w:r>
              <w:rPr>
                <w:rFonts w:ascii="Calibri" w:hAnsi="Calibri"/>
                <w:b/>
                <w:i w:val="0"/>
                <w:color w:val="212121"/>
                <w:sz w:val="19"/>
              </w:rPr>
              <w:t>Growth retardation / signs of PEM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Stunting and wasting reflecting concurrent under-nutrition in deficient children.</w:t>
            </w:r>
          </w:p>
        </w:tc>
      </w:tr>
      <w:tr>
        <w:trPr>
          <w:cantSplit/>
        </w:trPr>
        <w:tc>
          <w:tcPr>
            <w:tcW w:type="dxa" w:w="3456"/>
            <w:vAlign w:val="top"/>
          </w:tcPr>
          <w:p>
            <w:pPr>
              <w:spacing w:after="40" w:before="0" w:line="259" w:lineRule="auto"/>
            </w:pPr>
            <w:r>
              <w:rPr>
                <w:rFonts w:ascii="Calibri" w:hAnsi="Calibri"/>
                <w:b/>
                <w:i w:val="0"/>
                <w:color w:val="212121"/>
                <w:sz w:val="19"/>
              </w:rPr>
              <w:t>Pallor of mucous membranes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Indicates coexisting iron-deficiency anaemia, which VAD aggravates.</w:t>
            </w:r>
          </w:p>
        </w:tc>
      </w:tr>
      <w:tr>
        <w:trPr>
          <w:cantSplit/>
        </w:trPr>
        <w:tc>
          <w:tcPr>
            <w:tcW w:type="dxa" w:w="3456"/>
            <w:vAlign w:val="top"/>
          </w:tcPr>
          <w:p>
            <w:pPr>
              <w:spacing w:after="40" w:before="0" w:line="259" w:lineRule="auto"/>
            </w:pPr>
            <w:r>
              <w:rPr>
                <w:rFonts w:ascii="Calibri" w:hAnsi="Calibri"/>
                <w:b/>
                <w:i w:val="0"/>
                <w:color w:val="212121"/>
                <w:sz w:val="19"/>
              </w:rPr>
              <w:t>Corneal xerosis (X2)</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Hazy, dry, granular cornea with loss of lustre — a sight-threatening stage.</w:t>
            </w:r>
          </w:p>
        </w:tc>
      </w:tr>
      <w:tr>
        <w:trPr>
          <w:cantSplit/>
        </w:trPr>
        <w:tc>
          <w:tcPr>
            <w:tcW w:type="dxa" w:w="3456"/>
            <w:vAlign w:val="top"/>
          </w:tcPr>
          <w:p>
            <w:pPr>
              <w:spacing w:after="40" w:before="0" w:line="259" w:lineRule="auto"/>
            </w:pPr>
            <w:r>
              <w:rPr>
                <w:rFonts w:ascii="Calibri" w:hAnsi="Calibri"/>
                <w:b/>
                <w:i w:val="0"/>
                <w:color w:val="212121"/>
                <w:sz w:val="19"/>
              </w:rPr>
              <w:t>Corneal scar / leukoma (XS)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Healed sequela of past corneal ulceration — a permanent cause of blindness.</w:t>
            </w:r>
          </w:p>
        </w:tc>
      </w:tr>
      <w:tr>
        <w:trPr>
          <w:cantSplit/>
        </w:trPr>
        <w:tc>
          <w:tcPr>
            <w:tcW w:type="dxa" w:w="3456"/>
            <w:vAlign w:val="top"/>
          </w:tcPr>
          <w:p>
            <w:pPr>
              <w:spacing w:after="40" w:before="0" w:line="259" w:lineRule="auto"/>
            </w:pPr>
            <w:r>
              <w:rPr>
                <w:rFonts w:ascii="Calibri" w:hAnsi="Calibri"/>
                <w:b/>
                <w:i w:val="0"/>
                <w:color w:val="212121"/>
                <w:sz w:val="19"/>
              </w:rPr>
              <w:t>Positive conjunctival impression cytology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Goblet-cell loss and keratinised epithelium on cytology — confirms early disease.</w:t>
            </w:r>
          </w:p>
        </w:tc>
      </w:tr>
      <w:tr>
        <w:trPr>
          <w:cantSplit/>
        </w:trPr>
        <w:tc>
          <w:tcPr>
            <w:tcW w:type="dxa" w:w="3456"/>
            <w:vAlign w:val="top"/>
          </w:tcPr>
          <w:p>
            <w:pPr>
              <w:spacing w:after="40" w:before="0" w:line="259" w:lineRule="auto"/>
            </w:pPr>
            <w:r>
              <w:rPr>
                <w:rFonts w:ascii="Calibri" w:hAnsi="Calibri"/>
                <w:b/>
                <w:i w:val="0"/>
                <w:color w:val="212121"/>
                <w:sz w:val="19"/>
              </w:rPr>
              <w:t>Corneal ulceration / keratomalacia (X3A/X3B)</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Corneal softening, liquefactive necrosis and perforation — an emergency causing irreversible blindness.</w:t>
            </w:r>
          </w:p>
        </w:tc>
      </w:tr>
      <w:tr>
        <w:trPr>
          <w:cantSplit/>
        </w:trPr>
        <w:tc>
          <w:tcPr>
            <w:tcW w:type="dxa" w:w="3456"/>
            <w:vAlign w:val="top"/>
          </w:tcPr>
          <w:p>
            <w:pPr>
              <w:spacing w:after="40" w:before="0" w:line="259" w:lineRule="auto"/>
            </w:pPr>
            <w:r>
              <w:rPr>
                <w:rFonts w:ascii="Calibri" w:hAnsi="Calibri"/>
                <w:b/>
                <w:i w:val="0"/>
                <w:color w:val="212121"/>
                <w:sz w:val="19"/>
              </w:rPr>
              <w:t>Xerophthalmic fundus (XF)</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Scattered peripheral yellow-white retinal dots — an uncommon sign of severe chronic deficiency.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Night blindness (nyctalopia)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Conjunctival xerosis and Bitot’s spots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Follicular hyperkeratosis / xeroderma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immunity with increased infection susceptibility</w:t>
            </w:r>
          </w:p>
        </w:tc>
        <w:tc>
          <w:tcPr>
            <w:tcW w:type="dxa" w:w="2980"/>
            <w:vAlign w:val="top"/>
          </w:tcPr>
          <w:p>
            <w:pPr>
              <w:spacing w:after="40" w:before="0" w:line="259" w:lineRule="auto"/>
            </w:pPr>
            <w:r>
              <w:rPr>
                <w:rFonts w:ascii="Calibri" w:hAnsi="Calibri"/>
                <w:b w:val="0"/>
                <w:i w:val="0"/>
                <w:color w:val="212121"/>
                <w:sz w:val="19"/>
              </w:rPr>
              <w:t>Direct, largely reversible effects of retinol deficiency on epithelium, the retina and immune function.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Corneal xerosis, ulceration and keratomalacia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severity and mortality of measles, diarrhoea and respiratory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Worsening iron-deficiency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Growth faltering and delayed development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Maternal night blindness, anaemia and raised maternal/infant morbidity</w:t>
            </w:r>
          </w:p>
        </w:tc>
        <w:tc>
          <w:tcPr>
            <w:tcW w:type="dxa" w:w="2980"/>
            <w:vAlign w:val="top"/>
          </w:tcPr>
          <w:p>
            <w:pPr>
              <w:spacing w:after="40" w:before="0" w:line="259" w:lineRule="auto"/>
            </w:pPr>
            <w:r>
              <w:rPr>
                <w:rFonts w:ascii="Calibri" w:hAnsi="Calibri"/>
                <w:b w:val="0"/>
                <w:i w:val="0"/>
                <w:color w:val="212121"/>
                <w:sz w:val="19"/>
              </w:rPr>
              <w:t>Consequences of progressive deficiency and the synergy between vitamin A depletion and infection.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 corneal scarring and permanent blindness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Early childhood death (about half of blinded children die within 12 months)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visual disability with impaired schooling and productivity</w:t>
            </w:r>
          </w:p>
        </w:tc>
        <w:tc>
          <w:tcPr>
            <w:tcW w:type="dxa" w:w="2980"/>
            <w:vAlign w:val="top"/>
          </w:tcPr>
          <w:p>
            <w:pPr>
              <w:spacing w:after="40" w:before="0" w:line="259" w:lineRule="auto"/>
            </w:pPr>
            <w:r>
              <w:rPr>
                <w:rFonts w:ascii="Calibri" w:hAnsi="Calibri"/>
                <w:b w:val="0"/>
                <w:i w:val="0"/>
                <w:color w:val="212121"/>
                <w:sz w:val="19"/>
              </w:rPr>
              <w:t>End-stage, irreversible outcomes of untreated severe deficiency and its infective complications.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Iron-deficiency anaemia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VAD impairs mobilisation of hepatic iron and erythropoiesis; the two commonly coexist in Indian children, and combining vitamin A with iron improves haemoglobin more than iron alone.</w:t>
            </w:r>
          </w:p>
        </w:tc>
      </w:tr>
      <w:tr>
        <w:trPr>
          <w:cantSplit/>
        </w:trPr>
        <w:tc>
          <w:tcPr>
            <w:tcW w:type="dxa" w:w="2232"/>
            <w:vAlign w:val="top"/>
          </w:tcPr>
          <w:p>
            <w:pPr>
              <w:spacing w:after="40" w:before="0" w:line="259" w:lineRule="auto"/>
            </w:pPr>
            <w:r>
              <w:rPr>
                <w:rFonts w:ascii="Calibri" w:hAnsi="Calibri"/>
                <w:b/>
                <w:i w:val="0"/>
                <w:color w:val="212121"/>
                <w:sz w:val="19"/>
              </w:rPr>
              <w:t>Measles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Measles depletes vitamin A and damages epithelium while deficiency worsens measles severity and mortality; therapeutic vitamin A is given in every case and supplementation halves measles incidence.</w:t>
            </w:r>
          </w:p>
          <w:p>
            <w:pPr>
              <w:spacing w:after="40" w:before="0" w:line="259" w:lineRule="auto"/>
            </w:pPr>
            <w:r>
              <w:rPr>
                <w:rFonts w:ascii="Calibri" w:hAnsi="Calibri"/>
                <w:b/>
                <w:i w:val="0"/>
                <w:color w:val="212121"/>
                <w:sz w:val="19"/>
              </w:rPr>
              <w:t>~50% fewer measles cases with supplementation</w:t>
            </w:r>
          </w:p>
        </w:tc>
      </w:tr>
      <w:tr>
        <w:trPr>
          <w:cantSplit/>
        </w:trPr>
        <w:tc>
          <w:tcPr>
            <w:tcW w:type="dxa" w:w="2232"/>
            <w:vAlign w:val="top"/>
          </w:tcPr>
          <w:p>
            <w:pPr>
              <w:spacing w:after="40" w:before="0" w:line="259" w:lineRule="auto"/>
            </w:pPr>
            <w:r>
              <w:rPr>
                <w:rFonts w:ascii="Calibri" w:hAnsi="Calibri"/>
                <w:b/>
                <w:i w:val="0"/>
                <w:color w:val="212121"/>
                <w:sz w:val="19"/>
              </w:rPr>
              <w:t>Persistent / chronic diarrhoea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Diarrhoea causes malabsorption and increased intestinal loss of vitamin A, while deficiency impairs gut epithelial integrity and prolongs diarrhoea — a vicious cycle.</w:t>
            </w:r>
          </w:p>
        </w:tc>
      </w:tr>
      <w:tr>
        <w:trPr>
          <w:cantSplit/>
        </w:trPr>
        <w:tc>
          <w:tcPr>
            <w:tcW w:type="dxa" w:w="2232"/>
            <w:vAlign w:val="top"/>
          </w:tcPr>
          <w:p>
            <w:pPr>
              <w:spacing w:after="40" w:before="0" w:line="259" w:lineRule="auto"/>
            </w:pPr>
            <w:r>
              <w:rPr>
                <w:rFonts w:ascii="Calibri" w:hAnsi="Calibri"/>
                <w:b/>
                <w:i w:val="0"/>
                <w:color w:val="212121"/>
                <w:sz w:val="19"/>
              </w:rPr>
              <w:t>Protein-energy malnutrition / SAM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Shared dietary deprivation plus reduced retinol-binding-protein synthesis lower circulating retinol; xerophthalmia risk rises sharply in severe acute malnutrition.</w:t>
            </w:r>
          </w:p>
        </w:tc>
      </w:tr>
      <w:tr>
        <w:trPr>
          <w:cantSplit/>
        </w:trPr>
        <w:tc>
          <w:tcPr>
            <w:tcW w:type="dxa" w:w="2232"/>
            <w:vAlign w:val="top"/>
          </w:tcPr>
          <w:p>
            <w:pPr>
              <w:spacing w:after="40" w:before="0" w:line="259" w:lineRule="auto"/>
            </w:pPr>
            <w:r>
              <w:rPr>
                <w:rFonts w:ascii="Calibri" w:hAnsi="Calibri"/>
                <w:b/>
                <w:i w:val="0"/>
                <w:color w:val="212121"/>
                <w:sz w:val="19"/>
              </w:rPr>
              <w:t>Zinc deficiency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Zinc is required for retinol-binding-protein synthesis and retinol mobilisation, so concurrent zinc deficiency blunts the response to vitamin A therapy and often co-exists.</w:t>
            </w:r>
          </w:p>
        </w:tc>
      </w:tr>
      <w:tr>
        <w:trPr>
          <w:cantSplit/>
        </w:trPr>
        <w:tc>
          <w:tcPr>
            <w:tcW w:type="dxa" w:w="2232"/>
            <w:vAlign w:val="top"/>
          </w:tcPr>
          <w:p>
            <w:pPr>
              <w:spacing w:after="40" w:before="0" w:line="259" w:lineRule="auto"/>
            </w:pPr>
            <w:r>
              <w:rPr>
                <w:rFonts w:ascii="Calibri" w:hAnsi="Calibri"/>
                <w:b/>
                <w:i w:val="0"/>
                <w:color w:val="212121"/>
                <w:sz w:val="19"/>
              </w:rPr>
              <w:t>Cystic fibrosis / exocrine pancreatic insufficiency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Fat malabsorption from pancreatic insufficiency (up to ~90% of cystic fibrosis patients) depletes fat-soluble vitamin A, requiring routine monitoring and supplementation.</w:t>
            </w:r>
          </w:p>
          <w:p>
            <w:pPr>
              <w:spacing w:after="40" w:before="0" w:line="259" w:lineRule="auto"/>
            </w:pPr>
            <w:r>
              <w:rPr>
                <w:rFonts w:ascii="Calibri" w:hAnsi="Calibri"/>
                <w:b/>
                <w:i w:val="0"/>
                <w:color w:val="212121"/>
                <w:sz w:val="19"/>
              </w:rPr>
              <w:t>Up to ~90% (pancreatic insufficiency)</w:t>
            </w:r>
          </w:p>
        </w:tc>
      </w:tr>
      <w:tr>
        <w:trPr>
          <w:cantSplit/>
        </w:trPr>
        <w:tc>
          <w:tcPr>
            <w:tcW w:type="dxa" w:w="2232"/>
            <w:vAlign w:val="top"/>
          </w:tcPr>
          <w:p>
            <w:pPr>
              <w:spacing w:after="40" w:before="0" w:line="259" w:lineRule="auto"/>
            </w:pPr>
            <w:r>
              <w:rPr>
                <w:rFonts w:ascii="Calibri" w:hAnsi="Calibri"/>
                <w:b/>
                <w:i w:val="0"/>
                <w:color w:val="212121"/>
                <w:sz w:val="19"/>
              </w:rPr>
              <w:t>Chronic / cholestatic liver disease (incl. cirrhosis)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hepatic storage and reduced retinol-binding protein cause secondary deficiency; up to ~70% of cirrhotic patients are vitamin A deficient.</w:t>
            </w:r>
          </w:p>
          <w:p>
            <w:pPr>
              <w:spacing w:after="40" w:before="0" w:line="259" w:lineRule="auto"/>
            </w:pPr>
            <w:r>
              <w:rPr>
                <w:rFonts w:ascii="Calibri" w:hAnsi="Calibri"/>
                <w:b/>
                <w:i w:val="0"/>
                <w:color w:val="212121"/>
                <w:sz w:val="19"/>
              </w:rPr>
              <w:t>Up to ~70%</w:t>
            </w:r>
          </w:p>
        </w:tc>
      </w:tr>
      <w:tr>
        <w:trPr>
          <w:cantSplit/>
        </w:trPr>
        <w:tc>
          <w:tcPr>
            <w:tcW w:type="dxa" w:w="2232"/>
            <w:vAlign w:val="top"/>
          </w:tcPr>
          <w:p>
            <w:pPr>
              <w:spacing w:after="40" w:before="0" w:line="259" w:lineRule="auto"/>
            </w:pPr>
            <w:r>
              <w:rPr>
                <w:rFonts w:ascii="Calibri" w:hAnsi="Calibri"/>
                <w:b/>
                <w:i w:val="0"/>
                <w:color w:val="212121"/>
                <w:sz w:val="19"/>
              </w:rPr>
              <w:t>Inflammatory bowel disease / coeliac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intestinal malabsorption lowers vitamin A absorption; about 16% of IBD patients are vitamin A deficient at diagnosis.</w:t>
            </w:r>
          </w:p>
          <w:p>
            <w:pPr>
              <w:spacing w:after="40" w:before="0" w:line="259" w:lineRule="auto"/>
            </w:pPr>
            <w:r>
              <w:rPr>
                <w:rFonts w:ascii="Calibri" w:hAnsi="Calibri"/>
                <w:b/>
                <w:i w:val="0"/>
                <w:color w:val="212121"/>
                <w:sz w:val="19"/>
              </w:rPr>
              <w:t>~16% at diagnosis (IBD)</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 difficulty seeing at dusk (night blindness/“Rataundhi”), dry eyes and frequent infections — and seek prompt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dark green leafy vegetables, orange/yellow fruits and vegetables, dairy, eggs, fish and liver are key vitamin A sources, and that a little cooking fat/oil improves 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children attend national vitamin A supplementation (biannual high-dose) and receive measles immunisation on schedule.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Promote exclusive breastfeeding for the first 6 months and continued breastfeeding with vitamin A-rich complementary foods thereafter.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home/kitchen gardens and fortified staples (fortified edible oil, milk) to raise everyday vitamin A intake.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&amp; caregivers of under-5s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&amp; lactating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&amp; tribal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 households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vitamin A-rich foods regularly: dark green leafy vegetables (spinach, amaranth, drumstick/methi leaves), orange/yellow produce (carrot, pumpkin, ripe mango, papaya) and, where acceptable, egg, dairy, fish and liver.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a little oil/ghee or nuts to carotenoid-rich meals — dietary fat is needed to absorb β-carotene and retinol.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Choose fortified staples (fortified edible oil and milk) and diversify away from a rice/wheat-only diet.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infants, support exclusive breastfeeding to 6 months and timely vitamin A-rich complementary feeding.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over-reliance on fruit juices or peeled/overcooked vegetables that lose carotenoids; steam/lightly cook to improve availability.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 &amp; vegan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Cereal-diet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Pregnant/lactating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xerophthalmia/clinical deficiency with high-dose oral vitamin A on day 1, day 2 and day 14, using age-based doses (infants &lt; 6 months 50,000 IU; 6–11 months 100,000 IU; ≥ 12 months 200,000 IU).</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vitamin A to every child with measles, severe malnutrition or persistent diarrhoea per protocol.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corneal xerosis/keratomalacia as an ophthalmic emergency with immediate vitamin A, eye protection and antibiotic cover.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treat secondary causes — pancreatic insufficiency, cholestasis, IBD, coeliac disease — and correct coexisting zinc and iron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high-dose vitamin A in early pregnancy (teratogenic); use dietary sources and β-carotene, and respect upper intake limits to prevent hypervitaminosis 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xerophthalmia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Measles/SAM/diarrhoea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Malabsorption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Deficient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nutrition-sensitive activities such as home and school kitchen gardens to increase year-round access to vitamin A-rich vegetables and fruit.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general physical activity and outdoor play as part of healthy child growth and development.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home gardens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School-age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communities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regular sleep as part of overall child health and recovery from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aware that night blindness impairs safe movement after dark until vitamin A status is restored — use lighting and supervise children.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night blindness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and second-hand smoke, which lower circulating carotenoid levels.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take high-dose β-carotene supplements if you smoke — trials (ATBC/CARET) showed increased lung-cancer risk; obtain vitamin A from food and, if needed, medically supervised retinol.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considering supplements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to protect hepatic vitamin A stores and liver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people with alcohol-related or other chronic liver disease, monitor vitamin A status and supplement under medical supervision, avoiding toxicity.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liver disease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caregiver mental health and reduce household stress and food insecurity, which shape child feeding practices and dietary diversity.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counselling and reminders to sustain adherence to supplementation, immunisation and dietary-diversity advice.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of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Low-income households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data/nutrition/nlis/info/vitamin-a-deficiency" TargetMode="External"/><Relationship Id="rId10" Type="http://schemas.openxmlformats.org/officeDocument/2006/relationships/hyperlink" Target="https://data.unicef.org/topic/nutrition/vitamin-a-deficiency/" TargetMode="External"/><Relationship Id="rId11" Type="http://schemas.openxmlformats.org/officeDocument/2006/relationships/hyperlink" Target="https://www.ncbi.nlm.nih.gov/books/NBK567744/" TargetMode="External"/><Relationship Id="rId12" Type="http://schemas.openxmlformats.org/officeDocument/2006/relationships/hyperlink" Target="https://ods.od.nih.gov/factsheets/VitaminA-HealthProfessio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