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Electrolyte disorders (Na/K/Ca/Mg)</w:t>
      </w:r>
    </w:p>
    <w:p>
      <w:pPr>
        <w:spacing w:before="0" w:after="160"/>
      </w:pPr>
      <w:r>
        <w:rPr>
          <w:rFonts w:ascii="Calibri" w:hAnsi="Calibri"/>
          <w:b/>
          <w:i w:val="0"/>
          <w:color w:val="212121"/>
          <w:sz w:val="22"/>
        </w:rPr>
        <w:t xml:space="preserve">AKA </w:t>
      </w:r>
      <w:r>
        <w:rPr>
          <w:rFonts w:ascii="Calibri" w:hAnsi="Calibri"/>
          <w:b w:val="0"/>
          <w:i w:val="0"/>
          <w:color w:val="212121"/>
          <w:sz w:val="22"/>
        </w:rPr>
        <w:t>i.e., Electrolyte imbalance, Dyselectrolytemia, Salt imbalance; includes dysnatremia (hyponatremia / hypernatremia), dyskalemia (hypokalemia / hyperkalemia), calcium disorders (hypocalcemia / hypercalcemia) and magnesium disorders (hypomagnesemia / hypermagnesemia)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Electrolyte disorders are abnormalities in the serum concentrations of the body's principal ions — sodium (Na⁺), potassium (K⁺), calcium (Ca²⁺) and magnesium (Mg²⁺) — that disturb fluid balance, neuromuscular excitability, cardiac conduction and acid–base homeostasis. They are among the most common metabolic disturbances in hospitalised and critically ill patients, arising from underlying disease, drugs (especially diuretics), renal dysfunction, and gastrointestinal, endocrine or nutritional causes. Severity ranges from an asymptomatic biochemical finding to life-threatening arrhythmia, seizures, coma and death, and several electrolytes are frequently deranged together.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Electrolyte disturbances are among the commonest metabolic abnormalities in Indian hospital and intensive-care practice. Hyponatremia — the single most frequent — was found in about 29.4% of adults admitted to a Mumbai tertiary-care hospital, consistent with global hospitalised-patient estimates of roughly 20–35%. Hypomagnesemia affects an estimated 12–20% of ward patients and up to ~65% of the critically ill, and hyperkalemia occurs in up to 10% of inpatients. Hypocalcemia is common in Indian children with severe acute malnutrition (~26%), reflecting the country's very high background vitamin-D deficiency (up to 74–85%).</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Electrolyte disorders are diagnosed biochemically on serum/plasma assay (with albumin-corrected or ionized calcium where relevant), interpreted alongside volume status, renal function, acid–base state and the ECG. Standard diagnostic thresholds for the four principal cations 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Sodium — hyponatremia: serum Na⁺ &lt; 135 mEq/L (mild 130–134, moderate 125–129, severe &lt; 125 mEq/L); hypernatremia: serum Na⁺ &gt; 145 mEq/L.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Potassium — hypokalemia: K⁺ &lt; 3.5 mmol/L (mild 3.0–3.4, moderate 2.5–2.9, severe &lt; 2.5 mmol/L); hyperkalemia: K⁺ &gt; 5.0 mmol/L (mild 5.0–5.5, moderate 5.5–6.0, severe ≥ 6.5 mmol/L).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Calcium — hypocalcemia: total Ca²⁺ &lt; 8.5 mg/dL or ionized &lt; 4.65 mg/dL (albumin-corrected: add 0.8 mg/dL for every 1 g/dL fall in albumin below 4 g/dL); hypercalcemia: total &gt; 10.5 mg/dL.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Magnesium — hypomagnesemia: serum Mg²⁺ &lt; 1.46 mg/dL (symptomatic usually &lt; 1.2 mg/dL); hypermagnesemia: &gt; 2.68 mg/dL.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work-up: paired serum and urine osmolality plus urine sodium to classify dysnatremia; a 12-lead ECG for potassium, calcium and magnesium effects; arterial blood gas for acid–base status; and PTH, 25-OH vitamin D and phosphate for calcium disorders.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Always measure magnesium in refractory hypokalemia or hypocalcemia, as concurrent hypomagnesemia prevents their correction.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Electrolyte disorders are classified first by the ion involved and the direction of the derangement, then graded by severity and by the underlying volume/pathophysiological mechanism:</w:t>
      </w:r>
    </w:p>
    <w:p>
      <w:pPr>
        <w:spacing w:before="0" w:after="80"/>
      </w:pPr>
      <w:r>
        <w:rPr>
          <w:rFonts w:ascii="Calibri" w:hAnsi="Calibri"/>
          <w:b w:val="0"/>
          <w:i w:val="0"/>
          <w:color w:val="212121"/>
          <w:sz w:val="21"/>
        </w:rPr>
        <w:t>(1) Sodium disorders — Hyponatremia (&lt; 135 mEq/L), sub-classified by volume status into hypovolemic (gastrointestinal or renal salt loss, diuretics), euvolemic (SIADH, hypothyroidism, adrenal insufficiency) and hypervolemic (heart failure, cirrhosis, nephrotic syndrome / CKD); and Hypernatremia (&gt; 145 mEq/L) from a water deficit (inadequate intake, diabetes insipidus, osmotic or gastrointestinal losses) or, less often, sodium excess.</w:t>
      </w:r>
    </w:p>
    <w:p>
      <w:pPr>
        <w:spacing w:before="0" w:after="80"/>
      </w:pPr>
      <w:r>
        <w:rPr>
          <w:rFonts w:ascii="Calibri" w:hAnsi="Calibri"/>
          <w:b w:val="0"/>
          <w:i w:val="0"/>
          <w:color w:val="212121"/>
          <w:sz w:val="21"/>
        </w:rPr>
        <w:t>(2) Potassium disorders — Hypokalemia (&lt; 3.5 mmol/L) from renal or gastrointestinal loss, transcellular shift (alkalosis, insulin, β-agonists) or reduced intake; and Hyperkalemia (&gt; 5.0 mmol/L) from impaired renal excretion, transcellular shift (acidosis, cell lysis, insulin deficiency) or increased load — both graded mild-to-severe with a characteristic ECG evolution.</w:t>
      </w:r>
    </w:p>
    <w:p>
      <w:pPr>
        <w:spacing w:before="0" w:after="80"/>
      </w:pPr>
      <w:r>
        <w:rPr>
          <w:rFonts w:ascii="Calibri" w:hAnsi="Calibri"/>
          <w:b w:val="0"/>
          <w:i w:val="0"/>
          <w:color w:val="212121"/>
          <w:sz w:val="21"/>
        </w:rPr>
        <w:t>(3) Calcium disorders — Hypocalcemia (&lt; 8.5 mg/dL, albumin-corrected) from PTH deficiency (post-surgical, autoimmune), vitamin-D deficiency or CKD, hypomagnesemia, acute pancreatitis, sepsis or blood transfusion; and Hypercalcemia (&gt; 10.5 mg/dL), most often from primary hyperparathyroidism or malignancy.</w:t>
      </w:r>
    </w:p>
    <w:p>
      <w:pPr>
        <w:spacing w:before="0" w:after="80"/>
      </w:pPr>
      <w:r>
        <w:rPr>
          <w:rFonts w:ascii="Calibri" w:hAnsi="Calibri"/>
          <w:b w:val="0"/>
          <w:i w:val="0"/>
          <w:color w:val="212121"/>
          <w:sz w:val="21"/>
        </w:rPr>
        <w:t>(4) Magnesium disorders — Hypomagnesemia (&lt; 1.46 mg/dL) from gastrointestinal or renal loss, alcohol, diuretics, proton-pump inhibitors and refeeding; and Hypermagnesemia (&gt; 2.68 mg/dL), usually iatrogenic and in the setting of renal failure. In practice multiple electrolytes are frequently deranged together (for example, hypomagnesemia driving refractory hypokalemia and hypocalcemia).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Renal dysfunction: Acute kidney injury and chronic kidney disease impair ion excretion and reabsorption and are the dominant drivers of hyperkalemia, hyperphosphataemia-related hypocalcemia and dysnatremia.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Drugs: Thiazides cause hyponatremia and hypokalemia; loop diuretics cause hypokalemia and hypomagnesemia; RAAS inhibitors and potassium-sparing agents cause hyperkalemia; proton-pump inhibitors and aminoglycosides cause hypomagnesemia; and SSRIs and glucocorticoids disturb sodium and potassium.</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Gastrointestinal losses: Vomiting, diarrhoea, nasogastric suction and fistulae deplete potassium, magnesium, sodium and bicarbonate — a major cause during acute gastroenteritis in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Endocrine disorders: SIADH, adrenal insufficiency, hypothyroidism, hyper- and hypoparathyroidism and hyperaldosteronism dysregulate sodium, potassium and calcium handling.</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Nutritional and vitamin deficiency: Widespread vitamin-D deficiency and low dietary calcium predispose to hypocalcemia, while refeeding of the previously malnourished precipitates hypophosphataemia, hypokalemia and hypomagnesemia.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Fluid and volume shifts / dilution: Dehydration, excess hypotonic fluid administration, heart failure and cirrhosis alter free-water balance and drive dysnatremia.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Acid–base disturbances and transcellular shifts: Acidosis, alkalosis, insulin therapy and tissue breakdown shift potassium, calcium and magnesium between the intracellular and extracellular compartments.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Ageing reduces the thirst response, renal concentrating and diluting ability and total-body water, while polypharmacy (diuretics, SSRIs, antihypertensives) is common — predisposing to both hyponatremia and hypernatremic dehydration.</w:t>
            </w:r>
          </w:p>
          <w:p>
            <w:pPr>
              <w:spacing w:after="40" w:before="60" w:line="259" w:lineRule="auto"/>
            </w:pPr>
            <w:r>
              <w:rPr>
                <w:rFonts w:ascii="Calibri" w:hAnsi="Calibri"/>
                <w:b w:val="0"/>
                <w:i w:val="0"/>
                <w:color w:val="212121"/>
                <w:sz w:val="19"/>
              </w:rPr>
              <w:t>In a Mumbai tertiary-care cohort, 48.7% of patients found to have hyponatremia were elderly (&gt; 60 years).</w:t>
            </w:r>
          </w:p>
          <w:p>
            <w:pPr>
              <w:spacing w:after="40" w:line="252" w:lineRule="auto"/>
            </w:pPr>
            <w:hyperlink r:id="rId9">
              <w:r>
                <w:rPr>
                  <w:rFonts w:ascii="Calibri" w:hAnsi="Calibri" w:cs="Calibri"/>
                  <w:sz w:val="18"/>
                  <w:color w:val="1155CC"/>
                  <w:u w:val="single"/>
                </w:rPr>
                <w:t xml:space="preserve">pubmed.ncbi.nlm.nih.gov/41613715</w:t>
              </w:r>
            </w:hyperlink>
          </w:p>
          <w:p>
            <w:pPr>
              <w:spacing w:before="60" w:after="40"/>
            </w:pPr>
            <w:r>
              <w:rPr>
                <w:rFonts w:ascii="Calibri" w:hAnsi="Calibri"/>
                <w:b w:val="0"/>
                <w:i w:val="0"/>
                <w:color w:val="5A5A5A"/>
                <w:sz w:val="18"/>
              </w:rPr>
              <w:t>#elderly  #hyponatremia  #polypharmacy  #thirst  #dysnatremia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Hospitalised &amp; acutely ill adults</w:t>
            </w:r>
          </w:p>
        </w:tc>
        <w:tc>
          <w:tcPr>
            <w:tcW w:type="dxa" w:w="4276"/>
            <w:vAlign w:val="top"/>
          </w:tcPr>
          <w:p>
            <w:pPr>
              <w:spacing w:after="60" w:line="259" w:lineRule="auto"/>
            </w:pPr>
            <w:r>
              <w:rPr>
                <w:rFonts w:ascii="Calibri" w:hAnsi="Calibri"/>
                <w:b w:val="0"/>
                <w:i w:val="0"/>
                <w:color w:val="212121"/>
                <w:sz w:val="19"/>
              </w:rPr>
              <w:t>Acute illness, intravenous fluids, diuretics and multi-organ disease cluster in admitted adults, making dyselectrolytemia a routine finding in wards and ICUs.</w:t>
            </w:r>
          </w:p>
          <w:p>
            <w:pPr>
              <w:spacing w:after="40" w:before="60" w:line="259" w:lineRule="auto"/>
            </w:pPr>
            <w:r>
              <w:rPr>
                <w:rFonts w:ascii="Calibri" w:hAnsi="Calibri"/>
                <w:b w:val="0"/>
                <w:i w:val="0"/>
                <w:color w:val="212121"/>
                <w:sz w:val="19"/>
              </w:rPr>
              <w:t>Hyponatremia affects roughly 20–35% of hospitalised adults; magnesium disturbances correlate with clinical outcome in Indian ICU patients.</w:t>
            </w:r>
          </w:p>
          <w:p>
            <w:pPr>
              <w:spacing w:after="40" w:line="252" w:lineRule="auto"/>
            </w:pPr>
            <w:hyperlink r:id="rId10">
              <w:r>
                <w:rPr>
                  <w:rFonts w:ascii="Calibri" w:hAnsi="Calibri" w:cs="Calibri"/>
                  <w:sz w:val="18"/>
                  <w:color w:val="1155CC"/>
                  <w:u w:val="single"/>
                </w:rPr>
                <w:t xml:space="preserve">ncbi.nlm.nih.gov — StatPearls: Hyponatremia</w:t>
              </w:r>
            </w:hyperlink>
          </w:p>
          <w:p>
            <w:pPr>
              <w:spacing w:before="60" w:after="40"/>
            </w:pPr>
            <w:r>
              <w:rPr>
                <w:rFonts w:ascii="Calibri" w:hAnsi="Calibri"/>
                <w:b w:val="0"/>
                <w:i w:val="0"/>
                <w:color w:val="5A5A5A"/>
                <w:sz w:val="18"/>
              </w:rPr>
              <w:t>#hospitalised  #ICU  #acutecare  #dysnatremia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&amp; young children</w:t>
            </w:r>
          </w:p>
        </w:tc>
        <w:tc>
          <w:tcPr>
            <w:tcW w:type="dxa" w:w="4276"/>
            <w:vAlign w:val="top"/>
          </w:tcPr>
          <w:p>
            <w:pPr>
              <w:spacing w:after="60" w:line="259" w:lineRule="auto"/>
            </w:pPr>
            <w:r>
              <w:rPr>
                <w:rFonts w:ascii="Calibri" w:hAnsi="Calibri"/>
                <w:b w:val="0"/>
                <w:i w:val="0"/>
                <w:color w:val="212121"/>
                <w:sz w:val="19"/>
              </w:rPr>
              <w:t>A high surface-area-to-mass ratio and dependence on carers for fluids make infants prone to hypernatremic dehydration and hypocalcemia during diarrhoeal illness, while immature renal handling raises potassium risk in the premature.</w:t>
            </w:r>
          </w:p>
          <w:p>
            <w:pPr>
              <w:spacing w:after="40" w:before="60" w:line="259" w:lineRule="auto"/>
            </w:pPr>
            <w:r>
              <w:rPr>
                <w:rFonts w:ascii="Calibri" w:hAnsi="Calibri"/>
                <w:b w:val="0"/>
                <w:i w:val="0"/>
                <w:color w:val="212121"/>
                <w:sz w:val="19"/>
              </w:rPr>
              <w:t>Hyperkalemia is uncommon overall but occurs in up to 50% of premature infants.</w:t>
            </w:r>
          </w:p>
          <w:p>
            <w:pPr>
              <w:spacing w:after="40" w:line="252" w:lineRule="auto"/>
            </w:pPr>
            <w:hyperlink r:id="rId11">
              <w:r>
                <w:rPr>
                  <w:rFonts w:ascii="Calibri" w:hAnsi="Calibri" w:cs="Calibri"/>
                  <w:sz w:val="18"/>
                  <w:color w:val="1155CC"/>
                  <w:u w:val="single"/>
                </w:rPr>
                <w:t xml:space="preserve">ncbi.nlm.nih.gov — StatPearls: Hyperkalemia</w:t>
              </w:r>
            </w:hyperlink>
          </w:p>
          <w:p>
            <w:pPr>
              <w:spacing w:before="60" w:after="40"/>
            </w:pPr>
            <w:r>
              <w:rPr>
                <w:rFonts w:ascii="Calibri" w:hAnsi="Calibri"/>
                <w:b w:val="0"/>
                <w:i w:val="0"/>
                <w:color w:val="5A5A5A"/>
                <w:sz w:val="18"/>
              </w:rPr>
              <w:t>#paediatric  #hypernatremia  #diarrhoea  #hypocalcemia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(context-dependent)</w:t>
            </w:r>
          </w:p>
        </w:tc>
        <w:tc>
          <w:tcPr>
            <w:tcW w:type="dxa" w:w="4276"/>
            <w:vAlign w:val="top"/>
          </w:tcPr>
          <w:p>
            <w:pPr>
              <w:spacing w:after="60" w:line="259" w:lineRule="auto"/>
            </w:pPr>
            <w:r>
              <w:rPr>
                <w:rFonts w:ascii="Calibri" w:hAnsi="Calibri"/>
                <w:b w:val="0"/>
                <w:i w:val="0"/>
                <w:color w:val="212121"/>
                <w:sz w:val="19"/>
              </w:rPr>
              <w:t>Hospital cohorts show a slight male predominance among hyponatremia admissions, whereas women are more prone to thiazide-induced hyponatremia and to osmotic demyelination if sodium is over-corrected.</w:t>
            </w:r>
          </w:p>
          <w:p>
            <w:pPr>
              <w:spacing w:after="40" w:before="60" w:line="259" w:lineRule="auto"/>
            </w:pPr>
            <w:r>
              <w:rPr>
                <w:rFonts w:ascii="Calibri" w:hAnsi="Calibri"/>
                <w:b w:val="0"/>
                <w:i w:val="0"/>
                <w:color w:val="212121"/>
                <w:sz w:val="19"/>
              </w:rPr>
              <w:t>Males comprised 58.4% of patients with hyponatremia in a Mumbai tertiary-care study.</w:t>
            </w:r>
          </w:p>
          <w:p>
            <w:pPr>
              <w:spacing w:after="40" w:line="252" w:lineRule="auto"/>
            </w:pPr>
            <w:hyperlink r:id="rId9">
              <w:r>
                <w:rPr>
                  <w:rFonts w:ascii="Calibri" w:hAnsi="Calibri" w:cs="Calibri"/>
                  <w:sz w:val="18"/>
                  <w:color w:val="1155CC"/>
                  <w:u w:val="single"/>
                </w:rPr>
                <w:t xml:space="preserve">pubmed.ncbi.nlm.nih.gov/41613715</w:t>
              </w:r>
            </w:hyperlink>
          </w:p>
          <w:p>
            <w:pPr>
              <w:spacing w:before="60" w:after="40"/>
            </w:pPr>
            <w:r>
              <w:rPr>
                <w:rFonts w:ascii="Calibri" w:hAnsi="Calibri"/>
                <w:b w:val="0"/>
                <w:i w:val="0"/>
                <w:color w:val="5A5A5A"/>
                <w:sz w:val="18"/>
              </w:rPr>
              <w:t>#sex  #hyponatremia  #thiazide  #ODS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hospitalised &amp; ICU populations</w:t>
            </w:r>
          </w:p>
        </w:tc>
        <w:tc>
          <w:tcPr>
            <w:tcW w:type="dxa" w:w="4276"/>
            <w:vAlign w:val="top"/>
          </w:tcPr>
          <w:p>
            <w:pPr>
              <w:spacing w:after="60" w:line="259" w:lineRule="auto"/>
            </w:pPr>
            <w:r>
              <w:rPr>
                <w:rFonts w:ascii="Calibri" w:hAnsi="Calibri"/>
                <w:b w:val="0"/>
                <w:i w:val="0"/>
                <w:color w:val="212121"/>
                <w:sz w:val="19"/>
              </w:rPr>
              <w:t>A high burden of infections, diarrhoeal disease, chronic kidney disease, diuretic use and malnutrition makes dyselectrolytemia very common across Indian acute-care settings.</w:t>
            </w:r>
          </w:p>
          <w:p>
            <w:pPr>
              <w:spacing w:after="40" w:before="60" w:line="259" w:lineRule="auto"/>
            </w:pPr>
            <w:r>
              <w:rPr>
                <w:rFonts w:ascii="Calibri" w:hAnsi="Calibri"/>
                <w:b w:val="0"/>
                <w:i w:val="0"/>
                <w:color w:val="212121"/>
                <w:sz w:val="19"/>
              </w:rPr>
              <w:t>About 29.4% of adults admitted to a Mumbai tertiary-care hospital had hyponatremia; it is likewise a common disturbance in Indian critically ill patients.</w:t>
            </w:r>
          </w:p>
          <w:p>
            <w:pPr>
              <w:spacing w:after="40" w:line="252" w:lineRule="auto"/>
            </w:pPr>
            <w:hyperlink r:id="rId9">
              <w:r>
                <w:rPr>
                  <w:rFonts w:ascii="Calibri" w:hAnsi="Calibri" w:cs="Calibri"/>
                  <w:sz w:val="18"/>
                  <w:color w:val="1155CC"/>
                  <w:u w:val="single"/>
                </w:rPr>
                <w:t xml:space="preserve">pubmed.ncbi.nlm.nih.gov/41613715</w:t>
              </w:r>
            </w:hyperlink>
          </w:p>
          <w:p>
            <w:pPr>
              <w:spacing w:before="60" w:after="40"/>
            </w:pPr>
            <w:r>
              <w:rPr>
                <w:rFonts w:ascii="Calibri" w:hAnsi="Calibri"/>
                <w:b w:val="0"/>
                <w:i w:val="0"/>
                <w:color w:val="5A5A5A"/>
                <w:sz w:val="18"/>
              </w:rPr>
              <w:t>#India  #acutecare  #hyponatremia  #tertiarycare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Hot tropical regions of India</w:t>
            </w:r>
          </w:p>
        </w:tc>
        <w:tc>
          <w:tcPr>
            <w:tcW w:type="dxa" w:w="4276"/>
            <w:vAlign w:val="top"/>
          </w:tcPr>
          <w:p>
            <w:pPr>
              <w:spacing w:after="60" w:line="259" w:lineRule="auto"/>
            </w:pPr>
            <w:r>
              <w:rPr>
                <w:rFonts w:ascii="Calibri" w:hAnsi="Calibri"/>
                <w:b w:val="0"/>
                <w:i w:val="0"/>
                <w:color w:val="212121"/>
                <w:sz w:val="19"/>
              </w:rPr>
              <w:t>Heavy sweating and heat exposure cause combined salt-and-water loss; inadequate replacement produces hypernatremic dehydration, while replacing losses with plain water alone can cause heat-related hyponatremia.</w:t>
            </w:r>
          </w:p>
          <w:p>
            <w:pPr>
              <w:spacing w:after="40" w:before="60" w:line="259" w:lineRule="auto"/>
            </w:pPr>
            <w:r>
              <w:rPr>
                <w:rFonts w:ascii="Calibri" w:hAnsi="Calibri"/>
                <w:b w:val="0"/>
                <w:i w:val="0"/>
                <w:color w:val="212121"/>
                <w:sz w:val="19"/>
              </w:rPr>
              <w:t>A water deficit is the most common cause of hypernatremia.</w:t>
            </w:r>
          </w:p>
          <w:p>
            <w:pPr>
              <w:spacing w:after="40" w:line="252" w:lineRule="auto"/>
            </w:pPr>
            <w:hyperlink r:id="rId12">
              <w:r>
                <w:rPr>
                  <w:rFonts w:ascii="Calibri" w:hAnsi="Calibri" w:cs="Calibri"/>
                  <w:sz w:val="18"/>
                  <w:color w:val="1155CC"/>
                  <w:u w:val="single"/>
                </w:rPr>
                <w:t xml:space="preserve">ncbi.nlm.nih.gov — StatPearls: Hypernatremia</w:t>
              </w:r>
            </w:hyperlink>
          </w:p>
          <w:p>
            <w:pPr>
              <w:spacing w:before="60" w:after="40"/>
            </w:pPr>
            <w:r>
              <w:rPr>
                <w:rFonts w:ascii="Calibri" w:hAnsi="Calibri"/>
                <w:b w:val="0"/>
                <w:i w:val="0"/>
                <w:color w:val="5A5A5A"/>
                <w:sz w:val="18"/>
              </w:rPr>
              <w:t>#heat  #dehydration  #hypernatremia  #sweat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Sunlight &amp; nutrition</w:t>
            </w:r>
          </w:p>
        </w:tc>
        <w:tc>
          <w:tcPr>
            <w:tcW w:type="dxa" w:w="2160"/>
            <w:vAlign w:val="top"/>
          </w:tcPr>
          <w:p>
            <w:pPr>
              <w:spacing w:after="40" w:before="0" w:line="259" w:lineRule="auto"/>
            </w:pPr>
            <w:r>
              <w:rPr>
                <w:rFonts w:ascii="Calibri" w:hAnsi="Calibri"/>
                <w:b w:val="0"/>
                <w:i w:val="0"/>
                <w:color w:val="212121"/>
                <w:sz w:val="19"/>
              </w:rPr>
              <w:t>Low sun-exposure, vegetarian-predominant &amp; malnutrition-prone communities</w:t>
            </w:r>
          </w:p>
        </w:tc>
        <w:tc>
          <w:tcPr>
            <w:tcW w:type="dxa" w:w="4276"/>
            <w:vAlign w:val="top"/>
          </w:tcPr>
          <w:p>
            <w:pPr>
              <w:spacing w:after="60" w:line="259" w:lineRule="auto"/>
            </w:pPr>
            <w:r>
              <w:rPr>
                <w:rFonts w:ascii="Calibri" w:hAnsi="Calibri"/>
                <w:b w:val="0"/>
                <w:i w:val="0"/>
                <w:color w:val="212121"/>
                <w:sz w:val="19"/>
              </w:rPr>
              <w:t>Widespread vitamin-D deficiency and low dietary calcium in India predispose to hypocalcemia, particularly in infants, pregnant and lactating women and the malnourished.</w:t>
            </w:r>
          </w:p>
          <w:p>
            <w:pPr>
              <w:spacing w:after="40" w:before="60" w:line="259" w:lineRule="auto"/>
            </w:pPr>
            <w:r>
              <w:rPr>
                <w:rFonts w:ascii="Calibri" w:hAnsi="Calibri"/>
                <w:b w:val="0"/>
                <w:i w:val="0"/>
                <w:color w:val="212121"/>
                <w:sz w:val="19"/>
              </w:rPr>
              <w:t>Vitamin-D deficiency reached 74% in North-Indian infants and 85.5% in their mothers; hypocalcemia was found in ~26% of severely malnourished Indian children.</w:t>
            </w:r>
          </w:p>
          <w:p>
            <w:pPr>
              <w:spacing w:after="40" w:line="252" w:lineRule="auto"/>
            </w:pPr>
            <w:hyperlink r:id="rId13">
              <w:r>
                <w:rPr>
                  <w:rFonts w:ascii="Calibri" w:hAnsi="Calibri" w:cs="Calibri"/>
                  <w:sz w:val="18"/>
                  <w:color w:val="1155CC"/>
                  <w:u w:val="single"/>
                </w:rPr>
                <w:t xml:space="preserve">pubmed.ncbi.nlm.nih.gov/33304688</w:t>
              </w:r>
            </w:hyperlink>
          </w:p>
          <w:p>
            <w:pPr>
              <w:spacing w:before="60" w:after="40"/>
            </w:pPr>
            <w:r>
              <w:rPr>
                <w:rFonts w:ascii="Calibri" w:hAnsi="Calibri"/>
                <w:b w:val="0"/>
                <w:i w:val="0"/>
                <w:color w:val="5A5A5A"/>
                <w:sz w:val="18"/>
              </w:rPr>
              <w:t>#vitaminD  #hypocalcemia  #India  #malnutrition  #rickets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immobile</w:t>
            </w:r>
          </w:p>
        </w:tc>
        <w:tc>
          <w:tcPr>
            <w:tcW w:type="dxa" w:w="2160"/>
            <w:vAlign w:val="top"/>
          </w:tcPr>
          <w:p>
            <w:pPr>
              <w:spacing w:after="40" w:before="0" w:line="259" w:lineRule="auto"/>
            </w:pPr>
            <w:r>
              <w:rPr>
                <w:rFonts w:ascii="Calibri" w:hAnsi="Calibri"/>
                <w:b w:val="0"/>
                <w:i w:val="0"/>
                <w:color w:val="212121"/>
                <w:sz w:val="19"/>
              </w:rPr>
              <w:t>Bedridden, ICU &amp; post-operative patients</w:t>
            </w:r>
          </w:p>
        </w:tc>
        <w:tc>
          <w:tcPr>
            <w:tcW w:type="dxa" w:w="4276"/>
            <w:vAlign w:val="top"/>
          </w:tcPr>
          <w:p>
            <w:pPr>
              <w:spacing w:after="60" w:line="259" w:lineRule="auto"/>
            </w:pPr>
            <w:r>
              <w:rPr>
                <w:rFonts w:ascii="Calibri" w:hAnsi="Calibri"/>
                <w:b w:val="0"/>
                <w:i w:val="0"/>
                <w:color w:val="212121"/>
                <w:sz w:val="19"/>
              </w:rPr>
              <w:t>Immobility, intravenous fluid therapy, surgical drains and multiple drug exposures cluster electrolyte losses, and critical illness itself drives hypomagnesemia, hypocalcemia and dysnatremia.</w:t>
            </w:r>
          </w:p>
          <w:p>
            <w:pPr>
              <w:spacing w:after="40" w:before="60" w:line="259" w:lineRule="auto"/>
            </w:pPr>
            <w:r>
              <w:rPr>
                <w:rFonts w:ascii="Calibri" w:hAnsi="Calibri"/>
                <w:b w:val="0"/>
                <w:i w:val="0"/>
                <w:color w:val="212121"/>
                <w:sz w:val="19"/>
              </w:rPr>
              <w:t>Hypomagnesemia affects up to ~65% of critically ill patients.</w:t>
            </w:r>
          </w:p>
          <w:p>
            <w:pPr>
              <w:spacing w:after="40" w:line="252" w:lineRule="auto"/>
            </w:pPr>
            <w:hyperlink r:id="rId14">
              <w:r>
                <w:rPr>
                  <w:rFonts w:ascii="Calibri" w:hAnsi="Calibri" w:cs="Calibri"/>
                  <w:sz w:val="18"/>
                  <w:color w:val="1155CC"/>
                  <w:u w:val="single"/>
                </w:rPr>
                <w:t xml:space="preserve">ncbi.nlm.nih.gov — StatPearls: Hypomagnesemia</w:t>
              </w:r>
            </w:hyperlink>
          </w:p>
          <w:p>
            <w:pPr>
              <w:spacing w:before="60" w:after="40"/>
            </w:pPr>
            <w:r>
              <w:rPr>
                <w:rFonts w:ascii="Calibri" w:hAnsi="Calibri"/>
                <w:b w:val="0"/>
                <w:i w:val="0"/>
                <w:color w:val="5A5A5A"/>
                <w:sz w:val="18"/>
              </w:rPr>
              <w:t>#ICU  #immobile  #hypomagnesemia  #postop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Alcohol causes renal magnesium, potassium and phosphate wasting and poor intake, and a high-fluid low-solute pattern ('beer potomania') produces dilutional hyponatremia; hypomagnesemia in turn causes refractory hypokalemia and hypocalcemia.</w:t>
            </w:r>
          </w:p>
          <w:p>
            <w:pPr>
              <w:spacing w:after="40" w:before="60" w:line="259" w:lineRule="auto"/>
            </w:pPr>
            <w:r>
              <w:rPr>
                <w:rFonts w:ascii="Calibri" w:hAnsi="Calibri"/>
                <w:b w:val="0"/>
                <w:i w:val="0"/>
                <w:color w:val="212121"/>
                <w:sz w:val="19"/>
              </w:rPr>
              <w:t>Hypomagnesemia occurs in roughly 30% of people with chronic alcohol-use disorder.</w:t>
            </w:r>
          </w:p>
          <w:p>
            <w:pPr>
              <w:spacing w:after="40" w:line="252" w:lineRule="auto"/>
            </w:pPr>
            <w:hyperlink r:id="rId14">
              <w:r>
                <w:rPr>
                  <w:rFonts w:ascii="Calibri" w:hAnsi="Calibri" w:cs="Calibri"/>
                  <w:sz w:val="18"/>
                  <w:color w:val="1155CC"/>
                  <w:u w:val="single"/>
                </w:rPr>
                <w:t xml:space="preserve">ncbi.nlm.nih.gov — StatPearls: Hypomagnesemia</w:t>
              </w:r>
            </w:hyperlink>
          </w:p>
          <w:p>
            <w:pPr>
              <w:spacing w:before="60" w:after="40"/>
            </w:pPr>
            <w:r>
              <w:rPr>
                <w:rFonts w:ascii="Calibri" w:hAnsi="Calibri"/>
                <w:b w:val="0"/>
                <w:i w:val="0"/>
                <w:color w:val="5A5A5A"/>
                <w:sz w:val="18"/>
              </w:rPr>
              <w:t>#alcohol  #hypomagnesemia  #hypokalemia  #potomania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Long-term smokers</w:t>
            </w:r>
          </w:p>
        </w:tc>
        <w:tc>
          <w:tcPr>
            <w:tcW w:type="dxa" w:w="4276"/>
            <w:vAlign w:val="top"/>
          </w:tcPr>
          <w:p>
            <w:pPr>
              <w:spacing w:after="60" w:line="259" w:lineRule="auto"/>
            </w:pPr>
            <w:r>
              <w:rPr>
                <w:rFonts w:ascii="Calibri" w:hAnsi="Calibri"/>
                <w:b w:val="0"/>
                <w:i w:val="0"/>
                <w:color w:val="212121"/>
                <w:sz w:val="19"/>
              </w:rPr>
              <w:t>Nicotine stimulates ADH release and can contribute to mild hyponatremia, and smoking-related small-cell lung carcinoma is a classic cause of SIADH with hyponatremia.</w:t>
            </w:r>
          </w:p>
          <w:p>
            <w:pPr>
              <w:spacing w:after="40" w:before="60" w:line="259" w:lineRule="auto"/>
            </w:pPr>
            <w:r>
              <w:rPr>
                <w:rFonts w:ascii="Calibri" w:hAnsi="Calibri"/>
                <w:b w:val="0"/>
                <w:i w:val="0"/>
                <w:color w:val="212121"/>
                <w:sz w:val="19"/>
              </w:rPr>
              <w:t>SIADH is among the most common causes of hyponatremia.</w:t>
            </w:r>
          </w:p>
          <w:p>
            <w:pPr>
              <w:spacing w:after="40" w:line="252" w:lineRule="auto"/>
            </w:pPr>
            <w:hyperlink r:id="rId10">
              <w:r>
                <w:rPr>
                  <w:rFonts w:ascii="Calibri" w:hAnsi="Calibri" w:cs="Calibri"/>
                  <w:sz w:val="18"/>
                  <w:color w:val="1155CC"/>
                  <w:u w:val="single"/>
                </w:rPr>
                <w:t xml:space="preserve">ncbi.nlm.nih.gov — StatPearls: Hyponatremia</w:t>
              </w:r>
            </w:hyperlink>
          </w:p>
          <w:p>
            <w:pPr>
              <w:spacing w:before="60" w:after="40"/>
            </w:pPr>
            <w:r>
              <w:rPr>
                <w:rFonts w:ascii="Calibri" w:hAnsi="Calibri"/>
                <w:b w:val="0"/>
                <w:i w:val="0"/>
                <w:color w:val="5A5A5A"/>
                <w:sz w:val="18"/>
              </w:rPr>
              <w:t>#smoking  #SIADH  #hyponatremia  #SCLC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activity</w:t>
            </w:r>
          </w:p>
        </w:tc>
        <w:tc>
          <w:tcPr>
            <w:tcW w:type="dxa" w:w="2160"/>
            <w:vAlign w:val="top"/>
          </w:tcPr>
          <w:p>
            <w:pPr>
              <w:spacing w:after="40" w:before="0" w:line="259" w:lineRule="auto"/>
            </w:pPr>
            <w:r>
              <w:rPr>
                <w:rFonts w:ascii="Calibri" w:hAnsi="Calibri"/>
                <w:b w:val="0"/>
                <w:i w:val="0"/>
                <w:color w:val="212121"/>
                <w:sz w:val="19"/>
              </w:rPr>
              <w:t>Endurance athletes &amp; heavy outdoor labourers</w:t>
            </w:r>
          </w:p>
        </w:tc>
        <w:tc>
          <w:tcPr>
            <w:tcW w:type="dxa" w:w="4276"/>
            <w:vAlign w:val="top"/>
          </w:tcPr>
          <w:p>
            <w:pPr>
              <w:spacing w:after="60" w:line="259" w:lineRule="auto"/>
            </w:pPr>
            <w:r>
              <w:rPr>
                <w:rFonts w:ascii="Calibri" w:hAnsi="Calibri"/>
                <w:b w:val="0"/>
                <w:i w:val="0"/>
                <w:color w:val="212121"/>
                <w:sz w:val="19"/>
              </w:rPr>
              <w:t>Prolonged exertion in heat with large sweat losses replaced by excess hypotonic fluid causes exercise-associated hyponatremia, whereas inadequate replacement produces hypernatremic dehydration.</w:t>
            </w:r>
          </w:p>
          <w:p>
            <w:pPr>
              <w:spacing w:after="40" w:before="60" w:line="259" w:lineRule="auto"/>
            </w:pPr>
            <w:r>
              <w:rPr>
                <w:rFonts w:ascii="Calibri" w:hAnsi="Calibri"/>
                <w:b w:val="0"/>
                <w:i w:val="0"/>
                <w:color w:val="212121"/>
                <w:sz w:val="19"/>
              </w:rPr>
              <w:t>Drinking to thirst rather than on a fixed schedule and including electrolytes reduces the risk of exercise-associated hyponatremia.</w:t>
            </w:r>
          </w:p>
          <w:p>
            <w:pPr>
              <w:spacing w:before="60" w:after="40"/>
            </w:pPr>
            <w:r>
              <w:rPr>
                <w:rFonts w:ascii="Calibri" w:hAnsi="Calibri"/>
                <w:b w:val="0"/>
                <w:i w:val="0"/>
                <w:color w:val="5A5A5A"/>
                <w:sz w:val="18"/>
              </w:rPr>
              <w:t>#exercise  #EAH  #hyponatremia  #sweat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 fruit-and-vegetable, high-refined-carbohydrate diets</w:t>
            </w:r>
          </w:p>
        </w:tc>
        <w:tc>
          <w:tcPr>
            <w:tcW w:type="dxa" w:w="4276"/>
            <w:vAlign w:val="top"/>
          </w:tcPr>
          <w:p>
            <w:pPr>
              <w:spacing w:after="60" w:line="259" w:lineRule="auto"/>
            </w:pPr>
            <w:r>
              <w:rPr>
                <w:rFonts w:ascii="Calibri" w:hAnsi="Calibri"/>
                <w:b w:val="0"/>
                <w:i w:val="0"/>
                <w:color w:val="212121"/>
                <w:sz w:val="19"/>
              </w:rPr>
              <w:t>Diets low in potassium and magnesium predispose to hypokalemia and hypomagnesemia, while salted, preserved and ultra-processed foods add an excess sodium load.</w:t>
            </w:r>
          </w:p>
          <w:p>
            <w:pPr>
              <w:spacing w:after="40" w:before="60" w:line="259" w:lineRule="auto"/>
            </w:pPr>
            <w:r>
              <w:rPr>
                <w:rFonts w:ascii="Calibri" w:hAnsi="Calibri"/>
                <w:b w:val="0"/>
                <w:i w:val="0"/>
                <w:color w:val="212121"/>
                <w:sz w:val="19"/>
              </w:rPr>
              <w:t>WHO recommends less than 2000 mg sodium (&lt; 5 g salt) per day for adults.</w:t>
            </w:r>
          </w:p>
          <w:p>
            <w:pPr>
              <w:spacing w:after="40" w:line="252" w:lineRule="auto"/>
            </w:pPr>
            <w:hyperlink r:id="rId15">
              <w:r>
                <w:rPr>
                  <w:rFonts w:ascii="Calibri" w:hAnsi="Calibri" w:cs="Calibri"/>
                  <w:sz w:val="18"/>
                  <w:color w:val="1155CC"/>
                  <w:u w:val="single"/>
                </w:rPr>
                <w:t xml:space="preserve">who.int — salt reduction</w:t>
              </w:r>
            </w:hyperlink>
          </w:p>
          <w:p>
            <w:pPr>
              <w:spacing w:before="60" w:after="40"/>
            </w:pPr>
            <w:r>
              <w:rPr>
                <w:rFonts w:ascii="Calibri" w:hAnsi="Calibri"/>
                <w:b w:val="0"/>
                <w:i w:val="0"/>
                <w:color w:val="5A5A5A"/>
                <w:sz w:val="18"/>
              </w:rPr>
              <w:t>#diet  #potassium  #magnesium  #salt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Refeeding</w:t>
            </w:r>
          </w:p>
        </w:tc>
        <w:tc>
          <w:tcPr>
            <w:tcW w:type="dxa" w:w="2160"/>
            <w:vAlign w:val="top"/>
          </w:tcPr>
          <w:p>
            <w:pPr>
              <w:spacing w:after="40" w:before="0" w:line="259" w:lineRule="auto"/>
            </w:pPr>
            <w:r>
              <w:rPr>
                <w:rFonts w:ascii="Calibri" w:hAnsi="Calibri"/>
                <w:b w:val="0"/>
                <w:i w:val="0"/>
                <w:color w:val="212121"/>
                <w:sz w:val="19"/>
              </w:rPr>
              <w:t>Previously malnourished or fasting patients being re-fed</w:t>
            </w:r>
          </w:p>
        </w:tc>
        <w:tc>
          <w:tcPr>
            <w:tcW w:type="dxa" w:w="4276"/>
            <w:vAlign w:val="top"/>
          </w:tcPr>
          <w:p>
            <w:pPr>
              <w:spacing w:after="60" w:line="259" w:lineRule="auto"/>
            </w:pPr>
            <w:r>
              <w:rPr>
                <w:rFonts w:ascii="Calibri" w:hAnsi="Calibri"/>
                <w:b w:val="0"/>
                <w:i w:val="0"/>
                <w:color w:val="212121"/>
                <w:sz w:val="19"/>
              </w:rPr>
              <w:t>Reintroducing carbohydrate drives insulin-mediated cellular uptake of potassium, magnesium and phosphate, precipitating the potentially fatal shifts of refeeding syndrome.</w:t>
            </w:r>
          </w:p>
          <w:p>
            <w:pPr>
              <w:spacing w:after="40" w:before="60" w:line="259" w:lineRule="auto"/>
            </w:pPr>
            <w:r>
              <w:rPr>
                <w:rFonts w:ascii="Calibri" w:hAnsi="Calibri"/>
                <w:b w:val="0"/>
                <w:i w:val="0"/>
                <w:color w:val="212121"/>
                <w:sz w:val="19"/>
              </w:rPr>
              <w:t>Severely malnourished patients — for example tuberculosis patients in India — are at recognised risk of refeeding-syndrome electrolyte shifts.</w:t>
            </w:r>
          </w:p>
          <w:p>
            <w:pPr>
              <w:spacing w:after="40" w:line="252" w:lineRule="auto"/>
            </w:pPr>
            <w:hyperlink r:id="rId16">
              <w:r>
                <w:rPr>
                  <w:rFonts w:ascii="Calibri" w:hAnsi="Calibri" w:cs="Calibri"/>
                  <w:sz w:val="18"/>
                  <w:color w:val="1155CC"/>
                  <w:u w:val="single"/>
                </w:rPr>
                <w:t xml:space="preserve">pubmed.ncbi.nlm.nih.gov/32553304</w:t>
              </w:r>
            </w:hyperlink>
          </w:p>
          <w:p>
            <w:pPr>
              <w:spacing w:before="60" w:after="40"/>
            </w:pPr>
            <w:r>
              <w:rPr>
                <w:rFonts w:ascii="Calibri" w:hAnsi="Calibri"/>
                <w:b w:val="0"/>
                <w:i w:val="0"/>
                <w:color w:val="5A5A5A"/>
                <w:sz w:val="18"/>
              </w:rPr>
              <w:t>#refeeding  #hypophosphatemia  #hypokalemia  #malnutrition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Inherited tubulopathies &amp; channelopathies</w:t>
            </w:r>
          </w:p>
        </w:tc>
        <w:tc>
          <w:tcPr>
            <w:tcW w:type="dxa" w:w="4276"/>
            <w:vAlign w:val="top"/>
          </w:tcPr>
          <w:p>
            <w:pPr>
              <w:spacing w:after="60" w:line="259" w:lineRule="auto"/>
            </w:pPr>
            <w:r>
              <w:rPr>
                <w:rFonts w:ascii="Calibri" w:hAnsi="Calibri"/>
                <w:b w:val="0"/>
                <w:i w:val="0"/>
                <w:color w:val="212121"/>
                <w:sz w:val="19"/>
              </w:rPr>
              <w:t>Gitelman and Bartter syndromes (hypokalemia, hypomagnesemia, metabolic alkalosis), familial hypocalciuric hypercalcemia, hereditary nephrogenic diabetes insipidus (hypernatremia) and familial hypoparathyroidism cause recurrent, often early-onset electrolyte disorders.</w:t>
            </w:r>
          </w:p>
          <w:p>
            <w:pPr>
              <w:spacing w:after="40" w:before="60" w:line="259" w:lineRule="auto"/>
            </w:pPr>
            <w:r>
              <w:rPr>
                <w:rFonts w:ascii="Calibri" w:hAnsi="Calibri"/>
                <w:b w:val="0"/>
                <w:i w:val="0"/>
                <w:color w:val="212121"/>
                <w:sz w:val="19"/>
              </w:rPr>
              <w:t>Suspect an inherited tubulopathy in young patients with persistent, unexplained hypokalemia and hypomagnesemia despite adequate intake.</w:t>
            </w:r>
          </w:p>
          <w:p>
            <w:pPr>
              <w:spacing w:before="60" w:after="40"/>
            </w:pPr>
            <w:r>
              <w:rPr>
                <w:rFonts w:ascii="Calibri" w:hAnsi="Calibri"/>
                <w:b w:val="0"/>
                <w:i w:val="0"/>
                <w:color w:val="5A5A5A"/>
                <w:sz w:val="18"/>
              </w:rPr>
              <w:t>#Gitelman  #Bartter  #tubulopathy  #inherited  #channelopathy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CKD / AKI</w:t>
            </w:r>
          </w:p>
        </w:tc>
        <w:tc>
          <w:tcPr>
            <w:tcW w:type="dxa" w:w="4276"/>
            <w:vAlign w:val="top"/>
          </w:tcPr>
          <w:p>
            <w:pPr>
              <w:spacing w:after="60" w:line="259" w:lineRule="auto"/>
            </w:pPr>
            <w:r>
              <w:rPr>
                <w:rFonts w:ascii="Calibri" w:hAnsi="Calibri"/>
                <w:b w:val="0"/>
                <w:i w:val="0"/>
                <w:color w:val="212121"/>
                <w:sz w:val="19"/>
              </w:rPr>
              <w:t>Failing kidneys under-excrete potassium, phosphate and acid and mishandle sodium and water — CKD is the leading cause of chronic hyperkalemia, hyperphosphataemic hypocalcemia and dysnatremia.</w:t>
            </w:r>
          </w:p>
          <w:p>
            <w:pPr>
              <w:spacing w:after="40" w:before="60" w:line="259" w:lineRule="auto"/>
            </w:pPr>
            <w:r>
              <w:rPr>
                <w:rFonts w:ascii="Calibri" w:hAnsi="Calibri"/>
                <w:b w:val="0"/>
                <w:i w:val="0"/>
                <w:color w:val="212121"/>
                <w:sz w:val="19"/>
              </w:rPr>
              <w:t>Dyskalemia (both hyper- and hypokalemia) is common and prognostically important in kidney disease (KDIGO), and dyskalemias in acute kidney injury independently predict adverse outcomes.</w:t>
            </w:r>
          </w:p>
          <w:p>
            <w:pPr>
              <w:spacing w:after="40" w:line="252" w:lineRule="auto"/>
            </w:pPr>
            <w:hyperlink r:id="rId17">
              <w:r>
                <w:rPr>
                  <w:rFonts w:ascii="Calibri" w:hAnsi="Calibri" w:cs="Calibri"/>
                  <w:sz w:val="18"/>
                  <w:color w:val="1155CC"/>
                  <w:u w:val="single"/>
                </w:rPr>
                <w:t xml:space="preserve">pubmed.ncbi.nlm.nih.gov/31706619</w:t>
              </w:r>
            </w:hyperlink>
          </w:p>
          <w:p>
            <w:pPr>
              <w:spacing w:before="60" w:after="40"/>
            </w:pPr>
            <w:r>
              <w:rPr>
                <w:rFonts w:ascii="Calibri" w:hAnsi="Calibri"/>
                <w:b w:val="0"/>
                <w:i w:val="0"/>
                <w:color w:val="5A5A5A"/>
                <w:sz w:val="18"/>
              </w:rPr>
              <w:t>#CKD  #hyperkalemia  #hypocalcemia  #dyskalemia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Heart failure</w:t>
            </w:r>
          </w:p>
        </w:tc>
        <w:tc>
          <w:tcPr>
            <w:tcW w:type="dxa" w:w="2160"/>
            <w:vAlign w:val="top"/>
          </w:tcPr>
          <w:p>
            <w:pPr>
              <w:spacing w:after="40" w:before="0" w:line="259" w:lineRule="auto"/>
            </w:pPr>
            <w:r>
              <w:rPr>
                <w:rFonts w:ascii="Calibri" w:hAnsi="Calibri"/>
                <w:b w:val="0"/>
                <w:i w:val="0"/>
                <w:color w:val="212121"/>
                <w:sz w:val="19"/>
              </w:rPr>
              <w:t>Patients with heart failure on diuretics</w:t>
            </w:r>
          </w:p>
        </w:tc>
        <w:tc>
          <w:tcPr>
            <w:tcW w:type="dxa" w:w="4276"/>
            <w:vAlign w:val="top"/>
          </w:tcPr>
          <w:p>
            <w:pPr>
              <w:spacing w:after="60" w:line="259" w:lineRule="auto"/>
            </w:pPr>
            <w:r>
              <w:rPr>
                <w:rFonts w:ascii="Calibri" w:hAnsi="Calibri"/>
                <w:b w:val="0"/>
                <w:i w:val="0"/>
                <w:color w:val="212121"/>
                <w:sz w:val="19"/>
              </w:rPr>
              <w:t>Neurohormonal activation and diuretic therapy cause hypervolemic (dilutional) hyponatremia — a marker of severity — together with both hypo- and hyperkalemia.</w:t>
            </w:r>
          </w:p>
          <w:p>
            <w:pPr>
              <w:spacing w:after="40" w:before="60" w:line="259" w:lineRule="auto"/>
            </w:pPr>
            <w:r>
              <w:rPr>
                <w:rFonts w:ascii="Calibri" w:hAnsi="Calibri"/>
                <w:b w:val="0"/>
                <w:i w:val="0"/>
                <w:color w:val="212121"/>
                <w:sz w:val="19"/>
              </w:rPr>
              <w:t>Dyskalemia is frequent in heart failure and is independently associated with worse outcomes.</w:t>
            </w:r>
          </w:p>
          <w:p>
            <w:pPr>
              <w:spacing w:after="40" w:line="252" w:lineRule="auto"/>
            </w:pPr>
            <w:hyperlink r:id="rId18">
              <w:r>
                <w:rPr>
                  <w:rFonts w:ascii="Calibri" w:hAnsi="Calibri" w:cs="Calibri"/>
                  <w:sz w:val="18"/>
                  <w:color w:val="1155CC"/>
                  <w:u w:val="single"/>
                </w:rPr>
                <w:t xml:space="preserve">pubmed.ncbi.nlm.nih.gov/30553905</w:t>
              </w:r>
            </w:hyperlink>
          </w:p>
          <w:p>
            <w:pPr>
              <w:spacing w:before="60" w:after="40"/>
            </w:pPr>
            <w:r>
              <w:rPr>
                <w:rFonts w:ascii="Calibri" w:hAnsi="Calibri"/>
                <w:b w:val="0"/>
                <w:i w:val="0"/>
                <w:color w:val="5A5A5A"/>
                <w:sz w:val="18"/>
              </w:rPr>
              <w:t>#heartfailure  #hyponatremia  #dyskalemia  #diuretics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Cirrhosis / liver disease</w:t>
            </w:r>
          </w:p>
        </w:tc>
        <w:tc>
          <w:tcPr>
            <w:tcW w:type="dxa" w:w="2160"/>
            <w:vAlign w:val="top"/>
          </w:tcPr>
          <w:p>
            <w:pPr>
              <w:spacing w:after="40" w:before="0" w:line="259" w:lineRule="auto"/>
            </w:pPr>
            <w:r>
              <w:rPr>
                <w:rFonts w:ascii="Calibri" w:hAnsi="Calibri"/>
                <w:b w:val="0"/>
                <w:i w:val="0"/>
                <w:color w:val="212121"/>
                <w:sz w:val="19"/>
              </w:rPr>
              <w:t>Patients with chronic liver disease</w:t>
            </w:r>
          </w:p>
        </w:tc>
        <w:tc>
          <w:tcPr>
            <w:tcW w:type="dxa" w:w="4276"/>
            <w:vAlign w:val="top"/>
          </w:tcPr>
          <w:p>
            <w:pPr>
              <w:spacing w:after="60" w:line="259" w:lineRule="auto"/>
            </w:pPr>
            <w:r>
              <w:rPr>
                <w:rFonts w:ascii="Calibri" w:hAnsi="Calibri"/>
                <w:b w:val="0"/>
                <w:i w:val="0"/>
                <w:color w:val="212121"/>
                <w:sz w:val="19"/>
              </w:rPr>
              <w:t>Splanchnic vasodilation and secondary hyperaldosteronism cause water retention and dilutional (hypervolemic) hyponatremia, and diuretic therapy adds hypokalemia and hypomagnesemia.</w:t>
            </w:r>
          </w:p>
          <w:p>
            <w:pPr>
              <w:spacing w:after="40" w:before="60" w:line="259" w:lineRule="auto"/>
            </w:pPr>
            <w:r>
              <w:rPr>
                <w:rFonts w:ascii="Calibri" w:hAnsi="Calibri"/>
                <w:b w:val="0"/>
                <w:i w:val="0"/>
                <w:color w:val="212121"/>
                <w:sz w:val="19"/>
              </w:rPr>
              <w:t>Liver disease accounted for about 13.7% of hyponatremia cases in a Mumbai tertiary-care cohort.</w:t>
            </w:r>
          </w:p>
          <w:p>
            <w:pPr>
              <w:spacing w:after="40" w:line="252" w:lineRule="auto"/>
            </w:pPr>
            <w:hyperlink r:id="rId9">
              <w:r>
                <w:rPr>
                  <w:rFonts w:ascii="Calibri" w:hAnsi="Calibri" w:cs="Calibri"/>
                  <w:sz w:val="18"/>
                  <w:color w:val="1155CC"/>
                  <w:u w:val="single"/>
                </w:rPr>
                <w:t xml:space="preserve">pubmed.ncbi.nlm.nih.gov/41613715</w:t>
              </w:r>
            </w:hyperlink>
          </w:p>
          <w:p>
            <w:pPr>
              <w:spacing w:before="60" w:after="40"/>
            </w:pPr>
            <w:r>
              <w:rPr>
                <w:rFonts w:ascii="Calibri" w:hAnsi="Calibri"/>
                <w:b w:val="0"/>
                <w:i w:val="0"/>
                <w:color w:val="5A5A5A"/>
                <w:sz w:val="18"/>
              </w:rPr>
              <w:t>#cirrhosis  #hyponatremia  #hyperaldosteronism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SIADH &amp; endocrine disorders</w:t>
            </w:r>
          </w:p>
        </w:tc>
        <w:tc>
          <w:tcPr>
            <w:tcW w:type="dxa" w:w="2160"/>
            <w:vAlign w:val="top"/>
          </w:tcPr>
          <w:p>
            <w:pPr>
              <w:spacing w:after="40" w:before="0" w:line="259" w:lineRule="auto"/>
            </w:pPr>
            <w:r>
              <w:rPr>
                <w:rFonts w:ascii="Calibri" w:hAnsi="Calibri"/>
                <w:b w:val="0"/>
                <w:i w:val="0"/>
                <w:color w:val="212121"/>
                <w:sz w:val="19"/>
              </w:rPr>
              <w:t>SIADH, adrenal insufficiency, hypothyroidism, hyperaldosteronism</w:t>
            </w:r>
          </w:p>
        </w:tc>
        <w:tc>
          <w:tcPr>
            <w:tcW w:type="dxa" w:w="4276"/>
            <w:vAlign w:val="top"/>
          </w:tcPr>
          <w:p>
            <w:pPr>
              <w:spacing w:after="60" w:line="259" w:lineRule="auto"/>
            </w:pPr>
            <w:r>
              <w:rPr>
                <w:rFonts w:ascii="Calibri" w:hAnsi="Calibri"/>
                <w:b w:val="0"/>
                <w:i w:val="0"/>
                <w:color w:val="212121"/>
                <w:sz w:val="19"/>
              </w:rPr>
              <w:t>SIADH causes euvolemic hyponatremia; adrenal insufficiency causes hyponatremia with hyperkalemia; hypothyroidism causes hyponatremia; and hyperaldosteronism causes hypokalemia.</w:t>
            </w:r>
          </w:p>
          <w:p>
            <w:pPr>
              <w:spacing w:after="40" w:before="60" w:line="259" w:lineRule="auto"/>
            </w:pPr>
            <w:r>
              <w:rPr>
                <w:rFonts w:ascii="Calibri" w:hAnsi="Calibri"/>
                <w:b w:val="0"/>
                <w:i w:val="0"/>
                <w:color w:val="212121"/>
                <w:sz w:val="19"/>
              </w:rPr>
              <w:t>SIADH underlay ~13.1% and endocrine disorders ~13.4% of hyponatremia cases in a Mumbai cohort.</w:t>
            </w:r>
          </w:p>
          <w:p>
            <w:pPr>
              <w:spacing w:after="40" w:line="252" w:lineRule="auto"/>
            </w:pPr>
            <w:hyperlink r:id="rId9">
              <w:r>
                <w:rPr>
                  <w:rFonts w:ascii="Calibri" w:hAnsi="Calibri" w:cs="Calibri"/>
                  <w:sz w:val="18"/>
                  <w:color w:val="1155CC"/>
                  <w:u w:val="single"/>
                </w:rPr>
                <w:t xml:space="preserve">pubmed.ncbi.nlm.nih.gov/41613715</w:t>
              </w:r>
            </w:hyperlink>
          </w:p>
          <w:p>
            <w:pPr>
              <w:spacing w:before="60" w:after="40"/>
            </w:pPr>
            <w:r>
              <w:rPr>
                <w:rFonts w:ascii="Calibri" w:hAnsi="Calibri"/>
                <w:b w:val="0"/>
                <w:i w:val="0"/>
                <w:color w:val="5A5A5A"/>
                <w:sz w:val="18"/>
              </w:rPr>
              <w:t>#SIADH  #endocrine  #hyponatremia  #adrenal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 / DKA</w:t>
            </w:r>
          </w:p>
        </w:tc>
        <w:tc>
          <w:tcPr>
            <w:tcW w:type="dxa" w:w="2160"/>
            <w:vAlign w:val="top"/>
          </w:tcPr>
          <w:p>
            <w:pPr>
              <w:spacing w:after="40" w:before="0" w:line="259" w:lineRule="auto"/>
            </w:pPr>
            <w:r>
              <w:rPr>
                <w:rFonts w:ascii="Calibri" w:hAnsi="Calibri"/>
                <w:b w:val="0"/>
                <w:i w:val="0"/>
                <w:color w:val="212121"/>
                <w:sz w:val="19"/>
              </w:rPr>
              <w:t>Patients with diabetes, especially in DKA</w:t>
            </w:r>
          </w:p>
        </w:tc>
        <w:tc>
          <w:tcPr>
            <w:tcW w:type="dxa" w:w="4276"/>
            <w:vAlign w:val="top"/>
          </w:tcPr>
          <w:p>
            <w:pPr>
              <w:spacing w:after="60" w:line="259" w:lineRule="auto"/>
            </w:pPr>
            <w:r>
              <w:rPr>
                <w:rFonts w:ascii="Calibri" w:hAnsi="Calibri"/>
                <w:b w:val="0"/>
                <w:i w:val="0"/>
                <w:color w:val="212121"/>
                <w:sz w:val="19"/>
              </w:rPr>
              <w:t>Hyperglycaemia causes osmotic diuresis and translocational (pseudo)hyponatremia, while diabetic ketoacidosis and its insulin treatment cause large potassium, magnesium and phosphate shifts.</w:t>
            </w:r>
          </w:p>
          <w:p>
            <w:pPr>
              <w:spacing w:after="40" w:before="60" w:line="259" w:lineRule="auto"/>
            </w:pPr>
            <w:r>
              <w:rPr>
                <w:rFonts w:ascii="Calibri" w:hAnsi="Calibri"/>
                <w:b w:val="0"/>
                <w:i w:val="0"/>
                <w:color w:val="212121"/>
                <w:sz w:val="19"/>
              </w:rPr>
              <w:t>Serum sodium falls by roughly 1.6–2.4 mEq/L for every 100 mg/dL rise in glucose (translocational hyponatremia), and potassium must be monitored closely during insulin therapy for DKA.</w:t>
            </w:r>
          </w:p>
          <w:p>
            <w:pPr>
              <w:spacing w:before="60" w:after="40"/>
            </w:pPr>
            <w:r>
              <w:rPr>
                <w:rFonts w:ascii="Calibri" w:hAnsi="Calibri"/>
                <w:b w:val="0"/>
                <w:i w:val="0"/>
                <w:color w:val="5A5A5A"/>
                <w:sz w:val="18"/>
              </w:rPr>
              <w:t>#diabetes  #DKA  #potassium  #osmoticdiuresis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endurance exercise or heavy outdoor labour in heat causes large sodium and water sweat losses; replacing them with excess hypotonic fluid causes exercise-associated hyponatremia, while inadequate replacement causes hypernatremic dehydration. Immobility also contributes to disturbances in hospitalised patients.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Dietary intake of sodium, potassium, calcium and magnesium directly determines balance. Low-potassium and low-magnesium diets and refeeding of the malnourished precipitate deficiencies, high-salt intake loads sodium, and high-potassium diets in CKD cause hyperkalemia.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causal links are weak; obstructive sleep apnoea and nocturnal ADH changes have minor effects, and severe electrolyte disorders themselves disrupt consciousness and sleep.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Nicotine stimulates ADH and can contribute to mild hyponatremia, and smoking-related small-cell lung carcinoma is a classic cause of SIADH with hyponatremia.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use causes renal wasting and poor intake of magnesium (hypomagnesemia in ~30%), potassium and phosphate, plus hypocalcemia; a high-fluid low-solute ('beer potomania') pattern causes hyponatremia.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Primary (psychogenic) polydipsia causes dilutional hyponatremia; anorexia nervosa and purging cause hypokalemia and hypomagnesemia; and SSRIs/SNRIs cause SIADH-type hyponatremia, especially in the elderly.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balance between free-water intake and excretion is the primary determinant of serum sodium: excess hypotonic fluid causes hyponatremia, and a water deficit or dehydration causes hypernatremia.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a mild diuretic and kaliuretic effect that is usually clinically insignificant at moderate intake but can add to potassium loss with very high consumption.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sanitation and unsafe water drive diarrhoeal disease — a major cause of potassium, magnesium and sodium loss and dehydration in India, particularly in children.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diarrhoea and vomiting, diuretic initiation, intravenous fluids, RAAS inhibitors, osmotic/contrast diuresis, citrated blood transfusion (hypocalcemia) and rhabdomyolysis or tumour-lysis (hyperkalemia) commonly precipitate acute electrolyte disorders.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free-water / fluid balance (mL/day)</w:t>
            </w:r>
          </w:p>
        </w:tc>
        <w:tc>
          <w:tcPr>
            <w:tcW w:type="dxa" w:w="1655"/>
            <w:vAlign w:val="top"/>
          </w:tcPr>
          <w:p>
            <w:pPr>
              <w:spacing w:after="40" w:before="0" w:line="259" w:lineRule="auto"/>
            </w:pPr>
            <w:r>
              <w:rPr>
                <w:rFonts w:ascii="Calibri" w:hAnsi="Calibri"/>
                <w:b w:val="0"/>
                <w:i w:val="0"/>
                <w:color w:val="212121"/>
                <w:sz w:val="19"/>
              </w:rPr>
              <w:t>All, esp. elderly, SIADH, psychogenic polydipsia</w:t>
            </w:r>
          </w:p>
        </w:tc>
        <w:tc>
          <w:tcPr>
            <w:tcW w:type="dxa" w:w="1512"/>
            <w:vAlign w:val="top"/>
          </w:tcPr>
          <w:p>
            <w:pPr>
              <w:spacing w:after="40" w:before="0" w:line="259" w:lineRule="auto"/>
            </w:pPr>
            <w:r>
              <w:rPr>
                <w:rFonts w:ascii="Calibri" w:hAnsi="Calibri"/>
                <w:b w:val="0"/>
                <w:i w:val="0"/>
                <w:color w:val="212121"/>
                <w:sz w:val="19"/>
              </w:rPr>
              <w:t>Intake ≈ output, ~1.5–2.5 L/day</w:t>
            </w:r>
          </w:p>
        </w:tc>
        <w:tc>
          <w:tcPr>
            <w:tcW w:type="dxa" w:w="1512"/>
            <w:vAlign w:val="top"/>
          </w:tcPr>
          <w:p>
            <w:pPr>
              <w:spacing w:after="40" w:before="0" w:line="259" w:lineRule="auto"/>
            </w:pPr>
            <w:r>
              <w:rPr>
                <w:rFonts w:ascii="Calibri" w:hAnsi="Calibri"/>
                <w:b w:val="0"/>
                <w:i w:val="0"/>
                <w:color w:val="212121"/>
                <w:sz w:val="19"/>
              </w:rPr>
              <w:t>&gt; 3–4 L/day free water (dilutional hyponatremia) or a net water deficit / dehydration (hypernatremia)</w:t>
            </w:r>
          </w:p>
        </w:tc>
        <w:tc>
          <w:tcPr>
            <w:tcW w:type="dxa" w:w="1468"/>
            <w:vAlign w:val="top"/>
          </w:tcPr>
          <w:p>
            <w:pPr>
              <w:spacing w:after="60" w:line="259" w:lineRule="auto"/>
            </w:pPr>
            <w:r>
              <w:rPr>
                <w:rFonts w:ascii="Calibri" w:hAnsi="Calibri"/>
                <w:b w:val="0"/>
                <w:i w:val="0"/>
                <w:color w:val="212121"/>
                <w:sz w:val="19"/>
              </w:rPr>
              <w:t>Free-water balance is the main determinant of serum sodium</w:t>
            </w:r>
          </w:p>
          <w:p>
            <w:pPr>
              <w:spacing w:after="40" w:line="252" w:lineRule="auto"/>
            </w:pPr>
            <w:hyperlink r:id="rId12">
              <w:r>
                <w:rPr>
                  <w:rFonts w:ascii="Calibri" w:hAnsi="Calibri" w:cs="Calibri"/>
                  <w:sz w:val="18"/>
                  <w:color w:val="1155CC"/>
                  <w:u w:val="single"/>
                </w:rPr>
                <w:t xml:space="preserve">https://www.ncbi.nlm.nih.gov/books/NBK441960/</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 (mg/day)</w:t>
            </w:r>
          </w:p>
        </w:tc>
        <w:tc>
          <w:tcPr>
            <w:tcW w:type="dxa" w:w="1655"/>
            <w:vAlign w:val="top"/>
          </w:tcPr>
          <w:p>
            <w:pPr>
              <w:spacing w:after="40" w:before="0" w:line="259" w:lineRule="auto"/>
            </w:pPr>
            <w:r>
              <w:rPr>
                <w:rFonts w:ascii="Calibri" w:hAnsi="Calibri"/>
                <w:b w:val="0"/>
                <w:i w:val="0"/>
                <w:color w:val="212121"/>
                <w:sz w:val="19"/>
              </w:rPr>
              <w:t>General adults, hypertensives</w:t>
            </w:r>
          </w:p>
        </w:tc>
        <w:tc>
          <w:tcPr>
            <w:tcW w:type="dxa" w:w="1512"/>
            <w:vAlign w:val="top"/>
          </w:tcPr>
          <w:p>
            <w:pPr>
              <w:spacing w:after="40" w:before="0" w:line="259" w:lineRule="auto"/>
            </w:pPr>
            <w:r>
              <w:rPr>
                <w:rFonts w:ascii="Calibri" w:hAnsi="Calibri"/>
                <w:b w:val="0"/>
                <w:i w:val="0"/>
                <w:color w:val="212121"/>
                <w:sz w:val="19"/>
              </w:rPr>
              <w:t>&lt; 2000 mg sodium (&lt; 5 g salt)/day</w:t>
            </w:r>
          </w:p>
        </w:tc>
        <w:tc>
          <w:tcPr>
            <w:tcW w:type="dxa" w:w="1512"/>
            <w:vAlign w:val="top"/>
          </w:tcPr>
          <w:p>
            <w:pPr>
              <w:spacing w:after="40" w:before="0" w:line="259" w:lineRule="auto"/>
            </w:pPr>
            <w:r>
              <w:rPr>
                <w:rFonts w:ascii="Calibri" w:hAnsi="Calibri"/>
                <w:b w:val="0"/>
                <w:i w:val="0"/>
                <w:color w:val="212121"/>
                <w:sz w:val="19"/>
              </w:rPr>
              <w:t>&gt; 5 g salt/day; or very-low-salt (&lt; 1–2 g) diet while on thiazides</w:t>
            </w:r>
          </w:p>
        </w:tc>
        <w:tc>
          <w:tcPr>
            <w:tcW w:type="dxa" w:w="1468"/>
            <w:vAlign w:val="top"/>
          </w:tcPr>
          <w:p>
            <w:pPr>
              <w:spacing w:after="60" w:line="259" w:lineRule="auto"/>
            </w:pPr>
            <w:r>
              <w:rPr>
                <w:rFonts w:ascii="Calibri" w:hAnsi="Calibri"/>
                <w:b w:val="0"/>
                <w:i w:val="0"/>
                <w:color w:val="212121"/>
                <w:sz w:val="19"/>
              </w:rPr>
              <w:t>Both excess and severely restricted salt intake distort sodium balance</w:t>
            </w:r>
          </w:p>
          <w:p>
            <w:pPr>
              <w:spacing w:after="40" w:line="252" w:lineRule="auto"/>
            </w:pPr>
            <w:hyperlink r:id="rId15">
              <w:r>
                <w:rPr>
                  <w:rFonts w:ascii="Calibri" w:hAnsi="Calibri" w:cs="Calibri"/>
                  <w:sz w:val="18"/>
                  <w:color w:val="1155CC"/>
                  <w:u w:val="single"/>
                </w:rPr>
                <w:t xml:space="preserve">https://www.who.int/news-room/fact-sheets/detail/salt-reduction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potassium (mg/day)</w:t>
            </w:r>
          </w:p>
        </w:tc>
        <w:tc>
          <w:tcPr>
            <w:tcW w:type="dxa" w:w="1655"/>
            <w:vAlign w:val="top"/>
          </w:tcPr>
          <w:p>
            <w:pPr>
              <w:spacing w:after="40" w:before="0" w:line="259" w:lineRule="auto"/>
            </w:pPr>
            <w:r>
              <w:rPr>
                <w:rFonts w:ascii="Calibri" w:hAnsi="Calibri"/>
                <w:b w:val="0"/>
                <w:i w:val="0"/>
                <w:color w:val="212121"/>
                <w:sz w:val="19"/>
              </w:rPr>
              <w:t>General adults vs CKD</w:t>
            </w:r>
          </w:p>
        </w:tc>
        <w:tc>
          <w:tcPr>
            <w:tcW w:type="dxa" w:w="1512"/>
            <w:vAlign w:val="top"/>
          </w:tcPr>
          <w:p>
            <w:pPr>
              <w:spacing w:after="40" w:before="0" w:line="259" w:lineRule="auto"/>
            </w:pPr>
            <w:r>
              <w:rPr>
                <w:rFonts w:ascii="Calibri" w:hAnsi="Calibri"/>
                <w:b w:val="0"/>
                <w:i w:val="0"/>
                <w:color w:val="212121"/>
                <w:sz w:val="19"/>
              </w:rPr>
              <w:t>~3500 mg/day (general adults)</w:t>
            </w:r>
          </w:p>
        </w:tc>
        <w:tc>
          <w:tcPr>
            <w:tcW w:type="dxa" w:w="1512"/>
            <w:vAlign w:val="top"/>
          </w:tcPr>
          <w:p>
            <w:pPr>
              <w:spacing w:after="40" w:before="0" w:line="259" w:lineRule="auto"/>
            </w:pPr>
            <w:r>
              <w:rPr>
                <w:rFonts w:ascii="Calibri" w:hAnsi="Calibri"/>
                <w:b w:val="0"/>
                <w:i w:val="0"/>
                <w:color w:val="212121"/>
                <w:sz w:val="19"/>
              </w:rPr>
              <w:t>Low intake (hypokalemia); high intake with eGFR &lt; 30 or K-sparing drugs (hyperkalemia)</w:t>
            </w:r>
          </w:p>
        </w:tc>
        <w:tc>
          <w:tcPr>
            <w:tcW w:type="dxa" w:w="1468"/>
            <w:vAlign w:val="top"/>
          </w:tcPr>
          <w:p>
            <w:pPr>
              <w:spacing w:after="40" w:before="0" w:line="259" w:lineRule="auto"/>
            </w:pPr>
            <w:r>
              <w:rPr>
                <w:rFonts w:ascii="Calibri" w:hAnsi="Calibri"/>
                <w:b w:val="0"/>
                <w:i w:val="0"/>
                <w:color w:val="212121"/>
                <w:sz w:val="19"/>
              </w:rPr>
              <w:t>Potassium requirement inverts in advanced CKD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calcium (mg/day)</w:t>
            </w:r>
          </w:p>
        </w:tc>
        <w:tc>
          <w:tcPr>
            <w:tcW w:type="dxa" w:w="1655"/>
            <w:vAlign w:val="top"/>
          </w:tcPr>
          <w:p>
            <w:pPr>
              <w:spacing w:after="40" w:before="0" w:line="259" w:lineRule="auto"/>
            </w:pPr>
            <w:r>
              <w:rPr>
                <w:rFonts w:ascii="Calibri" w:hAnsi="Calibri"/>
                <w:b w:val="0"/>
                <w:i w:val="0"/>
                <w:color w:val="212121"/>
                <w:sz w:val="19"/>
              </w:rPr>
              <w:t>Adults, pregnant/lactating women, elderly</w:t>
            </w:r>
          </w:p>
        </w:tc>
        <w:tc>
          <w:tcPr>
            <w:tcW w:type="dxa" w:w="1512"/>
            <w:vAlign w:val="top"/>
          </w:tcPr>
          <w:p>
            <w:pPr>
              <w:spacing w:after="40" w:before="0" w:line="259" w:lineRule="auto"/>
            </w:pPr>
            <w:r>
              <w:rPr>
                <w:rFonts w:ascii="Calibri" w:hAnsi="Calibri"/>
                <w:b w:val="0"/>
                <w:i w:val="0"/>
                <w:color w:val="212121"/>
                <w:sz w:val="19"/>
              </w:rPr>
              <w:t>~1000–1200 mg/day</w:t>
            </w:r>
          </w:p>
        </w:tc>
        <w:tc>
          <w:tcPr>
            <w:tcW w:type="dxa" w:w="1512"/>
            <w:vAlign w:val="top"/>
          </w:tcPr>
          <w:p>
            <w:pPr>
              <w:spacing w:after="40" w:before="0" w:line="259" w:lineRule="auto"/>
            </w:pPr>
            <w:r>
              <w:rPr>
                <w:rFonts w:ascii="Calibri" w:hAnsi="Calibri"/>
                <w:b w:val="0"/>
                <w:i w:val="0"/>
                <w:color w:val="212121"/>
                <w:sz w:val="19"/>
              </w:rPr>
              <w:t>&lt; 600 mg/day, especially with vitamin-D deficiency</w:t>
            </w:r>
          </w:p>
        </w:tc>
        <w:tc>
          <w:tcPr>
            <w:tcW w:type="dxa" w:w="1468"/>
            <w:vAlign w:val="top"/>
          </w:tcPr>
          <w:p>
            <w:pPr>
              <w:spacing w:after="40" w:before="0" w:line="259" w:lineRule="auto"/>
            </w:pPr>
            <w:r>
              <w:rPr>
                <w:rFonts w:ascii="Calibri" w:hAnsi="Calibri"/>
                <w:b w:val="0"/>
                <w:i w:val="0"/>
                <w:color w:val="212121"/>
                <w:sz w:val="19"/>
              </w:rPr>
              <w:t>Low calcium plus hypovitaminosis-D drives hypocalcemia and rickets in India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magnesium (mg/day)</w:t>
            </w:r>
          </w:p>
        </w:tc>
        <w:tc>
          <w:tcPr>
            <w:tcW w:type="dxa" w:w="1655"/>
            <w:vAlign w:val="top"/>
          </w:tcPr>
          <w:p>
            <w:pPr>
              <w:spacing w:after="40" w:before="0" w:line="259" w:lineRule="auto"/>
            </w:pPr>
            <w:r>
              <w:rPr>
                <w:rFonts w:ascii="Calibri" w:hAnsi="Calibri"/>
                <w:b w:val="0"/>
                <w:i w:val="0"/>
                <w:color w:val="212121"/>
                <w:sz w:val="19"/>
              </w:rPr>
              <w:t>Adults; alcohol, PPI &amp; diuretic users</w:t>
            </w:r>
          </w:p>
        </w:tc>
        <w:tc>
          <w:tcPr>
            <w:tcW w:type="dxa" w:w="1512"/>
            <w:vAlign w:val="top"/>
          </w:tcPr>
          <w:p>
            <w:pPr>
              <w:spacing w:after="40" w:before="0" w:line="259" w:lineRule="auto"/>
            </w:pPr>
            <w:r>
              <w:rPr>
                <w:rFonts w:ascii="Calibri" w:hAnsi="Calibri"/>
                <w:b w:val="0"/>
                <w:i w:val="0"/>
                <w:color w:val="212121"/>
                <w:sz w:val="19"/>
              </w:rPr>
              <w:t>~310–420 mg/day</w:t>
            </w:r>
          </w:p>
        </w:tc>
        <w:tc>
          <w:tcPr>
            <w:tcW w:type="dxa" w:w="1512"/>
            <w:vAlign w:val="top"/>
          </w:tcPr>
          <w:p>
            <w:pPr>
              <w:spacing w:after="40" w:before="0" w:line="259" w:lineRule="auto"/>
            </w:pPr>
            <w:r>
              <w:rPr>
                <w:rFonts w:ascii="Calibri" w:hAnsi="Calibri"/>
                <w:b w:val="0"/>
                <w:i w:val="0"/>
                <w:color w:val="212121"/>
                <w:sz w:val="19"/>
              </w:rPr>
              <w:t>Chronic low intake, alcohol, PPIs or diuretics</w:t>
            </w:r>
          </w:p>
        </w:tc>
        <w:tc>
          <w:tcPr>
            <w:tcW w:type="dxa" w:w="1468"/>
            <w:vAlign w:val="top"/>
          </w:tcPr>
          <w:p>
            <w:pPr>
              <w:spacing w:after="60" w:line="259" w:lineRule="auto"/>
            </w:pPr>
            <w:r>
              <w:rPr>
                <w:rFonts w:ascii="Calibri" w:hAnsi="Calibri"/>
                <w:b w:val="0"/>
                <w:i w:val="0"/>
                <w:color w:val="212121"/>
                <w:sz w:val="19"/>
              </w:rPr>
              <w:t>Magnesium deficiency causes refractory hypokalemia and hypocalcemia</w:t>
            </w:r>
          </w:p>
          <w:p>
            <w:pPr>
              <w:spacing w:after="40" w:line="252" w:lineRule="auto"/>
            </w:pPr>
            <w:hyperlink r:id="rId14">
              <w:r>
                <w:rPr>
                  <w:rFonts w:ascii="Calibri" w:hAnsi="Calibri" w:cs="Calibri"/>
                  <w:sz w:val="18"/>
                  <w:color w:val="1155CC"/>
                  <w:u w:val="single"/>
                </w:rPr>
                <w:t xml:space="preserve">https://www.ncbi.nlm.nih.gov/books/NBK500003/</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Heavy / dependent drinkers</w:t>
            </w:r>
          </w:p>
        </w:tc>
        <w:tc>
          <w:tcPr>
            <w:tcW w:type="dxa" w:w="1512"/>
            <w:vAlign w:val="top"/>
          </w:tcPr>
          <w:p>
            <w:pPr>
              <w:spacing w:after="40" w:before="0" w:line="259" w:lineRule="auto"/>
            </w:pPr>
            <w:r>
              <w:rPr>
                <w:rFonts w:ascii="Calibri" w:hAnsi="Calibri"/>
                <w:b w:val="0"/>
                <w:i w:val="0"/>
                <w:color w:val="212121"/>
                <w:sz w:val="19"/>
              </w:rPr>
              <w:t>0; if any, within moderate limits</w:t>
            </w:r>
          </w:p>
        </w:tc>
        <w:tc>
          <w:tcPr>
            <w:tcW w:type="dxa" w:w="1512"/>
            <w:vAlign w:val="top"/>
          </w:tcPr>
          <w:p>
            <w:pPr>
              <w:spacing w:after="40" w:before="0" w:line="259" w:lineRule="auto"/>
            </w:pPr>
            <w:r>
              <w:rPr>
                <w:rFonts w:ascii="Calibri" w:hAnsi="Calibri"/>
                <w:b w:val="0"/>
                <w:i w:val="0"/>
                <w:color w:val="212121"/>
                <w:sz w:val="19"/>
              </w:rPr>
              <w:t>Chronic heavy use or binge drinking</w:t>
            </w:r>
          </w:p>
        </w:tc>
        <w:tc>
          <w:tcPr>
            <w:tcW w:type="dxa" w:w="1468"/>
            <w:vAlign w:val="top"/>
          </w:tcPr>
          <w:p>
            <w:pPr>
              <w:spacing w:after="60" w:line="259" w:lineRule="auto"/>
            </w:pPr>
            <w:r>
              <w:rPr>
                <w:rFonts w:ascii="Calibri" w:hAnsi="Calibri"/>
                <w:b w:val="0"/>
                <w:i w:val="0"/>
                <w:color w:val="212121"/>
                <w:sz w:val="19"/>
              </w:rPr>
              <w:t>Heavy alcohol causes hypomagnesemia (~30%), hypokalemia and hypophosphataemia</w:t>
            </w:r>
          </w:p>
          <w:p>
            <w:pPr>
              <w:spacing w:after="40" w:line="252" w:lineRule="auto"/>
            </w:pPr>
            <w:hyperlink r:id="rId14">
              <w:r>
                <w:rPr>
                  <w:rFonts w:ascii="Calibri" w:hAnsi="Calibri" w:cs="Calibri"/>
                  <w:sz w:val="18"/>
                  <w:color w:val="1155CC"/>
                  <w:u w:val="single"/>
                </w:rPr>
                <w:t xml:space="preserve">https://www.ncbi.nlm.nih.gov/books/NBK500003/</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Body-weight change during endurance exercise (%)</w:t>
            </w:r>
          </w:p>
        </w:tc>
        <w:tc>
          <w:tcPr>
            <w:tcW w:type="dxa" w:w="1655"/>
            <w:vAlign w:val="top"/>
          </w:tcPr>
          <w:p>
            <w:pPr>
              <w:spacing w:after="40" w:before="0" w:line="259" w:lineRule="auto"/>
            </w:pPr>
            <w:r>
              <w:rPr>
                <w:rFonts w:ascii="Calibri" w:hAnsi="Calibri"/>
                <w:b w:val="0"/>
                <w:i w:val="0"/>
                <w:color w:val="212121"/>
                <w:sz w:val="19"/>
              </w:rPr>
              <w:t>Endurance athletes, outdoor labourers</w:t>
            </w:r>
          </w:p>
        </w:tc>
        <w:tc>
          <w:tcPr>
            <w:tcW w:type="dxa" w:w="1512"/>
            <w:vAlign w:val="top"/>
          </w:tcPr>
          <w:p>
            <w:pPr>
              <w:spacing w:after="40" w:before="0" w:line="259" w:lineRule="auto"/>
            </w:pPr>
            <w:r>
              <w:rPr>
                <w:rFonts w:ascii="Calibri" w:hAnsi="Calibri"/>
                <w:b w:val="0"/>
                <w:i w:val="0"/>
                <w:color w:val="212121"/>
                <w:sz w:val="19"/>
              </w:rPr>
              <w:t>&lt; 2% loss; avoid weight gain</w:t>
            </w:r>
          </w:p>
        </w:tc>
        <w:tc>
          <w:tcPr>
            <w:tcW w:type="dxa" w:w="1512"/>
            <w:vAlign w:val="top"/>
          </w:tcPr>
          <w:p>
            <w:pPr>
              <w:spacing w:after="40" w:before="0" w:line="259" w:lineRule="auto"/>
            </w:pPr>
            <w:r>
              <w:rPr>
                <w:rFonts w:ascii="Calibri" w:hAnsi="Calibri"/>
                <w:b w:val="0"/>
                <w:i w:val="0"/>
                <w:color w:val="212121"/>
                <w:sz w:val="19"/>
              </w:rPr>
              <w:t>Weight gain during an event (over-drinking) → exercise-associated hyponatremia</w:t>
            </w:r>
          </w:p>
        </w:tc>
        <w:tc>
          <w:tcPr>
            <w:tcW w:type="dxa" w:w="1468"/>
            <w:vAlign w:val="top"/>
          </w:tcPr>
          <w:p>
            <w:pPr>
              <w:spacing w:after="40" w:before="0" w:line="259" w:lineRule="auto"/>
            </w:pPr>
            <w:r>
              <w:rPr>
                <w:rFonts w:ascii="Calibri" w:hAnsi="Calibri"/>
                <w:b w:val="0"/>
                <w:i w:val="0"/>
                <w:color w:val="212121"/>
                <w:sz w:val="19"/>
              </w:rPr>
              <w:t>Drink to thirst, not on a fixed schedule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Compulsive water intake (L/day)</w:t>
            </w:r>
          </w:p>
        </w:tc>
        <w:tc>
          <w:tcPr>
            <w:tcW w:type="dxa" w:w="1655"/>
            <w:vAlign w:val="top"/>
          </w:tcPr>
          <w:p>
            <w:pPr>
              <w:spacing w:after="40" w:before="0" w:line="259" w:lineRule="auto"/>
            </w:pPr>
            <w:r>
              <w:rPr>
                <w:rFonts w:ascii="Calibri" w:hAnsi="Calibri"/>
                <w:b w:val="0"/>
                <w:i w:val="0"/>
                <w:color w:val="212121"/>
                <w:sz w:val="19"/>
              </w:rPr>
              <w:t>Psychogenic polydipsia, psychiatric inpatients</w:t>
            </w:r>
          </w:p>
        </w:tc>
        <w:tc>
          <w:tcPr>
            <w:tcW w:type="dxa" w:w="1512"/>
            <w:vAlign w:val="top"/>
          </w:tcPr>
          <w:p>
            <w:pPr>
              <w:spacing w:after="40" w:before="0" w:line="259" w:lineRule="auto"/>
            </w:pPr>
            <w:r>
              <w:rPr>
                <w:rFonts w:ascii="Calibri" w:hAnsi="Calibri"/>
                <w:b w:val="0"/>
                <w:i w:val="0"/>
                <w:color w:val="212121"/>
                <w:sz w:val="19"/>
              </w:rPr>
              <w:t>≤ ~3 L/day</w:t>
            </w:r>
          </w:p>
        </w:tc>
        <w:tc>
          <w:tcPr>
            <w:tcW w:type="dxa" w:w="1512"/>
            <w:vAlign w:val="top"/>
          </w:tcPr>
          <w:p>
            <w:pPr>
              <w:spacing w:after="40" w:before="0" w:line="259" w:lineRule="auto"/>
            </w:pPr>
            <w:r>
              <w:rPr>
                <w:rFonts w:ascii="Calibri" w:hAnsi="Calibri"/>
                <w:b w:val="0"/>
                <w:i w:val="0"/>
                <w:color w:val="212121"/>
                <w:sz w:val="19"/>
              </w:rPr>
              <w:t>&gt; 3–6 L/day compulsive drinking</w:t>
            </w:r>
          </w:p>
        </w:tc>
        <w:tc>
          <w:tcPr>
            <w:tcW w:type="dxa" w:w="1468"/>
            <w:vAlign w:val="top"/>
          </w:tcPr>
          <w:p>
            <w:pPr>
              <w:spacing w:after="40" w:before="0" w:line="259" w:lineRule="auto"/>
            </w:pPr>
            <w:r>
              <w:rPr>
                <w:rFonts w:ascii="Calibri" w:hAnsi="Calibri"/>
                <w:b w:val="0"/>
                <w:i w:val="0"/>
                <w:color w:val="212121"/>
                <w:sz w:val="19"/>
              </w:rPr>
              <w:t>Can overwhelm renal free-water clearance and cause acute hyponatremia</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Diuretic exposure &amp; follow-up electrolyte check</w:t>
            </w:r>
          </w:p>
        </w:tc>
        <w:tc>
          <w:tcPr>
            <w:tcW w:type="dxa" w:w="1655"/>
            <w:vAlign w:val="top"/>
          </w:tcPr>
          <w:p>
            <w:pPr>
              <w:spacing w:after="40" w:before="0" w:line="259" w:lineRule="auto"/>
            </w:pPr>
            <w:r>
              <w:rPr>
                <w:rFonts w:ascii="Calibri" w:hAnsi="Calibri"/>
                <w:b w:val="0"/>
                <w:i w:val="0"/>
                <w:color w:val="212121"/>
                <w:sz w:val="19"/>
              </w:rPr>
              <w:t>Patients started on thiazide or loop diuretics</w:t>
            </w:r>
          </w:p>
        </w:tc>
        <w:tc>
          <w:tcPr>
            <w:tcW w:type="dxa" w:w="1512"/>
            <w:vAlign w:val="top"/>
          </w:tcPr>
          <w:p>
            <w:pPr>
              <w:spacing w:after="40" w:before="0" w:line="259" w:lineRule="auto"/>
            </w:pPr>
            <w:r>
              <w:rPr>
                <w:rFonts w:ascii="Calibri" w:hAnsi="Calibri"/>
                <w:b w:val="0"/>
                <w:i w:val="0"/>
                <w:color w:val="212121"/>
                <w:sz w:val="19"/>
              </w:rPr>
              <w:t>Baseline plus recheck Na/K/Mg within 1–2 weeks</w:t>
            </w:r>
          </w:p>
        </w:tc>
        <w:tc>
          <w:tcPr>
            <w:tcW w:type="dxa" w:w="1512"/>
            <w:vAlign w:val="top"/>
          </w:tcPr>
          <w:p>
            <w:pPr>
              <w:spacing w:after="40" w:before="0" w:line="259" w:lineRule="auto"/>
            </w:pPr>
            <w:r>
              <w:rPr>
                <w:rFonts w:ascii="Calibri" w:hAnsi="Calibri"/>
                <w:b w:val="0"/>
                <w:i w:val="0"/>
                <w:color w:val="212121"/>
                <w:sz w:val="19"/>
              </w:rPr>
              <w:t>New confusion, weakness or a fall in Na/K after starting</w:t>
            </w:r>
          </w:p>
        </w:tc>
        <w:tc>
          <w:tcPr>
            <w:tcW w:type="dxa" w:w="1468"/>
            <w:vAlign w:val="top"/>
          </w:tcPr>
          <w:p>
            <w:pPr>
              <w:spacing w:after="60" w:line="259" w:lineRule="auto"/>
            </w:pPr>
            <w:r>
              <w:rPr>
                <w:rFonts w:ascii="Calibri" w:hAnsi="Calibri"/>
                <w:b w:val="0"/>
                <w:i w:val="0"/>
                <w:color w:val="212121"/>
                <w:sz w:val="19"/>
              </w:rPr>
              <w:t>Thiazides → hyponatremia/hypokalemia; loop diuretics → hypokalemia/hypomagnesemia</w:t>
            </w:r>
          </w:p>
          <w:p>
            <w:pPr>
              <w:spacing w:after="40" w:line="252" w:lineRule="auto"/>
            </w:pPr>
            <w:hyperlink r:id="rId10">
              <w:r>
                <w:rPr>
                  <w:rFonts w:ascii="Calibri" w:hAnsi="Calibri" w:cs="Calibri"/>
                  <w:sz w:val="18"/>
                  <w:color w:val="1155CC"/>
                  <w:u w:val="single"/>
                </w:rPr>
                <w:t xml:space="preserve">https://www.ncbi.nlm.nih.gov/books/NBK470386/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Gastrointestinal fluid losses (episodes/day)</w:t>
            </w:r>
          </w:p>
        </w:tc>
        <w:tc>
          <w:tcPr>
            <w:tcW w:type="dxa" w:w="1655"/>
            <w:vAlign w:val="top"/>
          </w:tcPr>
          <w:p>
            <w:pPr>
              <w:spacing w:after="40" w:before="0" w:line="259" w:lineRule="auto"/>
            </w:pPr>
            <w:r>
              <w:rPr>
                <w:rFonts w:ascii="Calibri" w:hAnsi="Calibri"/>
                <w:b w:val="0"/>
                <w:i w:val="0"/>
                <w:color w:val="212121"/>
                <w:sz w:val="19"/>
              </w:rPr>
              <w:t>Acute gastroenteritis, vomiting, NG drainage</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Ongoing vomiting, diarrhoea or high-output losses</w:t>
            </w:r>
          </w:p>
        </w:tc>
        <w:tc>
          <w:tcPr>
            <w:tcW w:type="dxa" w:w="1468"/>
            <w:vAlign w:val="top"/>
          </w:tcPr>
          <w:p>
            <w:pPr>
              <w:spacing w:after="40" w:before="0" w:line="259" w:lineRule="auto"/>
            </w:pPr>
            <w:r>
              <w:rPr>
                <w:rFonts w:ascii="Calibri" w:hAnsi="Calibri"/>
                <w:b w:val="0"/>
                <w:i w:val="0"/>
                <w:color w:val="212121"/>
                <w:sz w:val="19"/>
              </w:rPr>
              <w:t>A major cause of potassium, magnesium and sodium depletion in Indian acute care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OSA patients, elderly</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Severe electrolyte disorder disrupting consciousness/sleep</w:t>
            </w:r>
          </w:p>
        </w:tc>
        <w:tc>
          <w:tcPr>
            <w:tcW w:type="dxa" w:w="1468"/>
            <w:vAlign w:val="top"/>
          </w:tcPr>
          <w:p>
            <w:pPr>
              <w:spacing w:after="40" w:before="0" w:line="259" w:lineRule="auto"/>
            </w:pPr>
            <w:r>
              <w:rPr>
                <w:rFonts w:ascii="Calibri" w:hAnsi="Calibri"/>
                <w:b w:val="0"/>
                <w:i w:val="0"/>
                <w:color w:val="212121"/>
                <w:sz w:val="19"/>
              </w:rPr>
              <w:t>Direct causal link is weak; relevant mainly via OSA and SIADH-inducing drugs</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400 mg/day</w:t>
            </w:r>
          </w:p>
        </w:tc>
        <w:tc>
          <w:tcPr>
            <w:tcW w:type="dxa" w:w="1512"/>
            <w:vAlign w:val="top"/>
          </w:tcPr>
          <w:p>
            <w:pPr>
              <w:spacing w:after="40" w:before="0" w:line="259" w:lineRule="auto"/>
            </w:pPr>
            <w:r>
              <w:rPr>
                <w:rFonts w:ascii="Calibri" w:hAnsi="Calibri"/>
                <w:b w:val="0"/>
                <w:i w:val="0"/>
                <w:color w:val="212121"/>
                <w:sz w:val="19"/>
              </w:rPr>
              <w:t>Very high intake</w:t>
            </w:r>
          </w:p>
        </w:tc>
        <w:tc>
          <w:tcPr>
            <w:tcW w:type="dxa" w:w="1468"/>
            <w:vAlign w:val="top"/>
          </w:tcPr>
          <w:p>
            <w:pPr>
              <w:spacing w:after="40" w:before="0" w:line="259" w:lineRule="auto"/>
            </w:pPr>
            <w:r>
              <w:rPr>
                <w:rFonts w:ascii="Calibri" w:hAnsi="Calibri"/>
                <w:b w:val="0"/>
                <w:i w:val="0"/>
                <w:color w:val="212121"/>
                <w:sz w:val="19"/>
              </w:rPr>
              <w:t>Mild diuretic/kaliuretic effect, usually clinically minor</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Sodium (Na⁺)</w:t>
            </w:r>
          </w:p>
        </w:tc>
        <w:tc>
          <w:tcPr>
            <w:tcW w:type="dxa" w:w="892"/>
            <w:vAlign w:val="top"/>
          </w:tcPr>
          <w:p>
            <w:pPr>
              <w:spacing w:after="40" w:before="0" w:line="259" w:lineRule="auto"/>
            </w:pPr>
            <w:r>
              <w:rPr>
                <w:rFonts w:ascii="Calibri" w:hAnsi="Calibri"/>
                <w:b w:val="0"/>
                <w:i w:val="0"/>
                <w:color w:val="212121"/>
                <w:sz w:val="16"/>
              </w:rPr>
              <w:t>Serum electrolytes</w:t>
            </w:r>
          </w:p>
        </w:tc>
        <w:tc>
          <w:tcPr>
            <w:tcW w:type="dxa" w:w="950"/>
            <w:vAlign w:val="top"/>
          </w:tcPr>
          <w:p>
            <w:pPr>
              <w:spacing w:after="40" w:before="0" w:line="259" w:lineRule="auto"/>
            </w:pPr>
            <w:r>
              <w:rPr>
                <w:rFonts w:ascii="Calibri" w:hAnsi="Calibri"/>
                <w:b w:val="0"/>
                <w:i w:val="0"/>
                <w:color w:val="212121"/>
                <w:sz w:val="16"/>
              </w:rPr>
              <w:t>135–145 mEq/L</w:t>
            </w:r>
          </w:p>
        </w:tc>
        <w:tc>
          <w:tcPr>
            <w:tcW w:type="dxa" w:w="950"/>
            <w:vAlign w:val="top"/>
          </w:tcPr>
          <w:p>
            <w:pPr>
              <w:spacing w:after="40" w:before="0" w:line="259" w:lineRule="auto"/>
            </w:pPr>
            <w:r>
              <w:rPr>
                <w:rFonts w:ascii="Calibri" w:hAnsi="Calibri"/>
                <w:b w:val="0"/>
                <w:i w:val="0"/>
                <w:color w:val="212121"/>
                <w:sz w:val="16"/>
              </w:rPr>
              <w:t>&lt; 135 (hyponatremia) or &gt; 145 mEq/L (hypernatremia)</w:t>
            </w:r>
          </w:p>
        </w:tc>
        <w:tc>
          <w:tcPr>
            <w:tcW w:type="dxa" w:w="1036"/>
            <w:vAlign w:val="top"/>
          </w:tcPr>
          <w:p>
            <w:pPr>
              <w:spacing w:after="40" w:before="0" w:line="259" w:lineRule="auto"/>
            </w:pPr>
            <w:r>
              <w:rPr>
                <w:rFonts w:ascii="Calibri" w:hAnsi="Calibri"/>
                <w:b w:val="0"/>
                <w:i w:val="0"/>
                <w:color w:val="212121"/>
                <w:sz w:val="16"/>
              </w:rPr>
              <w:t>Diagnoses dysnatremia; classify with volume status and paired osmolality</w:t>
            </w:r>
          </w:p>
        </w:tc>
        <w:tc>
          <w:tcPr>
            <w:tcW w:type="dxa" w:w="1036"/>
            <w:vAlign w:val="top"/>
          </w:tcPr>
          <w:p>
            <w:pPr>
              <w:spacing w:after="40" w:before="0" w:line="259" w:lineRule="auto"/>
            </w:pPr>
            <w:r>
              <w:rPr>
                <w:rFonts w:ascii="Calibri" w:hAnsi="Calibri"/>
                <w:b w:val="0"/>
                <w:i w:val="0"/>
                <w:color w:val="212121"/>
                <w:sz w:val="16"/>
              </w:rPr>
              <w:t>Elderly, heart failure, cirrhosis, SIADH, dehydration</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Diagnostic (core)</w:t>
            </w:r>
          </w:p>
        </w:tc>
        <w:tc>
          <w:tcPr>
            <w:tcW w:type="dxa" w:w="720"/>
            <w:vAlign w:val="top"/>
          </w:tcPr>
          <w:p>
            <w:pPr>
              <w:spacing w:after="40" w:before="0" w:line="259" w:lineRule="auto"/>
            </w:pPr>
            <w:r>
              <w:rPr>
                <w:rFonts w:ascii="Calibri" w:hAnsi="Calibri"/>
                <w:b w:val="0"/>
                <w:i w:val="0"/>
                <w:color w:val="212121"/>
                <w:sz w:val="16"/>
              </w:rPr>
              <w:t>Correct for pseudohyponatremia with marked hyperglycaemia or hyperlipidaemia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Potassium (K⁺)</w:t>
            </w:r>
          </w:p>
        </w:tc>
        <w:tc>
          <w:tcPr>
            <w:tcW w:type="dxa" w:w="892"/>
            <w:vAlign w:val="top"/>
          </w:tcPr>
          <w:p>
            <w:pPr>
              <w:spacing w:after="40" w:before="0" w:line="259" w:lineRule="auto"/>
            </w:pPr>
            <w:r>
              <w:rPr>
                <w:rFonts w:ascii="Calibri" w:hAnsi="Calibri"/>
                <w:b w:val="0"/>
                <w:i w:val="0"/>
                <w:color w:val="212121"/>
                <w:sz w:val="16"/>
              </w:rPr>
              <w:t>Serum electrolytes</w:t>
            </w:r>
          </w:p>
        </w:tc>
        <w:tc>
          <w:tcPr>
            <w:tcW w:type="dxa" w:w="950"/>
            <w:vAlign w:val="top"/>
          </w:tcPr>
          <w:p>
            <w:pPr>
              <w:spacing w:after="40" w:before="0" w:line="259" w:lineRule="auto"/>
            </w:pPr>
            <w:r>
              <w:rPr>
                <w:rFonts w:ascii="Calibri" w:hAnsi="Calibri"/>
                <w:b w:val="0"/>
                <w:i w:val="0"/>
                <w:color w:val="212121"/>
                <w:sz w:val="16"/>
              </w:rPr>
              <w:t>3.5–5.0 mmol/L</w:t>
            </w:r>
          </w:p>
        </w:tc>
        <w:tc>
          <w:tcPr>
            <w:tcW w:type="dxa" w:w="950"/>
            <w:vAlign w:val="top"/>
          </w:tcPr>
          <w:p>
            <w:pPr>
              <w:spacing w:after="40" w:before="0" w:line="259" w:lineRule="auto"/>
            </w:pPr>
            <w:r>
              <w:rPr>
                <w:rFonts w:ascii="Calibri" w:hAnsi="Calibri"/>
                <w:b w:val="0"/>
                <w:i w:val="0"/>
                <w:color w:val="212121"/>
                <w:sz w:val="16"/>
              </w:rPr>
              <w:t>&lt; 3.5 (hypokalemia) or &gt; 5.0 mmol/L (hyperkalemia)</w:t>
            </w:r>
          </w:p>
        </w:tc>
        <w:tc>
          <w:tcPr>
            <w:tcW w:type="dxa" w:w="1036"/>
            <w:vAlign w:val="top"/>
          </w:tcPr>
          <w:p>
            <w:pPr>
              <w:spacing w:after="40" w:before="0" w:line="259" w:lineRule="auto"/>
            </w:pPr>
            <w:r>
              <w:rPr>
                <w:rFonts w:ascii="Calibri" w:hAnsi="Calibri"/>
                <w:b w:val="0"/>
                <w:i w:val="0"/>
                <w:color w:val="212121"/>
                <w:sz w:val="16"/>
              </w:rPr>
              <w:t>Diagnoses dyskalemia; correlate urgently with ECG and renal function</w:t>
            </w:r>
          </w:p>
        </w:tc>
        <w:tc>
          <w:tcPr>
            <w:tcW w:type="dxa" w:w="1036"/>
            <w:vAlign w:val="top"/>
          </w:tcPr>
          <w:p>
            <w:pPr>
              <w:spacing w:after="40" w:before="0" w:line="259" w:lineRule="auto"/>
            </w:pPr>
            <w:r>
              <w:rPr>
                <w:rFonts w:ascii="Calibri" w:hAnsi="Calibri"/>
                <w:b w:val="0"/>
                <w:i w:val="0"/>
                <w:color w:val="212121"/>
                <w:sz w:val="16"/>
              </w:rPr>
              <w:t>CKD, heart failure, diuretic users, DKA</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Diagnostic (urgent if &gt; 6.0 or &lt; 2.5)</w:t>
            </w:r>
          </w:p>
        </w:tc>
        <w:tc>
          <w:tcPr>
            <w:tcW w:type="dxa" w:w="720"/>
            <w:vAlign w:val="top"/>
          </w:tcPr>
          <w:p>
            <w:pPr>
              <w:spacing w:after="40" w:before="0" w:line="259" w:lineRule="auto"/>
            </w:pPr>
            <w:r>
              <w:rPr>
                <w:rFonts w:ascii="Calibri" w:hAnsi="Calibri"/>
                <w:b w:val="0"/>
                <w:i w:val="0"/>
                <w:color w:val="212121"/>
                <w:sz w:val="16"/>
              </w:rPr>
              <w:t>Exclude haemolysis / pseudohyperkalemia on a fresh, un-clenched sample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Calcium (total, albumin-corrected) &amp; ionized</w:t>
            </w:r>
          </w:p>
        </w:tc>
        <w:tc>
          <w:tcPr>
            <w:tcW w:type="dxa" w:w="892"/>
            <w:vAlign w:val="top"/>
          </w:tcPr>
          <w:p>
            <w:pPr>
              <w:spacing w:after="40" w:before="0" w:line="259" w:lineRule="auto"/>
            </w:pPr>
            <w:r>
              <w:rPr>
                <w:rFonts w:ascii="Calibri" w:hAnsi="Calibri"/>
                <w:b w:val="0"/>
                <w:i w:val="0"/>
                <w:color w:val="212121"/>
                <w:sz w:val="16"/>
              </w:rPr>
              <w:t>Serum calcium panel</w:t>
            </w:r>
          </w:p>
        </w:tc>
        <w:tc>
          <w:tcPr>
            <w:tcW w:type="dxa" w:w="950"/>
            <w:vAlign w:val="top"/>
          </w:tcPr>
          <w:p>
            <w:pPr>
              <w:spacing w:after="40" w:before="0" w:line="259" w:lineRule="auto"/>
            </w:pPr>
            <w:r>
              <w:rPr>
                <w:rFonts w:ascii="Calibri" w:hAnsi="Calibri"/>
                <w:b w:val="0"/>
                <w:i w:val="0"/>
                <w:color w:val="212121"/>
                <w:sz w:val="16"/>
              </w:rPr>
              <w:t>Total 8.5–10.5 mg/dL; ionized 4.65–5.25 mg/dL</w:t>
            </w:r>
          </w:p>
        </w:tc>
        <w:tc>
          <w:tcPr>
            <w:tcW w:type="dxa" w:w="950"/>
            <w:vAlign w:val="top"/>
          </w:tcPr>
          <w:p>
            <w:pPr>
              <w:spacing w:after="40" w:before="0" w:line="259" w:lineRule="auto"/>
            </w:pPr>
            <w:r>
              <w:rPr>
                <w:rFonts w:ascii="Calibri" w:hAnsi="Calibri"/>
                <w:b w:val="0"/>
                <w:i w:val="0"/>
                <w:color w:val="212121"/>
                <w:sz w:val="16"/>
              </w:rPr>
              <w:t>&lt; 8.5 (hypocalcemia) or &gt; 10.5 mg/dL (hypercalcemia)</w:t>
            </w:r>
          </w:p>
        </w:tc>
        <w:tc>
          <w:tcPr>
            <w:tcW w:type="dxa" w:w="1036"/>
            <w:vAlign w:val="top"/>
          </w:tcPr>
          <w:p>
            <w:pPr>
              <w:spacing w:after="40" w:before="0" w:line="259" w:lineRule="auto"/>
            </w:pPr>
            <w:r>
              <w:rPr>
                <w:rFonts w:ascii="Calibri" w:hAnsi="Calibri"/>
                <w:b w:val="0"/>
                <w:i w:val="0"/>
                <w:color w:val="212121"/>
                <w:sz w:val="16"/>
              </w:rPr>
              <w:t>Correct for albumin; use ionized calcium in critical illness</w:t>
            </w:r>
          </w:p>
        </w:tc>
        <w:tc>
          <w:tcPr>
            <w:tcW w:type="dxa" w:w="1036"/>
            <w:vAlign w:val="top"/>
          </w:tcPr>
          <w:p>
            <w:pPr>
              <w:spacing w:after="40" w:before="0" w:line="259" w:lineRule="auto"/>
            </w:pPr>
            <w:r>
              <w:rPr>
                <w:rFonts w:ascii="Calibri" w:hAnsi="Calibri"/>
                <w:b w:val="0"/>
                <w:i w:val="0"/>
                <w:color w:val="212121"/>
                <w:sz w:val="16"/>
              </w:rPr>
              <w:t>CKD, post-thyroid/parathyroid surgery, malnutrition, pancreatitis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Interpret alongside magnesium and phosphate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Magnesium (Mg²⁺)</w:t>
            </w:r>
          </w:p>
        </w:tc>
        <w:tc>
          <w:tcPr>
            <w:tcW w:type="dxa" w:w="892"/>
            <w:vAlign w:val="top"/>
          </w:tcPr>
          <w:p>
            <w:pPr>
              <w:spacing w:after="40" w:before="0" w:line="259" w:lineRule="auto"/>
            </w:pPr>
            <w:r>
              <w:rPr>
                <w:rFonts w:ascii="Calibri" w:hAnsi="Calibri"/>
                <w:b w:val="0"/>
                <w:i w:val="0"/>
                <w:color w:val="212121"/>
                <w:sz w:val="16"/>
              </w:rPr>
              <w:t>Serum magnesium</w:t>
            </w:r>
          </w:p>
        </w:tc>
        <w:tc>
          <w:tcPr>
            <w:tcW w:type="dxa" w:w="950"/>
            <w:vAlign w:val="top"/>
          </w:tcPr>
          <w:p>
            <w:pPr>
              <w:spacing w:after="40" w:before="0" w:line="259" w:lineRule="auto"/>
            </w:pPr>
            <w:r>
              <w:rPr>
                <w:rFonts w:ascii="Calibri" w:hAnsi="Calibri"/>
                <w:b w:val="0"/>
                <w:i w:val="0"/>
                <w:color w:val="212121"/>
                <w:sz w:val="16"/>
              </w:rPr>
              <w:t>1.46–2.68 mg/dL</w:t>
            </w:r>
          </w:p>
        </w:tc>
        <w:tc>
          <w:tcPr>
            <w:tcW w:type="dxa" w:w="950"/>
            <w:vAlign w:val="top"/>
          </w:tcPr>
          <w:p>
            <w:pPr>
              <w:spacing w:after="40" w:before="0" w:line="259" w:lineRule="auto"/>
            </w:pPr>
            <w:r>
              <w:rPr>
                <w:rFonts w:ascii="Calibri" w:hAnsi="Calibri"/>
                <w:b w:val="0"/>
                <w:i w:val="0"/>
                <w:color w:val="212121"/>
                <w:sz w:val="16"/>
              </w:rPr>
              <w:t>&lt; 1.46 mg/dL (hypomagnesemia; symptomatic usually &lt; 1.2 mg/dL)</w:t>
            </w:r>
          </w:p>
        </w:tc>
        <w:tc>
          <w:tcPr>
            <w:tcW w:type="dxa" w:w="1036"/>
            <w:vAlign w:val="top"/>
          </w:tcPr>
          <w:p>
            <w:pPr>
              <w:spacing w:after="40" w:before="0" w:line="259" w:lineRule="auto"/>
            </w:pPr>
            <w:r>
              <w:rPr>
                <w:rFonts w:ascii="Calibri" w:hAnsi="Calibri"/>
                <w:b w:val="0"/>
                <w:i w:val="0"/>
                <w:color w:val="212121"/>
                <w:sz w:val="16"/>
              </w:rPr>
              <w:t>Often overlooked; causes refractory hypokalemia and hypocalcemia</w:t>
            </w:r>
          </w:p>
        </w:tc>
        <w:tc>
          <w:tcPr>
            <w:tcW w:type="dxa" w:w="1036"/>
            <w:vAlign w:val="top"/>
          </w:tcPr>
          <w:p>
            <w:pPr>
              <w:spacing w:after="40" w:before="0" w:line="259" w:lineRule="auto"/>
            </w:pPr>
            <w:r>
              <w:rPr>
                <w:rFonts w:ascii="Calibri" w:hAnsi="Calibri"/>
                <w:b w:val="0"/>
                <w:i w:val="0"/>
                <w:color w:val="212121"/>
                <w:sz w:val="16"/>
              </w:rPr>
              <w:t>ICU, alcohol, diuretic and PPI users, refeeding</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Diagnostic (check in refractory hypoK/hypoCa)</w:t>
            </w:r>
          </w:p>
        </w:tc>
        <w:tc>
          <w:tcPr>
            <w:tcW w:type="dxa" w:w="720"/>
            <w:vAlign w:val="top"/>
          </w:tcPr>
          <w:p>
            <w:pPr>
              <w:spacing w:after="40" w:before="0" w:line="259" w:lineRule="auto"/>
            </w:pPr>
            <w:r>
              <w:rPr>
                <w:rFonts w:ascii="Calibri" w:hAnsi="Calibri"/>
                <w:b w:val="0"/>
                <w:i w:val="0"/>
                <w:color w:val="212121"/>
                <w:sz w:val="16"/>
              </w:rPr>
              <w:t>Serum level underestimates total-body magnesium depletion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&amp; Urine Osmolality</w:t>
            </w:r>
          </w:p>
        </w:tc>
        <w:tc>
          <w:tcPr>
            <w:tcW w:type="dxa" w:w="892"/>
            <w:vAlign w:val="top"/>
          </w:tcPr>
          <w:p>
            <w:pPr>
              <w:spacing w:after="40" w:before="0" w:line="259" w:lineRule="auto"/>
            </w:pPr>
            <w:r>
              <w:rPr>
                <w:rFonts w:ascii="Calibri" w:hAnsi="Calibri"/>
                <w:b w:val="0"/>
                <w:i w:val="0"/>
                <w:color w:val="212121"/>
                <w:sz w:val="16"/>
              </w:rPr>
              <w:t>Osmolality</w:t>
            </w:r>
          </w:p>
        </w:tc>
        <w:tc>
          <w:tcPr>
            <w:tcW w:type="dxa" w:w="950"/>
            <w:vAlign w:val="top"/>
          </w:tcPr>
          <w:p>
            <w:pPr>
              <w:spacing w:after="40" w:before="0" w:line="259" w:lineRule="auto"/>
            </w:pPr>
            <w:r>
              <w:rPr>
                <w:rFonts w:ascii="Calibri" w:hAnsi="Calibri"/>
                <w:b w:val="0"/>
                <w:i w:val="0"/>
                <w:color w:val="212121"/>
                <w:sz w:val="16"/>
              </w:rPr>
              <w:t>Serum 275–295 mOsm/kg</w:t>
            </w:r>
          </w:p>
        </w:tc>
        <w:tc>
          <w:tcPr>
            <w:tcW w:type="dxa" w:w="950"/>
            <w:vAlign w:val="top"/>
          </w:tcPr>
          <w:p>
            <w:pPr>
              <w:spacing w:after="40" w:before="0" w:line="259" w:lineRule="auto"/>
            </w:pPr>
            <w:r>
              <w:rPr>
                <w:rFonts w:ascii="Calibri" w:hAnsi="Calibri"/>
                <w:b w:val="0"/>
                <w:i w:val="0"/>
                <w:color w:val="212121"/>
                <w:sz w:val="16"/>
              </w:rPr>
              <w:t>Low serum osmolality with inappropriately high urine osmolality in SIADH</w:t>
            </w:r>
          </w:p>
        </w:tc>
        <w:tc>
          <w:tcPr>
            <w:tcW w:type="dxa" w:w="1036"/>
            <w:vAlign w:val="top"/>
          </w:tcPr>
          <w:p>
            <w:pPr>
              <w:spacing w:after="40" w:before="0" w:line="259" w:lineRule="auto"/>
            </w:pPr>
            <w:r>
              <w:rPr>
                <w:rFonts w:ascii="Calibri" w:hAnsi="Calibri"/>
                <w:b w:val="0"/>
                <w:i w:val="0"/>
                <w:color w:val="212121"/>
                <w:sz w:val="16"/>
              </w:rPr>
              <w:t>Essential step in classifying hyponatremia</w:t>
            </w:r>
          </w:p>
        </w:tc>
        <w:tc>
          <w:tcPr>
            <w:tcW w:type="dxa" w:w="1036"/>
            <w:vAlign w:val="top"/>
          </w:tcPr>
          <w:p>
            <w:pPr>
              <w:spacing w:after="40" w:before="0" w:line="259" w:lineRule="auto"/>
            </w:pPr>
            <w:r>
              <w:rPr>
                <w:rFonts w:ascii="Calibri" w:hAnsi="Calibri"/>
                <w:b w:val="0"/>
                <w:i w:val="0"/>
                <w:color w:val="212121"/>
                <w:sz w:val="16"/>
              </w:rPr>
              <w:t>Hyponatremia work-up</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Diagnostic (classification)</w:t>
            </w:r>
          </w:p>
        </w:tc>
        <w:tc>
          <w:tcPr>
            <w:tcW w:type="dxa" w:w="720"/>
            <w:vAlign w:val="top"/>
          </w:tcPr>
          <w:p>
            <w:pPr>
              <w:spacing w:after="40" w:before="0" w:line="259" w:lineRule="auto"/>
            </w:pPr>
            <w:r>
              <w:rPr>
                <w:rFonts w:ascii="Calibri" w:hAnsi="Calibri"/>
                <w:b w:val="0"/>
                <w:i w:val="0"/>
                <w:color w:val="212121"/>
                <w:sz w:val="16"/>
              </w:rPr>
              <w:t>Collect paired serum and urine samples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Urine Sodium</w:t>
            </w:r>
          </w:p>
        </w:tc>
        <w:tc>
          <w:tcPr>
            <w:tcW w:type="dxa" w:w="892"/>
            <w:vAlign w:val="top"/>
          </w:tcPr>
          <w:p>
            <w:pPr>
              <w:spacing w:after="40" w:before="0" w:line="259" w:lineRule="auto"/>
            </w:pPr>
            <w:r>
              <w:rPr>
                <w:rFonts w:ascii="Calibri" w:hAnsi="Calibri"/>
                <w:b w:val="0"/>
                <w:i w:val="0"/>
                <w:color w:val="212121"/>
                <w:sz w:val="16"/>
              </w:rPr>
              <w:t>Spot urine sodium</w:t>
            </w:r>
          </w:p>
        </w:tc>
        <w:tc>
          <w:tcPr>
            <w:tcW w:type="dxa" w:w="950"/>
            <w:vAlign w:val="top"/>
          </w:tcPr>
          <w:p>
            <w:pPr>
              <w:spacing w:after="40" w:before="0" w:line="259" w:lineRule="auto"/>
            </w:pPr>
            <w:r>
              <w:rPr>
                <w:rFonts w:ascii="Calibri" w:hAnsi="Calibri"/>
                <w:b w:val="0"/>
                <w:i w:val="0"/>
                <w:color w:val="212121"/>
                <w:sz w:val="16"/>
              </w:rPr>
              <w:t>Variable with intake</w:t>
            </w:r>
          </w:p>
        </w:tc>
        <w:tc>
          <w:tcPr>
            <w:tcW w:type="dxa" w:w="950"/>
            <w:vAlign w:val="top"/>
          </w:tcPr>
          <w:p>
            <w:pPr>
              <w:spacing w:after="40" w:before="0" w:line="259" w:lineRule="auto"/>
            </w:pPr>
            <w:r>
              <w:rPr>
                <w:rFonts w:ascii="Calibri" w:hAnsi="Calibri"/>
                <w:b w:val="0"/>
                <w:i w:val="0"/>
                <w:color w:val="212121"/>
                <w:sz w:val="16"/>
              </w:rPr>
              <w:t>&lt; 20 mEq/L (hypovolaemia / extra-renal loss) vs &gt; 40 mEq/L (SIADH / renal loss / diuretics)</w:t>
            </w:r>
          </w:p>
        </w:tc>
        <w:tc>
          <w:tcPr>
            <w:tcW w:type="dxa" w:w="1036"/>
            <w:vAlign w:val="top"/>
          </w:tcPr>
          <w:p>
            <w:pPr>
              <w:spacing w:after="40" w:before="0" w:line="259" w:lineRule="auto"/>
            </w:pPr>
            <w:r>
              <w:rPr>
                <w:rFonts w:ascii="Calibri" w:hAnsi="Calibri"/>
                <w:b w:val="0"/>
                <w:i w:val="0"/>
                <w:color w:val="212121"/>
                <w:sz w:val="16"/>
              </w:rPr>
              <w:t>Localises the sodium-handling defect</w:t>
            </w:r>
          </w:p>
        </w:tc>
        <w:tc>
          <w:tcPr>
            <w:tcW w:type="dxa" w:w="1036"/>
            <w:vAlign w:val="top"/>
          </w:tcPr>
          <w:p>
            <w:pPr>
              <w:spacing w:after="40" w:before="0" w:line="259" w:lineRule="auto"/>
            </w:pPr>
            <w:r>
              <w:rPr>
                <w:rFonts w:ascii="Calibri" w:hAnsi="Calibri"/>
                <w:b w:val="0"/>
                <w:i w:val="0"/>
                <w:color w:val="212121"/>
                <w:sz w:val="16"/>
              </w:rPr>
              <w:t>Dysnatremia work-up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Recent diuretics raise urine sodium and confound interpretation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12-lead ECG / continuous monitoring</w:t>
            </w:r>
          </w:p>
        </w:tc>
        <w:tc>
          <w:tcPr>
            <w:tcW w:type="dxa" w:w="892"/>
            <w:vAlign w:val="top"/>
          </w:tcPr>
          <w:p>
            <w:pPr>
              <w:spacing w:after="40" w:before="0" w:line="259" w:lineRule="auto"/>
            </w:pPr>
            <w:r>
              <w:rPr>
                <w:rFonts w:ascii="Calibri" w:hAnsi="Calibri"/>
                <w:b w:val="0"/>
                <w:i w:val="0"/>
                <w:color w:val="212121"/>
                <w:sz w:val="16"/>
              </w:rPr>
              <w:t>ECG</w:t>
            </w:r>
          </w:p>
        </w:tc>
        <w:tc>
          <w:tcPr>
            <w:tcW w:type="dxa" w:w="950"/>
            <w:vAlign w:val="top"/>
          </w:tcPr>
          <w:p>
            <w:pPr>
              <w:spacing w:after="40" w:before="0" w:line="259" w:lineRule="auto"/>
            </w:pPr>
            <w:r>
              <w:rPr>
                <w:rFonts w:ascii="Calibri" w:hAnsi="Calibri"/>
                <w:b w:val="0"/>
                <w:i w:val="0"/>
                <w:color w:val="212121"/>
                <w:sz w:val="16"/>
              </w:rPr>
              <w:t>Normal sinus rhythm</w:t>
            </w:r>
          </w:p>
        </w:tc>
        <w:tc>
          <w:tcPr>
            <w:tcW w:type="dxa" w:w="950"/>
            <w:vAlign w:val="top"/>
          </w:tcPr>
          <w:p>
            <w:pPr>
              <w:spacing w:after="40" w:before="0" w:line="259" w:lineRule="auto"/>
            </w:pPr>
            <w:r>
              <w:rPr>
                <w:rFonts w:ascii="Calibri" w:hAnsi="Calibri"/>
                <w:b w:val="0"/>
                <w:i w:val="0"/>
                <w:color w:val="212121"/>
                <w:sz w:val="16"/>
              </w:rPr>
              <w:t>Peaked T waves, widened QRS or sine-wave (hyperkalemia); U waves, ST depression, long QT (hypokalemia / hypomagnesemia / hypocalcemia)</w:t>
            </w:r>
          </w:p>
        </w:tc>
        <w:tc>
          <w:tcPr>
            <w:tcW w:type="dxa" w:w="1036"/>
            <w:vAlign w:val="top"/>
          </w:tcPr>
          <w:p>
            <w:pPr>
              <w:spacing w:after="40" w:before="0" w:line="259" w:lineRule="auto"/>
            </w:pPr>
            <w:r>
              <w:rPr>
                <w:rFonts w:ascii="Calibri" w:hAnsi="Calibri"/>
                <w:b w:val="0"/>
                <w:i w:val="0"/>
                <w:color w:val="212121"/>
                <w:sz w:val="16"/>
              </w:rPr>
              <w:t>Identifies life-threatening cardiac effects and guides emergency treatment</w:t>
            </w:r>
          </w:p>
        </w:tc>
        <w:tc>
          <w:tcPr>
            <w:tcW w:type="dxa" w:w="1036"/>
            <w:vAlign w:val="top"/>
          </w:tcPr>
          <w:p>
            <w:pPr>
              <w:spacing w:after="40" w:before="0" w:line="259" w:lineRule="auto"/>
            </w:pPr>
            <w:r>
              <w:rPr>
                <w:rFonts w:ascii="Calibri" w:hAnsi="Calibri"/>
                <w:b w:val="0"/>
                <w:i w:val="0"/>
                <w:color w:val="212121"/>
                <w:sz w:val="16"/>
              </w:rPr>
              <w:t>Dyskalemia, hypomagnesemia, hypocalcemia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triage (immediate)</w:t>
            </w:r>
          </w:p>
        </w:tc>
        <w:tc>
          <w:tcPr>
            <w:tcW w:type="dxa" w:w="720"/>
            <w:vAlign w:val="top"/>
          </w:tcPr>
          <w:p>
            <w:pPr>
              <w:spacing w:after="40" w:before="0" w:line="259" w:lineRule="auto"/>
            </w:pPr>
            <w:r>
              <w:rPr>
                <w:rFonts w:ascii="Calibri" w:hAnsi="Calibri"/>
                <w:b w:val="0"/>
                <w:i w:val="0"/>
                <w:color w:val="212121"/>
                <w:sz w:val="16"/>
              </w:rPr>
              <w:t>ECG changes can precede symptoms and mandate urgent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function &amp; arterial blood gas (urea, creatinine, eGFR, pH, HCO₃⁻)</w:t>
            </w:r>
          </w:p>
        </w:tc>
        <w:tc>
          <w:tcPr>
            <w:tcW w:type="dxa" w:w="892"/>
            <w:vAlign w:val="top"/>
          </w:tcPr>
          <w:p>
            <w:pPr>
              <w:spacing w:after="40" w:before="0" w:line="259" w:lineRule="auto"/>
            </w:pPr>
            <w:r>
              <w:rPr>
                <w:rFonts w:ascii="Calibri" w:hAnsi="Calibri"/>
                <w:b w:val="0"/>
                <w:i w:val="0"/>
                <w:color w:val="212121"/>
                <w:sz w:val="16"/>
              </w:rPr>
              <w:t>RFT + ABG</w:t>
            </w:r>
          </w:p>
        </w:tc>
        <w:tc>
          <w:tcPr>
            <w:tcW w:type="dxa" w:w="950"/>
            <w:vAlign w:val="top"/>
          </w:tcPr>
          <w:p>
            <w:pPr>
              <w:spacing w:after="40" w:before="0" w:line="259" w:lineRule="auto"/>
            </w:pPr>
            <w:r>
              <w:rPr>
                <w:rFonts w:ascii="Calibri" w:hAnsi="Calibri"/>
                <w:b w:val="0"/>
                <w:i w:val="0"/>
                <w:color w:val="212121"/>
                <w:sz w:val="16"/>
              </w:rPr>
              <w:t>Normal renal function and acid–base status</w:t>
            </w:r>
          </w:p>
        </w:tc>
        <w:tc>
          <w:tcPr>
            <w:tcW w:type="dxa" w:w="950"/>
            <w:vAlign w:val="top"/>
          </w:tcPr>
          <w:p>
            <w:pPr>
              <w:spacing w:after="40" w:before="0" w:line="259" w:lineRule="auto"/>
            </w:pPr>
            <w:r>
              <w:rPr>
                <w:rFonts w:ascii="Calibri" w:hAnsi="Calibri"/>
                <w:b w:val="0"/>
                <w:i w:val="0"/>
                <w:color w:val="212121"/>
                <w:sz w:val="16"/>
              </w:rPr>
              <w:t>Raised urea/creatinine, low eGFR, acidosis or alkalosis</w:t>
            </w:r>
          </w:p>
        </w:tc>
        <w:tc>
          <w:tcPr>
            <w:tcW w:type="dxa" w:w="1036"/>
            <w:vAlign w:val="top"/>
          </w:tcPr>
          <w:p>
            <w:pPr>
              <w:spacing w:after="40" w:before="0" w:line="259" w:lineRule="auto"/>
            </w:pPr>
            <w:r>
              <w:rPr>
                <w:rFonts w:ascii="Calibri" w:hAnsi="Calibri"/>
                <w:b w:val="0"/>
                <w:i w:val="0"/>
                <w:color w:val="212121"/>
                <w:sz w:val="16"/>
              </w:rPr>
              <w:t>Identifies renal cause and acid–base-driven transcellular shifts</w:t>
            </w:r>
          </w:p>
        </w:tc>
        <w:tc>
          <w:tcPr>
            <w:tcW w:type="dxa" w:w="1036"/>
            <w:vAlign w:val="top"/>
          </w:tcPr>
          <w:p>
            <w:pPr>
              <w:spacing w:after="40" w:before="0" w:line="259" w:lineRule="auto"/>
            </w:pPr>
            <w:r>
              <w:rPr>
                <w:rFonts w:ascii="Calibri" w:hAnsi="Calibri"/>
                <w:b w:val="0"/>
                <w:i w:val="0"/>
                <w:color w:val="212121"/>
                <w:sz w:val="16"/>
              </w:rPr>
              <w:t>CKD, AKI, DKA, sepsis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(cause &amp; severity)</w:t>
            </w:r>
          </w:p>
        </w:tc>
        <w:tc>
          <w:tcPr>
            <w:tcW w:type="dxa" w:w="720"/>
            <w:vAlign w:val="top"/>
          </w:tcPr>
          <w:p>
            <w:pPr>
              <w:spacing w:after="40" w:before="0" w:line="259" w:lineRule="auto"/>
            </w:pPr>
            <w:r>
              <w:rPr>
                <w:rFonts w:ascii="Calibri" w:hAnsi="Calibri"/>
                <w:b w:val="0"/>
                <w:i w:val="0"/>
                <w:color w:val="212121"/>
                <w:sz w:val="16"/>
              </w:rPr>
              <w:t>Acidosis shifts potassium out of cells and raises serum 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PTH, 25-OH vitamin D &amp; phosphate</w:t>
            </w:r>
          </w:p>
        </w:tc>
        <w:tc>
          <w:tcPr>
            <w:tcW w:type="dxa" w:w="892"/>
            <w:vAlign w:val="top"/>
          </w:tcPr>
          <w:p>
            <w:pPr>
              <w:spacing w:after="40" w:before="0" w:line="259" w:lineRule="auto"/>
            </w:pPr>
            <w:r>
              <w:rPr>
                <w:rFonts w:ascii="Calibri" w:hAnsi="Calibri"/>
                <w:b w:val="0"/>
                <w:i w:val="0"/>
                <w:color w:val="212121"/>
                <w:sz w:val="16"/>
              </w:rPr>
              <w:t>Calcium aetiology panel</w:t>
            </w:r>
          </w:p>
        </w:tc>
        <w:tc>
          <w:tcPr>
            <w:tcW w:type="dxa" w:w="950"/>
            <w:vAlign w:val="top"/>
          </w:tcPr>
          <w:p>
            <w:pPr>
              <w:spacing w:after="40" w:before="0" w:line="259" w:lineRule="auto"/>
            </w:pPr>
            <w:r>
              <w:rPr>
                <w:rFonts w:ascii="Calibri" w:hAnsi="Calibri"/>
                <w:b w:val="0"/>
                <w:i w:val="0"/>
                <w:color w:val="212121"/>
                <w:sz w:val="16"/>
              </w:rPr>
              <w:t>Normal PTH, vitamin D and phosphate</w:t>
            </w:r>
          </w:p>
        </w:tc>
        <w:tc>
          <w:tcPr>
            <w:tcW w:type="dxa" w:w="950"/>
            <w:vAlign w:val="top"/>
          </w:tcPr>
          <w:p>
            <w:pPr>
              <w:spacing w:after="40" w:before="0" w:line="259" w:lineRule="auto"/>
            </w:pPr>
            <w:r>
              <w:rPr>
                <w:rFonts w:ascii="Calibri" w:hAnsi="Calibri"/>
                <w:b w:val="0"/>
                <w:i w:val="0"/>
                <w:color w:val="212121"/>
                <w:sz w:val="16"/>
              </w:rPr>
              <w:t>Low/high PTH, low vitamin D, high/low phosphate</w:t>
            </w:r>
          </w:p>
        </w:tc>
        <w:tc>
          <w:tcPr>
            <w:tcW w:type="dxa" w:w="1036"/>
            <w:vAlign w:val="top"/>
          </w:tcPr>
          <w:p>
            <w:pPr>
              <w:spacing w:after="40" w:before="0" w:line="259" w:lineRule="auto"/>
            </w:pPr>
            <w:r>
              <w:rPr>
                <w:rFonts w:ascii="Calibri" w:hAnsi="Calibri"/>
                <w:b w:val="0"/>
                <w:i w:val="0"/>
                <w:color w:val="212121"/>
                <w:sz w:val="16"/>
              </w:rPr>
              <w:t>Distinguishes PTH-dependent from vitamin-D-deficiency hypocalcemia and identifies hypercalcemia cause</w:t>
            </w:r>
          </w:p>
        </w:tc>
        <w:tc>
          <w:tcPr>
            <w:tcW w:type="dxa" w:w="1036"/>
            <w:vAlign w:val="top"/>
          </w:tcPr>
          <w:p>
            <w:pPr>
              <w:spacing w:after="40" w:before="0" w:line="259" w:lineRule="auto"/>
            </w:pPr>
            <w:r>
              <w:rPr>
                <w:rFonts w:ascii="Calibri" w:hAnsi="Calibri"/>
                <w:b w:val="0"/>
                <w:i w:val="0"/>
                <w:color w:val="212121"/>
                <w:sz w:val="16"/>
              </w:rPr>
              <w:t>Hypo-/hypercalcemia work-up</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(aetiology)</w:t>
            </w:r>
          </w:p>
        </w:tc>
        <w:tc>
          <w:tcPr>
            <w:tcW w:type="dxa" w:w="720"/>
            <w:vAlign w:val="top"/>
          </w:tcPr>
          <w:p>
            <w:pPr>
              <w:spacing w:after="40" w:before="0" w:line="259" w:lineRule="auto"/>
            </w:pPr>
            <w:r>
              <w:rPr>
                <w:rFonts w:ascii="Calibri" w:hAnsi="Calibri"/>
                <w:b w:val="0"/>
                <w:i w:val="0"/>
                <w:color w:val="212121"/>
                <w:sz w:val="16"/>
              </w:rPr>
              <w:t>Always check magnesium alongside, as it modulates PTH</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Nausea, weakness, cramps, confusion, seizures, palpitations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Non-specific but prompts an urgent electrolyte panel; severity depends on the rate of change</w:t>
            </w:r>
          </w:p>
        </w:tc>
        <w:tc>
          <w:tcPr>
            <w:tcW w:type="dxa" w:w="1036"/>
            <w:vAlign w:val="top"/>
          </w:tcPr>
          <w:p>
            <w:pPr>
              <w:spacing w:after="40" w:before="0" w:line="259" w:lineRule="auto"/>
            </w:pPr>
            <w:r>
              <w:rPr>
                <w:rFonts w:ascii="Calibri" w:hAnsi="Calibri"/>
                <w:b w:val="0"/>
                <w:i w:val="0"/>
                <w:color w:val="212121"/>
                <w:sz w:val="16"/>
              </w:rPr>
              <w:t>Elderly, ICU and acutely ill patients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Chronic disturbances are often better tolerated than acute ones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history</w:t>
            </w:r>
          </w:p>
        </w:tc>
        <w:tc>
          <w:tcPr>
            <w:tcW w:type="dxa" w:w="979"/>
            <w:vAlign w:val="top"/>
          </w:tcPr>
          <w:p>
            <w:pPr>
              <w:spacing w:after="40" w:before="0" w:line="259" w:lineRule="auto"/>
            </w:pPr>
            <w:r>
              <w:rPr>
                <w:rFonts w:ascii="Calibri" w:hAnsi="Calibri"/>
                <w:b w:val="0"/>
                <w:i w:val="0"/>
                <w:color w:val="212121"/>
                <w:sz w:val="16"/>
              </w:rPr>
              <w:t>Diuretics, RAAS inhibitors, K-sparing agents, PPIs, laxatives, SSRIs, steroids</w:t>
            </w:r>
          </w:p>
        </w:tc>
        <w:tc>
          <w:tcPr>
            <w:tcW w:type="dxa" w:w="950"/>
            <w:vAlign w:val="top"/>
          </w:tcPr>
          <w:p>
            <w:pPr>
              <w:spacing w:after="40" w:before="0" w:line="259" w:lineRule="auto"/>
            </w:pPr>
            <w:r>
              <w:rPr>
                <w:rFonts w:ascii="Calibri" w:hAnsi="Calibri"/>
                <w:b w:val="0"/>
                <w:i w:val="0"/>
                <w:color w:val="212121"/>
                <w:sz w:val="16"/>
              </w:rPr>
              <w:t>No culprit drug</w:t>
            </w:r>
          </w:p>
        </w:tc>
        <w:tc>
          <w:tcPr>
            <w:tcW w:type="dxa" w:w="950"/>
            <w:vAlign w:val="top"/>
          </w:tcPr>
          <w:p>
            <w:pPr>
              <w:spacing w:after="40" w:before="0" w:line="259" w:lineRule="auto"/>
            </w:pPr>
            <w:r>
              <w:rPr>
                <w:rFonts w:ascii="Calibri" w:hAnsi="Calibri"/>
                <w:b w:val="0"/>
                <w:i w:val="0"/>
                <w:color w:val="212121"/>
                <w:sz w:val="16"/>
              </w:rPr>
              <w:t>One or more culprit drugs present</w:t>
            </w:r>
          </w:p>
        </w:tc>
        <w:tc>
          <w:tcPr>
            <w:tcW w:type="dxa" w:w="1036"/>
            <w:vAlign w:val="top"/>
          </w:tcPr>
          <w:p>
            <w:pPr>
              <w:spacing w:after="40" w:before="0" w:line="259" w:lineRule="auto"/>
            </w:pPr>
            <w:r>
              <w:rPr>
                <w:rFonts w:ascii="Calibri" w:hAnsi="Calibri"/>
                <w:b w:val="0"/>
                <w:i w:val="0"/>
                <w:color w:val="212121"/>
                <w:sz w:val="16"/>
              </w:rPr>
              <w:t>Identifies the commonest reversible iatrogenic cause</w:t>
            </w:r>
          </w:p>
        </w:tc>
        <w:tc>
          <w:tcPr>
            <w:tcW w:type="dxa" w:w="1036"/>
            <w:vAlign w:val="top"/>
          </w:tcPr>
          <w:p>
            <w:pPr>
              <w:spacing w:after="40" w:before="0" w:line="259" w:lineRule="auto"/>
            </w:pPr>
            <w:r>
              <w:rPr>
                <w:rFonts w:ascii="Calibri" w:hAnsi="Calibri"/>
                <w:b w:val="0"/>
                <w:i w:val="0"/>
                <w:color w:val="212121"/>
                <w:sz w:val="16"/>
              </w:rPr>
              <w:t>Polypharmacy elderly, cardiac and psychiatric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(key modifiable cause)</w:t>
            </w:r>
          </w:p>
        </w:tc>
        <w:tc>
          <w:tcPr>
            <w:tcW w:type="dxa" w:w="720"/>
            <w:vAlign w:val="top"/>
          </w:tcPr>
          <w:p>
            <w:pPr>
              <w:spacing w:after="40" w:before="0" w:line="259" w:lineRule="auto"/>
            </w:pPr>
            <w:r>
              <w:rPr>
                <w:rFonts w:ascii="Calibri" w:hAnsi="Calibri"/>
                <w:b w:val="0"/>
                <w:i w:val="0"/>
                <w:color w:val="212121"/>
                <w:sz w:val="16"/>
              </w:rPr>
              <w:t>Review timing of drug start against the biochemical change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Gastrointestinal &amp; fluid history</w:t>
            </w:r>
          </w:p>
        </w:tc>
        <w:tc>
          <w:tcPr>
            <w:tcW w:type="dxa" w:w="979"/>
            <w:vAlign w:val="top"/>
          </w:tcPr>
          <w:p>
            <w:pPr>
              <w:spacing w:after="40" w:before="0" w:line="259" w:lineRule="auto"/>
            </w:pPr>
            <w:r>
              <w:rPr>
                <w:rFonts w:ascii="Calibri" w:hAnsi="Calibri"/>
                <w:b w:val="0"/>
                <w:i w:val="0"/>
                <w:color w:val="212121"/>
                <w:sz w:val="16"/>
              </w:rPr>
              <w:t>Vomiting, diarrhoea, poor intake, thirst, fluid and alcohol intake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Significant losses or abnormal intake</w:t>
            </w:r>
          </w:p>
        </w:tc>
        <w:tc>
          <w:tcPr>
            <w:tcW w:type="dxa" w:w="1036"/>
            <w:vAlign w:val="top"/>
          </w:tcPr>
          <w:p>
            <w:pPr>
              <w:spacing w:after="40" w:before="0" w:line="259" w:lineRule="auto"/>
            </w:pPr>
            <w:r>
              <w:rPr>
                <w:rFonts w:ascii="Calibri" w:hAnsi="Calibri"/>
                <w:b w:val="0"/>
                <w:i w:val="0"/>
                <w:color w:val="212121"/>
                <w:sz w:val="16"/>
              </w:rPr>
              <w:t>Distinguishes depletion from dilution</w:t>
            </w:r>
          </w:p>
        </w:tc>
        <w:tc>
          <w:tcPr>
            <w:tcW w:type="dxa" w:w="1036"/>
            <w:vAlign w:val="top"/>
          </w:tcPr>
          <w:p>
            <w:pPr>
              <w:spacing w:after="40" w:before="0" w:line="259" w:lineRule="auto"/>
            </w:pPr>
            <w:r>
              <w:rPr>
                <w:rFonts w:ascii="Calibri" w:hAnsi="Calibri"/>
                <w:b w:val="0"/>
                <w:i w:val="0"/>
                <w:color w:val="212121"/>
                <w:sz w:val="16"/>
              </w:rPr>
              <w:t>Gastroenteritis, alcohol use, heat exposure</w:t>
            </w:r>
          </w:p>
        </w:tc>
        <w:tc>
          <w:tcPr>
            <w:tcW w:type="dxa" w:w="720"/>
            <w:vAlign w:val="top"/>
          </w:tcPr>
          <w:p>
            <w:pPr>
              <w:spacing w:after="40" w:before="0" w:line="259" w:lineRule="auto"/>
            </w:pPr>
            <w:r>
              <w:rPr>
                <w:rFonts w:ascii="Calibri" w:hAnsi="Calibri"/>
                <w:b w:val="0"/>
                <w:i w:val="0"/>
                <w:color w:val="212121"/>
                <w:sz w:val="16"/>
              </w:rPr>
              <w:t>Water;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ongoing losses and replacement fluid type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Volume-status assessment</w:t>
            </w:r>
          </w:p>
        </w:tc>
        <w:tc>
          <w:tcPr>
            <w:tcW w:type="dxa" w:w="979"/>
            <w:vAlign w:val="top"/>
          </w:tcPr>
          <w:p>
            <w:pPr>
              <w:spacing w:after="40" w:before="0" w:line="259" w:lineRule="auto"/>
            </w:pPr>
            <w:r>
              <w:rPr>
                <w:rFonts w:ascii="Calibri" w:hAnsi="Calibri"/>
                <w:b w:val="0"/>
                <w:i w:val="0"/>
                <w:color w:val="212121"/>
                <w:sz w:val="16"/>
              </w:rPr>
              <w:t>JVP, skin turgor, mucous membranes, oedema, BP and postural drop</w:t>
            </w:r>
          </w:p>
        </w:tc>
        <w:tc>
          <w:tcPr>
            <w:tcW w:type="dxa" w:w="950"/>
            <w:vAlign w:val="top"/>
          </w:tcPr>
          <w:p>
            <w:pPr>
              <w:spacing w:after="40" w:before="0" w:line="259" w:lineRule="auto"/>
            </w:pPr>
            <w:r>
              <w:rPr>
                <w:rFonts w:ascii="Calibri" w:hAnsi="Calibri"/>
                <w:b w:val="0"/>
                <w:i w:val="0"/>
                <w:color w:val="212121"/>
                <w:sz w:val="16"/>
              </w:rPr>
              <w:t>Euvolemic</w:t>
            </w:r>
          </w:p>
        </w:tc>
        <w:tc>
          <w:tcPr>
            <w:tcW w:type="dxa" w:w="950"/>
            <w:vAlign w:val="top"/>
          </w:tcPr>
          <w:p>
            <w:pPr>
              <w:spacing w:after="40" w:before="0" w:line="259" w:lineRule="auto"/>
            </w:pPr>
            <w:r>
              <w:rPr>
                <w:rFonts w:ascii="Calibri" w:hAnsi="Calibri"/>
                <w:b w:val="0"/>
                <w:i w:val="0"/>
                <w:color w:val="212121"/>
                <w:sz w:val="16"/>
              </w:rPr>
              <w:t>Hypovolemic or hypervolemic signs</w:t>
            </w:r>
          </w:p>
        </w:tc>
        <w:tc>
          <w:tcPr>
            <w:tcW w:type="dxa" w:w="1036"/>
            <w:vAlign w:val="top"/>
          </w:tcPr>
          <w:p>
            <w:pPr>
              <w:spacing w:after="40" w:before="0" w:line="259" w:lineRule="auto"/>
            </w:pPr>
            <w:r>
              <w:rPr>
                <w:rFonts w:ascii="Calibri" w:hAnsi="Calibri"/>
                <w:b w:val="0"/>
                <w:i w:val="0"/>
                <w:color w:val="212121"/>
                <w:sz w:val="16"/>
              </w:rPr>
              <w:t>Central to classifying dysnatremia and choosing fluid therapy</w:t>
            </w:r>
          </w:p>
        </w:tc>
        <w:tc>
          <w:tcPr>
            <w:tcW w:type="dxa" w:w="1036"/>
            <w:vAlign w:val="top"/>
          </w:tcPr>
          <w:p>
            <w:pPr>
              <w:spacing w:after="40" w:before="0" w:line="259" w:lineRule="auto"/>
            </w:pPr>
            <w:r>
              <w:rPr>
                <w:rFonts w:ascii="Calibri" w:hAnsi="Calibri"/>
                <w:b w:val="0"/>
                <w:i w:val="0"/>
                <w:color w:val="212121"/>
                <w:sz w:val="16"/>
              </w:rPr>
              <w:t>All patients with dysnatremia</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Diagnostic (directs therapy)</w:t>
            </w:r>
          </w:p>
        </w:tc>
        <w:tc>
          <w:tcPr>
            <w:tcW w:type="dxa" w:w="720"/>
            <w:vAlign w:val="top"/>
          </w:tcPr>
          <w:p>
            <w:pPr>
              <w:spacing w:after="40" w:before="0" w:line="259" w:lineRule="auto"/>
            </w:pPr>
            <w:r>
              <w:rPr>
                <w:rFonts w:ascii="Calibri" w:hAnsi="Calibri"/>
                <w:b w:val="0"/>
                <w:i w:val="0"/>
                <w:color w:val="212121"/>
                <w:sz w:val="16"/>
              </w:rPr>
              <w:t>Volume status determines whether to give or restrict fluid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Neuromuscular examination</w:t>
            </w:r>
          </w:p>
        </w:tc>
        <w:tc>
          <w:tcPr>
            <w:tcW w:type="dxa" w:w="979"/>
            <w:vAlign w:val="top"/>
          </w:tcPr>
          <w:p>
            <w:pPr>
              <w:spacing w:after="40" w:before="0" w:line="259" w:lineRule="auto"/>
            </w:pPr>
            <w:r>
              <w:rPr>
                <w:rFonts w:ascii="Calibri" w:hAnsi="Calibri"/>
                <w:b w:val="0"/>
                <w:i w:val="0"/>
                <w:color w:val="212121"/>
                <w:sz w:val="16"/>
              </w:rPr>
              <w:t>Chvostek and Trousseau signs, tetany, reflexes, power and tone</w:t>
            </w:r>
          </w:p>
        </w:tc>
        <w:tc>
          <w:tcPr>
            <w:tcW w:type="dxa" w:w="950"/>
            <w:vAlign w:val="top"/>
          </w:tcPr>
          <w:p>
            <w:pPr>
              <w:spacing w:after="40" w:before="0" w:line="259" w:lineRule="auto"/>
            </w:pPr>
            <w:r>
              <w:rPr>
                <w:rFonts w:ascii="Calibri" w:hAnsi="Calibri"/>
                <w:b w:val="0"/>
                <w:i w:val="0"/>
                <w:color w:val="212121"/>
                <w:sz w:val="16"/>
              </w:rPr>
              <w:t>Absent, normal reflexes</w:t>
            </w:r>
          </w:p>
        </w:tc>
        <w:tc>
          <w:tcPr>
            <w:tcW w:type="dxa" w:w="950"/>
            <w:vAlign w:val="top"/>
          </w:tcPr>
          <w:p>
            <w:pPr>
              <w:spacing w:after="40" w:before="0" w:line="259" w:lineRule="auto"/>
            </w:pPr>
            <w:r>
              <w:rPr>
                <w:rFonts w:ascii="Calibri" w:hAnsi="Calibri"/>
                <w:b w:val="0"/>
                <w:i w:val="0"/>
                <w:color w:val="212121"/>
                <w:sz w:val="16"/>
              </w:rPr>
              <w:t>Positive Chvostek/Trousseau, hyper- or hyporeflexia</w:t>
            </w:r>
          </w:p>
        </w:tc>
        <w:tc>
          <w:tcPr>
            <w:tcW w:type="dxa" w:w="1036"/>
            <w:vAlign w:val="top"/>
          </w:tcPr>
          <w:p>
            <w:pPr>
              <w:spacing w:after="40" w:before="0" w:line="259" w:lineRule="auto"/>
            </w:pPr>
            <w:r>
              <w:rPr>
                <w:rFonts w:ascii="Calibri" w:hAnsi="Calibri"/>
                <w:b w:val="0"/>
                <w:i w:val="0"/>
                <w:color w:val="212121"/>
                <w:sz w:val="16"/>
              </w:rPr>
              <w:t>Hyperexcitability in hypocalcemia/hypomagnesemia; flaccid weakness in hyperkalemia and severe hypokalemia</w:t>
            </w:r>
          </w:p>
        </w:tc>
        <w:tc>
          <w:tcPr>
            <w:tcW w:type="dxa" w:w="1036"/>
            <w:vAlign w:val="top"/>
          </w:tcPr>
          <w:p>
            <w:pPr>
              <w:spacing w:after="40" w:before="0" w:line="259" w:lineRule="auto"/>
            </w:pPr>
            <w:r>
              <w:rPr>
                <w:rFonts w:ascii="Calibri" w:hAnsi="Calibri"/>
                <w:b w:val="0"/>
                <w:i w:val="0"/>
                <w:color w:val="212121"/>
                <w:sz w:val="16"/>
              </w:rPr>
              <w:t>Hypocalcemia, hypomagnesemia, dyskalemia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Always check magnesium alongside calcium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Neurological &amp; mental status (GCS)</w:t>
            </w:r>
          </w:p>
        </w:tc>
        <w:tc>
          <w:tcPr>
            <w:tcW w:type="dxa" w:w="979"/>
            <w:vAlign w:val="top"/>
          </w:tcPr>
          <w:p>
            <w:pPr>
              <w:spacing w:after="40" w:before="0" w:line="259" w:lineRule="auto"/>
            </w:pPr>
            <w:r>
              <w:rPr>
                <w:rFonts w:ascii="Calibri" w:hAnsi="Calibri"/>
                <w:b w:val="0"/>
                <w:i w:val="0"/>
                <w:color w:val="212121"/>
                <w:sz w:val="16"/>
              </w:rPr>
              <w:t>Orientation, drowsiness, seizures, focal deficits</w:t>
            </w:r>
          </w:p>
        </w:tc>
        <w:tc>
          <w:tcPr>
            <w:tcW w:type="dxa" w:w="950"/>
            <w:vAlign w:val="top"/>
          </w:tcPr>
          <w:p>
            <w:pPr>
              <w:spacing w:after="40" w:before="0" w:line="259" w:lineRule="auto"/>
            </w:pPr>
            <w:r>
              <w:rPr>
                <w:rFonts w:ascii="Calibri" w:hAnsi="Calibri"/>
                <w:b w:val="0"/>
                <w:i w:val="0"/>
                <w:color w:val="212121"/>
                <w:sz w:val="16"/>
              </w:rPr>
              <w:t>Alert and oriented</w:t>
            </w:r>
          </w:p>
        </w:tc>
        <w:tc>
          <w:tcPr>
            <w:tcW w:type="dxa" w:w="950"/>
            <w:vAlign w:val="top"/>
          </w:tcPr>
          <w:p>
            <w:pPr>
              <w:spacing w:after="40" w:before="0" w:line="259" w:lineRule="auto"/>
            </w:pPr>
            <w:r>
              <w:rPr>
                <w:rFonts w:ascii="Calibri" w:hAnsi="Calibri"/>
                <w:b w:val="0"/>
                <w:i w:val="0"/>
                <w:color w:val="212121"/>
                <w:sz w:val="16"/>
              </w:rPr>
              <w:t>Altered sensorium, seizures</w:t>
            </w:r>
          </w:p>
        </w:tc>
        <w:tc>
          <w:tcPr>
            <w:tcW w:type="dxa" w:w="1036"/>
            <w:vAlign w:val="top"/>
          </w:tcPr>
          <w:p>
            <w:pPr>
              <w:spacing w:after="40" w:before="0" w:line="259" w:lineRule="auto"/>
            </w:pPr>
            <w:r>
              <w:rPr>
                <w:rFonts w:ascii="Calibri" w:hAnsi="Calibri"/>
                <w:b w:val="0"/>
                <w:i w:val="0"/>
                <w:color w:val="212121"/>
                <w:sz w:val="16"/>
              </w:rPr>
              <w:t>Marks severity in dysnatremia and severe disturbances</w:t>
            </w:r>
          </w:p>
        </w:tc>
        <w:tc>
          <w:tcPr>
            <w:tcW w:type="dxa" w:w="1036"/>
            <w:vAlign w:val="top"/>
          </w:tcPr>
          <w:p>
            <w:pPr>
              <w:spacing w:after="40" w:before="0" w:line="259" w:lineRule="auto"/>
            </w:pPr>
            <w:r>
              <w:rPr>
                <w:rFonts w:ascii="Calibri" w:hAnsi="Calibri"/>
                <w:b w:val="0"/>
                <w:i w:val="0"/>
                <w:color w:val="212121"/>
                <w:sz w:val="16"/>
              </w:rPr>
              <w:t>Severe hypo-/hypernatremia</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Diagnostic / triage</w:t>
            </w:r>
          </w:p>
        </w:tc>
        <w:tc>
          <w:tcPr>
            <w:tcW w:type="dxa" w:w="720"/>
            <w:vAlign w:val="top"/>
          </w:tcPr>
          <w:p>
            <w:pPr>
              <w:spacing w:after="40" w:before="0" w:line="259" w:lineRule="auto"/>
            </w:pPr>
            <w:r>
              <w:rPr>
                <w:rFonts w:ascii="Calibri" w:hAnsi="Calibri"/>
                <w:b w:val="0"/>
                <w:i w:val="0"/>
                <w:color w:val="212121"/>
                <w:sz w:val="16"/>
              </w:rPr>
              <w:t>A rapid rate of change is more dangerous than the absolute value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Cardiac examination &amp; monitoring</w:t>
            </w:r>
          </w:p>
        </w:tc>
        <w:tc>
          <w:tcPr>
            <w:tcW w:type="dxa" w:w="979"/>
            <w:vAlign w:val="top"/>
          </w:tcPr>
          <w:p>
            <w:pPr>
              <w:spacing w:after="40" w:before="0" w:line="259" w:lineRule="auto"/>
            </w:pPr>
            <w:r>
              <w:rPr>
                <w:rFonts w:ascii="Calibri" w:hAnsi="Calibri"/>
                <w:b w:val="0"/>
                <w:i w:val="0"/>
                <w:color w:val="212121"/>
                <w:sz w:val="16"/>
              </w:rPr>
              <w:t>Rhythm, rate, ECG monitoring</w:t>
            </w:r>
          </w:p>
        </w:tc>
        <w:tc>
          <w:tcPr>
            <w:tcW w:type="dxa" w:w="950"/>
            <w:vAlign w:val="top"/>
          </w:tcPr>
          <w:p>
            <w:pPr>
              <w:spacing w:after="40" w:before="0" w:line="259" w:lineRule="auto"/>
            </w:pPr>
            <w:r>
              <w:rPr>
                <w:rFonts w:ascii="Calibri" w:hAnsi="Calibri"/>
                <w:b w:val="0"/>
                <w:i w:val="0"/>
                <w:color w:val="212121"/>
                <w:sz w:val="16"/>
              </w:rPr>
              <w:t>Regular rhythm</w:t>
            </w:r>
          </w:p>
        </w:tc>
        <w:tc>
          <w:tcPr>
            <w:tcW w:type="dxa" w:w="950"/>
            <w:vAlign w:val="top"/>
          </w:tcPr>
          <w:p>
            <w:pPr>
              <w:spacing w:after="40" w:before="0" w:line="259" w:lineRule="auto"/>
            </w:pPr>
            <w:r>
              <w:rPr>
                <w:rFonts w:ascii="Calibri" w:hAnsi="Calibri"/>
                <w:b w:val="0"/>
                <w:i w:val="0"/>
                <w:color w:val="212121"/>
                <w:sz w:val="16"/>
              </w:rPr>
              <w:t>Arrhythmia, bradycardia or irregular pulse</w:t>
            </w:r>
          </w:p>
        </w:tc>
        <w:tc>
          <w:tcPr>
            <w:tcW w:type="dxa" w:w="1036"/>
            <w:vAlign w:val="top"/>
          </w:tcPr>
          <w:p>
            <w:pPr>
              <w:spacing w:after="40" w:before="0" w:line="259" w:lineRule="auto"/>
            </w:pPr>
            <w:r>
              <w:rPr>
                <w:rFonts w:ascii="Calibri" w:hAnsi="Calibri"/>
                <w:b w:val="0"/>
                <w:i w:val="0"/>
                <w:color w:val="212121"/>
                <w:sz w:val="16"/>
              </w:rPr>
              <w:t>Detects the cardiac effects of dyskalemia and hypomagnesemia</w:t>
            </w:r>
          </w:p>
        </w:tc>
        <w:tc>
          <w:tcPr>
            <w:tcW w:type="dxa" w:w="1036"/>
            <w:vAlign w:val="top"/>
          </w:tcPr>
          <w:p>
            <w:pPr>
              <w:spacing w:after="40" w:before="0" w:line="259" w:lineRule="auto"/>
            </w:pPr>
            <w:r>
              <w:rPr>
                <w:rFonts w:ascii="Calibri" w:hAnsi="Calibri"/>
                <w:b w:val="0"/>
                <w:i w:val="0"/>
                <w:color w:val="212121"/>
                <w:sz w:val="16"/>
              </w:rPr>
              <w:t>Dyskalemia, hypomagnesemia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(safety)</w:t>
            </w:r>
          </w:p>
        </w:tc>
        <w:tc>
          <w:tcPr>
            <w:tcW w:type="dxa" w:w="720"/>
            <w:vAlign w:val="top"/>
          </w:tcPr>
          <w:p>
            <w:pPr>
              <w:spacing w:after="40" w:before="0" w:line="259" w:lineRule="auto"/>
            </w:pPr>
            <w:r>
              <w:rPr>
                <w:rFonts w:ascii="Calibri" w:hAnsi="Calibri"/>
                <w:b w:val="0"/>
                <w:i w:val="0"/>
                <w:color w:val="212121"/>
                <w:sz w:val="16"/>
              </w:rPr>
              <w:t>Use continuous monitoring for severe potassium disturbances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Nausea &amp;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 early feature of hyponatremia and also of hypercalcemia.</w:t>
            </w:r>
          </w:p>
        </w:tc>
      </w:tr>
      <w:tr>
        <w:trPr>
          <w:cantSplit/>
        </w:trPr>
        <w:tc>
          <w:tcPr>
            <w:tcW w:type="dxa" w:w="2304"/>
            <w:vAlign w:val="top"/>
          </w:tcPr>
          <w:p>
            <w:pPr>
              <w:spacing w:after="40" w:before="0" w:line="259" w:lineRule="auto"/>
            </w:pPr>
            <w:r>
              <w:rPr>
                <w:rFonts w:ascii="Calibri" w:hAnsi="Calibri"/>
                <w:b/>
                <w:i w:val="0"/>
                <w:color w:val="212121"/>
                <w:sz w:val="19"/>
              </w:rPr>
              <w:t>Fatigue, weakness &amp; lethargy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non-specific manifestation common to most electrolyte disturbances.</w:t>
            </w:r>
          </w:p>
        </w:tc>
      </w:tr>
      <w:tr>
        <w:trPr>
          <w:cantSplit/>
        </w:trPr>
        <w:tc>
          <w:tcPr>
            <w:tcW w:type="dxa" w:w="2304"/>
            <w:vAlign w:val="top"/>
          </w:tcPr>
          <w:p>
            <w:pPr>
              <w:spacing w:after="40" w:before="0" w:line="259" w:lineRule="auto"/>
            </w:pPr>
            <w:r>
              <w:rPr>
                <w:rFonts w:ascii="Calibri" w:hAnsi="Calibri"/>
                <w:b/>
                <w:i w:val="0"/>
                <w:color w:val="212121"/>
                <w:sz w:val="19"/>
              </w:rPr>
              <w:t>Muscle cramps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Seen with low sodium, calcium or magnesium.</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feature of acute hyponatremia due to early cerebral oedema.</w:t>
            </w:r>
          </w:p>
        </w:tc>
      </w:tr>
      <w:tr>
        <w:trPr>
          <w:cantSplit/>
        </w:trPr>
        <w:tc>
          <w:tcPr>
            <w:tcW w:type="dxa" w:w="2304"/>
            <w:vAlign w:val="top"/>
          </w:tcPr>
          <w:p>
            <w:pPr>
              <w:spacing w:after="40" w:before="0" w:line="259" w:lineRule="auto"/>
            </w:pPr>
            <w:r>
              <w:rPr>
                <w:rFonts w:ascii="Calibri" w:hAnsi="Calibri"/>
                <w:b/>
                <w:i w:val="0"/>
                <w:color w:val="212121"/>
                <w:sz w:val="19"/>
              </w:rPr>
              <w:t>Confusion / altered mental status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in dysnatremia and in severe disturbances of any electrolyte.</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 the cardiac effects of dyskalemia and hypomagnesemia.</w:t>
            </w:r>
          </w:p>
        </w:tc>
      </w:tr>
      <w:tr>
        <w:trPr>
          <w:cantSplit/>
        </w:trPr>
        <w:tc>
          <w:tcPr>
            <w:tcW w:type="dxa" w:w="2304"/>
            <w:vAlign w:val="top"/>
          </w:tcPr>
          <w:p>
            <w:pPr>
              <w:spacing w:after="40" w:before="0" w:line="259" w:lineRule="auto"/>
            </w:pPr>
            <w:r>
              <w:rPr>
                <w:rFonts w:ascii="Calibri" w:hAnsi="Calibri"/>
                <w:b/>
                <w:i w:val="0"/>
                <w:color w:val="212121"/>
                <w:sz w:val="19"/>
              </w:rPr>
              <w:t>Perioral &amp; digital paraesthesia / numbness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Characteristic of hypocalcemia and hypomagnesemia.</w:t>
            </w:r>
          </w:p>
        </w:tc>
      </w:tr>
      <w:tr>
        <w:trPr>
          <w:cantSplit/>
        </w:trPr>
        <w:tc>
          <w:tcPr>
            <w:tcW w:type="dxa" w:w="2304"/>
            <w:vAlign w:val="top"/>
          </w:tcPr>
          <w:p>
            <w:pPr>
              <w:spacing w:after="40" w:before="0" w:line="259" w:lineRule="auto"/>
            </w:pPr>
            <w:r>
              <w:rPr>
                <w:rFonts w:ascii="Calibri" w:hAnsi="Calibri"/>
                <w:b/>
                <w:i w:val="0"/>
                <w:color w:val="212121"/>
                <w:sz w:val="19"/>
              </w:rPr>
              <w:t>Constipation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Occurs with hypokalemia and with hypercalcemia.</w:t>
            </w:r>
          </w:p>
        </w:tc>
      </w:tr>
      <w:tr>
        <w:trPr>
          <w:cantSplit/>
        </w:trPr>
        <w:tc>
          <w:tcPr>
            <w:tcW w:type="dxa" w:w="2304"/>
            <w:vAlign w:val="top"/>
          </w:tcPr>
          <w:p>
            <w:pPr>
              <w:spacing w:after="40" w:before="0" w:line="259" w:lineRule="auto"/>
            </w:pPr>
            <w:r>
              <w:rPr>
                <w:rFonts w:ascii="Calibri" w:hAnsi="Calibri"/>
                <w:b/>
                <w:i w:val="0"/>
                <w:color w:val="212121"/>
                <w:sz w:val="19"/>
              </w:rPr>
              <w:t>Polyuria &amp; polydipsia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Seen in hypernatremia, hypercalcemia and hypokalemia-related nephrogenic diabetes insipidus.</w:t>
            </w:r>
          </w:p>
        </w:tc>
      </w:tr>
      <w:tr>
        <w:trPr>
          <w:cantSplit/>
        </w:trPr>
        <w:tc>
          <w:tcPr>
            <w:tcW w:type="dxa" w:w="2304"/>
            <w:vAlign w:val="top"/>
          </w:tcPr>
          <w:p>
            <w:pPr>
              <w:spacing w:after="40" w:before="0" w:line="259" w:lineRule="auto"/>
            </w:pPr>
            <w:r>
              <w:rPr>
                <w:rFonts w:ascii="Calibri" w:hAnsi="Calibri"/>
                <w:b/>
                <w:i w:val="0"/>
                <w:color w:val="212121"/>
                <w:sz w:val="19"/>
              </w:rPr>
              <w:t>Carpopedal spasm / tetany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Due to neuromuscular hyperexcitability in hypocalcemia and hypomagnesemia.</w:t>
            </w:r>
          </w:p>
        </w:tc>
      </w:tr>
      <w:tr>
        <w:trPr>
          <w:cantSplit/>
        </w:trPr>
        <w:tc>
          <w:tcPr>
            <w:tcW w:type="dxa" w:w="2304"/>
            <w:vAlign w:val="top"/>
          </w:tcPr>
          <w:p>
            <w:pPr>
              <w:spacing w:after="40" w:before="0" w:line="259" w:lineRule="auto"/>
            </w:pPr>
            <w:r>
              <w:rPr>
                <w:rFonts w:ascii="Calibri" w:hAnsi="Calibri"/>
                <w:b/>
                <w:i w:val="0"/>
                <w:color w:val="212121"/>
                <w:sz w:val="19"/>
              </w:rPr>
              <w:t>Syncope / near-syncope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result from arrhythmia in severe dyskalemia.</w:t>
            </w:r>
          </w:p>
        </w:tc>
      </w:tr>
      <w:tr>
        <w:trPr>
          <w:cantSplit/>
        </w:trPr>
        <w:tc>
          <w:tcPr>
            <w:tcW w:type="dxa" w:w="2304"/>
            <w:vAlign w:val="top"/>
          </w:tcPr>
          <w:p>
            <w:pPr>
              <w:spacing w:after="40" w:before="0" w:line="259" w:lineRule="auto"/>
            </w:pPr>
            <w:r>
              <w:rPr>
                <w:rFonts w:ascii="Calibri" w:hAnsi="Calibri"/>
                <w:b/>
                <w:i w:val="0"/>
                <w:color w:val="212121"/>
                <w:sz w:val="19"/>
              </w:rPr>
              <w:t>Seizures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Occur with severe hyponatremia, hypocalcemia or hypomagnesemia.</w:t>
            </w:r>
          </w:p>
        </w:tc>
      </w:tr>
      <w:tr>
        <w:trPr>
          <w:cantSplit/>
        </w:trPr>
        <w:tc>
          <w:tcPr>
            <w:tcW w:type="dxa" w:w="2304"/>
            <w:vAlign w:val="top"/>
          </w:tcPr>
          <w:p>
            <w:pPr>
              <w:spacing w:after="40" w:before="0" w:line="259" w:lineRule="auto"/>
            </w:pPr>
            <w:r>
              <w:rPr>
                <w:rFonts w:ascii="Calibri" w:hAnsi="Calibri"/>
                <w:b/>
                <w:i w:val="0"/>
                <w:color w:val="212121"/>
                <w:sz w:val="19"/>
              </w:rPr>
              <w:t>Coma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consequence of severe or rapidly developing dysnatremia.</w:t>
            </w:r>
          </w:p>
        </w:tc>
      </w:tr>
      <w:tr>
        <w:trPr>
          <w:cantSplit/>
        </w:trPr>
        <w:tc>
          <w:tcPr>
            <w:tcW w:type="dxa" w:w="2304"/>
            <w:vAlign w:val="top"/>
          </w:tcPr>
          <w:p>
            <w:pPr>
              <w:spacing w:after="40" w:before="0" w:line="259" w:lineRule="auto"/>
            </w:pPr>
            <w:r>
              <w:rPr>
                <w:rFonts w:ascii="Calibri" w:hAnsi="Calibri"/>
                <w:b/>
                <w:i w:val="0"/>
                <w:color w:val="212121"/>
                <w:sz w:val="19"/>
              </w:rPr>
              <w:t>Cardiac arrest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The most feared outcome of severe hyper- or hypokalemia.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Altered sensorium / reduced GCS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key sign of severe dysnatremia and of major disturbances of any electrolyte.</w:t>
            </w:r>
          </w:p>
        </w:tc>
      </w:tr>
      <w:tr>
        <w:trPr>
          <w:cantSplit/>
        </w:trPr>
        <w:tc>
          <w:tcPr>
            <w:tcW w:type="dxa" w:w="3456"/>
            <w:vAlign w:val="top"/>
          </w:tcPr>
          <w:p>
            <w:pPr>
              <w:spacing w:after="40" w:before="0" w:line="259" w:lineRule="auto"/>
            </w:pPr>
            <w:r>
              <w:rPr>
                <w:rFonts w:ascii="Calibri" w:hAnsi="Calibri"/>
                <w:b/>
                <w:i w:val="0"/>
                <w:color w:val="212121"/>
                <w:sz w:val="19"/>
              </w:rPr>
              <w:t>Signs of hypovolaemia (dry mucosae, reduced skin turgor, tachycardia, postural hypotension)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Point to depletional (salt-and-water-losing) states.</w:t>
            </w:r>
          </w:p>
        </w:tc>
      </w:tr>
      <w:tr>
        <w:trPr>
          <w:cantSplit/>
        </w:trPr>
        <w:tc>
          <w:tcPr>
            <w:tcW w:type="dxa" w:w="3456"/>
            <w:vAlign w:val="top"/>
          </w:tcPr>
          <w:p>
            <w:pPr>
              <w:spacing w:after="40" w:before="0" w:line="259" w:lineRule="auto"/>
            </w:pPr>
            <w:r>
              <w:rPr>
                <w:rFonts w:ascii="Calibri" w:hAnsi="Calibri"/>
                <w:b/>
                <w:i w:val="0"/>
                <w:color w:val="212121"/>
                <w:sz w:val="19"/>
              </w:rPr>
              <w:t>Oedema / raised JVP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Indicate hypervolemic hyponatremia in heart failure, cirrhosis or CKD.</w:t>
            </w:r>
          </w:p>
        </w:tc>
      </w:tr>
      <w:tr>
        <w:trPr>
          <w:cantSplit/>
        </w:trPr>
        <w:tc>
          <w:tcPr>
            <w:tcW w:type="dxa" w:w="3456"/>
            <w:vAlign w:val="top"/>
          </w:tcPr>
          <w:p>
            <w:pPr>
              <w:spacing w:after="40" w:before="0" w:line="259" w:lineRule="auto"/>
            </w:pPr>
            <w:r>
              <w:rPr>
                <w:rFonts w:ascii="Calibri" w:hAnsi="Calibri"/>
                <w:b/>
                <w:i w:val="0"/>
                <w:color w:val="212121"/>
                <w:sz w:val="19"/>
              </w:rPr>
              <w:t>Hyporeflexia &amp; flaccid muscle weakness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Seen in hyperkalemia, severe hypokalemia and hypermagnesemia.</w:t>
            </w:r>
          </w:p>
        </w:tc>
      </w:tr>
      <w:tr>
        <w:trPr>
          <w:cantSplit/>
        </w:trPr>
        <w:tc>
          <w:tcPr>
            <w:tcW w:type="dxa" w:w="3456"/>
            <w:vAlign w:val="top"/>
          </w:tcPr>
          <w:p>
            <w:pPr>
              <w:spacing w:after="40" w:before="0" w:line="259" w:lineRule="auto"/>
            </w:pPr>
            <w:r>
              <w:rPr>
                <w:rFonts w:ascii="Calibri" w:hAnsi="Calibri"/>
                <w:b/>
                <w:i w:val="0"/>
                <w:color w:val="212121"/>
                <w:sz w:val="19"/>
              </w:rPr>
              <w:t>Positive Chvostek &amp; Trousseau signs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 neuromuscular hyperexcitability in hypocalcemia and hypomagnesemia.</w:t>
            </w:r>
          </w:p>
        </w:tc>
      </w:tr>
      <w:tr>
        <w:trPr>
          <w:cantSplit/>
        </w:trPr>
        <w:tc>
          <w:tcPr>
            <w:tcW w:type="dxa" w:w="3456"/>
            <w:vAlign w:val="top"/>
          </w:tcPr>
          <w:p>
            <w:pPr>
              <w:spacing w:after="40" w:before="0" w:line="259" w:lineRule="auto"/>
            </w:pPr>
            <w:r>
              <w:rPr>
                <w:rFonts w:ascii="Calibri" w:hAnsi="Calibri"/>
                <w:b/>
                <w:i w:val="0"/>
                <w:color w:val="212121"/>
                <w:sz w:val="19"/>
              </w:rPr>
              <w:t>ECG abnormalities (peaked T / U waves, prolonged QT, widened QRS)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 objective marker of dyskalemia, hypomagnesemia or hypocalcemia on monitoring.</w:t>
            </w:r>
          </w:p>
        </w:tc>
      </w:tr>
      <w:tr>
        <w:trPr>
          <w:cantSplit/>
        </w:trPr>
        <w:tc>
          <w:tcPr>
            <w:tcW w:type="dxa" w:w="3456"/>
            <w:vAlign w:val="top"/>
          </w:tcPr>
          <w:p>
            <w:pPr>
              <w:spacing w:after="40" w:before="0" w:line="259" w:lineRule="auto"/>
            </w:pPr>
            <w:r>
              <w:rPr>
                <w:rFonts w:ascii="Calibri" w:hAnsi="Calibri"/>
                <w:b/>
                <w:i w:val="0"/>
                <w:color w:val="212121"/>
                <w:sz w:val="19"/>
              </w:rPr>
              <w:t>Cardiac arrhythmia / irregular pulse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Result from the cardiac effects of potassium and magnesium disturbances.</w:t>
            </w:r>
          </w:p>
        </w:tc>
      </w:tr>
      <w:tr>
        <w:trPr>
          <w:cantSplit/>
        </w:trPr>
        <w:tc>
          <w:tcPr>
            <w:tcW w:type="dxa" w:w="3456"/>
            <w:vAlign w:val="top"/>
          </w:tcPr>
          <w:p>
            <w:pPr>
              <w:spacing w:after="40" w:before="0" w:line="259" w:lineRule="auto"/>
            </w:pPr>
            <w:r>
              <w:rPr>
                <w:rFonts w:ascii="Calibri" w:hAnsi="Calibri"/>
                <w:b/>
                <w:i w:val="0"/>
                <w:color w:val="212121"/>
                <w:sz w:val="19"/>
              </w:rPr>
              <w:t>Carpopedal spasm / tetany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Overt sign of acute hypocalcemia.</w:t>
            </w:r>
          </w:p>
        </w:tc>
      </w:tr>
      <w:tr>
        <w:trPr>
          <w:cantSplit/>
        </w:trPr>
        <w:tc>
          <w:tcPr>
            <w:tcW w:type="dxa" w:w="3456"/>
            <w:vAlign w:val="top"/>
          </w:tcPr>
          <w:p>
            <w:pPr>
              <w:spacing w:after="40" w:before="0" w:line="259" w:lineRule="auto"/>
            </w:pPr>
            <w:r>
              <w:rPr>
                <w:rFonts w:ascii="Calibri" w:hAnsi="Calibri"/>
                <w:b/>
                <w:i w:val="0"/>
                <w:color w:val="212121"/>
                <w:sz w:val="19"/>
              </w:rPr>
              <w:t>Abdominal distension / ileus with hypoactive bowel sounds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feature of significant hypokalemia.</w:t>
            </w:r>
          </w:p>
        </w:tc>
      </w:tr>
      <w:tr>
        <w:trPr>
          <w:cantSplit/>
        </w:trPr>
        <w:tc>
          <w:tcPr>
            <w:tcW w:type="dxa" w:w="3456"/>
            <w:vAlign w:val="top"/>
          </w:tcPr>
          <w:p>
            <w:pPr>
              <w:spacing w:after="40" w:before="0" w:line="259" w:lineRule="auto"/>
            </w:pPr>
            <w:r>
              <w:rPr>
                <w:rFonts w:ascii="Calibri" w:hAnsi="Calibri"/>
                <w:b/>
                <w:i w:val="0"/>
                <w:color w:val="212121"/>
                <w:sz w:val="19"/>
              </w:rPr>
              <w:t>Doughy / velvety skin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Described in hypernatremic dehydration, especially in infants.</w:t>
            </w:r>
          </w:p>
        </w:tc>
      </w:tr>
      <w:tr>
        <w:trPr>
          <w:cantSplit/>
        </w:trPr>
        <w:tc>
          <w:tcPr>
            <w:tcW w:type="dxa" w:w="3456"/>
            <w:vAlign w:val="top"/>
          </w:tcPr>
          <w:p>
            <w:pPr>
              <w:spacing w:after="40" w:before="0" w:line="259" w:lineRule="auto"/>
            </w:pPr>
            <w:r>
              <w:rPr>
                <w:rFonts w:ascii="Calibri" w:hAnsi="Calibri"/>
                <w:b/>
                <w:i w:val="0"/>
                <w:color w:val="212121"/>
                <w:sz w:val="19"/>
              </w:rPr>
              <w:t>Brisk reflexes / increased neuromuscular tone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in hypernatremia and in hypocalcemia.</w:t>
            </w:r>
          </w:p>
        </w:tc>
      </w:tr>
      <w:tr>
        <w:trPr>
          <w:cantSplit/>
        </w:trPr>
        <w:tc>
          <w:tcPr>
            <w:tcW w:type="dxa" w:w="3456"/>
            <w:vAlign w:val="top"/>
          </w:tcPr>
          <w:p>
            <w:pPr>
              <w:spacing w:after="40" w:before="0" w:line="259" w:lineRule="auto"/>
            </w:pPr>
            <w:r>
              <w:rPr>
                <w:rFonts w:ascii="Calibri" w:hAnsi="Calibri"/>
                <w:b/>
                <w:i w:val="0"/>
                <w:color w:val="212121"/>
                <w:sz w:val="19"/>
              </w:rPr>
              <w:t>Papilloedema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May occur with severe acute hyponatremia and cerebral oedema.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Life-threatening cardiac arrhythmias (VT/VF, bradyarrhythmia, asystole) from severe hyper- or hypokalemia and hypomagnesemia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cerebral oedema, seizures and coma from acute severe hyponatremia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Tetany, laryngospasm and seizures from acute hypocalcemia or hypomagnesemia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muscle weakness or paralysis from severe hypokalemia or hypermagnesemia</w:t>
            </w:r>
          </w:p>
        </w:tc>
        <w:tc>
          <w:tcPr>
            <w:tcW w:type="dxa" w:w="2980"/>
            <w:vAlign w:val="top"/>
          </w:tcPr>
          <w:p>
            <w:pPr>
              <w:spacing w:after="40" w:before="0" w:line="259" w:lineRule="auto"/>
            </w:pPr>
            <w:r>
              <w:rPr>
                <w:rFonts w:ascii="Calibri" w:hAnsi="Calibri"/>
                <w:b w:val="0"/>
                <w:i w:val="0"/>
                <w:color w:val="212121"/>
                <w:sz w:val="19"/>
              </w:rPr>
              <w:t>Direct, acute consequences of severe ion derangement on the heart, brain and neuromuscular system.</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Osmotic demyelination syndrome (central pontine myelinolysis) from over-rapid correction of chronic hyponatremia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gait instability and fractures from chronic hyponatremia, especially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Rhabdomyolysis from severe hypokalemia or hypophosphataemia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Refeeding-syndrome complications in the previously malnourished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ICU stay, delayed ventilator weaning and secondary infection</w:t>
            </w:r>
          </w:p>
        </w:tc>
        <w:tc>
          <w:tcPr>
            <w:tcW w:type="dxa" w:w="2980"/>
            <w:vAlign w:val="top"/>
          </w:tcPr>
          <w:p>
            <w:pPr>
              <w:spacing w:after="40" w:before="0" w:line="259" w:lineRule="auto"/>
            </w:pPr>
            <w:r>
              <w:rPr>
                <w:rFonts w:ascii="Calibri" w:hAnsi="Calibri"/>
                <w:b w:val="0"/>
                <w:i w:val="0"/>
                <w:color w:val="212121"/>
                <w:sz w:val="19"/>
              </w:rPr>
              <w:t>Arise from the disorder itself, its downstream effects, or from its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neurological deficits or a locked-in state from osmotic demyelination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cognitive impairment and recurrent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in-hospital mortality and length of stay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hospitalisation driven by underlying CKD, heart failure or cirrhosis</w:t>
            </w:r>
          </w:p>
        </w:tc>
        <w:tc>
          <w:tcPr>
            <w:tcW w:type="dxa" w:w="2980"/>
            <w:vAlign w:val="top"/>
          </w:tcPr>
          <w:p>
            <w:pPr>
              <w:spacing w:after="40" w:before="0" w:line="259" w:lineRule="auto"/>
            </w:pPr>
            <w:r>
              <w:rPr>
                <w:rFonts w:ascii="Calibri" w:hAnsi="Calibri"/>
                <w:b w:val="0"/>
                <w:i w:val="0"/>
                <w:color w:val="212121"/>
                <w:sz w:val="19"/>
              </w:rPr>
              <w:t>Long-term disability and excess mortality from severe or mismanaged disturbances.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kidney disease / acute kidney injury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excretion makes CKD/AKI the leading cause of chronic hyperkalemia, hyperphosphataemic hypocalcemia and metabolic acidosis; dyskalemia is common and prognostically important.</w:t>
            </w:r>
          </w:p>
        </w:tc>
      </w:tr>
      <w:tr>
        <w:trPr>
          <w:cantSplit/>
        </w:trPr>
        <w:tc>
          <w:tcPr>
            <w:tcW w:type="dxa" w:w="2232"/>
            <w:vAlign w:val="top"/>
          </w:tcPr>
          <w:p>
            <w:pPr>
              <w:spacing w:after="40" w:before="0" w:line="259" w:lineRule="auto"/>
            </w:pPr>
            <w:r>
              <w:rPr>
                <w:rFonts w:ascii="Calibri" w:hAnsi="Calibri"/>
                <w:b/>
                <w:i w:val="0"/>
                <w:color w:val="212121"/>
                <w:sz w:val="19"/>
              </w:rPr>
              <w:t>Heart failure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Hypervolemic (dilutional) hyponatremia marks disease severity, and diuretic and RAAS therapy causes both hypo- and hyperkalemia.</w:t>
            </w:r>
          </w:p>
        </w:tc>
      </w:tr>
      <w:tr>
        <w:trPr>
          <w:cantSplit/>
        </w:trPr>
        <w:tc>
          <w:tcPr>
            <w:tcW w:type="dxa" w:w="2232"/>
            <w:vAlign w:val="top"/>
          </w:tcPr>
          <w:p>
            <w:pPr>
              <w:spacing w:after="40" w:before="0" w:line="259" w:lineRule="auto"/>
            </w:pPr>
            <w:r>
              <w:rPr>
                <w:rFonts w:ascii="Calibri" w:hAnsi="Calibri"/>
                <w:b/>
                <w:i w:val="0"/>
                <w:color w:val="212121"/>
                <w:sz w:val="19"/>
              </w:rPr>
              <w:t>Liver cirrhosis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Secondary hyperaldosteronism and water retention cause dilutional hyponatremia; liver disease accounted for ~13.7% of hyponatremia cases in a Mumbai cohort.</w:t>
            </w:r>
          </w:p>
          <w:p>
            <w:pPr>
              <w:spacing w:after="40" w:before="0" w:line="259" w:lineRule="auto"/>
            </w:pPr>
            <w:r>
              <w:rPr>
                <w:rFonts w:ascii="Calibri" w:hAnsi="Calibri"/>
                <w:b/>
                <w:i w:val="0"/>
                <w:color w:val="212121"/>
                <w:sz w:val="19"/>
              </w:rPr>
              <w:t>~13.7% (of hyponatremia cases)</w:t>
            </w:r>
          </w:p>
        </w:tc>
      </w:tr>
      <w:tr>
        <w:trPr>
          <w:cantSplit/>
        </w:trPr>
        <w:tc>
          <w:tcPr>
            <w:tcW w:type="dxa" w:w="2232"/>
            <w:vAlign w:val="top"/>
          </w:tcPr>
          <w:p>
            <w:pPr>
              <w:spacing w:after="40" w:before="0" w:line="259" w:lineRule="auto"/>
            </w:pPr>
            <w:r>
              <w:rPr>
                <w:rFonts w:ascii="Calibri" w:hAnsi="Calibri"/>
                <w:b/>
                <w:i w:val="0"/>
                <w:color w:val="212121"/>
                <w:sz w:val="19"/>
              </w:rPr>
              <w:t>Syndrome of inappropriate ADH secretion (SIADH)</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classic cause of euvolemic hyponatremia, underlying ~13.1% of hyponatremia cases in a Mumbai cohort.</w:t>
            </w:r>
          </w:p>
          <w:p>
            <w:pPr>
              <w:spacing w:after="40" w:before="0" w:line="259" w:lineRule="auto"/>
            </w:pPr>
            <w:r>
              <w:rPr>
                <w:rFonts w:ascii="Calibri" w:hAnsi="Calibri"/>
                <w:b/>
                <w:i w:val="0"/>
                <w:color w:val="212121"/>
                <w:sz w:val="19"/>
              </w:rPr>
              <w:t>~13.1% (of hyponatremia cases)</w:t>
            </w:r>
          </w:p>
        </w:tc>
      </w:tr>
      <w:tr>
        <w:trPr>
          <w:cantSplit/>
        </w:trPr>
        <w:tc>
          <w:tcPr>
            <w:tcW w:type="dxa" w:w="2232"/>
            <w:vAlign w:val="top"/>
          </w:tcPr>
          <w:p>
            <w:pPr>
              <w:spacing w:after="40" w:before="0" w:line="259" w:lineRule="auto"/>
            </w:pPr>
            <w:r>
              <w:rPr>
                <w:rFonts w:ascii="Calibri" w:hAnsi="Calibri"/>
                <w:b/>
                <w:i w:val="0"/>
                <w:color w:val="212121"/>
                <w:sz w:val="19"/>
              </w:rPr>
              <w:t>Diabetes mellitus / DKA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causes osmotic diuresis and translocational hyponatremia, and insulin therapy for DKA causes marked potassium, magnesium and phosphate shifts.</w:t>
            </w:r>
          </w:p>
        </w:tc>
      </w:tr>
      <w:tr>
        <w:trPr>
          <w:cantSplit/>
        </w:trPr>
        <w:tc>
          <w:tcPr>
            <w:tcW w:type="dxa" w:w="2232"/>
            <w:vAlign w:val="top"/>
          </w:tcPr>
          <w:p>
            <w:pPr>
              <w:spacing w:after="40" w:before="0" w:line="259" w:lineRule="auto"/>
            </w:pPr>
            <w:r>
              <w:rPr>
                <w:rFonts w:ascii="Calibri" w:hAnsi="Calibri"/>
                <w:b/>
                <w:i w:val="0"/>
                <w:color w:val="212121"/>
                <w:sz w:val="19"/>
              </w:rPr>
              <w:t>Adrenal insufficiency / hypoaldosteronism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Cortisol/aldosterone deficiency causes hyponatremia with hyperkalemia.</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Reduced free-water excretion contributes to euvolemic hyponatremia.</w:t>
            </w:r>
          </w:p>
        </w:tc>
      </w:tr>
      <w:tr>
        <w:trPr>
          <w:cantSplit/>
        </w:trPr>
        <w:tc>
          <w:tcPr>
            <w:tcW w:type="dxa" w:w="2232"/>
            <w:vAlign w:val="top"/>
          </w:tcPr>
          <w:p>
            <w:pPr>
              <w:spacing w:after="40" w:before="0" w:line="259" w:lineRule="auto"/>
            </w:pPr>
            <w:r>
              <w:rPr>
                <w:rFonts w:ascii="Calibri" w:hAnsi="Calibri"/>
                <w:b/>
                <w:i w:val="0"/>
                <w:color w:val="212121"/>
                <w:sz w:val="19"/>
              </w:rPr>
              <w:t>Sepsis &amp; critical illness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Hypocalcemia, hypomagnesemia and dysnatremia are frequent; hypomagnesemia affects up to ~65% of the critically ill.</w:t>
            </w:r>
          </w:p>
          <w:p>
            <w:pPr>
              <w:spacing w:after="40" w:before="0" w:line="259" w:lineRule="auto"/>
            </w:pPr>
            <w:r>
              <w:rPr>
                <w:rFonts w:ascii="Calibri" w:hAnsi="Calibri"/>
                <w:b/>
                <w:i w:val="0"/>
                <w:color w:val="212121"/>
                <w:sz w:val="19"/>
              </w:rPr>
              <w:t>Up to ~65% (hypomagnesemia in critically ill)</w:t>
            </w:r>
          </w:p>
        </w:tc>
      </w:tr>
      <w:tr>
        <w:trPr>
          <w:cantSplit/>
        </w:trPr>
        <w:tc>
          <w:tcPr>
            <w:tcW w:type="dxa" w:w="2232"/>
            <w:vAlign w:val="top"/>
          </w:tcPr>
          <w:p>
            <w:pPr>
              <w:spacing w:after="40" w:before="0" w:line="259" w:lineRule="auto"/>
            </w:pPr>
            <w:r>
              <w:rPr>
                <w:rFonts w:ascii="Calibri" w:hAnsi="Calibri"/>
                <w:b/>
                <w:i w:val="0"/>
                <w:color w:val="212121"/>
                <w:sz w:val="19"/>
              </w:rPr>
              <w:t>Alcohol-use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Causes hypomagnesemia (~30%), hypokalemia and hypophosphataemia through renal wasting and poor intake.</w:t>
            </w:r>
          </w:p>
          <w:p>
            <w:pPr>
              <w:spacing w:after="40" w:before="0" w:line="259" w:lineRule="auto"/>
            </w:pPr>
            <w:r>
              <w:rPr>
                <w:rFonts w:ascii="Calibri" w:hAnsi="Calibri"/>
                <w:b/>
                <w:i w:val="0"/>
                <w:color w:val="212121"/>
                <w:sz w:val="19"/>
              </w:rPr>
              <w:t>~30% (hypomagnesemia)</w:t>
            </w:r>
          </w:p>
        </w:tc>
      </w:tr>
      <w:tr>
        <w:trPr>
          <w:cantSplit/>
        </w:trPr>
        <w:tc>
          <w:tcPr>
            <w:tcW w:type="dxa" w:w="2232"/>
            <w:vAlign w:val="top"/>
          </w:tcPr>
          <w:p>
            <w:pPr>
              <w:spacing w:after="40" w:before="0" w:line="259" w:lineRule="auto"/>
            </w:pPr>
            <w:r>
              <w:rPr>
                <w:rFonts w:ascii="Calibri" w:hAnsi="Calibri"/>
                <w:b/>
                <w:i w:val="0"/>
                <w:color w:val="212121"/>
                <w:sz w:val="19"/>
              </w:rPr>
              <w:t>Vitamin-D deficiency &amp; malnutrition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dominant cause of hypocalcemia in India; vitamin-D deficiency reaches 74–85% in some Indian mother–infant groups.</w:t>
            </w:r>
          </w:p>
          <w:p>
            <w:pPr>
              <w:spacing w:after="40" w:before="0" w:line="259" w:lineRule="auto"/>
            </w:pPr>
            <w:r>
              <w:rPr>
                <w:rFonts w:ascii="Calibri" w:hAnsi="Calibri"/>
                <w:b/>
                <w:i w:val="0"/>
                <w:color w:val="212121"/>
                <w:sz w:val="19"/>
              </w:rPr>
              <w:t>Up to 74–85% (vitamin-D deficiency, India)</w:t>
            </w:r>
          </w:p>
        </w:tc>
      </w:tr>
      <w:tr>
        <w:trPr>
          <w:cantSplit/>
        </w:trPr>
        <w:tc>
          <w:tcPr>
            <w:tcW w:type="dxa" w:w="2232"/>
            <w:vAlign w:val="top"/>
          </w:tcPr>
          <w:p>
            <w:pPr>
              <w:spacing w:after="40" w:before="0" w:line="259" w:lineRule="auto"/>
            </w:pPr>
            <w:r>
              <w:rPr>
                <w:rFonts w:ascii="Calibri" w:hAnsi="Calibri"/>
                <w:b/>
                <w:i w:val="0"/>
                <w:color w:val="212121"/>
                <w:sz w:val="19"/>
              </w:rPr>
              <w:t>Parathyroid disorders (hyper-/hypoparathyroidism)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Primary hyperparathyroidism causes hypercalcemia; hypoparathyroidism causes hypocalcemia and hyperphosphataemia.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 confusion, drowsiness, severe weakness, seizures, palpitations or fainting — and seek urgent medical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diuretics, some blood-pressure and psychiatric drugs (SSRIs), proton-pump inhibitors, laxatives and NSAIDs can disturb salt and potassium; never start, stop or change prescribed drugs without advice.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diarrhoea, vomiting or heavy sweating, use oral rehydration solution or electrolyte drinks rather than plain water alone.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recommended blood tests to monitor sodium, potassium, calcium and magnesium when on diuretics or when you have CKD or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take over-the-counter potassium or salt substitutes or high-dose supplements without medical advice, especially with kidney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 heart-failure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on diuretics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 of infants and the 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hot weather or during endurance exercise, drink to thirst and include electrolytes; avoid over-drinking plain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heavy sweat losses with oral rehydration or electrolyte drinks, not water alone.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Weigh before and after prolonged events — weight gain signals over-hydration and hyponatremia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Acclimatise gradually to heat and schedule strenuous outdoor work for cooler hours.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Endurance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Pilgrimage / long-distance walkers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Military personnel</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WHO salt guidance (&lt; 5 g salt / &lt; 2000 mg sodium per day) while avoiding extreme salt restriction if you take thiazide diuretics.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with potassium- and magnesium-rich foods (fruits, vegetables, pulses, nuts, whole grains) unless CKD requires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(milk, curd, ragi, green leafy vegetables) and vitamin D (safe sun exposure or supplements) to prevent hypocalcemia.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oral rehydration solution to replace gastrointestinal fluid and electrolyte losses.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advanced CKD, follow an individualised potassium- and phosphate-restricted diet guided by your clinician.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 heart-failure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and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groups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deficiencies with clinician-directed oral or intravenous replacement, and always correct magnesium to allow refractory hypokalemia or hypocalcemia to respond.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hyponatremia from SIADH or fluid overload, follow the prescribed fluid restriction rather than drinking more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rapid self-correction — sodium must be raised slowly to prevent osmotic demyelination.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feeding cautiously after prolonged fasting or malnutrition, with close electrolyte monitoring, to prevent refeeding shifts.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Inpatients with electrolyte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SIADH / hypervolemic hyponatremia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 refeeding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7–9 hours of sleep and have obstructive sleep apnoea assessed and treated if suspected.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night-time confusion or excessive night-time urination, which may signal an electrolyte or hormonal problem.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Obstructive-sleep-apnoea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it raises the risk of small-cell lung cancer, a classic cause of SIADH and hyponatremia.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evaluation for persistent unexplained low sodium if you are a long-term smoker.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tobacco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chronic heavy drinking depletes magnesium, potassium and phosphate.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 'beer potomania' pattern (high fluid, low solute intake), which causes hyponatremia.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dependent, seek supervised withdrawal with magnesium, potassium and thiamine monitoring and replacement.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Alcohol-dependent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drinkers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some antidepressants (SSRIs/SNRIs) and antipsychotics can cause hyponatremia, especially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compulsive excessive water drinking (psychogenic polydipsia) and seek help if it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confusion or drowsiness on psychiatric medication so that electrolytes can be checked.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SSRIs / antipsychotics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Psychiatric inpatients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psychogenic polydipsia, follow the prescribed daily fluid limit and behavioural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a psychiatric-medication review whenever hyponatremia appears to be drug-related.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Psychogenic polydipsia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Drug-induced hyponatremia</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41613715/" TargetMode="External"/><Relationship Id="rId10" Type="http://schemas.openxmlformats.org/officeDocument/2006/relationships/hyperlink" Target="https://www.ncbi.nlm.nih.gov/books/NBK470386/" TargetMode="External"/><Relationship Id="rId11" Type="http://schemas.openxmlformats.org/officeDocument/2006/relationships/hyperlink" Target="https://www.ncbi.nlm.nih.gov/books/NBK470284/" TargetMode="External"/><Relationship Id="rId12" Type="http://schemas.openxmlformats.org/officeDocument/2006/relationships/hyperlink" Target="https://www.ncbi.nlm.nih.gov/books/NBK441960/" TargetMode="External"/><Relationship Id="rId13" Type="http://schemas.openxmlformats.org/officeDocument/2006/relationships/hyperlink" Target="https://pubmed.ncbi.nlm.nih.gov/33304688/" TargetMode="External"/><Relationship Id="rId14" Type="http://schemas.openxmlformats.org/officeDocument/2006/relationships/hyperlink" Target="https://www.ncbi.nlm.nih.gov/books/NBK500003/" TargetMode="External"/><Relationship Id="rId15" Type="http://schemas.openxmlformats.org/officeDocument/2006/relationships/hyperlink" Target="https://www.who.int/news-room/fact-sheets/detail/salt-reduction" TargetMode="External"/><Relationship Id="rId16" Type="http://schemas.openxmlformats.org/officeDocument/2006/relationships/hyperlink" Target="https://pubmed.ncbi.nlm.nih.gov/32553304/" TargetMode="External"/><Relationship Id="rId17" Type="http://schemas.openxmlformats.org/officeDocument/2006/relationships/hyperlink" Target="https://pubmed.ncbi.nlm.nih.gov/31706619/" TargetMode="External"/><Relationship Id="rId18" Type="http://schemas.openxmlformats.org/officeDocument/2006/relationships/hyperlink" Target="https://pubmed.ncbi.nlm.nih.gov/305539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