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Hypoglycemia</w:t>
      </w:r>
    </w:p>
    <w:p>
      <w:pPr>
        <w:spacing w:before="0" w:after="160"/>
      </w:pPr>
      <w:r>
        <w:rPr>
          <w:rFonts w:ascii="Calibri" w:hAnsi="Calibri"/>
          <w:b/>
          <w:i w:val="0"/>
          <w:color w:val="212121"/>
          <w:sz w:val="22"/>
        </w:rPr>
        <w:t xml:space="preserve">AKA </w:t>
      </w:r>
      <w:r>
        <w:rPr>
          <w:rFonts w:ascii="Calibri" w:hAnsi="Calibri"/>
          <w:b w:val="0"/>
          <w:i w:val="0"/>
          <w:color w:val="212121"/>
          <w:sz w:val="22"/>
        </w:rPr>
        <w:t>i.e., Low blood sugar, Low blood glucose, Insulin reaction, Hypoglycaemia, a “hypo”</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Hypoglycemia is a clinical state of abnormally low blood glucose — usually a plasma glucose below 70 mg/dL (3.9 mmol/L) in people with diabetes — that deprives the brain and body of their principal fuel and, if untreated, can progress to confusion, seizures, coma and death. In people with diabetes it is most often iatrogenic (drug-induced), driven by insulin and insulin-secretagogues such as sulfonylureas, and is the single most important limiting factor in tightening glycaemic control. Diagnosis rests on Whipple’s triad: symptoms consistent with a low glucose, a concurrently documented low plasma glucose, and relief of those symptoms once glucose is restored.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Hypoglycemia is overwhelmingly a complication of diabetes treatment, and India carries one of the world’s largest treated-diabetes populations: WHO India estimates about 77 million adults live with type 2 diabetes and a further 25 million are prediabetic, with more than half unaware of their status. Because a large share of these patients are managed with sulfonylureas and insulin — the two drug classes that most commonly cause low blood sugar — drug-induced hypoglycemia is among the most frequent acute complications of diabetes care in the country. Globally, insulin-treated type 2 diabetes carries roughly 35 hypoglycaemic episodes per 100 patient-years, while type 1 diabetes sees between 62 and 320 severe episodes per 100 patient-years.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Hypoglycemia is both a biochemical and a clinical diagnosis. In a person on glucose-lowering therapy it is confirmed by Whipple’s triad; the following support the diagnosis and guide the search for a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Whipple’s triad — symptoms/signs consistent with hypoglycemia, a concurrently documented low plasma glucose, and resolution of symptoms after glucose is raised.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Plasma glucose &lt; 70 mg/dL (3.9 mmol/L) in a person with diabetes (the glucose alert value); &lt; 55 mg/dL (3.0 mmol/L) is the usual threshold used in people without diabetes.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Laboratory (venous) plasma glucose confirmation, because capillary glucometers are less accurate at low values — but treat first if the patient is symptomatic.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non-diabetic or unexplained hypoglycemia: paired insulin, C-peptide, proinsulin, beta-hydroxybutyrate and a sulfonylurea/meglitinide screen drawn during a spontaneous or 72-hour-fast-provoked episode to separate exogenous insulin, secretagogues and insulinoma.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hypoglycemia awareness (e.g., Gold or Clarke score) and, where available, continuous glucose monitoring (CGM) time-below-range &lt; 70 mg/dL and &lt; 54 mg/dL.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Hypoglycemia is classified both by biochemical severity (the international/ADA level system) and by clinical context and underlying cause:</w:t>
      </w:r>
    </w:p>
    <w:p>
      <w:pPr>
        <w:spacing w:before="0" w:after="80"/>
      </w:pPr>
      <w:r>
        <w:rPr>
          <w:rFonts w:ascii="Calibri" w:hAnsi="Calibri"/>
          <w:b w:val="0"/>
          <w:i w:val="0"/>
          <w:color w:val="212121"/>
          <w:sz w:val="21"/>
        </w:rPr>
        <w:t>(1) Level 1 — glucose alert value: plasma glucose &lt; 70 mg/dL (3.9 mmol/L) but ≥ 54 mg/dL (3.0 mmol/L); low enough to require action even when the patient feels well.</w:t>
      </w:r>
    </w:p>
    <w:p>
      <w:pPr>
        <w:spacing w:before="0" w:after="80"/>
      </w:pPr>
      <w:r>
        <w:rPr>
          <w:rFonts w:ascii="Calibri" w:hAnsi="Calibri"/>
          <w:b w:val="0"/>
          <w:i w:val="0"/>
          <w:color w:val="212121"/>
          <w:sz w:val="21"/>
        </w:rPr>
        <w:t>(2) Level 2 — clinically significant hypoglycemia: plasma glucose &lt; 54 mg/dL (3.0 mmol/L), the level at which neuroglycopenic symptoms and counter-regulatory failure typically appear.</w:t>
      </w:r>
    </w:p>
    <w:p>
      <w:pPr>
        <w:spacing w:before="0" w:after="80"/>
      </w:pPr>
      <w:r>
        <w:rPr>
          <w:rFonts w:ascii="Calibri" w:hAnsi="Calibri"/>
          <w:b w:val="0"/>
          <w:i w:val="0"/>
          <w:color w:val="212121"/>
          <w:sz w:val="21"/>
        </w:rPr>
        <w:t>(3) Level 3 — severe hypoglycemia: an event with severe cognitive or physical impairment requiring the assistance of another person to recover, regardless of the measured glucose value.</w:t>
      </w:r>
    </w:p>
    <w:p>
      <w:pPr>
        <w:spacing w:before="0" w:after="80"/>
      </w:pPr>
      <w:r>
        <w:rPr>
          <w:rFonts w:ascii="Calibri" w:hAnsi="Calibri"/>
          <w:b w:val="0"/>
          <w:i w:val="0"/>
          <w:color w:val="212121"/>
          <w:sz w:val="21"/>
        </w:rPr>
        <w:t>(4) By cause/context: drug-induced (insulin, sulfonylureas, meglitinides — by far the commonest); fasting/post-absorptive (alcohol, hepatic or renal failure, cortisol/adrenal deficiency, insulinoma, non-islet-cell IGF-2-secreting tumours); reactive/post-prandial (including post-bariatric-surgery); and neonatal hypoglycemia (infants of diabetic mothers, preterm and small-for-gestational-age babies).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therapy: Excess, mistimed or unmatched insulin is the leading cause; risk rises with higher doses, tight glycaemic targets, missed meals and unplanned exercise.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Insulin secretagogues (sulfonylureas/meglitinides): Glibenclamide, glimepiride and glipizide stimulate insulin release independent of glucose; long-acting agents can cause prolonged, sometimes fatal, hypoglycemia — severe sulfonylurea events are fatal in as many as ~10%.</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Reduced or delayed glucose intake: Skipped, delayed or inadequate meals, religious fasting (Ramadan, Navratri, ekadashi) and manual labour without carbohydrate cover.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Alcohol: Inhibits hepatic gluconeogenesis (while not affecting glycogenolysis); binge drinking without food is a classic cause of profound, delayed fasting hypoglycemia.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Renal or hepatic impairment: Reduced drug clearance and impaired gluconeogenesis deepen and prolong hypoglycemia — highly relevant given India’s large chronic-kidney-disease burden.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counter-regulation / HAAF: Recurrent lows blunt adrenaline and symptom responses, producing hypoglycemia unawareness and a self-perpetuating vicious cycle.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Endogenous/organic causes: Insulinoma, adrenal insufficiency, critical illness and non-islet-cell (IGF-2-secreting) tumours in people without diabetes.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on insulin or sulfonylureas)</w:t>
            </w:r>
          </w:p>
        </w:tc>
        <w:tc>
          <w:tcPr>
            <w:tcW w:type="dxa" w:w="4276"/>
            <w:vAlign w:val="top"/>
          </w:tcPr>
          <w:p>
            <w:pPr>
              <w:spacing w:after="60" w:line="259" w:lineRule="auto"/>
            </w:pPr>
            <w:r>
              <w:rPr>
                <w:rFonts w:ascii="Calibri" w:hAnsi="Calibri"/>
                <w:b w:val="0"/>
                <w:i w:val="0"/>
                <w:color w:val="212121"/>
                <w:sz w:val="19"/>
              </w:rPr>
              <w:t>The large pool of treated type 2 diabetics of working age is exposed to insulin- and secretagogue-induced lows, often precipitated by missed meals during work shifts, unplanned physical activity and dose errors.</w:t>
            </w:r>
          </w:p>
          <w:p>
            <w:pPr>
              <w:spacing w:after="40" w:before="60" w:line="259" w:lineRule="auto"/>
            </w:pPr>
            <w:r>
              <w:rPr>
                <w:rFonts w:ascii="Calibri" w:hAnsi="Calibri"/>
                <w:b w:val="0"/>
                <w:i w:val="0"/>
                <w:color w:val="212121"/>
                <w:sz w:val="19"/>
              </w:rPr>
              <w:t>WHO India estimates ~77 million adults live with type 2 diabetes and ~25 million more are prediabetic, with over half unaware — a vast population exposed to glucose-lowering drugs.</w:t>
            </w:r>
          </w:p>
          <w:p>
            <w:pPr>
              <w:spacing w:after="40" w:line="252" w:lineRule="auto"/>
            </w:pPr>
            <w:hyperlink r:id="rId9">
              <w:r>
                <w:rPr>
                  <w:rFonts w:ascii="Calibri" w:hAnsi="Calibri" w:cs="Calibri"/>
                  <w:sz w:val="18"/>
                  <w:color w:val="1155CC"/>
                  <w:u w:val="single"/>
                </w:rPr>
                <w:t xml:space="preserve">who.int/india — diabetes</w:t>
              </w:r>
            </w:hyperlink>
          </w:p>
          <w:p>
            <w:pPr>
              <w:spacing w:before="60" w:after="40"/>
            </w:pPr>
            <w:r>
              <w:rPr>
                <w:rFonts w:ascii="Calibri" w:hAnsi="Calibri"/>
                <w:b w:val="0"/>
                <w:i w:val="0"/>
                <w:color w:val="5A5A5A"/>
                <w:sz w:val="18"/>
              </w:rPr>
              <w:t>#druginduced  #insulin  #sulfonylurea  #missedmeals  #T2DM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have blunted counter-regulatory hormone responses, declining kidney function that slows drug clearance, polypharmacy and frequent impaired awareness, so severe and nocturnal hypoglycemia are both commoner and more dangerous (falls, fractures, arrhythmia).</w:t>
            </w:r>
          </w:p>
          <w:p>
            <w:pPr>
              <w:spacing w:after="40" w:before="60" w:line="259" w:lineRule="auto"/>
            </w:pPr>
            <w:r>
              <w:rPr>
                <w:rFonts w:ascii="Calibri" w:hAnsi="Calibri"/>
                <w:b w:val="0"/>
                <w:i w:val="0"/>
                <w:color w:val="212121"/>
                <w:sz w:val="19"/>
              </w:rPr>
              <w:t>Advanced age is repeatedly identified as an independent risk factor that significantly increases hypoglycemia risk in insulin- and sulfonylurea-treated diabetes.</w:t>
            </w:r>
          </w:p>
          <w:p>
            <w:pPr>
              <w:spacing w:after="40" w:line="252" w:lineRule="auto"/>
            </w:pPr>
            <w:hyperlink r:id="rId10">
              <w:r>
                <w:rPr>
                  <w:rFonts w:ascii="Calibri" w:hAnsi="Calibri" w:cs="Calibri"/>
                  <w:sz w:val="18"/>
                  <w:color w:val="1155CC"/>
                  <w:u w:val="single"/>
                </w:rPr>
                <w:t xml:space="preserve">ncbi.nlm.nih.gov — Endotext, hypoglycemia in diabetes</w:t>
              </w:r>
            </w:hyperlink>
          </w:p>
          <w:p>
            <w:pPr>
              <w:spacing w:before="60" w:after="40"/>
            </w:pPr>
            <w:r>
              <w:rPr>
                <w:rFonts w:ascii="Calibri" w:hAnsi="Calibri"/>
                <w:b w:val="0"/>
                <w:i w:val="0"/>
                <w:color w:val="5A5A5A"/>
                <w:sz w:val="18"/>
              </w:rPr>
              <w:t>#elderly  #polypharmacy  #renaldecline  #unawareness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during pregnancy or intensive glycaemic control</w:t>
            </w:r>
          </w:p>
        </w:tc>
        <w:tc>
          <w:tcPr>
            <w:tcW w:type="dxa" w:w="4276"/>
            <w:vAlign w:val="top"/>
          </w:tcPr>
          <w:p>
            <w:pPr>
              <w:spacing w:after="60" w:line="259" w:lineRule="auto"/>
            </w:pPr>
            <w:r>
              <w:rPr>
                <w:rFonts w:ascii="Calibri" w:hAnsi="Calibri"/>
                <w:b w:val="0"/>
                <w:i w:val="0"/>
                <w:color w:val="212121"/>
                <w:sz w:val="19"/>
              </w:rPr>
              <w:t>Intensive insulin regimens in pregnancy (pre-existing or gestational diabetes) and tight targets increase hypoglycemia frequency; menstrual-cycle and lactation-related glucose shifts add further variability.</w:t>
            </w:r>
          </w:p>
          <w:p>
            <w:pPr>
              <w:spacing w:after="40" w:before="60" w:line="259" w:lineRule="auto"/>
            </w:pPr>
            <w:r>
              <w:rPr>
                <w:rFonts w:ascii="Calibri" w:hAnsi="Calibri"/>
                <w:b w:val="0"/>
                <w:i w:val="0"/>
                <w:color w:val="212121"/>
                <w:sz w:val="19"/>
              </w:rPr>
              <w:t>Tighter glycaemic targets and intensive insulin therapy raise hypoglycemia rates; the risk is a recognised trade-off of aggressive control.</w:t>
            </w:r>
          </w:p>
          <w:p>
            <w:pPr>
              <w:spacing w:before="60" w:after="40"/>
            </w:pPr>
            <w:r>
              <w:rPr>
                <w:rFonts w:ascii="Calibri" w:hAnsi="Calibri"/>
                <w:b w:val="0"/>
                <w:i w:val="0"/>
                <w:color w:val="5A5A5A"/>
                <w:sz w:val="18"/>
              </w:rPr>
              <w:t>#pregnancy  #intensivecontrol  #GDM  #tighttargets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patients</w:t>
            </w:r>
          </w:p>
        </w:tc>
        <w:tc>
          <w:tcPr>
            <w:tcW w:type="dxa" w:w="4276"/>
            <w:vAlign w:val="top"/>
          </w:tcPr>
          <w:p>
            <w:pPr>
              <w:spacing w:after="60" w:line="259" w:lineRule="auto"/>
            </w:pPr>
            <w:r>
              <w:rPr>
                <w:rFonts w:ascii="Calibri" w:hAnsi="Calibri"/>
                <w:b w:val="0"/>
                <w:i w:val="0"/>
                <w:color w:val="212121"/>
                <w:sz w:val="19"/>
              </w:rPr>
              <w:t>Reliance on cheap long-acting sulfonylureas (e.g., glibenclamide), irregular meals, heavy manual labour, and limited access to glucose self-monitoring and glucagon make lows both more likely and more dangerous.</w:t>
            </w:r>
          </w:p>
          <w:p>
            <w:pPr>
              <w:spacing w:after="40" w:before="60" w:line="259" w:lineRule="auto"/>
            </w:pPr>
            <w:r>
              <w:rPr>
                <w:rFonts w:ascii="Calibri" w:hAnsi="Calibri"/>
                <w:b w:val="0"/>
                <w:i w:val="0"/>
                <w:color w:val="212121"/>
                <w:sz w:val="19"/>
              </w:rPr>
              <w:t>More than 50% of Indians with diabetes are unaware of their status, contributing to under-monitored, empirically dosed treatment that raises hypoglycemia risk.</w:t>
            </w:r>
          </w:p>
          <w:p>
            <w:pPr>
              <w:spacing w:after="40" w:line="252" w:lineRule="auto"/>
            </w:pPr>
            <w:hyperlink r:id="rId9">
              <w:r>
                <w:rPr>
                  <w:rFonts w:ascii="Calibri" w:hAnsi="Calibri" w:cs="Calibri"/>
                  <w:sz w:val="18"/>
                  <w:color w:val="1155CC"/>
                  <w:u w:val="single"/>
                </w:rPr>
                <w:t xml:space="preserve">who.int/india — diabetes</w:t>
              </w:r>
            </w:hyperlink>
          </w:p>
          <w:p>
            <w:pPr>
              <w:spacing w:before="60" w:after="40"/>
            </w:pPr>
            <w:r>
              <w:rPr>
                <w:rFonts w:ascii="Calibri" w:hAnsi="Calibri"/>
                <w:b w:val="0"/>
                <w:i w:val="0"/>
                <w:color w:val="5A5A5A"/>
                <w:sz w:val="18"/>
              </w:rPr>
              <w:t>#glibenclamide  #lowresource  #ruralindia  #SMBGaccess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Ethnicity/Religious practice</w:t>
            </w:r>
          </w:p>
        </w:tc>
        <w:tc>
          <w:tcPr>
            <w:tcW w:type="dxa" w:w="2160"/>
            <w:vAlign w:val="top"/>
          </w:tcPr>
          <w:p>
            <w:pPr>
              <w:spacing w:after="40" w:before="0" w:line="259" w:lineRule="auto"/>
            </w:pPr>
            <w:r>
              <w:rPr>
                <w:rFonts w:ascii="Calibri" w:hAnsi="Calibri"/>
                <w:b w:val="0"/>
                <w:i w:val="0"/>
                <w:color w:val="212121"/>
                <w:sz w:val="19"/>
              </w:rPr>
              <w:t>Muslims observing Ramadan and communities with prolonged fasting</w:t>
            </w:r>
          </w:p>
        </w:tc>
        <w:tc>
          <w:tcPr>
            <w:tcW w:type="dxa" w:w="4276"/>
            <w:vAlign w:val="top"/>
          </w:tcPr>
          <w:p>
            <w:pPr>
              <w:spacing w:after="60" w:line="259" w:lineRule="auto"/>
            </w:pPr>
            <w:r>
              <w:rPr>
                <w:rFonts w:ascii="Calibri" w:hAnsi="Calibri"/>
                <w:b w:val="0"/>
                <w:i w:val="0"/>
                <w:color w:val="212121"/>
                <w:sz w:val="19"/>
              </w:rPr>
              <w:t>Prolonged daytime fasting while continuing insulin or sulfonylureas removes the carbohydrate cover those drugs assume, a well-recognised precipitant of daytime hypoglycemia.</w:t>
            </w:r>
          </w:p>
          <w:p>
            <w:pPr>
              <w:spacing w:after="40" w:before="60" w:line="259" w:lineRule="auto"/>
            </w:pPr>
            <w:r>
              <w:rPr>
                <w:rFonts w:ascii="Calibri" w:hAnsi="Calibri"/>
                <w:b w:val="0"/>
                <w:i w:val="0"/>
                <w:color w:val="212121"/>
                <w:sz w:val="19"/>
              </w:rPr>
              <w:t>Insufficient carbohydrate intake and changes to the usual eating schedule are listed among the common causes of low blood sugar.</w:t>
            </w:r>
          </w:p>
          <w:p>
            <w:pPr>
              <w:spacing w:after="40" w:line="252" w:lineRule="auto"/>
            </w:pPr>
            <w:hyperlink r:id="rId11">
              <w:r>
                <w:rPr>
                  <w:rFonts w:ascii="Calibri" w:hAnsi="Calibri" w:cs="Calibri"/>
                  <w:sz w:val="18"/>
                  <w:color w:val="1155CC"/>
                  <w:u w:val="single"/>
                </w:rPr>
                <w:t xml:space="preserve">cdc.gov — low blood sugar (hypoglycemia)</w:t>
              </w:r>
            </w:hyperlink>
          </w:p>
          <w:p>
            <w:pPr>
              <w:spacing w:before="60" w:after="40"/>
            </w:pPr>
            <w:r>
              <w:rPr>
                <w:rFonts w:ascii="Calibri" w:hAnsi="Calibri"/>
                <w:b w:val="0"/>
                <w:i w:val="0"/>
                <w:color w:val="5A5A5A"/>
                <w:sz w:val="18"/>
              </w:rPr>
              <w:t>#ramadan  #fasting  #missedmeals  #sulfonylurea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Region/Access</w:t>
            </w:r>
          </w:p>
        </w:tc>
        <w:tc>
          <w:tcPr>
            <w:tcW w:type="dxa" w:w="2160"/>
            <w:vAlign w:val="top"/>
          </w:tcPr>
          <w:p>
            <w:pPr>
              <w:spacing w:after="40" w:before="0" w:line="259" w:lineRule="auto"/>
            </w:pPr>
            <w:r>
              <w:rPr>
                <w:rFonts w:ascii="Calibri" w:hAnsi="Calibri"/>
                <w:b w:val="0"/>
                <w:i w:val="0"/>
                <w:color w:val="212121"/>
                <w:sz w:val="19"/>
              </w:rPr>
              <w:t>Rural and low-resource settings</w:t>
            </w:r>
          </w:p>
        </w:tc>
        <w:tc>
          <w:tcPr>
            <w:tcW w:type="dxa" w:w="4276"/>
            <w:vAlign w:val="top"/>
          </w:tcPr>
          <w:p>
            <w:pPr>
              <w:spacing w:after="60" w:line="259" w:lineRule="auto"/>
            </w:pPr>
            <w:r>
              <w:rPr>
                <w:rFonts w:ascii="Calibri" w:hAnsi="Calibri"/>
                <w:b w:val="0"/>
                <w:i w:val="0"/>
                <w:color w:val="212121"/>
                <w:sz w:val="19"/>
              </w:rPr>
              <w:t>Limited availability of glucometers, glucagon and newer low-hypoglycemia agents (analogue insulins, DPP-4/SGLT-2 inhibitors) means older, higher-risk sulfonylureas dominate and episodes are detected and treated late.</w:t>
            </w:r>
          </w:p>
          <w:p>
            <w:pPr>
              <w:spacing w:after="40" w:before="60" w:line="259" w:lineRule="auto"/>
            </w:pPr>
            <w:r>
              <w:rPr>
                <w:rFonts w:ascii="Calibri" w:hAnsi="Calibri"/>
                <w:b w:val="0"/>
                <w:i w:val="0"/>
                <w:color w:val="212121"/>
                <w:sz w:val="19"/>
              </w:rPr>
              <w:t>Older insulin secretagogues remain the mainstay in many low-resource settings and are the drug class most associated with prolonged, severe hypoglycemia.</w:t>
            </w:r>
          </w:p>
          <w:p>
            <w:pPr>
              <w:spacing w:after="40" w:line="252" w:lineRule="auto"/>
            </w:pPr>
            <w:hyperlink r:id="rId10">
              <w:r>
                <w:rPr>
                  <w:rFonts w:ascii="Calibri" w:hAnsi="Calibri" w:cs="Calibri"/>
                  <w:sz w:val="18"/>
                  <w:color w:val="1155CC"/>
                  <w:u w:val="single"/>
                </w:rPr>
                <w:t xml:space="preserve">ncbi.nlm.nih.gov — Endotext, hypoglycemia in diabetes</w:t>
              </w:r>
            </w:hyperlink>
          </w:p>
          <w:p>
            <w:pPr>
              <w:spacing w:before="60" w:after="40"/>
            </w:pPr>
            <w:r>
              <w:rPr>
                <w:rFonts w:ascii="Calibri" w:hAnsi="Calibri"/>
                <w:b w:val="0"/>
                <w:i w:val="0"/>
                <w:color w:val="5A5A5A"/>
                <w:sz w:val="18"/>
              </w:rPr>
              <w:t>#ruralaccess  #glucagon  #delayedcare  #legacydrugs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Physical activity</w:t>
            </w:r>
          </w:p>
        </w:tc>
        <w:tc>
          <w:tcPr>
            <w:tcW w:type="dxa" w:w="2160"/>
            <w:vAlign w:val="top"/>
          </w:tcPr>
          <w:p>
            <w:pPr>
              <w:spacing w:after="40" w:before="0" w:line="259" w:lineRule="auto"/>
            </w:pPr>
            <w:r>
              <w:rPr>
                <w:rFonts w:ascii="Calibri" w:hAnsi="Calibri"/>
                <w:b w:val="0"/>
                <w:i w:val="0"/>
                <w:color w:val="212121"/>
                <w:sz w:val="19"/>
              </w:rPr>
              <w:t>Unaccustomed or prolonged exertion (labourers, athletes)</w:t>
            </w:r>
          </w:p>
        </w:tc>
        <w:tc>
          <w:tcPr>
            <w:tcW w:type="dxa" w:w="4276"/>
            <w:vAlign w:val="top"/>
          </w:tcPr>
          <w:p>
            <w:pPr>
              <w:spacing w:after="60" w:line="259" w:lineRule="auto"/>
            </w:pPr>
            <w:r>
              <w:rPr>
                <w:rFonts w:ascii="Calibri" w:hAnsi="Calibri"/>
                <w:b w:val="0"/>
                <w:i w:val="0"/>
                <w:color w:val="212121"/>
                <w:sz w:val="19"/>
              </w:rPr>
              <w:t>Exercise increases insulin sensitivity and muscle glucose uptake, so activity — especially unplanned, strenuous or prolonged — can drop glucose during and for many hours afterwards, including overnight (nocturnal) hypoglycemia.</w:t>
            </w:r>
          </w:p>
          <w:p>
            <w:pPr>
              <w:spacing w:after="40" w:before="60" w:line="259" w:lineRule="auto"/>
            </w:pPr>
            <w:r>
              <w:rPr>
                <w:rFonts w:ascii="Calibri" w:hAnsi="Calibri"/>
                <w:b w:val="0"/>
                <w:i w:val="0"/>
                <w:color w:val="212121"/>
                <w:sz w:val="19"/>
              </w:rPr>
              <w:t>Exercise is a well-established precipitant of hypoglycemia in insulin- and secretagogue-treated patients, with effects that can be delayed by many hours.</w:t>
            </w:r>
          </w:p>
          <w:p>
            <w:pPr>
              <w:spacing w:after="40" w:line="252" w:lineRule="auto"/>
            </w:pPr>
            <w:hyperlink r:id="rId10">
              <w:r>
                <w:rPr>
                  <w:rFonts w:ascii="Calibri" w:hAnsi="Calibri" w:cs="Calibri"/>
                  <w:sz w:val="18"/>
                  <w:color w:val="1155CC"/>
                  <w:u w:val="single"/>
                </w:rPr>
                <w:t xml:space="preserve">ncbi.nlm.nih.gov — Endotext, hypoglycemia in diabetes</w:t>
              </w:r>
            </w:hyperlink>
          </w:p>
          <w:p>
            <w:pPr>
              <w:spacing w:before="60" w:after="40"/>
            </w:pPr>
            <w:r>
              <w:rPr>
                <w:rFonts w:ascii="Calibri" w:hAnsi="Calibri"/>
                <w:b w:val="0"/>
                <w:i w:val="0"/>
                <w:color w:val="5A5A5A"/>
                <w:sz w:val="18"/>
              </w:rPr>
              <w:t>#exercise  #nocturnal  #delayedhypo  #manuallabour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or binge drinkers</w:t>
            </w:r>
          </w:p>
        </w:tc>
        <w:tc>
          <w:tcPr>
            <w:tcW w:type="dxa" w:w="4276"/>
            <w:vAlign w:val="top"/>
          </w:tcPr>
          <w:p>
            <w:pPr>
              <w:spacing w:after="60" w:line="259" w:lineRule="auto"/>
            </w:pPr>
            <w:r>
              <w:rPr>
                <w:rFonts w:ascii="Calibri" w:hAnsi="Calibri"/>
                <w:b w:val="0"/>
                <w:i w:val="0"/>
                <w:color w:val="212121"/>
                <w:sz w:val="19"/>
              </w:rPr>
              <w:t>Alcohol inhibits the liver’s glucose production (gluconeogenesis) without affecting glycogenolysis, so drinking without food — particularly on insulin or sulfonylureas — causes profound, often delayed, fasting hypoglycemia.</w:t>
            </w:r>
          </w:p>
          <w:p>
            <w:pPr>
              <w:spacing w:after="40" w:before="60" w:line="259" w:lineRule="auto"/>
            </w:pPr>
            <w:r>
              <w:rPr>
                <w:rFonts w:ascii="Calibri" w:hAnsi="Calibri"/>
                <w:b w:val="0"/>
                <w:i w:val="0"/>
                <w:color w:val="212121"/>
                <w:sz w:val="19"/>
              </w:rPr>
              <w:t>Alcohol inhibits gluconeogenesis but does not affect glycogenolysis, a classic mechanism of fasting hypoglycemia.</w:t>
            </w:r>
          </w:p>
          <w:p>
            <w:pPr>
              <w:spacing w:after="40" w:line="252" w:lineRule="auto"/>
            </w:pPr>
            <w:hyperlink r:id="rId12">
              <w:r>
                <w:rPr>
                  <w:rFonts w:ascii="Calibri" w:hAnsi="Calibri" w:cs="Calibri"/>
                  <w:sz w:val="18"/>
                  <w:color w:val="1155CC"/>
                  <w:u w:val="single"/>
                </w:rPr>
                <w:t xml:space="preserve">ncbi.nlm.nih.gov — StatPearls, Hypoglycemia</w:t>
              </w:r>
            </w:hyperlink>
          </w:p>
          <w:p>
            <w:pPr>
              <w:spacing w:before="60" w:after="40"/>
            </w:pPr>
            <w:r>
              <w:rPr>
                <w:rFonts w:ascii="Calibri" w:hAnsi="Calibri"/>
                <w:b w:val="0"/>
                <w:i w:val="0"/>
                <w:color w:val="5A5A5A"/>
                <w:sz w:val="18"/>
              </w:rPr>
              <w:t>#alcohol  #gluconeogenesis  #binge  #fastinghypo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diabetes</w:t>
            </w:r>
          </w:p>
        </w:tc>
        <w:tc>
          <w:tcPr>
            <w:tcW w:type="dxa" w:w="4276"/>
            <w:vAlign w:val="top"/>
          </w:tcPr>
          <w:p>
            <w:pPr>
              <w:spacing w:after="60" w:line="259" w:lineRule="auto"/>
            </w:pPr>
            <w:r>
              <w:rPr>
                <w:rFonts w:ascii="Calibri" w:hAnsi="Calibri"/>
                <w:b w:val="0"/>
                <w:i w:val="0"/>
                <w:color w:val="212121"/>
                <w:sz w:val="19"/>
              </w:rPr>
              <w:t>Smoking is not a direct trigger of low glucose, but it compounds the cardiovascular danger of the catecholamine surge and arrhythmia that accompany severe hypoglycemia.</w:t>
            </w:r>
          </w:p>
          <w:p>
            <w:pPr>
              <w:spacing w:after="40" w:before="60" w:line="259" w:lineRule="auto"/>
            </w:pPr>
            <w:r>
              <w:rPr>
                <w:rFonts w:ascii="Calibri" w:hAnsi="Calibri"/>
                <w:b w:val="0"/>
                <w:i w:val="0"/>
                <w:color w:val="212121"/>
                <w:sz w:val="19"/>
              </w:rPr>
              <w:t>Tobacco use adds to the cardiovascular risk that makes hypoglycemia-related arrhythmia and ischaemia more hazardous (general clinical association).</w:t>
            </w:r>
          </w:p>
          <w:p>
            <w:pPr>
              <w:spacing w:before="60" w:after="40"/>
            </w:pPr>
            <w:r>
              <w:rPr>
                <w:rFonts w:ascii="Calibri" w:hAnsi="Calibri"/>
                <w:b w:val="0"/>
                <w:i w:val="0"/>
                <w:color w:val="5A5A5A"/>
                <w:sz w:val="18"/>
              </w:rPr>
              <w:t>#smoking  #cardiovascular  #arrhythmia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Missed/irregular meals &amp; fasting</w:t>
            </w:r>
          </w:p>
        </w:tc>
        <w:tc>
          <w:tcPr>
            <w:tcW w:type="dxa" w:w="2160"/>
            <w:vAlign w:val="top"/>
          </w:tcPr>
          <w:p>
            <w:pPr>
              <w:spacing w:after="40" w:before="0" w:line="259" w:lineRule="auto"/>
            </w:pPr>
            <w:r>
              <w:rPr>
                <w:rFonts w:ascii="Calibri" w:hAnsi="Calibri"/>
                <w:b w:val="0"/>
                <w:i w:val="0"/>
                <w:color w:val="212121"/>
                <w:sz w:val="19"/>
              </w:rPr>
              <w:t>Meal-skippers, shift workers, fasting individuals</w:t>
            </w:r>
          </w:p>
        </w:tc>
        <w:tc>
          <w:tcPr>
            <w:tcW w:type="dxa" w:w="4276"/>
            <w:vAlign w:val="top"/>
          </w:tcPr>
          <w:p>
            <w:pPr>
              <w:spacing w:after="60" w:line="259" w:lineRule="auto"/>
            </w:pPr>
            <w:r>
              <w:rPr>
                <w:rFonts w:ascii="Calibri" w:hAnsi="Calibri"/>
                <w:b w:val="0"/>
                <w:i w:val="0"/>
                <w:color w:val="212121"/>
                <w:sz w:val="19"/>
              </w:rPr>
              <w:t>Skipping or delaying meals, eating too little carbohydrate relative to the drug dose, or fasting while continuing medication is one of the most common and most preventable triggers.</w:t>
            </w:r>
          </w:p>
          <w:p>
            <w:pPr>
              <w:spacing w:after="40" w:before="60" w:line="259" w:lineRule="auto"/>
            </w:pPr>
            <w:r>
              <w:rPr>
                <w:rFonts w:ascii="Calibri" w:hAnsi="Calibri"/>
                <w:b w:val="0"/>
                <w:i w:val="0"/>
                <w:color w:val="212121"/>
                <w:sz w:val="19"/>
              </w:rPr>
              <w:t>Not consuming enough carbohydrate for the medication dose and changes in the eating schedule are listed among the leading causes of low blood sugar.</w:t>
            </w:r>
          </w:p>
          <w:p>
            <w:pPr>
              <w:spacing w:after="40" w:line="252" w:lineRule="auto"/>
            </w:pPr>
            <w:hyperlink r:id="rId11">
              <w:r>
                <w:rPr>
                  <w:rFonts w:ascii="Calibri" w:hAnsi="Calibri" w:cs="Calibri"/>
                  <w:sz w:val="18"/>
                  <w:color w:val="1155CC"/>
                  <w:u w:val="single"/>
                </w:rPr>
                <w:t xml:space="preserve">cdc.gov — low blood sugar (hypoglycemia)</w:t>
              </w:r>
            </w:hyperlink>
          </w:p>
          <w:p>
            <w:pPr>
              <w:spacing w:before="60" w:after="40"/>
            </w:pPr>
            <w:r>
              <w:rPr>
                <w:rFonts w:ascii="Calibri" w:hAnsi="Calibri"/>
                <w:b w:val="0"/>
                <w:i w:val="0"/>
                <w:color w:val="5A5A5A"/>
                <w:sz w:val="18"/>
              </w:rPr>
              <w:t>#mealskipping  #lowcarb  #shiftwork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low body weight</w:t>
            </w:r>
          </w:p>
        </w:tc>
        <w:tc>
          <w:tcPr>
            <w:tcW w:type="dxa" w:w="2160"/>
            <w:vAlign w:val="top"/>
          </w:tcPr>
          <w:p>
            <w:pPr>
              <w:spacing w:after="40" w:before="0" w:line="259" w:lineRule="auto"/>
            </w:pPr>
            <w:r>
              <w:rPr>
                <w:rFonts w:ascii="Calibri" w:hAnsi="Calibri"/>
                <w:b w:val="0"/>
                <w:i w:val="0"/>
                <w:color w:val="212121"/>
                <w:sz w:val="19"/>
              </w:rPr>
              <w:t>Frail, undernourished, low-BMI adults</w:t>
            </w:r>
          </w:p>
        </w:tc>
        <w:tc>
          <w:tcPr>
            <w:tcW w:type="dxa" w:w="4276"/>
            <w:vAlign w:val="top"/>
          </w:tcPr>
          <w:p>
            <w:pPr>
              <w:spacing w:after="60" w:line="259" w:lineRule="auto"/>
            </w:pPr>
            <w:r>
              <w:rPr>
                <w:rFonts w:ascii="Calibri" w:hAnsi="Calibri"/>
                <w:b w:val="0"/>
                <w:i w:val="0"/>
                <w:color w:val="212121"/>
                <w:sz w:val="19"/>
              </w:rPr>
              <w:t>Depleted hepatic glycogen stores and poor nutritional reserve leave less buffer against a falling glucose, so undernourished and frail patients tolerate the same drug dose poorly.</w:t>
            </w:r>
          </w:p>
          <w:p>
            <w:pPr>
              <w:spacing w:after="40" w:before="60" w:line="259" w:lineRule="auto"/>
            </w:pPr>
            <w:r>
              <w:rPr>
                <w:rFonts w:ascii="Calibri" w:hAnsi="Calibri"/>
                <w:b w:val="0"/>
                <w:i w:val="0"/>
                <w:color w:val="212121"/>
                <w:sz w:val="19"/>
              </w:rPr>
              <w:t>Poor nutritional status is identified among the factors that increase hypoglycemia risk.</w:t>
            </w:r>
          </w:p>
          <w:p>
            <w:pPr>
              <w:spacing w:after="40" w:line="252" w:lineRule="auto"/>
            </w:pPr>
            <w:hyperlink r:id="rId13">
              <w:r>
                <w:rPr>
                  <w:rFonts w:ascii="Calibri" w:hAnsi="Calibri" w:cs="Calibri"/>
                  <w:sz w:val="18"/>
                  <w:color w:val="1155CC"/>
                  <w:u w:val="single"/>
                </w:rPr>
                <w:t xml:space="preserve">ncbi.nlm.nih.gov — Endotext, non-diabetic hypoglycemia</w:t>
              </w:r>
            </w:hyperlink>
          </w:p>
          <w:p>
            <w:pPr>
              <w:spacing w:before="60" w:after="40"/>
            </w:pPr>
            <w:r>
              <w:rPr>
                <w:rFonts w:ascii="Calibri" w:hAnsi="Calibri"/>
                <w:b w:val="0"/>
                <w:i w:val="0"/>
                <w:color w:val="5A5A5A"/>
                <w:sz w:val="18"/>
              </w:rPr>
              <w:t>#malnutrition  #frailty  #lowBMI  #glycogenreserve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monogenic</w:t>
            </w:r>
          </w:p>
        </w:tc>
        <w:tc>
          <w:tcPr>
            <w:tcW w:type="dxa" w:w="2160"/>
            <w:vAlign w:val="top"/>
          </w:tcPr>
          <w:p>
            <w:pPr>
              <w:spacing w:after="40" w:before="0" w:line="259" w:lineRule="auto"/>
            </w:pPr>
            <w:r>
              <w:rPr>
                <w:rFonts w:ascii="Calibri" w:hAnsi="Calibri"/>
                <w:b w:val="0"/>
                <w:i w:val="0"/>
                <w:color w:val="212121"/>
                <w:sz w:val="19"/>
              </w:rPr>
              <w:t>Insulinoma, MEN1, congenital hyperinsulinism, MODY</w:t>
            </w:r>
          </w:p>
        </w:tc>
        <w:tc>
          <w:tcPr>
            <w:tcW w:type="dxa" w:w="4276"/>
            <w:vAlign w:val="top"/>
          </w:tcPr>
          <w:p>
            <w:pPr>
              <w:spacing w:after="60" w:line="259" w:lineRule="auto"/>
            </w:pPr>
            <w:r>
              <w:rPr>
                <w:rFonts w:ascii="Calibri" w:hAnsi="Calibri"/>
                <w:b w:val="0"/>
                <w:i w:val="0"/>
                <w:color w:val="212121"/>
                <w:sz w:val="19"/>
              </w:rPr>
              <w:t>Inherited syndromes of insulin excess or dysregulated secretion — insulinoma (including MEN1), congenital hyperinsulinism, and some MODY subtypes — cause endogenous, non-drug hypoglycemia that clusters in families.</w:t>
            </w:r>
          </w:p>
          <w:p>
            <w:pPr>
              <w:spacing w:after="40" w:before="60" w:line="259" w:lineRule="auto"/>
            </w:pPr>
            <w:r>
              <w:rPr>
                <w:rFonts w:ascii="Calibri" w:hAnsi="Calibri"/>
                <w:b w:val="0"/>
                <w:i w:val="0"/>
                <w:color w:val="212121"/>
                <w:sz w:val="19"/>
              </w:rPr>
              <w:t>Insulinoma has an incidence of roughly 1–4 new cases per million people per year, with fasting detecting a low glucose in 93% by 48 hours and 99% by 72 hours.</w:t>
            </w:r>
          </w:p>
          <w:p>
            <w:pPr>
              <w:spacing w:after="40" w:line="252" w:lineRule="auto"/>
            </w:pPr>
            <w:hyperlink r:id="rId13">
              <w:r>
                <w:rPr>
                  <w:rFonts w:ascii="Calibri" w:hAnsi="Calibri" w:cs="Calibri"/>
                  <w:sz w:val="18"/>
                  <w:color w:val="1155CC"/>
                  <w:u w:val="single"/>
                </w:rPr>
                <w:t xml:space="preserve">ncbi.nlm.nih.gov — Endotext, non-diabetic hypoglycemia</w:t>
              </w:r>
            </w:hyperlink>
          </w:p>
          <w:p>
            <w:pPr>
              <w:spacing w:before="60" w:after="40"/>
            </w:pPr>
            <w:r>
              <w:rPr>
                <w:rFonts w:ascii="Calibri" w:hAnsi="Calibri"/>
                <w:b w:val="0"/>
                <w:i w:val="0"/>
                <w:color w:val="5A5A5A"/>
                <w:sz w:val="18"/>
              </w:rPr>
              <w:t>#insulinoma  #MEN1  #hyperinsulinism  #MODY  #familial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Neonatal predisposition</w:t>
            </w:r>
          </w:p>
        </w:tc>
        <w:tc>
          <w:tcPr>
            <w:tcW w:type="dxa" w:w="2160"/>
            <w:vAlign w:val="top"/>
          </w:tcPr>
          <w:p>
            <w:pPr>
              <w:spacing w:after="40" w:before="0" w:line="259" w:lineRule="auto"/>
            </w:pPr>
            <w:r>
              <w:rPr>
                <w:rFonts w:ascii="Calibri" w:hAnsi="Calibri"/>
                <w:b w:val="0"/>
                <w:i w:val="0"/>
                <w:color w:val="212121"/>
                <w:sz w:val="19"/>
              </w:rPr>
              <w:t>Infants of diabetic mothers, preterm, SGA/LGA newborns</w:t>
            </w:r>
          </w:p>
        </w:tc>
        <w:tc>
          <w:tcPr>
            <w:tcW w:type="dxa" w:w="4276"/>
            <w:vAlign w:val="top"/>
          </w:tcPr>
          <w:p>
            <w:pPr>
              <w:spacing w:after="60" w:line="259" w:lineRule="auto"/>
            </w:pPr>
            <w:r>
              <w:rPr>
                <w:rFonts w:ascii="Calibri" w:hAnsi="Calibri"/>
                <w:b w:val="0"/>
                <w:i w:val="0"/>
                <w:color w:val="212121"/>
                <w:sz w:val="19"/>
              </w:rPr>
              <w:t>Babies of diabetic mothers and large-for-gestational-age infants have transient hyperinsulinism, while preterm and small-for-gestational-age infants have depleted glycogen stores — both drive neonatal hypoglycemia in the first hours to days of life.</w:t>
            </w:r>
          </w:p>
          <w:p>
            <w:pPr>
              <w:spacing w:after="40" w:before="60" w:line="259" w:lineRule="auto"/>
            </w:pPr>
            <w:r>
              <w:rPr>
                <w:rFonts w:ascii="Calibri" w:hAnsi="Calibri"/>
                <w:b w:val="0"/>
                <w:i w:val="0"/>
                <w:color w:val="212121"/>
                <w:sz w:val="19"/>
              </w:rPr>
              <w:t>In one series ~25% of all deliveries were at risk for hypoglycemia and, of those at-risk infants, ~51% experienced at least one hypoglycaemic episode.</w:t>
            </w:r>
          </w:p>
          <w:p>
            <w:pPr>
              <w:spacing w:after="40" w:line="252" w:lineRule="auto"/>
            </w:pPr>
            <w:hyperlink r:id="rId14">
              <w:r>
                <w:rPr>
                  <w:rFonts w:ascii="Calibri" w:hAnsi="Calibri" w:cs="Calibri"/>
                  <w:sz w:val="18"/>
                  <w:color w:val="1155CC"/>
                  <w:u w:val="single"/>
                </w:rPr>
                <w:t xml:space="preserve">ncbi.nlm.nih.gov — StatPearls, Neonatal Hypoglycemia</w:t>
              </w:r>
            </w:hyperlink>
          </w:p>
          <w:p>
            <w:pPr>
              <w:spacing w:before="60" w:after="40"/>
            </w:pPr>
            <w:r>
              <w:rPr>
                <w:rFonts w:ascii="Calibri" w:hAnsi="Calibri"/>
                <w:b w:val="0"/>
                <w:i w:val="0"/>
                <w:color w:val="5A5A5A"/>
                <w:sz w:val="18"/>
              </w:rPr>
              <w:t>#neonatal  #IDM  #preterm  #SGA  #hyperinsulinism</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on insulin/sulfonylurea</w:t>
            </w:r>
          </w:p>
        </w:tc>
        <w:tc>
          <w:tcPr>
            <w:tcW w:type="dxa" w:w="2160"/>
            <w:vAlign w:val="top"/>
          </w:tcPr>
          <w:p>
            <w:pPr>
              <w:spacing w:after="40" w:before="0" w:line="259" w:lineRule="auto"/>
            </w:pPr>
            <w:r>
              <w:rPr>
                <w:rFonts w:ascii="Calibri" w:hAnsi="Calibri"/>
                <w:b w:val="0"/>
                <w:i w:val="0"/>
                <w:color w:val="212121"/>
                <w:sz w:val="19"/>
              </w:rPr>
              <w:t>Insulin- or secretagogue-treated T2DM</w:t>
            </w:r>
          </w:p>
        </w:tc>
        <w:tc>
          <w:tcPr>
            <w:tcW w:type="dxa" w:w="4276"/>
            <w:vAlign w:val="top"/>
          </w:tcPr>
          <w:p>
            <w:pPr>
              <w:spacing w:after="60" w:line="259" w:lineRule="auto"/>
            </w:pPr>
            <w:r>
              <w:rPr>
                <w:rFonts w:ascii="Calibri" w:hAnsi="Calibri"/>
                <w:b w:val="0"/>
                <w:i w:val="0"/>
                <w:color w:val="212121"/>
                <w:sz w:val="19"/>
              </w:rPr>
              <w:t>This is the core at-risk group: the drugs used to lower glucose are themselves the commonest cause of hypoglycemia, and risk climbs as the disease progresses toward insulin deficiency.</w:t>
            </w:r>
          </w:p>
          <w:p>
            <w:pPr>
              <w:spacing w:after="40" w:before="60" w:line="259" w:lineRule="auto"/>
            </w:pPr>
            <w:r>
              <w:rPr>
                <w:rFonts w:ascii="Calibri" w:hAnsi="Calibri"/>
                <w:b w:val="0"/>
                <w:i w:val="0"/>
                <w:color w:val="212121"/>
                <w:sz w:val="19"/>
              </w:rPr>
              <w:t>Drugs are the most common cause of hypoglycemia; insulin-treated type 2 diabetes averages about 35 episodes per 100 patient-years.</w:t>
            </w:r>
          </w:p>
          <w:p>
            <w:pPr>
              <w:spacing w:after="40" w:line="252" w:lineRule="auto"/>
            </w:pPr>
            <w:hyperlink r:id="rId12">
              <w:r>
                <w:rPr>
                  <w:rFonts w:ascii="Calibri" w:hAnsi="Calibri" w:cs="Calibri"/>
                  <w:sz w:val="18"/>
                  <w:color w:val="1155CC"/>
                  <w:u w:val="single"/>
                </w:rPr>
                <w:t xml:space="preserve">ncbi.nlm.nih.gov — StatPearls, Hypoglycemia</w:t>
              </w:r>
            </w:hyperlink>
          </w:p>
          <w:p>
            <w:pPr>
              <w:spacing w:before="60" w:after="40"/>
            </w:pPr>
            <w:r>
              <w:rPr>
                <w:rFonts w:ascii="Calibri" w:hAnsi="Calibri"/>
                <w:b w:val="0"/>
                <w:i w:val="0"/>
                <w:color w:val="5A5A5A"/>
                <w:sz w:val="18"/>
              </w:rPr>
              <w:t>#T2DM  #insulin  #sulfonylurea  #iatrogenic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reduced eGFR</w:t>
            </w:r>
          </w:p>
        </w:tc>
        <w:tc>
          <w:tcPr>
            <w:tcW w:type="dxa" w:w="4276"/>
            <w:vAlign w:val="top"/>
          </w:tcPr>
          <w:p>
            <w:pPr>
              <w:spacing w:after="60" w:line="259" w:lineRule="auto"/>
            </w:pPr>
            <w:r>
              <w:rPr>
                <w:rFonts w:ascii="Calibri" w:hAnsi="Calibri"/>
                <w:b w:val="0"/>
                <w:i w:val="0"/>
                <w:color w:val="212121"/>
                <w:sz w:val="19"/>
              </w:rPr>
              <w:t>Failing kidneys clear insulin and renally-excreted sulfonylureas more slowly and lose their own contribution to gluconeogenesis, so the same dose produces deeper, longer-lasting lows.</w:t>
            </w:r>
          </w:p>
          <w:p>
            <w:pPr>
              <w:spacing w:after="40" w:before="60" w:line="259" w:lineRule="auto"/>
            </w:pPr>
            <w:r>
              <w:rPr>
                <w:rFonts w:ascii="Calibri" w:hAnsi="Calibri"/>
                <w:b w:val="0"/>
                <w:i w:val="0"/>
                <w:color w:val="212121"/>
                <w:sz w:val="19"/>
              </w:rPr>
              <w:t>Renal failure is repeatedly listed among the factors that significantly increase hypoglycemia risk in treated diabetes.</w:t>
            </w:r>
          </w:p>
          <w:p>
            <w:pPr>
              <w:spacing w:after="40" w:line="252" w:lineRule="auto"/>
            </w:pPr>
            <w:hyperlink r:id="rId10">
              <w:r>
                <w:rPr>
                  <w:rFonts w:ascii="Calibri" w:hAnsi="Calibri" w:cs="Calibri"/>
                  <w:sz w:val="18"/>
                  <w:color w:val="1155CC"/>
                  <w:u w:val="single"/>
                </w:rPr>
                <w:t xml:space="preserve">ncbi.nlm.nih.gov — Endotext, hypoglycemia in diabetes</w:t>
              </w:r>
            </w:hyperlink>
          </w:p>
          <w:p>
            <w:pPr>
              <w:spacing w:before="60" w:after="40"/>
            </w:pPr>
            <w:r>
              <w:rPr>
                <w:rFonts w:ascii="Calibri" w:hAnsi="Calibri"/>
                <w:b w:val="0"/>
                <w:i w:val="0"/>
                <w:color w:val="5A5A5A"/>
                <w:sz w:val="18"/>
              </w:rPr>
              <w:t>#CKD  #drugclearance  #renalgluconeogenesis  #doseadjust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Cirrhosis / hepatic failure</w:t>
            </w:r>
          </w:p>
        </w:tc>
        <w:tc>
          <w:tcPr>
            <w:tcW w:type="dxa" w:w="4276"/>
            <w:vAlign w:val="top"/>
          </w:tcPr>
          <w:p>
            <w:pPr>
              <w:spacing w:after="60" w:line="259" w:lineRule="auto"/>
            </w:pPr>
            <w:r>
              <w:rPr>
                <w:rFonts w:ascii="Calibri" w:hAnsi="Calibri"/>
                <w:b w:val="0"/>
                <w:i w:val="0"/>
                <w:color w:val="212121"/>
                <w:sz w:val="19"/>
              </w:rPr>
              <w:t>The liver is the main site of gluconeogenesis and glycogen storage; advanced liver disease impairs both, removing the body’s principal defence against a falling glucose.</w:t>
            </w:r>
          </w:p>
          <w:p>
            <w:pPr>
              <w:spacing w:after="40" w:before="60" w:line="259" w:lineRule="auto"/>
            </w:pPr>
            <w:r>
              <w:rPr>
                <w:rFonts w:ascii="Calibri" w:hAnsi="Calibri"/>
                <w:b w:val="0"/>
                <w:i w:val="0"/>
                <w:color w:val="212121"/>
                <w:sz w:val="19"/>
              </w:rPr>
              <w:t>Critical illness and liver disease produce states where glucose utilisation exceeds intake, glycogenolysis and gluconeogenesis, causing hypoglycemia.</w:t>
            </w:r>
          </w:p>
          <w:p>
            <w:pPr>
              <w:spacing w:after="40" w:line="252" w:lineRule="auto"/>
            </w:pPr>
            <w:hyperlink r:id="rId12">
              <w:r>
                <w:rPr>
                  <w:rFonts w:ascii="Calibri" w:hAnsi="Calibri" w:cs="Calibri"/>
                  <w:sz w:val="18"/>
                  <w:color w:val="1155CC"/>
                  <w:u w:val="single"/>
                </w:rPr>
                <w:t xml:space="preserve">ncbi.nlm.nih.gov — StatPearls, Hypoglycemia</w:t>
              </w:r>
            </w:hyperlink>
          </w:p>
          <w:p>
            <w:pPr>
              <w:spacing w:before="60" w:after="40"/>
            </w:pPr>
            <w:r>
              <w:rPr>
                <w:rFonts w:ascii="Calibri" w:hAnsi="Calibri"/>
                <w:b w:val="0"/>
                <w:i w:val="0"/>
                <w:color w:val="5A5A5A"/>
                <w:sz w:val="18"/>
              </w:rPr>
              <w:t>#cirrhosis  #hepaticfailure  #gluconeogenesis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Hypoglycemia unawareness / HAAF</w:t>
            </w:r>
          </w:p>
        </w:tc>
        <w:tc>
          <w:tcPr>
            <w:tcW w:type="dxa" w:w="2160"/>
            <w:vAlign w:val="top"/>
          </w:tcPr>
          <w:p>
            <w:pPr>
              <w:spacing w:after="40" w:before="0" w:line="259" w:lineRule="auto"/>
            </w:pPr>
            <w:r>
              <w:rPr>
                <w:rFonts w:ascii="Calibri" w:hAnsi="Calibri"/>
                <w:b w:val="0"/>
                <w:i w:val="0"/>
                <w:color w:val="212121"/>
                <w:sz w:val="19"/>
              </w:rPr>
              <w:t>Long-duration diabetes with recurrent lows</w:t>
            </w:r>
          </w:p>
        </w:tc>
        <w:tc>
          <w:tcPr>
            <w:tcW w:type="dxa" w:w="4276"/>
            <w:vAlign w:val="top"/>
          </w:tcPr>
          <w:p>
            <w:pPr>
              <w:spacing w:after="60" w:line="259" w:lineRule="auto"/>
            </w:pPr>
            <w:r>
              <w:rPr>
                <w:rFonts w:ascii="Calibri" w:hAnsi="Calibri"/>
                <w:b w:val="0"/>
                <w:i w:val="0"/>
                <w:color w:val="212121"/>
                <w:sz w:val="19"/>
              </w:rPr>
              <w:t>After years of diabetes and repeated hypoglycemia, adrenaline and symptom responses become blunted (hypoglycemia-associated autonomic failure), so patients no longer feel warning symptoms and are far more likely to reach severe, Level 3 events.</w:t>
            </w:r>
          </w:p>
          <w:p>
            <w:pPr>
              <w:spacing w:after="40" w:before="60" w:line="259" w:lineRule="auto"/>
            </w:pPr>
            <w:r>
              <w:rPr>
                <w:rFonts w:ascii="Calibri" w:hAnsi="Calibri"/>
                <w:b w:val="0"/>
                <w:i w:val="0"/>
                <w:color w:val="212121"/>
                <w:sz w:val="19"/>
              </w:rPr>
              <w:t>Impaired awareness particularly affects people who have had diabetes for 5–10 years or more, or who have frequent low episodes.</w:t>
            </w:r>
          </w:p>
          <w:p>
            <w:pPr>
              <w:spacing w:after="40" w:line="252" w:lineRule="auto"/>
            </w:pPr>
            <w:hyperlink r:id="rId11">
              <w:r>
                <w:rPr>
                  <w:rFonts w:ascii="Calibri" w:hAnsi="Calibri" w:cs="Calibri"/>
                  <w:sz w:val="18"/>
                  <w:color w:val="1155CC"/>
                  <w:u w:val="single"/>
                </w:rPr>
                <w:t xml:space="preserve">cdc.gov — low blood sugar (hypoglycemia)</w:t>
              </w:r>
            </w:hyperlink>
          </w:p>
          <w:p>
            <w:pPr>
              <w:spacing w:before="60" w:after="40"/>
            </w:pPr>
            <w:r>
              <w:rPr>
                <w:rFonts w:ascii="Calibri" w:hAnsi="Calibri"/>
                <w:b w:val="0"/>
                <w:i w:val="0"/>
                <w:color w:val="5A5A5A"/>
                <w:sz w:val="18"/>
              </w:rPr>
              <w:t>#HAAF  #unawareness  #recurrenthypo  #severeevents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Adrenal insufficiency / hypopituitarism</w:t>
            </w:r>
          </w:p>
        </w:tc>
        <w:tc>
          <w:tcPr>
            <w:tcW w:type="dxa" w:w="2160"/>
            <w:vAlign w:val="top"/>
          </w:tcPr>
          <w:p>
            <w:pPr>
              <w:spacing w:after="40" w:before="0" w:line="259" w:lineRule="auto"/>
            </w:pPr>
            <w:r>
              <w:rPr>
                <w:rFonts w:ascii="Calibri" w:hAnsi="Calibri"/>
                <w:b w:val="0"/>
                <w:i w:val="0"/>
                <w:color w:val="212121"/>
                <w:sz w:val="19"/>
              </w:rPr>
              <w:t>Cortisol / growth-hormone deficiency</w:t>
            </w:r>
          </w:p>
        </w:tc>
        <w:tc>
          <w:tcPr>
            <w:tcW w:type="dxa" w:w="4276"/>
            <w:vAlign w:val="top"/>
          </w:tcPr>
          <w:p>
            <w:pPr>
              <w:spacing w:after="60" w:line="259" w:lineRule="auto"/>
            </w:pPr>
            <w:r>
              <w:rPr>
                <w:rFonts w:ascii="Calibri" w:hAnsi="Calibri"/>
                <w:b w:val="0"/>
                <w:i w:val="0"/>
                <w:color w:val="212121"/>
                <w:sz w:val="19"/>
              </w:rPr>
              <w:t>Cortisol and growth hormone are counter-regulatory hormones that raise glucose; their deficiency (Addison’s disease, hypopituitarism) removes a key defence and causes fasting hypoglycemia.</w:t>
            </w:r>
          </w:p>
          <w:p>
            <w:pPr>
              <w:spacing w:after="40" w:before="60" w:line="259" w:lineRule="auto"/>
            </w:pPr>
            <w:r>
              <w:rPr>
                <w:rFonts w:ascii="Calibri" w:hAnsi="Calibri"/>
                <w:b w:val="0"/>
                <w:i w:val="0"/>
                <w:color w:val="212121"/>
                <w:sz w:val="19"/>
              </w:rPr>
              <w:t>Counter-regulatory hormone deficiencies such as adrenal insufficiency are recognised causes of hypoglycemia.</w:t>
            </w:r>
          </w:p>
          <w:p>
            <w:pPr>
              <w:spacing w:after="40" w:line="252" w:lineRule="auto"/>
            </w:pPr>
            <w:hyperlink r:id="rId12">
              <w:r>
                <w:rPr>
                  <w:rFonts w:ascii="Calibri" w:hAnsi="Calibri" w:cs="Calibri"/>
                  <w:sz w:val="18"/>
                  <w:color w:val="1155CC"/>
                  <w:u w:val="single"/>
                </w:rPr>
                <w:t xml:space="preserve">ncbi.nlm.nih.gov — StatPearls, Hypoglycemia</w:t>
              </w:r>
            </w:hyperlink>
          </w:p>
          <w:p>
            <w:pPr>
              <w:spacing w:before="60" w:after="40"/>
            </w:pPr>
            <w:r>
              <w:rPr>
                <w:rFonts w:ascii="Calibri" w:hAnsi="Calibri"/>
                <w:b w:val="0"/>
                <w:i w:val="0"/>
                <w:color w:val="5A5A5A"/>
                <w:sz w:val="18"/>
              </w:rPr>
              <w:t>#adrenalinsufficiency  #hypopituitarism  #counterregulation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Exercise increases insulin sensitivity and muscle glucose uptake, so unplanned, prolonged or strenuous activity is a major trigger of hypoglycemia in insulin- and sulfonylurea-treated patients, with lows occurring during activity and for many hours afterwards (including nocturnal).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Missed, delayed or carbohydrate-poor meals and fasting are among the leading, most preventable causes of low blood sugar; carbohydrate timing relative to insulin/secretagogue dosing is critical.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hypoglycemia occurs during sleep and is frequently unrecognised because sleep masks warning symptoms; it may present only as night sweats, nightmares or a morning headache.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direct cause of hypoglycemia but compounds the cardiovascular risk (arrhythmia, ischaemia) associated with the catecholamine surge of a severe episode.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inhibits hepatic gluconeogenesis (without affecting glycogenolysis); drinking without food, especially on insulin or sulfonylureas, causes profound and often delayed fasting hypoglycemia.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Fear of hypoglycemia drives deliberate under-treatment and glucose over-correction, while depression and cognitive impairment reduce the ability to recognise and self-treat lows; disordered eating and insulin misuse add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blood glucose; severe dehydration or intercurrent illness influences risk mainly by disrupting food intake and drug handling.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may modestly alter perception of adrenergic warning symptoms, but its direct effect on hypoglycemia risk is small and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direct link between hygiene and hypoglycemia; safe insulin-injection technique and clean, correctly used glucometers remain sensible diabetes self-care.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Missed or delayed meals, alcohol, unplanned exercise, medication dosing errors, overly tight glycaemic targets, renal or hepatic impairment and religious fasting are the dominant, identifiable provoking factors for hypoglycemia.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Pre-/post-exercise capillary glucose (mg/dL)</w:t>
            </w:r>
          </w:p>
        </w:tc>
        <w:tc>
          <w:tcPr>
            <w:tcW w:type="dxa" w:w="1655"/>
            <w:vAlign w:val="top"/>
          </w:tcPr>
          <w:p>
            <w:pPr>
              <w:spacing w:after="40" w:before="0" w:line="259" w:lineRule="auto"/>
            </w:pPr>
            <w:r>
              <w:rPr>
                <w:rFonts w:ascii="Calibri" w:hAnsi="Calibri"/>
                <w:b w:val="0"/>
                <w:i w:val="0"/>
                <w:color w:val="212121"/>
                <w:sz w:val="19"/>
              </w:rPr>
              <w:t>Insulin- or sulfonylurea-treated exercisers</w:t>
            </w:r>
          </w:p>
        </w:tc>
        <w:tc>
          <w:tcPr>
            <w:tcW w:type="dxa" w:w="1512"/>
            <w:vAlign w:val="top"/>
          </w:tcPr>
          <w:p>
            <w:pPr>
              <w:spacing w:after="40" w:before="0" w:line="259" w:lineRule="auto"/>
            </w:pPr>
            <w:r>
              <w:rPr>
                <w:rFonts w:ascii="Calibri" w:hAnsi="Calibri"/>
                <w:b w:val="0"/>
                <w:i w:val="0"/>
                <w:color w:val="212121"/>
                <w:sz w:val="19"/>
              </w:rPr>
              <w:t>≥ 90–100 mg/dL before moderate activity (take carbohydrate if below)</w:t>
            </w:r>
          </w:p>
        </w:tc>
        <w:tc>
          <w:tcPr>
            <w:tcW w:type="dxa" w:w="1512"/>
            <w:vAlign w:val="top"/>
          </w:tcPr>
          <w:p>
            <w:pPr>
              <w:spacing w:after="40" w:before="0" w:line="259" w:lineRule="auto"/>
            </w:pPr>
            <w:r>
              <w:rPr>
                <w:rFonts w:ascii="Calibri" w:hAnsi="Calibri"/>
                <w:b w:val="0"/>
                <w:i w:val="0"/>
                <w:color w:val="212121"/>
                <w:sz w:val="19"/>
              </w:rPr>
              <w:t>&lt; 90 mg/dL before or after activity; any symptomatic low</w:t>
            </w:r>
          </w:p>
        </w:tc>
        <w:tc>
          <w:tcPr>
            <w:tcW w:type="dxa" w:w="1468"/>
            <w:vAlign w:val="top"/>
          </w:tcPr>
          <w:p>
            <w:pPr>
              <w:spacing w:after="60" w:line="259" w:lineRule="auto"/>
            </w:pPr>
            <w:r>
              <w:rPr>
                <w:rFonts w:ascii="Calibri" w:hAnsi="Calibri"/>
                <w:b w:val="0"/>
                <w:i w:val="0"/>
                <w:color w:val="212121"/>
                <w:sz w:val="19"/>
              </w:rPr>
              <w:t>Reduce pre-exercise rapid insulin or add 15–30 g carbohydrate; beware delayed/nocturnal lows</w:t>
            </w:r>
          </w:p>
          <w:p>
            <w:pPr>
              <w:spacing w:after="40" w:line="252" w:lineRule="auto"/>
            </w:pPr>
            <w:hyperlink r:id="rId11">
              <w:r>
                <w:rPr>
                  <w:rFonts w:ascii="Calibri" w:hAnsi="Calibri" w:cs="Calibri"/>
                  <w:sz w:val="18"/>
                  <w:color w:val="1155CC"/>
                  <w:u w:val="single"/>
                </w:rPr>
                <w:t xml:space="preserve">https://www.cdc.gov/diabetes/about/low-blood-sugar-hypoglycemia.html</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Meal regularity &amp; carbohydrate per meal</w:t>
            </w:r>
          </w:p>
        </w:tc>
        <w:tc>
          <w:tcPr>
            <w:tcW w:type="dxa" w:w="1655"/>
            <w:vAlign w:val="top"/>
          </w:tcPr>
          <w:p>
            <w:pPr>
              <w:spacing w:after="40" w:before="0" w:line="259" w:lineRule="auto"/>
            </w:pPr>
            <w:r>
              <w:rPr>
                <w:rFonts w:ascii="Calibri" w:hAnsi="Calibri"/>
                <w:b w:val="0"/>
                <w:i w:val="0"/>
                <w:color w:val="212121"/>
                <w:sz w:val="19"/>
              </w:rPr>
              <w:t>All insulin/secretagogue users</w:t>
            </w:r>
          </w:p>
        </w:tc>
        <w:tc>
          <w:tcPr>
            <w:tcW w:type="dxa" w:w="1512"/>
            <w:vAlign w:val="top"/>
          </w:tcPr>
          <w:p>
            <w:pPr>
              <w:spacing w:after="40" w:before="0" w:line="259" w:lineRule="auto"/>
            </w:pPr>
            <w:r>
              <w:rPr>
                <w:rFonts w:ascii="Calibri" w:hAnsi="Calibri"/>
                <w:b w:val="0"/>
                <w:i w:val="0"/>
                <w:color w:val="212121"/>
                <w:sz w:val="19"/>
              </w:rPr>
              <w:t>Regular, evenly spaced meals matched to drug timing; do not skip</w:t>
            </w:r>
          </w:p>
        </w:tc>
        <w:tc>
          <w:tcPr>
            <w:tcW w:type="dxa" w:w="1512"/>
            <w:vAlign w:val="top"/>
          </w:tcPr>
          <w:p>
            <w:pPr>
              <w:spacing w:after="40" w:before="0" w:line="259" w:lineRule="auto"/>
            </w:pPr>
            <w:r>
              <w:rPr>
                <w:rFonts w:ascii="Calibri" w:hAnsi="Calibri"/>
                <w:b w:val="0"/>
                <w:i w:val="0"/>
                <w:color w:val="212121"/>
                <w:sz w:val="19"/>
              </w:rPr>
              <w:t>Skipped/delayed meal or inadequate carbohydrate for the dose</w:t>
            </w:r>
          </w:p>
        </w:tc>
        <w:tc>
          <w:tcPr>
            <w:tcW w:type="dxa" w:w="1468"/>
            <w:vAlign w:val="top"/>
          </w:tcPr>
          <w:p>
            <w:pPr>
              <w:spacing w:after="60" w:line="259" w:lineRule="auto"/>
            </w:pPr>
            <w:r>
              <w:rPr>
                <w:rFonts w:ascii="Calibri" w:hAnsi="Calibri"/>
                <w:b w:val="0"/>
                <w:i w:val="0"/>
                <w:color w:val="212121"/>
                <w:sz w:val="19"/>
              </w:rPr>
              <w:t>The most common preventable precipitant of low blood sugar</w:t>
            </w:r>
          </w:p>
          <w:p>
            <w:pPr>
              <w:spacing w:after="40" w:line="252" w:lineRule="auto"/>
            </w:pPr>
            <w:hyperlink r:id="rId11">
              <w:r>
                <w:rPr>
                  <w:rFonts w:ascii="Calibri" w:hAnsi="Calibri" w:cs="Calibri"/>
                  <w:sz w:val="18"/>
                  <w:color w:val="1155CC"/>
                  <w:u w:val="single"/>
                </w:rPr>
                <w:t xml:space="preserve">https://www.cdc.gov/diabetes/about/low-blood-sugar-hypoglycemia.html</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Duration of religious/other fasting (hours)</w:t>
            </w:r>
          </w:p>
        </w:tc>
        <w:tc>
          <w:tcPr>
            <w:tcW w:type="dxa" w:w="1655"/>
            <w:vAlign w:val="top"/>
          </w:tcPr>
          <w:p>
            <w:pPr>
              <w:spacing w:after="40" w:before="0" w:line="259" w:lineRule="auto"/>
            </w:pPr>
            <w:r>
              <w:rPr>
                <w:rFonts w:ascii="Calibri" w:hAnsi="Calibri"/>
                <w:b w:val="0"/>
                <w:i w:val="0"/>
                <w:color w:val="212121"/>
                <w:sz w:val="19"/>
              </w:rPr>
              <w:t>Ramadan/Navratri/ekadashi observers on medication</w:t>
            </w:r>
          </w:p>
        </w:tc>
        <w:tc>
          <w:tcPr>
            <w:tcW w:type="dxa" w:w="1512"/>
            <w:vAlign w:val="top"/>
          </w:tcPr>
          <w:p>
            <w:pPr>
              <w:spacing w:after="40" w:before="0" w:line="259" w:lineRule="auto"/>
            </w:pPr>
            <w:r>
              <w:rPr>
                <w:rFonts w:ascii="Calibri" w:hAnsi="Calibri"/>
                <w:b w:val="0"/>
                <w:i w:val="0"/>
                <w:color w:val="212121"/>
                <w:sz w:val="19"/>
              </w:rPr>
              <w:t>Pre-fast medication review; break fast promptly on warning symptoms</w:t>
            </w:r>
          </w:p>
        </w:tc>
        <w:tc>
          <w:tcPr>
            <w:tcW w:type="dxa" w:w="1512"/>
            <w:vAlign w:val="top"/>
          </w:tcPr>
          <w:p>
            <w:pPr>
              <w:spacing w:after="40" w:before="0" w:line="259" w:lineRule="auto"/>
            </w:pPr>
            <w:r>
              <w:rPr>
                <w:rFonts w:ascii="Calibri" w:hAnsi="Calibri"/>
                <w:b w:val="0"/>
                <w:i w:val="0"/>
                <w:color w:val="212121"/>
                <w:sz w:val="19"/>
              </w:rPr>
              <w:t>Prolonged daytime fast while continuing insulin/sulfonylurea</w:t>
            </w:r>
          </w:p>
        </w:tc>
        <w:tc>
          <w:tcPr>
            <w:tcW w:type="dxa" w:w="1468"/>
            <w:vAlign w:val="top"/>
          </w:tcPr>
          <w:p>
            <w:pPr>
              <w:spacing w:after="40" w:before="0" w:line="259" w:lineRule="auto"/>
            </w:pPr>
            <w:r>
              <w:rPr>
                <w:rFonts w:ascii="Calibri" w:hAnsi="Calibri"/>
                <w:b w:val="0"/>
                <w:i w:val="0"/>
                <w:color w:val="212121"/>
                <w:sz w:val="19"/>
              </w:rPr>
              <w:t>Check glucose during long fasts; switch long-acting sulfonylureas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taken without food (units)</w:t>
            </w:r>
          </w:p>
        </w:tc>
        <w:tc>
          <w:tcPr>
            <w:tcW w:type="dxa" w:w="1655"/>
            <w:vAlign w:val="top"/>
          </w:tcPr>
          <w:p>
            <w:pPr>
              <w:spacing w:after="40" w:before="0" w:line="259" w:lineRule="auto"/>
            </w:pPr>
            <w:r>
              <w:rPr>
                <w:rFonts w:ascii="Calibri" w:hAnsi="Calibri"/>
                <w:b w:val="0"/>
                <w:i w:val="0"/>
                <w:color w:val="212121"/>
                <w:sz w:val="19"/>
              </w:rPr>
              <w:t>People who drink, esp. on insulin/sulfonylureas</w:t>
            </w:r>
          </w:p>
        </w:tc>
        <w:tc>
          <w:tcPr>
            <w:tcW w:type="dxa" w:w="1512"/>
            <w:vAlign w:val="top"/>
          </w:tcPr>
          <w:p>
            <w:pPr>
              <w:spacing w:after="40" w:before="0" w:line="259" w:lineRule="auto"/>
            </w:pPr>
            <w:r>
              <w:rPr>
                <w:rFonts w:ascii="Calibri" w:hAnsi="Calibri"/>
                <w:b w:val="0"/>
                <w:i w:val="0"/>
                <w:color w:val="212121"/>
                <w:sz w:val="19"/>
              </w:rPr>
              <w:t>0, or always with carbohydrate-containing food</w:t>
            </w:r>
          </w:p>
        </w:tc>
        <w:tc>
          <w:tcPr>
            <w:tcW w:type="dxa" w:w="1512"/>
            <w:vAlign w:val="top"/>
          </w:tcPr>
          <w:p>
            <w:pPr>
              <w:spacing w:after="40" w:before="0" w:line="259" w:lineRule="auto"/>
            </w:pPr>
            <w:r>
              <w:rPr>
                <w:rFonts w:ascii="Calibri" w:hAnsi="Calibri"/>
                <w:b w:val="0"/>
                <w:i w:val="0"/>
                <w:color w:val="212121"/>
                <w:sz w:val="19"/>
              </w:rPr>
              <w:t>Binge or fasting alcohol; drinking at bedtime</w:t>
            </w:r>
          </w:p>
        </w:tc>
        <w:tc>
          <w:tcPr>
            <w:tcW w:type="dxa" w:w="1468"/>
            <w:vAlign w:val="top"/>
          </w:tcPr>
          <w:p>
            <w:pPr>
              <w:spacing w:after="60" w:line="259" w:lineRule="auto"/>
            </w:pPr>
            <w:r>
              <w:rPr>
                <w:rFonts w:ascii="Calibri" w:hAnsi="Calibri"/>
                <w:b w:val="0"/>
                <w:i w:val="0"/>
                <w:color w:val="212121"/>
                <w:sz w:val="19"/>
              </w:rPr>
              <w:t>Blocks gluconeogenesis; hypoglycemia can be delayed up to ~24 h</w:t>
            </w:r>
          </w:p>
          <w:p>
            <w:pPr>
              <w:spacing w:after="40" w:line="252" w:lineRule="auto"/>
            </w:pPr>
            <w:hyperlink r:id="rId12">
              <w:r>
                <w:rPr>
                  <w:rFonts w:ascii="Calibri" w:hAnsi="Calibri" w:cs="Calibri"/>
                  <w:sz w:val="18"/>
                  <w:color w:val="1155CC"/>
                  <w:u w:val="single"/>
                </w:rPr>
                <w:t xml:space="preserve">https://www.ncbi.nlm.nih.gov/books/NBK534841/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 — avoiding over-treatment</w:t>
            </w:r>
          </w:p>
        </w:tc>
        <w:tc>
          <w:tcPr>
            <w:tcW w:type="dxa" w:w="1655"/>
            <w:vAlign w:val="top"/>
          </w:tcPr>
          <w:p>
            <w:pPr>
              <w:spacing w:after="40" w:before="0" w:line="259" w:lineRule="auto"/>
            </w:pPr>
            <w:r>
              <w:rPr>
                <w:rFonts w:ascii="Calibri" w:hAnsi="Calibri"/>
                <w:b w:val="0"/>
                <w:i w:val="0"/>
                <w:color w:val="212121"/>
                <w:sz w:val="19"/>
              </w:rPr>
              <w:t>Elderly, frail, CKD on insulin/sulfonylurea</w:t>
            </w:r>
          </w:p>
        </w:tc>
        <w:tc>
          <w:tcPr>
            <w:tcW w:type="dxa" w:w="1512"/>
            <w:vAlign w:val="top"/>
          </w:tcPr>
          <w:p>
            <w:pPr>
              <w:spacing w:after="40" w:before="0" w:line="259" w:lineRule="auto"/>
            </w:pPr>
            <w:r>
              <w:rPr>
                <w:rFonts w:ascii="Calibri" w:hAnsi="Calibri"/>
                <w:b w:val="0"/>
                <w:i w:val="0"/>
                <w:color w:val="212121"/>
                <w:sz w:val="19"/>
              </w:rPr>
              <w:t>Individualised; ~7–8% in frail elderly (avoid over-tight)</w:t>
            </w:r>
          </w:p>
        </w:tc>
        <w:tc>
          <w:tcPr>
            <w:tcW w:type="dxa" w:w="1512"/>
            <w:vAlign w:val="top"/>
          </w:tcPr>
          <w:p>
            <w:pPr>
              <w:spacing w:after="40" w:before="0" w:line="259" w:lineRule="auto"/>
            </w:pPr>
            <w:r>
              <w:rPr>
                <w:rFonts w:ascii="Calibri" w:hAnsi="Calibri"/>
                <w:b w:val="0"/>
                <w:i w:val="0"/>
                <w:color w:val="212121"/>
                <w:sz w:val="19"/>
              </w:rPr>
              <w:t>&lt; 6.5–7% on insulin/sulfonylurea in elderly/CKD</w:t>
            </w:r>
          </w:p>
        </w:tc>
        <w:tc>
          <w:tcPr>
            <w:tcW w:type="dxa" w:w="1468"/>
            <w:vAlign w:val="top"/>
          </w:tcPr>
          <w:p>
            <w:pPr>
              <w:spacing w:after="40" w:before="0" w:line="259" w:lineRule="auto"/>
            </w:pPr>
            <w:r>
              <w:rPr>
                <w:rFonts w:ascii="Calibri" w:hAnsi="Calibri"/>
                <w:b w:val="0"/>
                <w:i w:val="0"/>
                <w:color w:val="212121"/>
                <w:sz w:val="19"/>
              </w:rPr>
              <w:t>A low HbA1c with lows signals the need to de-escalate therapy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Fasting/pre-meal capillary glucose (mg/dL)</w:t>
            </w:r>
          </w:p>
        </w:tc>
        <w:tc>
          <w:tcPr>
            <w:tcW w:type="dxa" w:w="1655"/>
            <w:vAlign w:val="top"/>
          </w:tcPr>
          <w:p>
            <w:pPr>
              <w:spacing w:after="40" w:before="0" w:line="259" w:lineRule="auto"/>
            </w:pPr>
            <w:r>
              <w:rPr>
                <w:rFonts w:ascii="Calibri" w:hAnsi="Calibri"/>
                <w:b w:val="0"/>
                <w:i w:val="0"/>
                <w:color w:val="212121"/>
                <w:sz w:val="19"/>
              </w:rPr>
              <w:t>All treated diabetics</w:t>
            </w:r>
          </w:p>
        </w:tc>
        <w:tc>
          <w:tcPr>
            <w:tcW w:type="dxa" w:w="1512"/>
            <w:vAlign w:val="top"/>
          </w:tcPr>
          <w:p>
            <w:pPr>
              <w:spacing w:after="40" w:before="0" w:line="259" w:lineRule="auto"/>
            </w:pPr>
            <w:r>
              <w:rPr>
                <w:rFonts w:ascii="Calibri" w:hAnsi="Calibri"/>
                <w:b w:val="0"/>
                <w:i w:val="0"/>
                <w:color w:val="212121"/>
                <w:sz w:val="19"/>
              </w:rPr>
              <w:t>80–130 mg/dL (individualised)</w:t>
            </w:r>
          </w:p>
        </w:tc>
        <w:tc>
          <w:tcPr>
            <w:tcW w:type="dxa" w:w="1512"/>
            <w:vAlign w:val="top"/>
          </w:tcPr>
          <w:p>
            <w:pPr>
              <w:spacing w:after="40" w:before="0" w:line="259" w:lineRule="auto"/>
            </w:pPr>
            <w:r>
              <w:rPr>
                <w:rFonts w:ascii="Calibri" w:hAnsi="Calibri"/>
                <w:b w:val="0"/>
                <w:i w:val="0"/>
                <w:color w:val="212121"/>
                <w:sz w:val="19"/>
              </w:rPr>
              <w:t>&lt; 70 (alert value) / &lt; 54 (clinically significant)</w:t>
            </w:r>
          </w:p>
        </w:tc>
        <w:tc>
          <w:tcPr>
            <w:tcW w:type="dxa" w:w="1468"/>
            <w:vAlign w:val="top"/>
          </w:tcPr>
          <w:p>
            <w:pPr>
              <w:spacing w:after="60" w:line="259" w:lineRule="auto"/>
            </w:pPr>
            <w:r>
              <w:rPr>
                <w:rFonts w:ascii="Calibri" w:hAnsi="Calibri"/>
                <w:b w:val="0"/>
                <w:i w:val="0"/>
                <w:color w:val="212121"/>
                <w:sz w:val="19"/>
              </w:rPr>
              <w:t>Treat with 15 g fast carbohydrate and recheck at 15 min (15–15 rule)</w:t>
            </w:r>
          </w:p>
          <w:p>
            <w:pPr>
              <w:spacing w:after="40" w:line="252" w:lineRule="auto"/>
            </w:pPr>
            <w:hyperlink r:id="rId11">
              <w:r>
                <w:rPr>
                  <w:rFonts w:ascii="Calibri" w:hAnsi="Calibri" w:cs="Calibri"/>
                  <w:sz w:val="18"/>
                  <w:color w:val="1155CC"/>
                  <w:u w:val="single"/>
                </w:rPr>
                <w:t xml:space="preserve">https://www.cdc.gov/diabetes/about/low-blood-sugar-hypoglycemia.html</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Renal function — eGFR (mL/min/1.73 m²)</w:t>
            </w:r>
          </w:p>
        </w:tc>
        <w:tc>
          <w:tcPr>
            <w:tcW w:type="dxa" w:w="1655"/>
            <w:vAlign w:val="top"/>
          </w:tcPr>
          <w:p>
            <w:pPr>
              <w:spacing w:after="40" w:before="0" w:line="259" w:lineRule="auto"/>
            </w:pPr>
            <w:r>
              <w:rPr>
                <w:rFonts w:ascii="Calibri" w:hAnsi="Calibri"/>
                <w:b w:val="0"/>
                <w:i w:val="0"/>
                <w:color w:val="212121"/>
                <w:sz w:val="19"/>
              </w:rPr>
              <w:t>CKD, elderly, long-standing diabetes</w:t>
            </w:r>
          </w:p>
        </w:tc>
        <w:tc>
          <w:tcPr>
            <w:tcW w:type="dxa" w:w="1512"/>
            <w:vAlign w:val="top"/>
          </w:tcPr>
          <w:p>
            <w:pPr>
              <w:spacing w:after="40" w:before="0" w:line="259" w:lineRule="auto"/>
            </w:pPr>
            <w:r>
              <w:rPr>
                <w:rFonts w:ascii="Calibri" w:hAnsi="Calibri"/>
                <w:b w:val="0"/>
                <w:i w:val="0"/>
                <w:color w:val="212121"/>
                <w:sz w:val="19"/>
              </w:rPr>
              <w:t>≥ 60</w:t>
            </w:r>
          </w:p>
        </w:tc>
        <w:tc>
          <w:tcPr>
            <w:tcW w:type="dxa" w:w="1512"/>
            <w:vAlign w:val="top"/>
          </w:tcPr>
          <w:p>
            <w:pPr>
              <w:spacing w:after="40" w:before="0" w:line="259" w:lineRule="auto"/>
            </w:pPr>
            <w:r>
              <w:rPr>
                <w:rFonts w:ascii="Calibri" w:hAnsi="Calibri"/>
                <w:b w:val="0"/>
                <w:i w:val="0"/>
                <w:color w:val="212121"/>
                <w:sz w:val="19"/>
              </w:rPr>
              <w:t>&lt; 30–45 (reduce or avoid renally-cleared sulfonylureas/insulin)</w:t>
            </w:r>
          </w:p>
        </w:tc>
        <w:tc>
          <w:tcPr>
            <w:tcW w:type="dxa" w:w="1468"/>
            <w:vAlign w:val="top"/>
          </w:tcPr>
          <w:p>
            <w:pPr>
              <w:spacing w:after="60" w:line="259" w:lineRule="auto"/>
            </w:pPr>
            <w:r>
              <w:rPr>
                <w:rFonts w:ascii="Calibri" w:hAnsi="Calibri"/>
                <w:b w:val="0"/>
                <w:i w:val="0"/>
                <w:color w:val="212121"/>
                <w:sz w:val="19"/>
              </w:rPr>
              <w:t>Renal impairment prolongs and deepens hypoglycemia</w:t>
            </w:r>
          </w:p>
          <w:p>
            <w:pPr>
              <w:spacing w:after="40" w:line="252" w:lineRule="auto"/>
            </w:pPr>
            <w:hyperlink r:id="rId10">
              <w:r>
                <w:rPr>
                  <w:rFonts w:ascii="Calibri" w:hAnsi="Calibri" w:cs="Calibri"/>
                  <w:sz w:val="18"/>
                  <w:color w:val="1155CC"/>
                  <w:u w:val="single"/>
                </w:rPr>
                <w:t xml:space="preserve">https://www.ncbi.nlm.nih.gov/books/NBK279100/</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Bedtime / nocturnal glucose (mg/dL)</w:t>
            </w:r>
          </w:p>
        </w:tc>
        <w:tc>
          <w:tcPr>
            <w:tcW w:type="dxa" w:w="1655"/>
            <w:vAlign w:val="top"/>
          </w:tcPr>
          <w:p>
            <w:pPr>
              <w:spacing w:after="40" w:before="0" w:line="259" w:lineRule="auto"/>
            </w:pPr>
            <w:r>
              <w:rPr>
                <w:rFonts w:ascii="Calibri" w:hAnsi="Calibri"/>
                <w:b w:val="0"/>
                <w:i w:val="0"/>
                <w:color w:val="212121"/>
                <w:sz w:val="19"/>
              </w:rPr>
              <w:t>Insulin users, recurrent nocturnal-hypo patients</w:t>
            </w:r>
          </w:p>
        </w:tc>
        <w:tc>
          <w:tcPr>
            <w:tcW w:type="dxa" w:w="1512"/>
            <w:vAlign w:val="top"/>
          </w:tcPr>
          <w:p>
            <w:pPr>
              <w:spacing w:after="40" w:before="0" w:line="259" w:lineRule="auto"/>
            </w:pPr>
            <w:r>
              <w:rPr>
                <w:rFonts w:ascii="Calibri" w:hAnsi="Calibri"/>
                <w:b w:val="0"/>
                <w:i w:val="0"/>
                <w:color w:val="212121"/>
                <w:sz w:val="19"/>
              </w:rPr>
              <w:t>&gt; 100–110 mg/dL at bedtime (snack if lower)</w:t>
            </w:r>
          </w:p>
        </w:tc>
        <w:tc>
          <w:tcPr>
            <w:tcW w:type="dxa" w:w="1512"/>
            <w:vAlign w:val="top"/>
          </w:tcPr>
          <w:p>
            <w:pPr>
              <w:spacing w:after="40" w:before="0" w:line="259" w:lineRule="auto"/>
            </w:pPr>
            <w:r>
              <w:rPr>
                <w:rFonts w:ascii="Calibri" w:hAnsi="Calibri"/>
                <w:b w:val="0"/>
                <w:i w:val="0"/>
                <w:color w:val="212121"/>
                <w:sz w:val="19"/>
              </w:rPr>
              <w:t>Bedtime &lt; 100 mg/dL after exercise/alcohol; 3 a.m. &lt; 70</w:t>
            </w:r>
          </w:p>
        </w:tc>
        <w:tc>
          <w:tcPr>
            <w:tcW w:type="dxa" w:w="1468"/>
            <w:vAlign w:val="top"/>
          </w:tcPr>
          <w:p>
            <w:pPr>
              <w:spacing w:after="60" w:line="259" w:lineRule="auto"/>
            </w:pPr>
            <w:r>
              <w:rPr>
                <w:rFonts w:ascii="Calibri" w:hAnsi="Calibri"/>
                <w:b w:val="0"/>
                <w:i w:val="0"/>
                <w:color w:val="212121"/>
                <w:sz w:val="19"/>
              </w:rPr>
              <w:t>Consider CGM low-glucose alarms and reduced overnight insulin</w:t>
            </w:r>
          </w:p>
          <w:p>
            <w:pPr>
              <w:spacing w:after="40" w:line="252" w:lineRule="auto"/>
            </w:pPr>
            <w:hyperlink r:id="rId11">
              <w:r>
                <w:rPr>
                  <w:rFonts w:ascii="Calibri" w:hAnsi="Calibri" w:cs="Calibri"/>
                  <w:sz w:val="18"/>
                  <w:color w:val="1155CC"/>
                  <w:u w:val="single"/>
                </w:rPr>
                <w:t xml:space="preserve">https://www.cdc.gov/diabetes/about/low-blood-sugar-hypoglycemia.html</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CGM time below range (% of readings &lt; 70 mg/dL)</w:t>
            </w:r>
          </w:p>
        </w:tc>
        <w:tc>
          <w:tcPr>
            <w:tcW w:type="dxa" w:w="1655"/>
            <w:vAlign w:val="top"/>
          </w:tcPr>
          <w:p>
            <w:pPr>
              <w:spacing w:after="40" w:before="0" w:line="259" w:lineRule="auto"/>
            </w:pPr>
            <w:r>
              <w:rPr>
                <w:rFonts w:ascii="Calibri" w:hAnsi="Calibri"/>
                <w:b w:val="0"/>
                <w:i w:val="0"/>
                <w:color w:val="212121"/>
                <w:sz w:val="19"/>
              </w:rPr>
              <w:t>CGM users on insulin/secretagogues</w:t>
            </w:r>
          </w:p>
        </w:tc>
        <w:tc>
          <w:tcPr>
            <w:tcW w:type="dxa" w:w="1512"/>
            <w:vAlign w:val="top"/>
          </w:tcPr>
          <w:p>
            <w:pPr>
              <w:spacing w:after="40" w:before="0" w:line="259" w:lineRule="auto"/>
            </w:pPr>
            <w:r>
              <w:rPr>
                <w:rFonts w:ascii="Calibri" w:hAnsi="Calibri"/>
                <w:b w:val="0"/>
                <w:i w:val="0"/>
                <w:color w:val="212121"/>
                <w:sz w:val="19"/>
              </w:rPr>
              <w:t>&lt; 4% time &lt; 70 mg/dL and &lt; 1% time &lt; 54 mg/dL</w:t>
            </w:r>
          </w:p>
        </w:tc>
        <w:tc>
          <w:tcPr>
            <w:tcW w:type="dxa" w:w="1512"/>
            <w:vAlign w:val="top"/>
          </w:tcPr>
          <w:p>
            <w:pPr>
              <w:spacing w:after="40" w:before="0" w:line="259" w:lineRule="auto"/>
            </w:pPr>
            <w:r>
              <w:rPr>
                <w:rFonts w:ascii="Calibri" w:hAnsi="Calibri"/>
                <w:b w:val="0"/>
                <w:i w:val="0"/>
                <w:color w:val="212121"/>
                <w:sz w:val="19"/>
              </w:rPr>
              <w:t>&gt; 4% time &lt; 70 mg/dL or any sustained &lt; 54 mg/dL</w:t>
            </w:r>
          </w:p>
        </w:tc>
        <w:tc>
          <w:tcPr>
            <w:tcW w:type="dxa" w:w="1468"/>
            <w:vAlign w:val="top"/>
          </w:tcPr>
          <w:p>
            <w:pPr>
              <w:spacing w:after="40" w:before="0" w:line="259" w:lineRule="auto"/>
            </w:pPr>
            <w:r>
              <w:rPr>
                <w:rFonts w:ascii="Calibri" w:hAnsi="Calibri"/>
                <w:b w:val="0"/>
                <w:i w:val="0"/>
                <w:color w:val="212121"/>
                <w:sz w:val="19"/>
              </w:rPr>
              <w:t>Nocturnal lows are common and often silent (international CGM targets)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weight / recent unintended weight loss</w:t>
            </w:r>
          </w:p>
        </w:tc>
        <w:tc>
          <w:tcPr>
            <w:tcW w:type="dxa" w:w="1655"/>
            <w:vAlign w:val="top"/>
          </w:tcPr>
          <w:p>
            <w:pPr>
              <w:spacing w:after="40" w:before="0" w:line="259" w:lineRule="auto"/>
            </w:pPr>
            <w:r>
              <w:rPr>
                <w:rFonts w:ascii="Calibri" w:hAnsi="Calibri"/>
                <w:b w:val="0"/>
                <w:i w:val="0"/>
                <w:color w:val="212121"/>
                <w:sz w:val="19"/>
              </w:rPr>
              <w:t>Frail, elderly, undernourished</w:t>
            </w:r>
          </w:p>
        </w:tc>
        <w:tc>
          <w:tcPr>
            <w:tcW w:type="dxa" w:w="1512"/>
            <w:vAlign w:val="top"/>
          </w:tcPr>
          <w:p>
            <w:pPr>
              <w:spacing w:after="40" w:before="0" w:line="259" w:lineRule="auto"/>
            </w:pPr>
            <w:r>
              <w:rPr>
                <w:rFonts w:ascii="Calibri" w:hAnsi="Calibri"/>
                <w:b w:val="0"/>
                <w:i w:val="0"/>
                <w:color w:val="212121"/>
                <w:sz w:val="19"/>
              </w:rPr>
              <w:t>Maintain weight; avoid under-nutrition</w:t>
            </w:r>
          </w:p>
        </w:tc>
        <w:tc>
          <w:tcPr>
            <w:tcW w:type="dxa" w:w="1512"/>
            <w:vAlign w:val="top"/>
          </w:tcPr>
          <w:p>
            <w:pPr>
              <w:spacing w:after="40" w:before="0" w:line="259" w:lineRule="auto"/>
            </w:pPr>
            <w:r>
              <w:rPr>
                <w:rFonts w:ascii="Calibri" w:hAnsi="Calibri"/>
                <w:b w:val="0"/>
                <w:i w:val="0"/>
                <w:color w:val="212121"/>
                <w:sz w:val="19"/>
              </w:rPr>
              <w:t>Low BMI, frailty or weight loss without a drug-dose reduction</w:t>
            </w:r>
          </w:p>
        </w:tc>
        <w:tc>
          <w:tcPr>
            <w:tcW w:type="dxa" w:w="1468"/>
            <w:vAlign w:val="top"/>
          </w:tcPr>
          <w:p>
            <w:pPr>
              <w:spacing w:after="60" w:line="259" w:lineRule="auto"/>
            </w:pPr>
            <w:r>
              <w:rPr>
                <w:rFonts w:ascii="Calibri" w:hAnsi="Calibri"/>
                <w:b w:val="0"/>
                <w:i w:val="0"/>
                <w:color w:val="212121"/>
                <w:sz w:val="19"/>
              </w:rPr>
              <w:t>Depleted glycogen reserves reduce defence against falling glucose</w:t>
            </w:r>
          </w:p>
          <w:p>
            <w:pPr>
              <w:spacing w:after="40" w:line="252" w:lineRule="auto"/>
            </w:pPr>
            <w:hyperlink r:id="rId13">
              <w:r>
                <w:rPr>
                  <w:rFonts w:ascii="Calibri" w:hAnsi="Calibri" w:cs="Calibri"/>
                  <w:sz w:val="18"/>
                  <w:color w:val="1155CC"/>
                  <w:u w:val="single"/>
                </w:rPr>
                <w:t xml:space="preserve">https://www.ncbi.nlm.nih.gov/books/NBK355894/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Plasma (venous) glucose</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 70 mg/dL (&lt; 54 clinically significant)</w:t>
            </w:r>
          </w:p>
        </w:tc>
        <w:tc>
          <w:tcPr>
            <w:tcW w:type="dxa" w:w="1036"/>
            <w:vAlign w:val="top"/>
          </w:tcPr>
          <w:p>
            <w:pPr>
              <w:spacing w:after="40" w:before="0" w:line="259" w:lineRule="auto"/>
            </w:pPr>
            <w:r>
              <w:rPr>
                <w:rFonts w:ascii="Calibri" w:hAnsi="Calibri"/>
                <w:b w:val="0"/>
                <w:i w:val="0"/>
                <w:color w:val="212121"/>
                <w:sz w:val="16"/>
              </w:rPr>
              <w:t>Confirms hypoglycemia and satisfies the biochemical arm of Whipple’s triad</w:t>
            </w:r>
          </w:p>
        </w:tc>
        <w:tc>
          <w:tcPr>
            <w:tcW w:type="dxa" w:w="1036"/>
            <w:vAlign w:val="top"/>
          </w:tcPr>
          <w:p>
            <w:pPr>
              <w:spacing w:after="40" w:before="0" w:line="259" w:lineRule="auto"/>
            </w:pPr>
            <w:r>
              <w:rPr>
                <w:rFonts w:ascii="Calibri" w:hAnsi="Calibri"/>
                <w:b w:val="0"/>
                <w:i w:val="0"/>
                <w:color w:val="212121"/>
                <w:sz w:val="16"/>
              </w:rPr>
              <w:t>Insulin/sulfonylurea users, elderly, CKD</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(diagnostic)</w:t>
            </w:r>
          </w:p>
        </w:tc>
        <w:tc>
          <w:tcPr>
            <w:tcW w:type="dxa" w:w="720"/>
            <w:vAlign w:val="top"/>
          </w:tcPr>
          <w:p>
            <w:pPr>
              <w:spacing w:after="40" w:before="0" w:line="259" w:lineRule="auto"/>
            </w:pPr>
            <w:r>
              <w:rPr>
                <w:rFonts w:ascii="Calibri" w:hAnsi="Calibri"/>
                <w:b w:val="0"/>
                <w:i w:val="0"/>
                <w:color w:val="212121"/>
                <w:sz w:val="16"/>
              </w:rPr>
              <w:t>Lab-confirm the value, but treat first if the patient is symptomatic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Point-of-care</w:t>
            </w:r>
          </w:p>
        </w:tc>
        <w:tc>
          <w:tcPr>
            <w:tcW w:type="dxa" w:w="1036"/>
            <w:vAlign w:val="top"/>
          </w:tcPr>
          <w:p>
            <w:pPr>
              <w:spacing w:after="40" w:before="0" w:line="259" w:lineRule="auto"/>
            </w:pPr>
            <w:r>
              <w:rPr>
                <w:rFonts w:ascii="Calibri" w:hAnsi="Calibri"/>
                <w:b w:val="0"/>
                <w:i w:val="0"/>
                <w:color w:val="212121"/>
                <w:sz w:val="16"/>
              </w:rPr>
              <w:t>Capillary blood glucose (glucometer)</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 70 mg/dL</w:t>
            </w:r>
          </w:p>
        </w:tc>
        <w:tc>
          <w:tcPr>
            <w:tcW w:type="dxa" w:w="1036"/>
            <w:vAlign w:val="top"/>
          </w:tcPr>
          <w:p>
            <w:pPr>
              <w:spacing w:after="40" w:before="0" w:line="259" w:lineRule="auto"/>
            </w:pPr>
            <w:r>
              <w:rPr>
                <w:rFonts w:ascii="Calibri" w:hAnsi="Calibri"/>
                <w:b w:val="0"/>
                <w:i w:val="0"/>
                <w:color w:val="212121"/>
                <w:sz w:val="16"/>
              </w:rPr>
              <w:t>Rapid bedside detection of a low; less accurate at very low values</w:t>
            </w:r>
          </w:p>
        </w:tc>
        <w:tc>
          <w:tcPr>
            <w:tcW w:type="dxa" w:w="1036"/>
            <w:vAlign w:val="top"/>
          </w:tcPr>
          <w:p>
            <w:pPr>
              <w:spacing w:after="40" w:before="0" w:line="259" w:lineRule="auto"/>
            </w:pPr>
            <w:r>
              <w:rPr>
                <w:rFonts w:ascii="Calibri" w:hAnsi="Calibri"/>
                <w:b w:val="0"/>
                <w:i w:val="0"/>
                <w:color w:val="212121"/>
                <w:sz w:val="16"/>
              </w:rPr>
              <w:t>All treated diabetics, home monitoring</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Screening/monitoring</w:t>
            </w:r>
          </w:p>
        </w:tc>
        <w:tc>
          <w:tcPr>
            <w:tcW w:type="dxa" w:w="720"/>
            <w:vAlign w:val="top"/>
          </w:tcPr>
          <w:p>
            <w:pPr>
              <w:spacing w:after="40" w:before="0" w:line="259" w:lineRule="auto"/>
            </w:pPr>
            <w:r>
              <w:rPr>
                <w:rFonts w:ascii="Calibri" w:hAnsi="Calibri"/>
                <w:b w:val="0"/>
                <w:i w:val="0"/>
                <w:color w:val="212121"/>
                <w:sz w:val="16"/>
              </w:rPr>
              <w:t>Confirm with venous plasma glucose if the reading and symptoms disagree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Glycated haemoglobin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4.0–5.6% (target individualised)</w:t>
            </w:r>
          </w:p>
        </w:tc>
        <w:tc>
          <w:tcPr>
            <w:tcW w:type="dxa" w:w="950"/>
            <w:vAlign w:val="top"/>
          </w:tcPr>
          <w:p>
            <w:pPr>
              <w:spacing w:after="40" w:before="0" w:line="259" w:lineRule="auto"/>
            </w:pPr>
            <w:r>
              <w:rPr>
                <w:rFonts w:ascii="Calibri" w:hAnsi="Calibri"/>
                <w:b w:val="0"/>
                <w:i w:val="0"/>
                <w:color w:val="212121"/>
                <w:sz w:val="16"/>
              </w:rPr>
              <w:t>&lt; 6.5–7% in elderly/CKD on insulin/sulfonylurea suggests over-treatment</w:t>
            </w:r>
          </w:p>
        </w:tc>
        <w:tc>
          <w:tcPr>
            <w:tcW w:type="dxa" w:w="1036"/>
            <w:vAlign w:val="top"/>
          </w:tcPr>
          <w:p>
            <w:pPr>
              <w:spacing w:after="40" w:before="0" w:line="259" w:lineRule="auto"/>
            </w:pPr>
            <w:r>
              <w:rPr>
                <w:rFonts w:ascii="Calibri" w:hAnsi="Calibri"/>
                <w:b w:val="0"/>
                <w:i w:val="0"/>
                <w:color w:val="212121"/>
                <w:sz w:val="16"/>
              </w:rPr>
              <w:t>A low HbA1c alongside documented lows flags therapy-related hypoglycemia</w:t>
            </w:r>
          </w:p>
        </w:tc>
        <w:tc>
          <w:tcPr>
            <w:tcW w:type="dxa" w:w="1036"/>
            <w:vAlign w:val="top"/>
          </w:tcPr>
          <w:p>
            <w:pPr>
              <w:spacing w:after="40" w:before="0" w:line="259" w:lineRule="auto"/>
            </w:pPr>
            <w:r>
              <w:rPr>
                <w:rFonts w:ascii="Calibri" w:hAnsi="Calibri"/>
                <w:b w:val="0"/>
                <w:i w:val="0"/>
                <w:color w:val="212121"/>
                <w:sz w:val="16"/>
              </w:rPr>
              <w:t>Elderly, frail, CKD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Monitoring/management</w:t>
            </w:r>
          </w:p>
        </w:tc>
        <w:tc>
          <w:tcPr>
            <w:tcW w:type="dxa" w:w="720"/>
            <w:vAlign w:val="top"/>
          </w:tcPr>
          <w:p>
            <w:pPr>
              <w:spacing w:after="40" w:before="0" w:line="259" w:lineRule="auto"/>
            </w:pPr>
            <w:r>
              <w:rPr>
                <w:rFonts w:ascii="Calibri" w:hAnsi="Calibri"/>
                <w:b w:val="0"/>
                <w:i w:val="0"/>
                <w:color w:val="212121"/>
                <w:sz w:val="16"/>
              </w:rPr>
              <w:t>Prompts de-escalation of glucose-lowering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Insulin, C-peptide &amp; proinsulin (drawn during a low)</w:t>
            </w:r>
          </w:p>
        </w:tc>
        <w:tc>
          <w:tcPr>
            <w:tcW w:type="dxa" w:w="892"/>
            <w:vAlign w:val="top"/>
          </w:tcPr>
          <w:p>
            <w:pPr>
              <w:spacing w:after="40" w:before="0" w:line="259" w:lineRule="auto"/>
            </w:pPr>
            <w:r>
              <w:rPr>
                <w:rFonts w:ascii="Calibri" w:hAnsi="Calibri"/>
                <w:b w:val="0"/>
                <w:i w:val="0"/>
                <w:color w:val="212121"/>
                <w:sz w:val="16"/>
              </w:rPr>
              <w:t>Hyperinsulinism panel</w:t>
            </w:r>
          </w:p>
        </w:tc>
        <w:tc>
          <w:tcPr>
            <w:tcW w:type="dxa" w:w="950"/>
            <w:vAlign w:val="top"/>
          </w:tcPr>
          <w:p>
            <w:pPr>
              <w:spacing w:after="40" w:before="0" w:line="259" w:lineRule="auto"/>
            </w:pPr>
            <w:r>
              <w:rPr>
                <w:rFonts w:ascii="Calibri" w:hAnsi="Calibri"/>
                <w:b w:val="0"/>
                <w:i w:val="0"/>
                <w:color w:val="212121"/>
                <w:sz w:val="16"/>
              </w:rPr>
              <w:t>Appropriately suppressed when glucose is low</w:t>
            </w:r>
          </w:p>
        </w:tc>
        <w:tc>
          <w:tcPr>
            <w:tcW w:type="dxa" w:w="950"/>
            <w:vAlign w:val="top"/>
          </w:tcPr>
          <w:p>
            <w:pPr>
              <w:spacing w:after="40" w:before="0" w:line="259" w:lineRule="auto"/>
            </w:pPr>
            <w:r>
              <w:rPr>
                <w:rFonts w:ascii="Calibri" w:hAnsi="Calibri"/>
                <w:b w:val="0"/>
                <w:i w:val="0"/>
                <w:color w:val="212121"/>
                <w:sz w:val="16"/>
              </w:rPr>
              <w:t>Inappropriately high insulin; C-peptide high (endogenous/secretagogue) or low (exogenous insulin)</w:t>
            </w:r>
          </w:p>
        </w:tc>
        <w:tc>
          <w:tcPr>
            <w:tcW w:type="dxa" w:w="1036"/>
            <w:vAlign w:val="top"/>
          </w:tcPr>
          <w:p>
            <w:pPr>
              <w:spacing w:after="40" w:before="0" w:line="259" w:lineRule="auto"/>
            </w:pPr>
            <w:r>
              <w:rPr>
                <w:rFonts w:ascii="Calibri" w:hAnsi="Calibri"/>
                <w:b w:val="0"/>
                <w:i w:val="0"/>
                <w:color w:val="212121"/>
                <w:sz w:val="16"/>
              </w:rPr>
              <w:t>Separates exogenous insulin, sulfonylurea effect and insulinoma</w:t>
            </w:r>
          </w:p>
        </w:tc>
        <w:tc>
          <w:tcPr>
            <w:tcW w:type="dxa" w:w="1036"/>
            <w:vAlign w:val="top"/>
          </w:tcPr>
          <w:p>
            <w:pPr>
              <w:spacing w:after="40" w:before="0" w:line="259" w:lineRule="auto"/>
            </w:pPr>
            <w:r>
              <w:rPr>
                <w:rFonts w:ascii="Calibri" w:hAnsi="Calibri"/>
                <w:b w:val="0"/>
                <w:i w:val="0"/>
                <w:color w:val="212121"/>
                <w:sz w:val="16"/>
              </w:rPr>
              <w:t>Non-diabetic or unexplained hypoglycemia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(cause)</w:t>
            </w:r>
          </w:p>
        </w:tc>
        <w:tc>
          <w:tcPr>
            <w:tcW w:type="dxa" w:w="720"/>
            <w:vAlign w:val="top"/>
          </w:tcPr>
          <w:p>
            <w:pPr>
              <w:spacing w:after="40" w:before="0" w:line="259" w:lineRule="auto"/>
            </w:pPr>
            <w:r>
              <w:rPr>
                <w:rFonts w:ascii="Calibri" w:hAnsi="Calibri"/>
                <w:b w:val="0"/>
                <w:i w:val="0"/>
                <w:color w:val="212121"/>
                <w:sz w:val="16"/>
              </w:rPr>
              <w:t>Draw during a spontaneous or 72-hour-fast-provoked episode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Biochemical/Toxicology</w:t>
            </w:r>
          </w:p>
        </w:tc>
        <w:tc>
          <w:tcPr>
            <w:tcW w:type="dxa" w:w="1036"/>
            <w:vAlign w:val="top"/>
          </w:tcPr>
          <w:p>
            <w:pPr>
              <w:spacing w:after="40" w:before="0" w:line="259" w:lineRule="auto"/>
            </w:pPr>
            <w:r>
              <w:rPr>
                <w:rFonts w:ascii="Calibri" w:hAnsi="Calibri"/>
                <w:b w:val="0"/>
                <w:i w:val="0"/>
                <w:color w:val="212121"/>
                <w:sz w:val="16"/>
              </w:rPr>
              <w:t>Sulfonylurea/meglitinide screen (plasma/urine)</w:t>
            </w:r>
          </w:p>
        </w:tc>
        <w:tc>
          <w:tcPr>
            <w:tcW w:type="dxa" w:w="892"/>
            <w:vAlign w:val="top"/>
          </w:tcPr>
          <w:p>
            <w:pPr>
              <w:spacing w:after="40" w:before="0" w:line="259" w:lineRule="auto"/>
            </w:pPr>
            <w:r>
              <w:rPr>
                <w:rFonts w:ascii="Calibri" w:hAnsi="Calibri"/>
                <w:b w:val="0"/>
                <w:i w:val="0"/>
                <w:color w:val="212121"/>
                <w:sz w:val="16"/>
              </w:rPr>
              <w:t>Secretagogue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Confirms secretagogue-induced or surreptitious/factitious hypoglycemia</w:t>
            </w:r>
          </w:p>
        </w:tc>
        <w:tc>
          <w:tcPr>
            <w:tcW w:type="dxa" w:w="1036"/>
            <w:vAlign w:val="top"/>
          </w:tcPr>
          <w:p>
            <w:pPr>
              <w:spacing w:after="40" w:before="0" w:line="259" w:lineRule="auto"/>
            </w:pPr>
            <w:r>
              <w:rPr>
                <w:rFonts w:ascii="Calibri" w:hAnsi="Calibri"/>
                <w:b w:val="0"/>
                <w:i w:val="0"/>
                <w:color w:val="212121"/>
                <w:sz w:val="16"/>
              </w:rPr>
              <w:t>Unexplained hyperinsulinaemic hypoglycemia, suspected factitious use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Factitious hypoglycemia accounted for ~16% of evaluation admissions in one series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Beta-hydroxybutyrate (ketones)</w:t>
            </w:r>
          </w:p>
        </w:tc>
        <w:tc>
          <w:tcPr>
            <w:tcW w:type="dxa" w:w="892"/>
            <w:vAlign w:val="top"/>
          </w:tcPr>
          <w:p>
            <w:pPr>
              <w:spacing w:after="40" w:before="0" w:line="259" w:lineRule="auto"/>
            </w:pPr>
            <w:r>
              <w:rPr>
                <w:rFonts w:ascii="Calibri" w:hAnsi="Calibri"/>
                <w:b w:val="0"/>
                <w:i w:val="0"/>
                <w:color w:val="212121"/>
                <w:sz w:val="16"/>
              </w:rPr>
              <w:t>Ketone assay</w:t>
            </w:r>
          </w:p>
        </w:tc>
        <w:tc>
          <w:tcPr>
            <w:tcW w:type="dxa" w:w="950"/>
            <w:vAlign w:val="top"/>
          </w:tcPr>
          <w:p>
            <w:pPr>
              <w:spacing w:after="40" w:before="0" w:line="259" w:lineRule="auto"/>
            </w:pPr>
            <w:r>
              <w:rPr>
                <w:rFonts w:ascii="Calibri" w:hAnsi="Calibri"/>
                <w:b w:val="0"/>
                <w:i w:val="0"/>
                <w:color w:val="212121"/>
                <w:sz w:val="16"/>
              </w:rPr>
              <w:t>Detectable in a true fast</w:t>
            </w:r>
          </w:p>
        </w:tc>
        <w:tc>
          <w:tcPr>
            <w:tcW w:type="dxa" w:w="950"/>
            <w:vAlign w:val="top"/>
          </w:tcPr>
          <w:p>
            <w:pPr>
              <w:spacing w:after="40" w:before="0" w:line="259" w:lineRule="auto"/>
            </w:pPr>
            <w:r>
              <w:rPr>
                <w:rFonts w:ascii="Calibri" w:hAnsi="Calibri"/>
                <w:b w:val="0"/>
                <w:i w:val="0"/>
                <w:color w:val="212121"/>
                <w:sz w:val="16"/>
              </w:rPr>
              <w:t>Low/absent in hyperinsulinaemic hypoglycemia</w:t>
            </w:r>
          </w:p>
        </w:tc>
        <w:tc>
          <w:tcPr>
            <w:tcW w:type="dxa" w:w="1036"/>
            <w:vAlign w:val="top"/>
          </w:tcPr>
          <w:p>
            <w:pPr>
              <w:spacing w:after="40" w:before="0" w:line="259" w:lineRule="auto"/>
            </w:pPr>
            <w:r>
              <w:rPr>
                <w:rFonts w:ascii="Calibri" w:hAnsi="Calibri"/>
                <w:b w:val="0"/>
                <w:i w:val="0"/>
                <w:color w:val="212121"/>
                <w:sz w:val="16"/>
              </w:rPr>
              <w:t>Low ketones support insulin excess (endogenous or exogenous) as the mechanism</w:t>
            </w:r>
          </w:p>
        </w:tc>
        <w:tc>
          <w:tcPr>
            <w:tcW w:type="dxa" w:w="1036"/>
            <w:vAlign w:val="top"/>
          </w:tcPr>
          <w:p>
            <w:pPr>
              <w:spacing w:after="40" w:before="0" w:line="259" w:lineRule="auto"/>
            </w:pPr>
            <w:r>
              <w:rPr>
                <w:rFonts w:ascii="Calibri" w:hAnsi="Calibri"/>
                <w:b w:val="0"/>
                <w:i w:val="0"/>
                <w:color w:val="212121"/>
                <w:sz w:val="16"/>
              </w:rPr>
              <w:t>Fasting hypoglycemia work-up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adjunct</w:t>
            </w:r>
          </w:p>
        </w:tc>
        <w:tc>
          <w:tcPr>
            <w:tcW w:type="dxa" w:w="720"/>
            <w:vAlign w:val="top"/>
          </w:tcPr>
          <w:p>
            <w:pPr>
              <w:spacing w:after="40" w:before="0" w:line="259" w:lineRule="auto"/>
            </w:pPr>
            <w:r>
              <w:rPr>
                <w:rFonts w:ascii="Calibri" w:hAnsi="Calibri"/>
                <w:b w:val="0"/>
                <w:i w:val="0"/>
                <w:color w:val="212121"/>
                <w:sz w:val="16"/>
              </w:rPr>
              <w:t>Interpreted with paired insulin, C-peptide and glucose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&amp; liver function (creatinine/eGFR, LFTs)</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eGFR ≥ 60; normal transaminases</w:t>
            </w:r>
          </w:p>
        </w:tc>
        <w:tc>
          <w:tcPr>
            <w:tcW w:type="dxa" w:w="950"/>
            <w:vAlign w:val="top"/>
          </w:tcPr>
          <w:p>
            <w:pPr>
              <w:spacing w:after="40" w:before="0" w:line="259" w:lineRule="auto"/>
            </w:pPr>
            <w:r>
              <w:rPr>
                <w:rFonts w:ascii="Calibri" w:hAnsi="Calibri"/>
                <w:b w:val="0"/>
                <w:i w:val="0"/>
                <w:color w:val="212121"/>
                <w:sz w:val="16"/>
              </w:rPr>
              <w:t>eGFR &lt; 30–45; hepatic dysfunction</w:t>
            </w:r>
          </w:p>
        </w:tc>
        <w:tc>
          <w:tcPr>
            <w:tcW w:type="dxa" w:w="1036"/>
            <w:vAlign w:val="top"/>
          </w:tcPr>
          <w:p>
            <w:pPr>
              <w:spacing w:after="40" w:before="0" w:line="259" w:lineRule="auto"/>
            </w:pPr>
            <w:r>
              <w:rPr>
                <w:rFonts w:ascii="Calibri" w:hAnsi="Calibri"/>
                <w:b w:val="0"/>
                <w:i w:val="0"/>
                <w:color w:val="212121"/>
                <w:sz w:val="16"/>
              </w:rPr>
              <w:t>Identifies impaired drug clearance and impaired gluconeogenesis</w:t>
            </w:r>
          </w:p>
        </w:tc>
        <w:tc>
          <w:tcPr>
            <w:tcW w:type="dxa" w:w="1036"/>
            <w:vAlign w:val="top"/>
          </w:tcPr>
          <w:p>
            <w:pPr>
              <w:spacing w:after="40" w:before="0" w:line="259" w:lineRule="auto"/>
            </w:pPr>
            <w:r>
              <w:rPr>
                <w:rFonts w:ascii="Calibri" w:hAnsi="Calibri"/>
                <w:b w:val="0"/>
                <w:i w:val="0"/>
                <w:color w:val="212121"/>
                <w:sz w:val="16"/>
              </w:rPr>
              <w:t>CKD, cirrhosis,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Prognostic/management</w:t>
            </w:r>
          </w:p>
        </w:tc>
        <w:tc>
          <w:tcPr>
            <w:tcW w:type="dxa" w:w="720"/>
            <w:vAlign w:val="top"/>
          </w:tcPr>
          <w:p>
            <w:pPr>
              <w:spacing w:after="40" w:before="0" w:line="259" w:lineRule="auto"/>
            </w:pPr>
            <w:r>
              <w:rPr>
                <w:rFonts w:ascii="Calibri" w:hAnsi="Calibri"/>
                <w:b w:val="0"/>
                <w:i w:val="0"/>
                <w:color w:val="212121"/>
                <w:sz w:val="16"/>
              </w:rPr>
              <w:t>Guides dose reduction or avoidance of renally-cleared agents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Biochemical/Endocrine</w:t>
            </w:r>
          </w:p>
        </w:tc>
        <w:tc>
          <w:tcPr>
            <w:tcW w:type="dxa" w:w="1036"/>
            <w:vAlign w:val="top"/>
          </w:tcPr>
          <w:p>
            <w:pPr>
              <w:spacing w:after="40" w:before="0" w:line="259" w:lineRule="auto"/>
            </w:pPr>
            <w:r>
              <w:rPr>
                <w:rFonts w:ascii="Calibri" w:hAnsi="Calibri"/>
                <w:b w:val="0"/>
                <w:i w:val="0"/>
                <w:color w:val="212121"/>
                <w:sz w:val="16"/>
              </w:rPr>
              <w:t>8 a.m. cortisol / short Synacthen; TSH</w:t>
            </w:r>
          </w:p>
        </w:tc>
        <w:tc>
          <w:tcPr>
            <w:tcW w:type="dxa" w:w="892"/>
            <w:vAlign w:val="top"/>
          </w:tcPr>
          <w:p>
            <w:pPr>
              <w:spacing w:after="40" w:before="0" w:line="259" w:lineRule="auto"/>
            </w:pPr>
            <w:r>
              <w:rPr>
                <w:rFonts w:ascii="Calibri" w:hAnsi="Calibri"/>
                <w:b w:val="0"/>
                <w:i w:val="0"/>
                <w:color w:val="212121"/>
                <w:sz w:val="16"/>
              </w:rPr>
              <w:t>Counter-regulatory hormone work-up</w:t>
            </w:r>
          </w:p>
        </w:tc>
        <w:tc>
          <w:tcPr>
            <w:tcW w:type="dxa" w:w="950"/>
            <w:vAlign w:val="top"/>
          </w:tcPr>
          <w:p>
            <w:pPr>
              <w:spacing w:after="40" w:before="0" w:line="259" w:lineRule="auto"/>
            </w:pPr>
            <w:r>
              <w:rPr>
                <w:rFonts w:ascii="Calibri" w:hAnsi="Calibri"/>
                <w:b w:val="0"/>
                <w:i w:val="0"/>
                <w:color w:val="212121"/>
                <w:sz w:val="16"/>
              </w:rPr>
              <w:t>Adequate cortisol response</w:t>
            </w:r>
          </w:p>
        </w:tc>
        <w:tc>
          <w:tcPr>
            <w:tcW w:type="dxa" w:w="950"/>
            <w:vAlign w:val="top"/>
          </w:tcPr>
          <w:p>
            <w:pPr>
              <w:spacing w:after="40" w:before="0" w:line="259" w:lineRule="auto"/>
            </w:pPr>
            <w:r>
              <w:rPr>
                <w:rFonts w:ascii="Calibri" w:hAnsi="Calibri"/>
                <w:b w:val="0"/>
                <w:i w:val="0"/>
                <w:color w:val="212121"/>
                <w:sz w:val="16"/>
              </w:rPr>
              <w:t>Low cortisol → adrenal insufficiency</w:t>
            </w:r>
          </w:p>
        </w:tc>
        <w:tc>
          <w:tcPr>
            <w:tcW w:type="dxa" w:w="1036"/>
            <w:vAlign w:val="top"/>
          </w:tcPr>
          <w:p>
            <w:pPr>
              <w:spacing w:after="40" w:before="0" w:line="259" w:lineRule="auto"/>
            </w:pPr>
            <w:r>
              <w:rPr>
                <w:rFonts w:ascii="Calibri" w:hAnsi="Calibri"/>
                <w:b w:val="0"/>
                <w:i w:val="0"/>
                <w:color w:val="212121"/>
                <w:sz w:val="16"/>
              </w:rPr>
              <w:t>Detects hormone-deficiency causes in recurrent, non-drug hypoglycemia</w:t>
            </w:r>
          </w:p>
        </w:tc>
        <w:tc>
          <w:tcPr>
            <w:tcW w:type="dxa" w:w="1036"/>
            <w:vAlign w:val="top"/>
          </w:tcPr>
          <w:p>
            <w:pPr>
              <w:spacing w:after="40" w:before="0" w:line="259" w:lineRule="auto"/>
            </w:pPr>
            <w:r>
              <w:rPr>
                <w:rFonts w:ascii="Calibri" w:hAnsi="Calibri"/>
                <w:b w:val="0"/>
                <w:i w:val="0"/>
                <w:color w:val="212121"/>
                <w:sz w:val="16"/>
              </w:rPr>
              <w:t>Recurrent fasting hypoglycemia, non-diabetic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(cause)</w:t>
            </w:r>
          </w:p>
        </w:tc>
        <w:tc>
          <w:tcPr>
            <w:tcW w:type="dxa" w:w="720"/>
            <w:vAlign w:val="top"/>
          </w:tcPr>
          <w:p>
            <w:pPr>
              <w:spacing w:after="40" w:before="0" w:line="259" w:lineRule="auto"/>
            </w:pPr>
            <w:r>
              <w:rPr>
                <w:rFonts w:ascii="Calibri" w:hAnsi="Calibri"/>
                <w:b w:val="0"/>
                <w:i w:val="0"/>
                <w:color w:val="212121"/>
                <w:sz w:val="16"/>
              </w:rPr>
              <w:t>Consider when insulin/C-peptide are appropriately suppressed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Whipple’s triad documentation</w:t>
            </w:r>
          </w:p>
        </w:tc>
        <w:tc>
          <w:tcPr>
            <w:tcW w:type="dxa" w:w="979"/>
            <w:vAlign w:val="top"/>
          </w:tcPr>
          <w:p>
            <w:pPr>
              <w:spacing w:after="40" w:before="0" w:line="259" w:lineRule="auto"/>
            </w:pPr>
            <w:r>
              <w:rPr>
                <w:rFonts w:ascii="Calibri" w:hAnsi="Calibri"/>
                <w:b w:val="0"/>
                <w:i w:val="0"/>
                <w:color w:val="212121"/>
                <w:sz w:val="16"/>
              </w:rPr>
              <w:t>Symptoms + concurrent low glucose + relief with glucose</w:t>
            </w:r>
          </w:p>
        </w:tc>
        <w:tc>
          <w:tcPr>
            <w:tcW w:type="dxa" w:w="950"/>
            <w:vAlign w:val="top"/>
          </w:tcPr>
          <w:p>
            <w:pPr>
              <w:spacing w:after="40" w:before="0" w:line="259" w:lineRule="auto"/>
            </w:pPr>
            <w:r>
              <w:rPr>
                <w:rFonts w:ascii="Calibri" w:hAnsi="Calibri"/>
                <w:b w:val="0"/>
                <w:i w:val="0"/>
                <w:color w:val="212121"/>
                <w:sz w:val="16"/>
              </w:rPr>
              <w:t>Triad not fulfilled</w:t>
            </w:r>
          </w:p>
        </w:tc>
        <w:tc>
          <w:tcPr>
            <w:tcW w:type="dxa" w:w="950"/>
            <w:vAlign w:val="top"/>
          </w:tcPr>
          <w:p>
            <w:pPr>
              <w:spacing w:after="40" w:before="0" w:line="259" w:lineRule="auto"/>
            </w:pPr>
            <w:r>
              <w:rPr>
                <w:rFonts w:ascii="Calibri" w:hAnsi="Calibri"/>
                <w:b w:val="0"/>
                <w:i w:val="0"/>
                <w:color w:val="212121"/>
                <w:sz w:val="16"/>
              </w:rPr>
              <w:t>All three components present</w:t>
            </w:r>
          </w:p>
        </w:tc>
        <w:tc>
          <w:tcPr>
            <w:tcW w:type="dxa" w:w="1036"/>
            <w:vAlign w:val="top"/>
          </w:tcPr>
          <w:p>
            <w:pPr>
              <w:spacing w:after="40" w:before="0" w:line="259" w:lineRule="auto"/>
            </w:pPr>
            <w:r>
              <w:rPr>
                <w:rFonts w:ascii="Calibri" w:hAnsi="Calibri"/>
                <w:b w:val="0"/>
                <w:i w:val="0"/>
                <w:color w:val="212121"/>
                <w:sz w:val="16"/>
              </w:rPr>
              <w:t>Establishes that a symptom episode was truly hypoglycaemic</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(essential)</w:t>
            </w:r>
          </w:p>
        </w:tc>
        <w:tc>
          <w:tcPr>
            <w:tcW w:type="dxa" w:w="720"/>
            <w:vAlign w:val="top"/>
          </w:tcPr>
          <w:p>
            <w:pPr>
              <w:spacing w:after="40" w:before="0" w:line="259" w:lineRule="auto"/>
            </w:pPr>
            <w:r>
              <w:rPr>
                <w:rFonts w:ascii="Calibri" w:hAnsi="Calibri"/>
                <w:b w:val="0"/>
                <w:i w:val="0"/>
                <w:color w:val="212121"/>
                <w:sz w:val="16"/>
              </w:rPr>
              <w:t>Prevents over-diagnosis from isolated low glucometer readings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review</w:t>
            </w:r>
          </w:p>
        </w:tc>
        <w:tc>
          <w:tcPr>
            <w:tcW w:type="dxa" w:w="979"/>
            <w:vAlign w:val="top"/>
          </w:tcPr>
          <w:p>
            <w:pPr>
              <w:spacing w:after="40" w:before="0" w:line="259" w:lineRule="auto"/>
            </w:pPr>
            <w:r>
              <w:rPr>
                <w:rFonts w:ascii="Calibri" w:hAnsi="Calibri"/>
                <w:b w:val="0"/>
                <w:i w:val="0"/>
                <w:color w:val="212121"/>
                <w:sz w:val="16"/>
              </w:rPr>
              <w:t>Insulin &amp; secretagogue type, dose, timing, recent changes, renal dosing</w:t>
            </w:r>
          </w:p>
        </w:tc>
        <w:tc>
          <w:tcPr>
            <w:tcW w:type="dxa" w:w="950"/>
            <w:vAlign w:val="top"/>
          </w:tcPr>
          <w:p>
            <w:pPr>
              <w:spacing w:after="40" w:before="0" w:line="259" w:lineRule="auto"/>
            </w:pPr>
            <w:r>
              <w:rPr>
                <w:rFonts w:ascii="Calibri" w:hAnsi="Calibri"/>
                <w:b w:val="0"/>
                <w:i w:val="0"/>
                <w:color w:val="212121"/>
                <w:sz w:val="16"/>
              </w:rPr>
              <w:t>Regimen appropriate for renal function and intake</w:t>
            </w:r>
          </w:p>
        </w:tc>
        <w:tc>
          <w:tcPr>
            <w:tcW w:type="dxa" w:w="950"/>
            <w:vAlign w:val="top"/>
          </w:tcPr>
          <w:p>
            <w:pPr>
              <w:spacing w:after="40" w:before="0" w:line="259" w:lineRule="auto"/>
            </w:pPr>
            <w:r>
              <w:rPr>
                <w:rFonts w:ascii="Calibri" w:hAnsi="Calibri"/>
                <w:b w:val="0"/>
                <w:i w:val="0"/>
                <w:color w:val="212121"/>
                <w:sz w:val="16"/>
              </w:rPr>
              <w:t>Excess/mistimed dose; long-acting sulfonylurea in elderly/CKD</w:t>
            </w:r>
          </w:p>
        </w:tc>
        <w:tc>
          <w:tcPr>
            <w:tcW w:type="dxa" w:w="1036"/>
            <w:vAlign w:val="top"/>
          </w:tcPr>
          <w:p>
            <w:pPr>
              <w:spacing w:after="40" w:before="0" w:line="259" w:lineRule="auto"/>
            </w:pPr>
            <w:r>
              <w:rPr>
                <w:rFonts w:ascii="Calibri" w:hAnsi="Calibri"/>
                <w:b w:val="0"/>
                <w:i w:val="0"/>
                <w:color w:val="212121"/>
                <w:sz w:val="16"/>
              </w:rPr>
              <w:t>Identifies the commonest (drug) cause of hypoglycemia</w:t>
            </w:r>
          </w:p>
        </w:tc>
        <w:tc>
          <w:tcPr>
            <w:tcW w:type="dxa" w:w="1036"/>
            <w:vAlign w:val="top"/>
          </w:tcPr>
          <w:p>
            <w:pPr>
              <w:spacing w:after="40" w:before="0" w:line="259" w:lineRule="auto"/>
            </w:pPr>
            <w:r>
              <w:rPr>
                <w:rFonts w:ascii="Calibri" w:hAnsi="Calibri"/>
                <w:b w:val="0"/>
                <w:i w:val="0"/>
                <w:color w:val="212121"/>
                <w:sz w:val="16"/>
              </w:rPr>
              <w:t>Insulin/sulfonylurea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(highest-yield step)</w:t>
            </w:r>
          </w:p>
        </w:tc>
        <w:tc>
          <w:tcPr>
            <w:tcW w:type="dxa" w:w="720"/>
            <w:vAlign w:val="top"/>
          </w:tcPr>
          <w:p>
            <w:pPr>
              <w:spacing w:after="40" w:before="0" w:line="259" w:lineRule="auto"/>
            </w:pPr>
            <w:r>
              <w:rPr>
                <w:rFonts w:ascii="Calibri" w:hAnsi="Calibri"/>
                <w:b w:val="0"/>
                <w:i w:val="0"/>
                <w:color w:val="212121"/>
                <w:sz w:val="16"/>
              </w:rPr>
              <w:t>Drugs are the most common cause — always reconcile the medication list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fasting &amp; alcohol history</w:t>
            </w:r>
          </w:p>
        </w:tc>
        <w:tc>
          <w:tcPr>
            <w:tcW w:type="dxa" w:w="979"/>
            <w:vAlign w:val="top"/>
          </w:tcPr>
          <w:p>
            <w:pPr>
              <w:spacing w:after="40" w:before="0" w:line="259" w:lineRule="auto"/>
            </w:pPr>
            <w:r>
              <w:rPr>
                <w:rFonts w:ascii="Calibri" w:hAnsi="Calibri"/>
                <w:b w:val="0"/>
                <w:i w:val="0"/>
                <w:color w:val="212121"/>
                <w:sz w:val="16"/>
              </w:rPr>
              <w:t>Missed/delayed meals, carbohydrate intake, religious fasting, alcohol</w:t>
            </w:r>
          </w:p>
        </w:tc>
        <w:tc>
          <w:tcPr>
            <w:tcW w:type="dxa" w:w="950"/>
            <w:vAlign w:val="top"/>
          </w:tcPr>
          <w:p>
            <w:pPr>
              <w:spacing w:after="40" w:before="0" w:line="259" w:lineRule="auto"/>
            </w:pPr>
            <w:r>
              <w:rPr>
                <w:rFonts w:ascii="Calibri" w:hAnsi="Calibri"/>
                <w:b w:val="0"/>
                <w:i w:val="0"/>
                <w:color w:val="212121"/>
                <w:sz w:val="16"/>
              </w:rPr>
              <w:t>Regular meals; alcohol with food</w:t>
            </w:r>
          </w:p>
        </w:tc>
        <w:tc>
          <w:tcPr>
            <w:tcW w:type="dxa" w:w="950"/>
            <w:vAlign w:val="top"/>
          </w:tcPr>
          <w:p>
            <w:pPr>
              <w:spacing w:after="40" w:before="0" w:line="259" w:lineRule="auto"/>
            </w:pPr>
            <w:r>
              <w:rPr>
                <w:rFonts w:ascii="Calibri" w:hAnsi="Calibri"/>
                <w:b w:val="0"/>
                <w:i w:val="0"/>
                <w:color w:val="212121"/>
                <w:sz w:val="16"/>
              </w:rPr>
              <w:t>Skipped meals, prolonged fasting, binge/fasting alcohol</w:t>
            </w:r>
          </w:p>
        </w:tc>
        <w:tc>
          <w:tcPr>
            <w:tcW w:type="dxa" w:w="1036"/>
            <w:vAlign w:val="top"/>
          </w:tcPr>
          <w:p>
            <w:pPr>
              <w:spacing w:after="40" w:before="0" w:line="259" w:lineRule="auto"/>
            </w:pPr>
            <w:r>
              <w:rPr>
                <w:rFonts w:ascii="Calibri" w:hAnsi="Calibri"/>
                <w:b w:val="0"/>
                <w:i w:val="0"/>
                <w:color w:val="212121"/>
                <w:sz w:val="16"/>
              </w:rPr>
              <w:t>Reveals the precipitating behavioural trigger</w:t>
            </w:r>
          </w:p>
        </w:tc>
        <w:tc>
          <w:tcPr>
            <w:tcW w:type="dxa" w:w="1036"/>
            <w:vAlign w:val="top"/>
          </w:tcPr>
          <w:p>
            <w:pPr>
              <w:spacing w:after="40" w:before="0" w:line="259" w:lineRule="auto"/>
            </w:pPr>
            <w:r>
              <w:rPr>
                <w:rFonts w:ascii="Calibri" w:hAnsi="Calibri"/>
                <w:b w:val="0"/>
                <w:i w:val="0"/>
                <w:color w:val="212121"/>
                <w:sz w:val="16"/>
              </w:rPr>
              <w:t>Fasting individuals, labourers, Ramadan observers, drinkers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Directly guides preventable-cause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Hypoglycemia-awareness assessment (Gold/Clarke)</w:t>
            </w:r>
          </w:p>
        </w:tc>
        <w:tc>
          <w:tcPr>
            <w:tcW w:type="dxa" w:w="979"/>
            <w:vAlign w:val="top"/>
          </w:tcPr>
          <w:p>
            <w:pPr>
              <w:spacing w:after="40" w:before="0" w:line="259" w:lineRule="auto"/>
            </w:pPr>
            <w:r>
              <w:rPr>
                <w:rFonts w:ascii="Calibri" w:hAnsi="Calibri"/>
                <w:b w:val="0"/>
                <w:i w:val="0"/>
                <w:color w:val="212121"/>
                <w:sz w:val="16"/>
              </w:rPr>
              <w:t>Presence and intensity of warning symptoms</w:t>
            </w:r>
          </w:p>
        </w:tc>
        <w:tc>
          <w:tcPr>
            <w:tcW w:type="dxa" w:w="950"/>
            <w:vAlign w:val="top"/>
          </w:tcPr>
          <w:p>
            <w:pPr>
              <w:spacing w:after="40" w:before="0" w:line="259" w:lineRule="auto"/>
            </w:pPr>
            <w:r>
              <w:rPr>
                <w:rFonts w:ascii="Calibri" w:hAnsi="Calibri"/>
                <w:b w:val="0"/>
                <w:i w:val="0"/>
                <w:color w:val="212121"/>
                <w:sz w:val="16"/>
              </w:rPr>
              <w:t>Intact awareness</w:t>
            </w:r>
          </w:p>
        </w:tc>
        <w:tc>
          <w:tcPr>
            <w:tcW w:type="dxa" w:w="950"/>
            <w:vAlign w:val="top"/>
          </w:tcPr>
          <w:p>
            <w:pPr>
              <w:spacing w:after="40" w:before="0" w:line="259" w:lineRule="auto"/>
            </w:pPr>
            <w:r>
              <w:rPr>
                <w:rFonts w:ascii="Calibri" w:hAnsi="Calibri"/>
                <w:b w:val="0"/>
                <w:i w:val="0"/>
                <w:color w:val="212121"/>
                <w:sz w:val="16"/>
              </w:rPr>
              <w:t>Impaired awareness / no warning symptoms</w:t>
            </w:r>
          </w:p>
        </w:tc>
        <w:tc>
          <w:tcPr>
            <w:tcW w:type="dxa" w:w="1036"/>
            <w:vAlign w:val="top"/>
          </w:tcPr>
          <w:p>
            <w:pPr>
              <w:spacing w:after="40" w:before="0" w:line="259" w:lineRule="auto"/>
            </w:pPr>
            <w:r>
              <w:rPr>
                <w:rFonts w:ascii="Calibri" w:hAnsi="Calibri"/>
                <w:b w:val="0"/>
                <w:i w:val="0"/>
                <w:color w:val="212121"/>
                <w:sz w:val="16"/>
              </w:rPr>
              <w:t>Identifies HAAF and a high risk of severe (Level 3) events</w:t>
            </w:r>
          </w:p>
        </w:tc>
        <w:tc>
          <w:tcPr>
            <w:tcW w:type="dxa" w:w="1036"/>
            <w:vAlign w:val="top"/>
          </w:tcPr>
          <w:p>
            <w:pPr>
              <w:spacing w:after="40" w:before="0" w:line="259" w:lineRule="auto"/>
            </w:pPr>
            <w:r>
              <w:rPr>
                <w:rFonts w:ascii="Calibri" w:hAnsi="Calibri"/>
                <w:b w:val="0"/>
                <w:i w:val="0"/>
                <w:color w:val="212121"/>
                <w:sz w:val="16"/>
              </w:rPr>
              <w:t>Long-duration diabetes, recurrent lows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Impaired awareness develops after ~5–10 years of diabetes or frequent lows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Autonomic &amp; neuroglycopenic signs</w:t>
            </w:r>
          </w:p>
        </w:tc>
        <w:tc>
          <w:tcPr>
            <w:tcW w:type="dxa" w:w="979"/>
            <w:vAlign w:val="top"/>
          </w:tcPr>
          <w:p>
            <w:pPr>
              <w:spacing w:after="40" w:before="0" w:line="259" w:lineRule="auto"/>
            </w:pPr>
            <w:r>
              <w:rPr>
                <w:rFonts w:ascii="Calibri" w:hAnsi="Calibri"/>
                <w:b w:val="0"/>
                <w:i w:val="0"/>
                <w:color w:val="212121"/>
                <w:sz w:val="16"/>
              </w:rPr>
              <w:t>Tremor, sweating, tachycardia, pallor, confusion, focal deficit, GCS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during a documented low glucose</w:t>
            </w:r>
          </w:p>
        </w:tc>
        <w:tc>
          <w:tcPr>
            <w:tcW w:type="dxa" w:w="1036"/>
            <w:vAlign w:val="top"/>
          </w:tcPr>
          <w:p>
            <w:pPr>
              <w:spacing w:after="40" w:before="0" w:line="259" w:lineRule="auto"/>
            </w:pPr>
            <w:r>
              <w:rPr>
                <w:rFonts w:ascii="Calibri" w:hAnsi="Calibri"/>
                <w:b w:val="0"/>
                <w:i w:val="0"/>
                <w:color w:val="212121"/>
                <w:sz w:val="16"/>
              </w:rPr>
              <w:t>Grades clinical severity and confirms the symptomatic arm of the triad</w:t>
            </w:r>
          </w:p>
        </w:tc>
        <w:tc>
          <w:tcPr>
            <w:tcW w:type="dxa" w:w="1036"/>
            <w:vAlign w:val="top"/>
          </w:tcPr>
          <w:p>
            <w:pPr>
              <w:spacing w:after="40" w:before="0" w:line="259" w:lineRule="auto"/>
            </w:pPr>
            <w:r>
              <w:rPr>
                <w:rFonts w:ascii="Calibri" w:hAnsi="Calibri"/>
                <w:b w:val="0"/>
                <w:i w:val="0"/>
                <w:color w:val="212121"/>
                <w:sz w:val="16"/>
              </w:rPr>
              <w:t>Acute presentations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Diagnostic/severity</w:t>
            </w:r>
          </w:p>
        </w:tc>
        <w:tc>
          <w:tcPr>
            <w:tcW w:type="dxa" w:w="720"/>
            <w:vAlign w:val="top"/>
          </w:tcPr>
          <w:p>
            <w:pPr>
              <w:spacing w:after="40" w:before="0" w:line="259" w:lineRule="auto"/>
            </w:pPr>
            <w:r>
              <w:rPr>
                <w:rFonts w:ascii="Calibri" w:hAnsi="Calibri"/>
                <w:b w:val="0"/>
                <w:i w:val="0"/>
                <w:color w:val="212121"/>
                <w:sz w:val="16"/>
              </w:rPr>
              <w:t>Focal deficits can mimic stroke and reverse fully with glucose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organ-function screen</w:t>
            </w:r>
          </w:p>
        </w:tc>
        <w:tc>
          <w:tcPr>
            <w:tcW w:type="dxa" w:w="979"/>
            <w:vAlign w:val="top"/>
          </w:tcPr>
          <w:p>
            <w:pPr>
              <w:spacing w:after="40" w:before="0" w:line="259" w:lineRule="auto"/>
            </w:pPr>
            <w:r>
              <w:rPr>
                <w:rFonts w:ascii="Calibri" w:hAnsi="Calibri"/>
                <w:b w:val="0"/>
                <w:i w:val="0"/>
                <w:color w:val="212121"/>
                <w:sz w:val="16"/>
              </w:rPr>
              <w:t>CKD, liver disease, adrenal/pituitary disease, prior severe events</w:t>
            </w:r>
          </w:p>
        </w:tc>
        <w:tc>
          <w:tcPr>
            <w:tcW w:type="dxa" w:w="950"/>
            <w:vAlign w:val="top"/>
          </w:tcPr>
          <w:p>
            <w:pPr>
              <w:spacing w:after="40" w:before="0" w:line="259" w:lineRule="auto"/>
            </w:pPr>
            <w:r>
              <w:rPr>
                <w:rFonts w:ascii="Calibri" w:hAnsi="Calibri"/>
                <w:b w:val="0"/>
                <w:i w:val="0"/>
                <w:color w:val="212121"/>
                <w:sz w:val="16"/>
              </w:rPr>
              <w:t>None relevant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Risk-stratifies for deeper, prolonged or recurrent hypoglycemia</w:t>
            </w:r>
          </w:p>
        </w:tc>
        <w:tc>
          <w:tcPr>
            <w:tcW w:type="dxa" w:w="1036"/>
            <w:vAlign w:val="top"/>
          </w:tcPr>
          <w:p>
            <w:pPr>
              <w:spacing w:after="40" w:before="0" w:line="259" w:lineRule="auto"/>
            </w:pPr>
            <w:r>
              <w:rPr>
                <w:rFonts w:ascii="Calibri" w:hAnsi="Calibri"/>
                <w:b w:val="0"/>
                <w:i w:val="0"/>
                <w:color w:val="212121"/>
                <w:sz w:val="16"/>
              </w:rPr>
              <w:t>Elderly, CKD, cirrhosis, endocrine deficiency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Shapes drug choice, targets and monitoring intensity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Sweating / diaphoresis (cold, clammy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cholinergic (autonomic) response to a falling glucose; often the first warning sign.</w:t>
            </w:r>
          </w:p>
        </w:tc>
      </w:tr>
      <w:tr>
        <w:trPr>
          <w:cantSplit/>
        </w:trPr>
        <w:tc>
          <w:tcPr>
            <w:tcW w:type="dxa" w:w="2304"/>
            <w:vAlign w:val="top"/>
          </w:tcPr>
          <w:p>
            <w:pPr>
              <w:spacing w:after="40" w:before="0" w:line="259" w:lineRule="auto"/>
            </w:pPr>
            <w:r>
              <w:rPr>
                <w:rFonts w:ascii="Calibri" w:hAnsi="Calibri"/>
                <w:b/>
                <w:i w:val="0"/>
                <w:color w:val="212121"/>
                <w:sz w:val="19"/>
              </w:rPr>
              <w:t>Tremor / shakiness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response from the catecholamine surge as glucose drops.</w:t>
            </w:r>
          </w:p>
        </w:tc>
      </w:tr>
      <w:tr>
        <w:trPr>
          <w:cantSplit/>
        </w:trPr>
        <w:tc>
          <w:tcPr>
            <w:tcW w:type="dxa" w:w="2304"/>
            <w:vAlign w:val="top"/>
          </w:tcPr>
          <w:p>
            <w:pPr>
              <w:spacing w:after="40" w:before="0" w:line="259" w:lineRule="auto"/>
            </w:pPr>
            <w:r>
              <w:rPr>
                <w:rFonts w:ascii="Calibri" w:hAnsi="Calibri"/>
                <w:b/>
                <w:i w:val="0"/>
                <w:color w:val="212121"/>
                <w:sz w:val="19"/>
              </w:rPr>
              <w:t>Palpitations / fast heartbeat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activation; may be frightening and prompt over-treatment.</w:t>
            </w:r>
          </w:p>
        </w:tc>
      </w:tr>
      <w:tr>
        <w:trPr>
          <w:cantSplit/>
        </w:trPr>
        <w:tc>
          <w:tcPr>
            <w:tcW w:type="dxa" w:w="2304"/>
            <w:vAlign w:val="top"/>
          </w:tcPr>
          <w:p>
            <w:pPr>
              <w:spacing w:after="40" w:before="0" w:line="259" w:lineRule="auto"/>
            </w:pPr>
            <w:r>
              <w:rPr>
                <w:rFonts w:ascii="Calibri" w:hAnsi="Calibri"/>
                <w:b/>
                <w:i w:val="0"/>
                <w:color w:val="212121"/>
                <w:sz w:val="19"/>
              </w:rPr>
              <w:t>Intense hunger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Cholinergic symptom that drives compensatory (sometimes excessive) eating.</w:t>
            </w:r>
          </w:p>
        </w:tc>
      </w:tr>
      <w:tr>
        <w:trPr>
          <w:cantSplit/>
        </w:trPr>
        <w:tc>
          <w:tcPr>
            <w:tcW w:type="dxa" w:w="2304"/>
            <w:vAlign w:val="top"/>
          </w:tcPr>
          <w:p>
            <w:pPr>
              <w:spacing w:after="40" w:before="0" w:line="259" w:lineRule="auto"/>
            </w:pPr>
            <w:r>
              <w:rPr>
                <w:rFonts w:ascii="Calibri" w:hAnsi="Calibri"/>
                <w:b/>
                <w:i w:val="0"/>
                <w:color w:val="212121"/>
                <w:sz w:val="19"/>
              </w:rPr>
              <w:t>Anxiety, nervousness or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Combined adrenergic and early neuroglycopenic effect; behaviour change may be noticed by others first.</w:t>
            </w:r>
          </w:p>
        </w:tc>
      </w:tr>
      <w:tr>
        <w:trPr>
          <w:cantSplit/>
        </w:trPr>
        <w:tc>
          <w:tcPr>
            <w:tcW w:type="dxa" w:w="2304"/>
            <w:vAlign w:val="top"/>
          </w:tcPr>
          <w:p>
            <w:pPr>
              <w:spacing w:after="40" w:before="0" w:line="259" w:lineRule="auto"/>
            </w:pPr>
            <w:r>
              <w:rPr>
                <w:rFonts w:ascii="Calibri" w:hAnsi="Calibri"/>
                <w:b/>
                <w:i w:val="0"/>
                <w:color w:val="212121"/>
                <w:sz w:val="19"/>
              </w:rPr>
              <w:t>Tingling / paraesthesia of lips or fingers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Cholinergic (neurogenic) symptom accompanying autonomic activation.</w:t>
            </w:r>
          </w:p>
        </w:tc>
      </w:tr>
      <w:tr>
        <w:trPr>
          <w:cantSplit/>
        </w:trPr>
        <w:tc>
          <w:tcPr>
            <w:tcW w:type="dxa" w:w="2304"/>
            <w:vAlign w:val="top"/>
          </w:tcPr>
          <w:p>
            <w:pPr>
              <w:spacing w:after="40" w:before="0" w:line="259" w:lineRule="auto"/>
            </w:pPr>
            <w:r>
              <w:rPr>
                <w:rFonts w:ascii="Calibri" w:hAnsi="Calibri"/>
                <w:b/>
                <w:i w:val="0"/>
                <w:color w:val="212121"/>
                <w:sz w:val="19"/>
              </w:rPr>
              <w:t>Difficulty concentrating / confusion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Neuroglycopenic — the brain is deprived of its main fuel; impairs self-rescue.</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Neuroglycopenic; contributes to falls, especially in the elderly.</w:t>
            </w:r>
          </w:p>
        </w:tc>
      </w:tr>
      <w:tr>
        <w:trPr>
          <w:cantSplit/>
        </w:trPr>
        <w:tc>
          <w:tcPr>
            <w:tcW w:type="dxa" w:w="2304"/>
            <w:vAlign w:val="top"/>
          </w:tcPr>
          <w:p>
            <w:pPr>
              <w:spacing w:after="40" w:before="0" w:line="259" w:lineRule="auto"/>
            </w:pPr>
            <w:r>
              <w:rPr>
                <w:rFonts w:ascii="Calibri" w:hAnsi="Calibri"/>
                <w:b/>
                <w:i w:val="0"/>
                <w:color w:val="212121"/>
                <w:sz w:val="19"/>
              </w:rPr>
              <w:t>Blurred or double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Neuroglycopenic disturbance of visual processing; reverses with glucose.</w:t>
            </w:r>
          </w:p>
        </w:tc>
      </w:tr>
      <w:tr>
        <w:trPr>
          <w:cantSplit/>
        </w:trPr>
        <w:tc>
          <w:tcPr>
            <w:tcW w:type="dxa" w:w="2304"/>
            <w:vAlign w:val="top"/>
          </w:tcPr>
          <w:p>
            <w:pPr>
              <w:spacing w:after="40" w:before="0" w:line="259" w:lineRule="auto"/>
            </w:pPr>
            <w:r>
              <w:rPr>
                <w:rFonts w:ascii="Calibri" w:hAnsi="Calibri"/>
                <w:b/>
                <w:i w:val="0"/>
                <w:color w:val="212121"/>
                <w:sz w:val="19"/>
              </w:rPr>
              <w:t>Slurred speech / difficulty speaking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Neuroglycopenic; can be mistaken for stroke or intoxication.</w:t>
            </w:r>
          </w:p>
        </w:tc>
      </w:tr>
      <w:tr>
        <w:trPr>
          <w:cantSplit/>
        </w:trPr>
        <w:tc>
          <w:tcPr>
            <w:tcW w:type="dxa" w:w="2304"/>
            <w:vAlign w:val="top"/>
          </w:tcPr>
          <w:p>
            <w:pPr>
              <w:spacing w:after="40" w:before="0" w:line="259" w:lineRule="auto"/>
            </w:pPr>
            <w:r>
              <w:rPr>
                <w:rFonts w:ascii="Calibri" w:hAnsi="Calibri"/>
                <w:b/>
                <w:i w:val="0"/>
                <w:color w:val="212121"/>
                <w:sz w:val="19"/>
              </w:rPr>
              <w:t>Weakness, fatigue or unsteady gait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Neuroglycopenic reduction in cerebral and neuromuscular function.</w:t>
            </w:r>
          </w:p>
        </w:tc>
      </w:tr>
      <w:tr>
        <w:trPr>
          <w:cantSplit/>
        </w:trPr>
        <w:tc>
          <w:tcPr>
            <w:tcW w:type="dxa" w:w="2304"/>
            <w:vAlign w:val="top"/>
          </w:tcPr>
          <w:p>
            <w:pPr>
              <w:spacing w:after="40" w:before="0" w:line="259" w:lineRule="auto"/>
            </w:pPr>
            <w:r>
              <w:rPr>
                <w:rFonts w:ascii="Calibri" w:hAnsi="Calibri"/>
                <w:b/>
                <w:i w:val="0"/>
                <w:color w:val="212121"/>
                <w:sz w:val="19"/>
              </w:rPr>
              <w:t>Nocturnal symptoms (night sweats, nightmares, morning 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Markers of unrecognised nocturnal hypoglycemia occurring during sleep.</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(Level 3) neuroglycopenia; a medical emergency.</w:t>
            </w:r>
          </w:p>
        </w:tc>
      </w:tr>
      <w:tr>
        <w:trPr>
          <w:cantSplit/>
        </w:trPr>
        <w:tc>
          <w:tcPr>
            <w:tcW w:type="dxa" w:w="2304"/>
            <w:vAlign w:val="top"/>
          </w:tcPr>
          <w:p>
            <w:pPr>
              <w:spacing w:after="40" w:before="0" w:line="259" w:lineRule="auto"/>
            </w:pPr>
            <w:r>
              <w:rPr>
                <w:rFonts w:ascii="Calibri" w:hAnsi="Calibri"/>
                <w:b/>
                <w:i w:val="0"/>
                <w:color w:val="212121"/>
                <w:sz w:val="19"/>
              </w:rPr>
              <w:t>Loss of consciousness / coma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Profound neuroglycopenia; requires parenteral glucose or glucagon.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Documented low glucose (&lt; 70 mg/dL) on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biochemical sign and the objective arm of Whipple’s triad.</w:t>
            </w:r>
          </w:p>
        </w:tc>
      </w:tr>
      <w:tr>
        <w:trPr>
          <w:cantSplit/>
        </w:trPr>
        <w:tc>
          <w:tcPr>
            <w:tcW w:type="dxa" w:w="3456"/>
            <w:vAlign w:val="top"/>
          </w:tcPr>
          <w:p>
            <w:pPr>
              <w:spacing w:after="40" w:before="0" w:line="259" w:lineRule="auto"/>
            </w:pPr>
            <w:r>
              <w:rPr>
                <w:rFonts w:ascii="Calibri" w:hAnsi="Calibri"/>
                <w:b/>
                <w:i w:val="0"/>
                <w:color w:val="212121"/>
                <w:sz w:val="19"/>
              </w:rPr>
              <w:t>Diaphoresis with cool, clammy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autonomic (cholinergic) activation.</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Catecholamine-driven rise in heart rate.</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Peripheral vasoconstriction from the adrenergic surge.</w:t>
            </w:r>
          </w:p>
        </w:tc>
      </w:tr>
      <w:tr>
        <w:trPr>
          <w:cantSplit/>
        </w:trPr>
        <w:tc>
          <w:tcPr>
            <w:tcW w:type="dxa" w:w="3456"/>
            <w:vAlign w:val="top"/>
          </w:tcPr>
          <w:p>
            <w:pPr>
              <w:spacing w:after="40" w:before="0" w:line="259" w:lineRule="auto"/>
            </w:pPr>
            <w:r>
              <w:rPr>
                <w:rFonts w:ascii="Calibri" w:hAnsi="Calibri"/>
                <w:b/>
                <w:i w:val="0"/>
                <w:color w:val="212121"/>
                <w:sz w:val="19"/>
              </w:rPr>
              <w:t>Fine tremor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Adrenergic sign, best seen in outstretched hands.</w:t>
            </w:r>
          </w:p>
        </w:tc>
      </w:tr>
      <w:tr>
        <w:trPr>
          <w:cantSplit/>
        </w:trPr>
        <w:tc>
          <w:tcPr>
            <w:tcW w:type="dxa" w:w="3456"/>
            <w:vAlign w:val="top"/>
          </w:tcPr>
          <w:p>
            <w:pPr>
              <w:spacing w:after="40" w:before="0" w:line="259" w:lineRule="auto"/>
            </w:pPr>
            <w:r>
              <w:rPr>
                <w:rFonts w:ascii="Calibri" w:hAnsi="Calibri"/>
                <w:b/>
                <w:i w:val="0"/>
                <w:color w:val="212121"/>
                <w:sz w:val="19"/>
              </w:rPr>
              <w:t>Altered mental status / agitation / confusion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Neuroglycopenic change in behaviour or cognition.</w:t>
            </w:r>
          </w:p>
        </w:tc>
      </w:tr>
      <w:tr>
        <w:trPr>
          <w:cantSplit/>
        </w:trPr>
        <w:tc>
          <w:tcPr>
            <w:tcW w:type="dxa" w:w="3456"/>
            <w:vAlign w:val="top"/>
          </w:tcPr>
          <w:p>
            <w:pPr>
              <w:spacing w:after="40" w:before="0" w:line="259" w:lineRule="auto"/>
            </w:pPr>
            <w:r>
              <w:rPr>
                <w:rFonts w:ascii="Calibri" w:hAnsi="Calibri"/>
                <w:b/>
                <w:i w:val="0"/>
                <w:color w:val="212121"/>
                <w:sz w:val="19"/>
              </w:rPr>
              <w:t>Transient focal neurological deficit (hemiparesis, aphasia)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“Hypoglycaemic hemiplegia” that mimics stroke and resolves fully once glucose is restored.</w:t>
            </w:r>
          </w:p>
        </w:tc>
      </w:tr>
      <w:tr>
        <w:trPr>
          <w:cantSplit/>
        </w:trPr>
        <w:tc>
          <w:tcPr>
            <w:tcW w:type="dxa" w:w="3456"/>
            <w:vAlign w:val="top"/>
          </w:tcPr>
          <w:p>
            <w:pPr>
              <w:spacing w:after="40" w:before="0" w:line="259" w:lineRule="auto"/>
            </w:pPr>
            <w:r>
              <w:rPr>
                <w:rFonts w:ascii="Calibri" w:hAnsi="Calibri"/>
                <w:b/>
                <w:i w:val="0"/>
                <w:color w:val="212121"/>
                <w:sz w:val="19"/>
              </w:rPr>
              <w:t>Generalised or focal seizure activity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severe neuroglycopenia.</w:t>
            </w:r>
          </w:p>
        </w:tc>
      </w:tr>
      <w:tr>
        <w:trPr>
          <w:cantSplit/>
        </w:trPr>
        <w:tc>
          <w:tcPr>
            <w:tcW w:type="dxa" w:w="3456"/>
            <w:vAlign w:val="top"/>
          </w:tcPr>
          <w:p>
            <w:pPr>
              <w:spacing w:after="40" w:before="0" w:line="259" w:lineRule="auto"/>
            </w:pPr>
            <w:r>
              <w:rPr>
                <w:rFonts w:ascii="Calibri" w:hAnsi="Calibri"/>
                <w:b/>
                <w:i w:val="0"/>
                <w:color w:val="212121"/>
                <w:sz w:val="19"/>
              </w:rPr>
              <w:t>Reduced GCS / coma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Severe (Level 3) hypoglycemia requiring assisted treatment.</w:t>
            </w:r>
          </w:p>
        </w:tc>
      </w:tr>
      <w:tr>
        <w:trPr>
          <w:cantSplit/>
        </w:trPr>
        <w:tc>
          <w:tcPr>
            <w:tcW w:type="dxa" w:w="3456"/>
            <w:vAlign w:val="top"/>
          </w:tcPr>
          <w:p>
            <w:pPr>
              <w:spacing w:after="40" w:before="0" w:line="259" w:lineRule="auto"/>
            </w:pPr>
            <w:r>
              <w:rPr>
                <w:rFonts w:ascii="Calibri" w:hAnsi="Calibri"/>
                <w:b/>
                <w:i w:val="0"/>
                <w:color w:val="212121"/>
                <w:sz w:val="19"/>
              </w:rPr>
              <w:t>Hypothermia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severe events and particularly in neonates.</w:t>
            </w:r>
          </w:p>
        </w:tc>
      </w:tr>
      <w:tr>
        <w:trPr>
          <w:cantSplit/>
        </w:trPr>
        <w:tc>
          <w:tcPr>
            <w:tcW w:type="dxa" w:w="3456"/>
            <w:vAlign w:val="top"/>
          </w:tcPr>
          <w:p>
            <w:pPr>
              <w:spacing w:after="40" w:before="0" w:line="259" w:lineRule="auto"/>
            </w:pPr>
            <w:r>
              <w:rPr>
                <w:rFonts w:ascii="Calibri" w:hAnsi="Calibri"/>
                <w:b/>
                <w:i w:val="0"/>
                <w:color w:val="212121"/>
                <w:sz w:val="19"/>
              </w:rPr>
              <w:t>Neonatal jitteriness, poor feeding, lethargy or apnoea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signs of neonatal hypoglycemia that do not correlate closely with glucose level.</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neuroglycopenia with confusion, behavioural change, seizures and loss of consciousness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(Level 3) hypoglycemia requiring another person’s assistance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road-traffic or machinery accidents from sudden impairment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arrhythmia and QT prolongation during the catecholamine surge (“dead-in-bed”)</w:t>
            </w:r>
          </w:p>
        </w:tc>
        <w:tc>
          <w:tcPr>
            <w:tcW w:type="dxa" w:w="2980"/>
            <w:vAlign w:val="top"/>
          </w:tcPr>
          <w:p>
            <w:pPr>
              <w:spacing w:after="40" w:before="0" w:line="259" w:lineRule="auto"/>
            </w:pPr>
            <w:r>
              <w:rPr>
                <w:rFonts w:ascii="Calibri" w:hAnsi="Calibri"/>
                <w:b w:val="0"/>
                <w:i w:val="0"/>
                <w:color w:val="212121"/>
                <w:sz w:val="19"/>
              </w:rPr>
              <w:t>Direct, immediate consequences of acute brain-fuel deprivation and the counter-regulatory adrenergic response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Hypoglycemia-associated autonomic failure (HAAF) and impaired awareness of hypoglycemia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hypoglycemia and a self-perpetuating vicious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Hypoglycemia-related cardiovascular events (arrhythmia, myocardial ischaemia)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and hospital admissions from severe episodes</w:t>
            </w:r>
          </w:p>
        </w:tc>
        <w:tc>
          <w:tcPr>
            <w:tcW w:type="dxa" w:w="2980"/>
            <w:vAlign w:val="top"/>
          </w:tcPr>
          <w:p>
            <w:pPr>
              <w:spacing w:after="40" w:before="0" w:line="259" w:lineRule="auto"/>
            </w:pPr>
            <w:r>
              <w:rPr>
                <w:rFonts w:ascii="Calibri" w:hAnsi="Calibri"/>
                <w:b w:val="0"/>
                <w:i w:val="0"/>
                <w:color w:val="212121"/>
                <w:sz w:val="19"/>
              </w:rPr>
              <w:t>Consequences of repeated events and blunted counter-regulation that lower the threshold for further, more dangerous lows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decline and dementia from recurrent severe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Anoxic brain injury or persistent neurological deficit after a prolonged severe event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and cardiovascular mortality (hypoglycemia accounts for an estimated 2–10% of deaths in people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Fear of hypoglycemia driving chronic under-treatment, glucose over-correction and worsened long-term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driving licence or employment and reduced quality of life</w:t>
            </w:r>
          </w:p>
        </w:tc>
        <w:tc>
          <w:tcPr>
            <w:tcW w:type="dxa" w:w="2980"/>
            <w:vAlign w:val="top"/>
          </w:tcPr>
          <w:p>
            <w:pPr>
              <w:spacing w:after="40" w:before="0" w:line="259" w:lineRule="auto"/>
            </w:pPr>
            <w:r>
              <w:rPr>
                <w:rFonts w:ascii="Calibri" w:hAnsi="Calibri"/>
                <w:b w:val="0"/>
                <w:i w:val="0"/>
                <w:color w:val="212121"/>
                <w:sz w:val="19"/>
              </w:rPr>
              <w:t>Long-term, often irreversible or disabling outcomes of repeated or prolonged severe hypoglycemia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 (on insulin/sulfonylurea)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substrate for almost all hypoglycemia in adults — the very drugs used to lower glucose are its commonest cause, and tightening control raises risk.</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Carries the highest per-patient hypoglycemia burden (62–320 severe events per 100 patient-years), roughly three times the rate seen with insulin-treated type 2 diabetes.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Slows clearance of insulin and renally-excreted sulfonylureas and reduces renal gluconeogenesis, producing deeper, longer-lasting lows; risk is bidirectional with dysglycaemia.</w:t>
            </w:r>
          </w:p>
        </w:tc>
      </w:tr>
      <w:tr>
        <w:trPr>
          <w:cantSplit/>
        </w:trPr>
        <w:tc>
          <w:tcPr>
            <w:tcW w:type="dxa" w:w="2232"/>
            <w:vAlign w:val="top"/>
          </w:tcPr>
          <w:p>
            <w:pPr>
              <w:spacing w:after="40" w:before="0" w:line="259" w:lineRule="auto"/>
            </w:pPr>
            <w:r>
              <w:rPr>
                <w:rFonts w:ascii="Calibri" w:hAnsi="Calibri"/>
                <w:b/>
                <w:i w:val="0"/>
                <w:color w:val="212121"/>
                <w:sz w:val="19"/>
              </w:rPr>
              <w:t>Chronic liver disease / cirrhosis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Impairs gluconeogenesis and glycogen storage, removing the body’s main defence against a falling glucose.</w:t>
            </w:r>
          </w:p>
        </w:tc>
      </w:tr>
      <w:tr>
        <w:trPr>
          <w:cantSplit/>
        </w:trPr>
        <w:tc>
          <w:tcPr>
            <w:tcW w:type="dxa" w:w="2232"/>
            <w:vAlign w:val="top"/>
          </w:tcPr>
          <w:p>
            <w:pPr>
              <w:spacing w:after="40" w:before="0" w:line="259" w:lineRule="auto"/>
            </w:pPr>
            <w:r>
              <w:rPr>
                <w:rFonts w:ascii="Calibri" w:hAnsi="Calibri"/>
                <w:b/>
                <w:i w:val="0"/>
                <w:color w:val="212121"/>
                <w:sz w:val="19"/>
              </w:rPr>
              <w:t>Adrenal insufficiency / hypopituitarism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Deficiency of the counter-regulatory hormones cortisol and growth hormone blunts glucose recovery and causes fasting hypoglycemia.</w:t>
            </w:r>
          </w:p>
        </w:tc>
      </w:tr>
      <w:tr>
        <w:trPr>
          <w:cantSplit/>
        </w:trPr>
        <w:tc>
          <w:tcPr>
            <w:tcW w:type="dxa" w:w="2232"/>
            <w:vAlign w:val="top"/>
          </w:tcPr>
          <w:p>
            <w:pPr>
              <w:spacing w:after="40" w:before="0" w:line="259" w:lineRule="auto"/>
            </w:pPr>
            <w:r>
              <w:rPr>
                <w:rFonts w:ascii="Calibri" w:hAnsi="Calibri"/>
                <w:b/>
                <w:i w:val="0"/>
                <w:color w:val="212121"/>
                <w:sz w:val="19"/>
              </w:rPr>
              <w:t>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inhibits hepatic gluconeogenesis; heavy or fasting drinking is a classic and often delayed cause of profound hypoglycemia.</w:t>
            </w:r>
          </w:p>
        </w:tc>
      </w:tr>
      <w:tr>
        <w:trPr>
          <w:cantSplit/>
        </w:trPr>
        <w:tc>
          <w:tcPr>
            <w:tcW w:type="dxa" w:w="2232"/>
            <w:vAlign w:val="top"/>
          </w:tcPr>
          <w:p>
            <w:pPr>
              <w:spacing w:after="40" w:before="0" w:line="259" w:lineRule="auto"/>
            </w:pPr>
            <w:r>
              <w:rPr>
                <w:rFonts w:ascii="Calibri" w:hAnsi="Calibri"/>
                <w:b/>
                <w:i w:val="0"/>
                <w:color w:val="212121"/>
                <w:sz w:val="19"/>
              </w:rPr>
              <w:t>Insulinoma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functioning islet-cell tumour (incidence ~1–4 per million/year) causing endogenous hyperinsulinaemic hypoglycemia; the archetypal non-drug cause.</w:t>
            </w:r>
          </w:p>
        </w:tc>
      </w:tr>
      <w:tr>
        <w:trPr>
          <w:cantSplit/>
        </w:trPr>
        <w:tc>
          <w:tcPr>
            <w:tcW w:type="dxa" w:w="2232"/>
            <w:vAlign w:val="top"/>
          </w:tcPr>
          <w:p>
            <w:pPr>
              <w:spacing w:after="40" w:before="0" w:line="259" w:lineRule="auto"/>
            </w:pPr>
            <w:r>
              <w:rPr>
                <w:rFonts w:ascii="Calibri" w:hAnsi="Calibri"/>
                <w:b/>
                <w:i w:val="0"/>
                <w:color w:val="212121"/>
                <w:sz w:val="19"/>
              </w:rPr>
              <w:t>Cardiovascular disease / arrhythmia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Hypoglycemia precipitates arrhythmia and myocardial ischaemia through catecholamine surge and QT prolongation, while cardiac disease worsens the consequences of a low.</w:t>
            </w:r>
          </w:p>
        </w:tc>
      </w:tr>
      <w:tr>
        <w:trPr>
          <w:cantSplit/>
        </w:trPr>
        <w:tc>
          <w:tcPr>
            <w:tcW w:type="dxa" w:w="2232"/>
            <w:vAlign w:val="top"/>
          </w:tcPr>
          <w:p>
            <w:pPr>
              <w:spacing w:after="40" w:before="0" w:line="259" w:lineRule="auto"/>
            </w:pPr>
            <w:r>
              <w:rPr>
                <w:rFonts w:ascii="Calibri" w:hAnsi="Calibri"/>
                <w:b/>
                <w:i w:val="0"/>
                <w:color w:val="212121"/>
                <w:sz w:val="19"/>
              </w:rPr>
              <w:t>Dementia / cognitive impairment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Recurrent severe hypoglycemia and dementia are linked in both directions — lows accelerate cognitive decline, and impaired cognition undermines self-management and detection.</w:t>
            </w:r>
          </w:p>
        </w:tc>
      </w:tr>
      <w:tr>
        <w:trPr>
          <w:cantSplit/>
        </w:trPr>
        <w:tc>
          <w:tcPr>
            <w:tcW w:type="dxa" w:w="2232"/>
            <w:vAlign w:val="top"/>
          </w:tcPr>
          <w:p>
            <w:pPr>
              <w:spacing w:after="40" w:before="0" w:line="259" w:lineRule="auto"/>
            </w:pPr>
            <w:r>
              <w:rPr>
                <w:rFonts w:ascii="Calibri" w:hAnsi="Calibri"/>
                <w:b/>
                <w:i w:val="0"/>
                <w:color w:val="212121"/>
                <w:sz w:val="19"/>
              </w:rPr>
              <w:t>Depression / anxiety (fear of hypoglycemia)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Emotional burden and fear of lows reduce self-care and promote deliberate hyperglycaemia; mood disorders and hypoglycemia influence each other.</w:t>
            </w:r>
          </w:p>
        </w:tc>
      </w:tr>
      <w:tr>
        <w:trPr>
          <w:cantSplit/>
        </w:trPr>
        <w:tc>
          <w:tcPr>
            <w:tcW w:type="dxa" w:w="2232"/>
            <w:vAlign w:val="top"/>
          </w:tcPr>
          <w:p>
            <w:pPr>
              <w:spacing w:after="40" w:before="0" w:line="259" w:lineRule="auto"/>
            </w:pPr>
            <w:r>
              <w:rPr>
                <w:rFonts w:ascii="Calibri" w:hAnsi="Calibri"/>
                <w:b/>
                <w:i w:val="0"/>
                <w:color w:val="212121"/>
                <w:sz w:val="19"/>
              </w:rPr>
              <w:t>Critical illness / sepsis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Glucose utilisation outstrips intake, glycogenolysis and gluconeogenesis, producing hypoglycemia in severely ill patients.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warning signs of a “hypo” (sweating, shakiness, palpitations, hunger, confusion) and always carry fast-acting glucose — glucose tablets, 3–4 teaspoons of sugar, or ~150 mL of fruit juice or a regular soft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15–15 rule: take 15 g of fast-acting carbohydrate, recheck glucose after 15 minutes, repeat if still &lt; 70 mg/dL, then eat a meal or complex-carbohydrate snack to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skip or delay meals while taking insulin or sulfonylureas, and adjust the dose or take extra carbohydrate before exercise, fasting or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family, friends and colleagues to recognise a severe low, to use glucagon (injection or nasal spray), to place an unconscious person in the recovery position and to call emergency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glucose before driving or operating machinery and do not drive if it is below ~90–100 mg/dL.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medication reviews so insulin and sulfonylurea doses are reduced as kidney function declines, with weight loss, or after repeated lows.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insulin/sulfonylurea-treated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 and machine operators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glucose before, during (for prolonged sessions) and after exercise, and take extra carbohydrate if it is below ~90–100 mg/dL.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pre-exercise rapid-acting insulin dose or take 15–30 g of carbohydrate for sustained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alert to delayed and nocturnal hypoglycemia for up to 12–24 hours after unaccustomed or strenuous activity — add a bedtime snack and/or lower the overnight insulin dose.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injecting insulin into a limb that will then be heavily exercised, as this speeds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fast-acting carbohydrate during every workout, sporting activity and spell of heavy manual labour.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Insulin/sulfonylurea-treated exercisers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starting activity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evenly spaced meals with a consistent carbohydrate content matched to the timing of insulin or secretagogues; do not skip breakfast.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low-glycaemic, high-fibre carbohydrates (millets such as ragi/jowar/bajra, whole pulses, whole grains) for steadier glucose and fewer post-meal crashes.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religious fasts (Ramadan, Navratri, ekadashi) in advance with the doctor — switch away from long-acting sulfonylureas, adjust insulin, and break the fast immediately if hypo symptoms occur.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bedtime snack if the pre-bed glucose is low, or after alcohol or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keep fast-acting glucose within reach at home, at work and while travelling.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Fasting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and irregular-meal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Ramadan observers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Check the bedtime glucose and take a snack if it is below ~100–110 mg/dL, especially after exercise or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CGM low-glucose alarms or occasional 2–3 a.m. checks if nocturnal hypoglycemia is suspected (night sweats, nightmares, morning headaches).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large evening doses of sulfonylureas or insulin, and discuss adjusting the basal insulin for recurrent nocturnal lows.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nocturnal hypoglycemia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the cardiovascular risk that makes hypoglycemia-related arrhythmia and ischaemia more dangerous.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quit support (counselling, nicotine replacement) rather than abrupt changes to appetite and meal patterns that could destabilise glucose.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on an empty stomach — always eat carbohydrate-containing food with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intake and check glucose before bed after drinking, because alcohol can cause hypoglycemia for up to 24 hours by blocking the liver’s glucose production.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especially while on insulin or sulfonylureas, and tell companions that intoxication can mask the signs of a 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Insulin/sulfonylurea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fear of hypoglycemia, which can lead patients to run their glucose deliberately high and worsen long-term control; structured education and CGM help restore confidence.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cognitive impairment, which reduce the ability to notice and self-treat 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Watch for disordered eating and deliberate insulin manipulation, and provide psychological support and specialist referral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or depressed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hypoglycemia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cognitive decline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india/health-topics/diabetes" TargetMode="External"/><Relationship Id="rId10" Type="http://schemas.openxmlformats.org/officeDocument/2006/relationships/hyperlink" Target="https://www.ncbi.nlm.nih.gov/books/NBK279100/" TargetMode="External"/><Relationship Id="rId11" Type="http://schemas.openxmlformats.org/officeDocument/2006/relationships/hyperlink" Target="https://www.cdc.gov/diabetes/about/low-blood-sugar-hypoglycemia.html" TargetMode="External"/><Relationship Id="rId12" Type="http://schemas.openxmlformats.org/officeDocument/2006/relationships/hyperlink" Target="https://www.ncbi.nlm.nih.gov/books/NBK534841/" TargetMode="External"/><Relationship Id="rId13" Type="http://schemas.openxmlformats.org/officeDocument/2006/relationships/hyperlink" Target="https://www.ncbi.nlm.nih.gov/books/NBK355894/" TargetMode="External"/><Relationship Id="rId14" Type="http://schemas.openxmlformats.org/officeDocument/2006/relationships/hyperlink" Target="https://www.ncbi.nlm.nih.gov/books/NBK537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