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Diabetic Neuropathy</w:t>
      </w:r>
    </w:p>
    <w:p>
      <w:pPr>
        <w:spacing w:before="0" w:after="160"/>
      </w:pPr>
      <w:r>
        <w:rPr>
          <w:rFonts w:ascii="Calibri" w:hAnsi="Calibri"/>
          <w:b/>
          <w:i w:val="0"/>
          <w:color w:val="212121"/>
          <w:sz w:val="22"/>
        </w:rPr>
        <w:t xml:space="preserve">AKA </w:t>
      </w:r>
      <w:r>
        <w:rPr>
          <w:rFonts w:ascii="Calibri" w:hAnsi="Calibri"/>
          <w:b w:val="0"/>
          <w:i w:val="0"/>
          <w:color w:val="212121"/>
          <w:sz w:val="22"/>
        </w:rPr>
        <w:t>i.e., Diabetic Peripheral Neuropathy (DPN), Distal Symmetric Polyneuropathy (DSPN), Diabetic nerve damage, Peripheral neuritis of diabetes, “Sugar nerve” weakness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Diabetic neuropathy is a group of nerve disorders caused by chronic hyperglycaemia in people with type 1 or type 2 diabetes, in which sustained high blood glucose — together with microvascular damage to the vasa nervorum and metabolic injury — damages peripheral, autonomic and, less often, cranial or proximal nerves. The commonest form is distal symmetric sensorimotor polyneuropathy (DSPN), producing a length-dependent “glove-and-stocking” loss of sensation that begins in the feet; autonomic neuropathy affecting the heart, gut, bladder and sexual function is also frequent. It is a leading cause of foot ulceration, non-traumatic lower-limb amputation and neuropathic pain, and up to half of cases remain asymptomatic until complications appear.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Roughly one in three people with diabetes in India has diabetic peripheral neuropathy. The landmark Chennai Urban Rural Epidemiology Study (CURES-55) reported an overall prevalence of 26.1% among urban South Indian adults with type 2 diabetes, while hospital-based Indian series document clinical DPN in about a third of patients (for example, 32.2% on examination in a Mangalore tertiary-care study). Internationally, about one-third to one-half of all people with diabetes develop peripheral neuropathy over their lifetime, and up to 50% of cases are initially asymptomatic — which is why screening from the time of diagnosis is essential.</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Diabetic neuropathy — most commonly distal symmetric polyneuropathy (DSPN) — is a clinical diagnosis in a person with diabetes once other causes of neuropathy are excluded. The American Diabetes Association recommends screening at diagnosis of type 2 diabetes and 5 years after diagnosis of type 1 diabetes, then at least annually, using simple bedside tests of small- and large-fibre function: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Loss of protective sensation on 10 g Semmes–Weinstein monofilament testing at the plantar great toe and metatarsal heads (assesses large-fibre / protective sensation and predicts ulcer risk);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or absent vibration sense using a 128 Hz tuning fork over the dorsum of the great toe, or a vibration perception threshold (VPT) ≥ 25 volts on biothesiometry (large-fibre function);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Impaired pinprick and thermal (cold/warm) sensation, indicating small-fibre involvement;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or absent ankle reflexes on tendon-hammer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validated symptom/sign score — Michigan Neuropathy Screening Instrument (MNSI), Diabetic Neuropathy Symptom (DNS) score, or DN4 for neuropathic pain;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Nerve conduction studies (NCS), the reference standard for large-fibre neuropathy, reserved for atypical, rapidly progressive, markedly asymmetric or diagnostically uncertain presentations;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non-diabetic causes — vitamin B12 deficiency, hypothyroidism, chronic alcohol use, uraemia/CKD, paraproteinaemia, HIV and neurotoxic drugs — by targeted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Cardiovascular autonomic testing (heart-rate response to deep breathing, Valsalva and standing; orthostatic blood pressure) where autonomic neuropathy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Diabetic neuropathies are a heterogeneous group. The American Diabetes Association classifies them into diffuse, autonomic, focal/multifocal and atypical forms:</w:t>
      </w:r>
    </w:p>
    <w:p>
      <w:pPr>
        <w:spacing w:before="0" w:after="80"/>
      </w:pPr>
      <w:r>
        <w:rPr>
          <w:rFonts w:ascii="Calibri" w:hAnsi="Calibri"/>
          <w:b w:val="0"/>
          <w:i w:val="0"/>
          <w:color w:val="212121"/>
          <w:sz w:val="21"/>
        </w:rPr>
        <w:t>(1) Distal symmetric polyneuropathy (DSPN) — the commonest form (over three-quarters of diabetic neuropathy): a chronic, length-dependent, symmetric sensorimotor polyneuropathy that starts in the toes and feet and ascends in a “glove-and-stocking” pattern, with small-fibre (burning pain, temperature loss), large-fibre (numbness, loss of vibration/proprioception and reflexes) or mixed variants.</w:t>
      </w:r>
    </w:p>
    <w:p>
      <w:pPr>
        <w:spacing w:before="0" w:after="80"/>
      </w:pPr>
      <w:r>
        <w:rPr>
          <w:rFonts w:ascii="Calibri" w:hAnsi="Calibri"/>
          <w:b w:val="0"/>
          <w:i w:val="0"/>
          <w:color w:val="212121"/>
          <w:sz w:val="21"/>
        </w:rPr>
        <w:t>(2) Diabetic autonomic neuropathy — including cardiovascular autonomic neuropathy (resting tachycardia, orthostatic hypotension, silent myocardial ischaemia and increased mortality), gastrointestinal (gastroparesis, diabetic diarrhoea or constipation), genitourinary (erectile dysfunction, neurogenic bladder), sudomotor changes (anhidrosis, gustatory sweating) and hypoglycaemia unawareness.</w:t>
      </w:r>
    </w:p>
    <w:p>
      <w:pPr>
        <w:spacing w:before="0" w:after="80"/>
      </w:pPr>
      <w:r>
        <w:rPr>
          <w:rFonts w:ascii="Calibri" w:hAnsi="Calibri"/>
          <w:b w:val="0"/>
          <w:i w:val="0"/>
          <w:color w:val="212121"/>
          <w:sz w:val="21"/>
        </w:rPr>
        <w:t>(3) Focal and multifocal neuropathies — mononeuropathies (median/carpal tunnel, ulnar, common peroneal), cranial neuropathies (III, VI, VII), and diabetic radiculoplexus neuropathy (diabetic amyotrophy / proximal motor neuropathy of the thigh and hip).</w:t>
      </w:r>
    </w:p>
    <w:p>
      <w:pPr>
        <w:spacing w:before="0" w:after="80"/>
      </w:pPr>
      <w:r>
        <w:rPr>
          <w:rFonts w:ascii="Calibri" w:hAnsi="Calibri"/>
          <w:b w:val="0"/>
          <w:i w:val="0"/>
          <w:color w:val="212121"/>
          <w:sz w:val="21"/>
        </w:rPr>
        <w:t>(4) Atypical and treatment-related forms — acute painful sensory neuropathy, and treatment-induced neuropathy of diabetes (“insulin neuritis”) following rapid glycaemic correction; neuropathy may also occur in prediabetes/metabolic syndrome.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hyperglycaemia: The primary driver — excess intracellular glucose activates the polyol (aldose reductase) pathway, advanced glycation end-products (AGEs), protein kinase C and hexosamine flux, generating oxidative and nitrosative stress and mitochondrial injury that damage axons and Schwann cells.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Microvascular ischaemia: Damage and occlusion of the vasa nervorum (endoneurial capillaries) reduces nerve blood flow and oxygen delivery, causing nerve-fibre loss — the same microangiopathy that underlies retinopathy and nephropathy.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Long diabetes duration and poor glycaemic control: Cumulative glycaemic exposure (higher HbA1c, longer duration) is the strongest risk factor; in CURES-55, ≥ 15 years of diabetes raised the odds of neuropathy about 5.7-fold.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Dyslipidaemia and metabolic syndrome: High triglycerides and abnormal lipids independently injure nerves (lipotoxicity), while coexisting hypertension and obesity add microvascular and inflammatory burden.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Vitamin B12 and micronutrient deficiency: Low vitamin B12 (aggravated by long-term metformin) and low zinc are associated with, and can mimic or worsen, DPN — particularly relevant in India's largely vegetarian population.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Lifestyle neurotoxins: Tobacco (vasoconstriction and endothelial injury) and chronic alcohol (direct axonal toxicity and thiamine deficiency) accelerate nerve damage.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Length-dependent and genetic susceptibility: Because injury is length-dependent, taller individuals and those with a familial tendency to microvascular complications are at higher risk.</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with diabetes (35–59 years)</w:t>
            </w:r>
          </w:p>
        </w:tc>
        <w:tc>
          <w:tcPr>
            <w:tcW w:type="dxa" w:w="4276"/>
            <w:vAlign w:val="top"/>
          </w:tcPr>
          <w:p>
            <w:pPr>
              <w:spacing w:after="60" w:line="259" w:lineRule="auto"/>
            </w:pPr>
            <w:r>
              <w:rPr>
                <w:rFonts w:ascii="Calibri" w:hAnsi="Calibri"/>
                <w:b w:val="0"/>
                <w:i w:val="0"/>
                <w:color w:val="212121"/>
                <w:sz w:val="19"/>
              </w:rPr>
              <w:t>Neuropathy is uncommon at the moment of diagnosis but accrues steadily with cumulative glycaemic exposure; by mid-life many people with type 2 diabetes already have subclinical, length-dependent nerve-fibre loss detectable on testing before symptoms appear.</w:t>
            </w:r>
          </w:p>
          <w:p>
            <w:pPr>
              <w:spacing w:after="40" w:before="60" w:line="259" w:lineRule="auto"/>
            </w:pPr>
            <w:r>
              <w:rPr>
                <w:rFonts w:ascii="Calibri" w:hAnsi="Calibri"/>
                <w:b w:val="0"/>
                <w:i w:val="0"/>
                <w:color w:val="212121"/>
                <w:sz w:val="19"/>
              </w:rPr>
              <w:t>About one-third to one-half of all people with diabetes develop peripheral neuropathy over their lifetime, and up to 50% of cases are asymptomatic when first detected.</w:t>
            </w:r>
          </w:p>
          <w:p>
            <w:pPr>
              <w:spacing w:after="40" w:line="252" w:lineRule="auto"/>
            </w:pPr>
            <w:hyperlink r:id="rId9">
              <w:r>
                <w:rPr>
                  <w:rFonts w:ascii="Calibri" w:hAnsi="Calibri" w:cs="Calibri"/>
                  <w:sz w:val="18"/>
                  <w:color w:val="1155CC"/>
                  <w:u w:val="single"/>
                </w:rPr>
                <w:t xml:space="preserve">niddk.nih.gov — nerve damage (diabetic neuropathies)</w:t>
              </w:r>
            </w:hyperlink>
          </w:p>
          <w:p>
            <w:pPr>
              <w:spacing w:before="60" w:after="40"/>
            </w:pPr>
            <w:r>
              <w:rPr>
                <w:rFonts w:ascii="Calibri" w:hAnsi="Calibri"/>
                <w:b w:val="0"/>
                <w:i w:val="0"/>
                <w:color w:val="5A5A5A"/>
                <w:sz w:val="18"/>
              </w:rPr>
              <w:t>#DPN  #hyperglycaemia  #subclinical  #glovestocking  #screening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Longer diabetes duration, coexisting peripheral arterial disease, CKD and polypharmacy combine with age-related nerve loss, so the elderly have the highest burden of established neuropathy, painless foot ulcers and falls.</w:t>
            </w:r>
          </w:p>
          <w:p>
            <w:pPr>
              <w:spacing w:after="40" w:before="60" w:line="259" w:lineRule="auto"/>
            </w:pPr>
            <w:r>
              <w:rPr>
                <w:rFonts w:ascii="Calibri" w:hAnsi="Calibri"/>
                <w:b w:val="0"/>
                <w:i w:val="0"/>
                <w:color w:val="212121"/>
                <w:sz w:val="19"/>
              </w:rPr>
              <w:t>In a Mangalore tertiary-care study, age &gt; 40 years independently raised the odds of DPN (OR 2.7, 95% CI 1.2–5.8).</w:t>
            </w:r>
          </w:p>
          <w:p>
            <w:pPr>
              <w:spacing w:after="40" w:line="252" w:lineRule="auto"/>
            </w:pPr>
            <w:hyperlink r:id="rId10">
              <w:r>
                <w:rPr>
                  <w:rFonts w:ascii="Calibri" w:hAnsi="Calibri" w:cs="Calibri"/>
                  <w:sz w:val="18"/>
                  <w:color w:val="1155CC"/>
                  <w:u w:val="single"/>
                </w:rPr>
                <w:t xml:space="preserve">pubmed.ncbi.nlm.nih.gov/26425491</w:t>
              </w:r>
            </w:hyperlink>
          </w:p>
          <w:p>
            <w:pPr>
              <w:spacing w:before="60" w:after="40"/>
            </w:pPr>
            <w:r>
              <w:rPr>
                <w:rFonts w:ascii="Calibri" w:hAnsi="Calibri"/>
                <w:b w:val="0"/>
                <w:i w:val="0"/>
                <w:color w:val="5A5A5A"/>
                <w:sz w:val="18"/>
              </w:rPr>
              <w:t>#elderly  #footulcer  #falls  #PAD  #polypharmacy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tend to have longer exposure to smoking and alcohol and greater central adiposity, and several Indian series report higher rates of diabetic peripheral neuropathy in males.</w:t>
            </w:r>
          </w:p>
          <w:p>
            <w:pPr>
              <w:spacing w:after="40" w:before="60" w:line="259" w:lineRule="auto"/>
            </w:pPr>
            <w:r>
              <w:rPr>
                <w:rFonts w:ascii="Calibri" w:hAnsi="Calibri"/>
                <w:b w:val="0"/>
                <w:i w:val="0"/>
                <w:color w:val="212121"/>
                <w:sz w:val="19"/>
              </w:rPr>
              <w:t>Male gender was independently associated with DPN (OR 2.7, 95% CI 1.4–5.1, P = 0.001) in a Mangalore study of 208 patients.</w:t>
            </w:r>
          </w:p>
          <w:p>
            <w:pPr>
              <w:spacing w:after="40" w:line="252" w:lineRule="auto"/>
            </w:pPr>
            <w:hyperlink r:id="rId10">
              <w:r>
                <w:rPr>
                  <w:rFonts w:ascii="Calibri" w:hAnsi="Calibri" w:cs="Calibri"/>
                  <w:sz w:val="18"/>
                  <w:color w:val="1155CC"/>
                  <w:u w:val="single"/>
                </w:rPr>
                <w:t xml:space="preserve">pubmed.ncbi.nlm.nih.gov/26425491</w:t>
              </w:r>
            </w:hyperlink>
          </w:p>
          <w:p>
            <w:pPr>
              <w:spacing w:before="60" w:after="40"/>
            </w:pPr>
            <w:r>
              <w:rPr>
                <w:rFonts w:ascii="Calibri" w:hAnsi="Calibri"/>
                <w:b w:val="0"/>
                <w:i w:val="0"/>
                <w:color w:val="5A5A5A"/>
                <w:sz w:val="18"/>
              </w:rPr>
              <w:t>#male  #smoking  #alcohol  #visceralfat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patients with poor treatment access</w:t>
            </w:r>
          </w:p>
        </w:tc>
        <w:tc>
          <w:tcPr>
            <w:tcW w:type="dxa" w:w="4276"/>
            <w:vAlign w:val="top"/>
          </w:tcPr>
          <w:p>
            <w:pPr>
              <w:spacing w:after="60" w:line="259" w:lineRule="auto"/>
            </w:pPr>
            <w:r>
              <w:rPr>
                <w:rFonts w:ascii="Calibri" w:hAnsi="Calibri"/>
                <w:b w:val="0"/>
                <w:i w:val="0"/>
                <w:color w:val="212121"/>
                <w:sz w:val="19"/>
              </w:rPr>
              <w:t>Late diagnosis, irregular medication, limited glucose monitoring and barefoot manual labour mean neuropathy is often advanced and complicated by ulceration before it is detected in lower-income groups.</w:t>
            </w:r>
          </w:p>
          <w:p>
            <w:pPr>
              <w:spacing w:before="60" w:after="40"/>
            </w:pPr>
            <w:r>
              <w:rPr>
                <w:rFonts w:ascii="Calibri" w:hAnsi="Calibri"/>
                <w:b w:val="0"/>
                <w:i w:val="0"/>
                <w:color w:val="5A5A5A"/>
                <w:sz w:val="18"/>
              </w:rPr>
              <w:t>#access  #latediagnosis  #barefoot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Urban South Indian (Dravidian) with type 2 diabetes</w:t>
            </w:r>
          </w:p>
        </w:tc>
        <w:tc>
          <w:tcPr>
            <w:tcW w:type="dxa" w:w="4276"/>
            <w:vAlign w:val="top"/>
          </w:tcPr>
          <w:p>
            <w:pPr>
              <w:spacing w:after="60" w:line="259" w:lineRule="auto"/>
            </w:pPr>
            <w:r>
              <w:rPr>
                <w:rFonts w:ascii="Calibri" w:hAnsi="Calibri"/>
                <w:b w:val="0"/>
                <w:i w:val="0"/>
                <w:color w:val="212121"/>
                <w:sz w:val="19"/>
              </w:rPr>
              <w:t>High rice-based glycaemic load, early-onset type 2 diabetes and a strong microvascular-complication phenotype in South Asians combine to give a substantial neuropathy burden in urban South India.</w:t>
            </w:r>
          </w:p>
          <w:p>
            <w:pPr>
              <w:spacing w:after="40" w:before="60" w:line="259" w:lineRule="auto"/>
            </w:pPr>
            <w:r>
              <w:rPr>
                <w:rFonts w:ascii="Calibri" w:hAnsi="Calibri"/>
                <w:b w:val="0"/>
                <w:i w:val="0"/>
                <w:color w:val="212121"/>
                <w:sz w:val="19"/>
              </w:rPr>
              <w:t>CURES-55 found an overall diabetic neuropathy prevalence of 26.1% (age-adjusted 13.1%) in urban South Indian adults with type 2 diabetes.</w:t>
            </w:r>
          </w:p>
          <w:p>
            <w:pPr>
              <w:spacing w:after="40" w:line="252" w:lineRule="auto"/>
            </w:pPr>
            <w:hyperlink r:id="rId11">
              <w:r>
                <w:rPr>
                  <w:rFonts w:ascii="Calibri" w:hAnsi="Calibri" w:cs="Calibri"/>
                  <w:sz w:val="18"/>
                  <w:color w:val="1155CC"/>
                  <w:u w:val="single"/>
                </w:rPr>
                <w:t xml:space="preserve">pubmed.ncbi.nlm.nih.gov/18294224 — CURES-55</w:t>
              </w:r>
            </w:hyperlink>
          </w:p>
          <w:p>
            <w:pPr>
              <w:spacing w:before="60" w:after="40"/>
            </w:pPr>
            <w:r>
              <w:rPr>
                <w:rFonts w:ascii="Calibri" w:hAnsi="Calibri"/>
                <w:b w:val="0"/>
                <w:i w:val="0"/>
                <w:color w:val="5A5A5A"/>
                <w:sz w:val="18"/>
              </w:rPr>
              <w:t>#SouthIndia  #CURES  #ricebased  #microvascular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residence</w:t>
            </w:r>
          </w:p>
        </w:tc>
        <w:tc>
          <w:tcPr>
            <w:tcW w:type="dxa" w:w="2160"/>
            <w:vAlign w:val="top"/>
          </w:tcPr>
          <w:p>
            <w:pPr>
              <w:spacing w:after="40" w:before="0" w:line="259" w:lineRule="auto"/>
            </w:pPr>
            <w:r>
              <w:rPr>
                <w:rFonts w:ascii="Calibri" w:hAnsi="Calibri"/>
                <w:b w:val="0"/>
                <w:i w:val="0"/>
                <w:color w:val="212121"/>
                <w:sz w:val="19"/>
              </w:rPr>
              <w:t>Rural Indian patients (barefoot / agricultural work)</w:t>
            </w:r>
          </w:p>
        </w:tc>
        <w:tc>
          <w:tcPr>
            <w:tcW w:type="dxa" w:w="4276"/>
            <w:vAlign w:val="top"/>
          </w:tcPr>
          <w:p>
            <w:pPr>
              <w:spacing w:after="60" w:line="259" w:lineRule="auto"/>
            </w:pPr>
            <w:r>
              <w:rPr>
                <w:rFonts w:ascii="Calibri" w:hAnsi="Calibri"/>
                <w:b w:val="0"/>
                <w:i w:val="0"/>
                <w:color w:val="212121"/>
                <w:sz w:val="19"/>
              </w:rPr>
              <w:t>Barefoot walking, delayed screening and limited access to podiatry mean rural patients often present with undetected neuropathy and its foot complications; community studies from rural South India confirm a large, frequently unrecognised DPN burden.</w:t>
            </w:r>
          </w:p>
          <w:p>
            <w:pPr>
              <w:spacing w:after="40" w:line="252" w:lineRule="auto"/>
            </w:pPr>
            <w:hyperlink r:id="rId12">
              <w:r>
                <w:rPr>
                  <w:rFonts w:ascii="Calibri" w:hAnsi="Calibri" w:cs="Calibri"/>
                  <w:sz w:val="18"/>
                  <w:color w:val="1155CC"/>
                  <w:u w:val="single"/>
                </w:rPr>
                <w:t xml:space="preserve">pubmed.ncbi.nlm.nih.gov/31333282 — rural South India DPN</w:t>
              </w:r>
            </w:hyperlink>
          </w:p>
          <w:p>
            <w:pPr>
              <w:spacing w:before="60" w:after="40"/>
            </w:pPr>
            <w:r>
              <w:rPr>
                <w:rFonts w:ascii="Calibri" w:hAnsi="Calibri"/>
                <w:b w:val="0"/>
                <w:i w:val="0"/>
                <w:color w:val="5A5A5A"/>
                <w:sz w:val="18"/>
              </w:rPr>
              <w:t>#rural  #barefoot  #undetected  #footcare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Asians globally</w:t>
            </w:r>
          </w:p>
        </w:tc>
        <w:tc>
          <w:tcPr>
            <w:tcW w:type="dxa" w:w="4276"/>
            <w:vAlign w:val="top"/>
          </w:tcPr>
          <w:p>
            <w:pPr>
              <w:spacing w:after="60" w:line="259" w:lineRule="auto"/>
            </w:pPr>
            <w:r>
              <w:rPr>
                <w:rFonts w:ascii="Calibri" w:hAnsi="Calibri"/>
                <w:b w:val="0"/>
                <w:i w:val="0"/>
                <w:color w:val="212121"/>
                <w:sz w:val="19"/>
              </w:rPr>
              <w:t>South Asians develop type 2 diabetes younger and live longer with it, accumulating more lifetime glycaemic exposure; the global burden of diabetic peripheral neuropathy is rising fastest in low- and middle-income countries, including South Asia.</w:t>
            </w:r>
          </w:p>
          <w:p>
            <w:pPr>
              <w:spacing w:after="40" w:line="252" w:lineRule="auto"/>
            </w:pPr>
            <w:hyperlink r:id="rId13">
              <w:r>
                <w:rPr>
                  <w:rFonts w:ascii="Calibri" w:hAnsi="Calibri" w:cs="Calibri"/>
                  <w:sz w:val="18"/>
                  <w:color w:val="1155CC"/>
                  <w:u w:val="single"/>
                </w:rPr>
                <w:t xml:space="preserve">pubmed.ncbi.nlm.nih.gov/39639140 — global burden of DPN</w:t>
              </w:r>
            </w:hyperlink>
          </w:p>
          <w:p>
            <w:pPr>
              <w:spacing w:before="60" w:after="40"/>
            </w:pPr>
            <w:r>
              <w:rPr>
                <w:rFonts w:ascii="Calibri" w:hAnsi="Calibri"/>
                <w:b w:val="0"/>
                <w:i w:val="0"/>
                <w:color w:val="5A5A5A"/>
                <w:sz w:val="18"/>
              </w:rPr>
              <w:t>#SouthAsian  #earlyonset  #globalburden  #LMIC</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 desk workers</w:t>
            </w:r>
          </w:p>
        </w:tc>
        <w:tc>
          <w:tcPr>
            <w:tcW w:type="dxa" w:w="4276"/>
            <w:vAlign w:val="top"/>
          </w:tcPr>
          <w:p>
            <w:pPr>
              <w:spacing w:after="60" w:line="259" w:lineRule="auto"/>
            </w:pPr>
            <w:r>
              <w:rPr>
                <w:rFonts w:ascii="Calibri" w:hAnsi="Calibri"/>
                <w:b w:val="0"/>
                <w:i w:val="0"/>
                <w:color w:val="212121"/>
                <w:sz w:val="19"/>
              </w:rPr>
              <w:t>Physical inactivity worsens hyperglycaemia, insulin resistance and microcirculation; conversely, structured exercise improves nerve function and even cutaneous nerve-fibre density in people with diabetic peripheral neuropathy.</w:t>
            </w:r>
          </w:p>
          <w:p>
            <w:pPr>
              <w:spacing w:after="40" w:before="60" w:line="259" w:lineRule="auto"/>
            </w:pPr>
            <w:r>
              <w:rPr>
                <w:rFonts w:ascii="Calibri" w:hAnsi="Calibri"/>
                <w:b w:val="0"/>
                <w:i w:val="0"/>
                <w:color w:val="212121"/>
                <w:sz w:val="19"/>
              </w:rPr>
              <w:t>A supervised aerobic-plus-resistance exercise programme reduced neuropathic symptoms and improved nerve function and intra-epidermal nerve-fibre branching in people with DPN.</w:t>
            </w:r>
          </w:p>
          <w:p>
            <w:pPr>
              <w:spacing w:after="40" w:line="252" w:lineRule="auto"/>
            </w:pPr>
            <w:hyperlink r:id="rId14">
              <w:r>
                <w:rPr>
                  <w:rFonts w:ascii="Calibri" w:hAnsi="Calibri" w:cs="Calibri"/>
                  <w:sz w:val="18"/>
                  <w:color w:val="1155CC"/>
                  <w:u w:val="single"/>
                </w:rPr>
                <w:t xml:space="preserve">pubmed.ncbi.nlm.nih.gov/22717465 — exercise &amp; DPN</w:t>
              </w:r>
            </w:hyperlink>
          </w:p>
          <w:p>
            <w:pPr>
              <w:spacing w:before="60" w:after="40"/>
            </w:pPr>
            <w:r>
              <w:rPr>
                <w:rFonts w:ascii="Calibri" w:hAnsi="Calibri"/>
                <w:b w:val="0"/>
                <w:i w:val="0"/>
                <w:color w:val="5A5A5A"/>
                <w:sz w:val="18"/>
              </w:rPr>
              <w:t>#sedentary  #exercise  #nervefunction  #microcirculation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 tobacco users</w:t>
            </w:r>
          </w:p>
        </w:tc>
        <w:tc>
          <w:tcPr>
            <w:tcW w:type="dxa" w:w="4276"/>
            <w:vAlign w:val="top"/>
          </w:tcPr>
          <w:p>
            <w:pPr>
              <w:spacing w:after="60" w:line="259" w:lineRule="auto"/>
            </w:pPr>
            <w:r>
              <w:rPr>
                <w:rFonts w:ascii="Calibri" w:hAnsi="Calibri"/>
                <w:b w:val="0"/>
                <w:i w:val="0"/>
                <w:color w:val="212121"/>
                <w:sz w:val="19"/>
              </w:rPr>
              <w:t>Nicotine-induced vasoconstriction and endothelial injury reduce nerve blood flow and accelerate ischaemic nerve damage and foot complications.</w:t>
            </w:r>
          </w:p>
          <w:p>
            <w:pPr>
              <w:spacing w:after="40" w:before="60" w:line="259" w:lineRule="auto"/>
            </w:pPr>
            <w:r>
              <w:rPr>
                <w:rFonts w:ascii="Calibri" w:hAnsi="Calibri"/>
                <w:b w:val="0"/>
                <w:i w:val="0"/>
                <w:color w:val="212121"/>
                <w:sz w:val="19"/>
              </w:rPr>
              <w:t>A history of smoking was strongly associated with DPN (OR 5.8, 95% CI 1.9–17.3, P = 0.001) in a South Indian study.</w:t>
            </w:r>
          </w:p>
          <w:p>
            <w:pPr>
              <w:spacing w:after="40" w:line="252" w:lineRule="auto"/>
            </w:pPr>
            <w:hyperlink r:id="rId10">
              <w:r>
                <w:rPr>
                  <w:rFonts w:ascii="Calibri" w:hAnsi="Calibri" w:cs="Calibri"/>
                  <w:sz w:val="18"/>
                  <w:color w:val="1155CC"/>
                  <w:u w:val="single"/>
                </w:rPr>
                <w:t xml:space="preserve">pubmed.ncbi.nlm.nih.gov/26425491</w:t>
              </w:r>
            </w:hyperlink>
          </w:p>
          <w:p>
            <w:pPr>
              <w:spacing w:before="60" w:after="40"/>
            </w:pPr>
            <w:r>
              <w:rPr>
                <w:rFonts w:ascii="Calibri" w:hAnsi="Calibri"/>
                <w:b w:val="0"/>
                <w:i w:val="0"/>
                <w:color w:val="5A5A5A"/>
                <w:sz w:val="18"/>
              </w:rPr>
              <w:t>#smoking  #tobacco  #vasoconstriction  #ischaemia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 heavy alcohol users</w:t>
            </w:r>
          </w:p>
        </w:tc>
        <w:tc>
          <w:tcPr>
            <w:tcW w:type="dxa" w:w="4276"/>
            <w:vAlign w:val="top"/>
          </w:tcPr>
          <w:p>
            <w:pPr>
              <w:spacing w:after="60" w:line="259" w:lineRule="auto"/>
            </w:pPr>
            <w:r>
              <w:rPr>
                <w:rFonts w:ascii="Calibri" w:hAnsi="Calibri"/>
                <w:b w:val="0"/>
                <w:i w:val="0"/>
                <w:color w:val="212121"/>
                <w:sz w:val="19"/>
              </w:rPr>
              <w:t>Chronic alcohol is directly toxic to axons and causes thiamine (and other B-vitamin) deficiency, producing an additive length-dependent neuropathy that compounds diabetic nerve damage.</w:t>
            </w:r>
          </w:p>
          <w:p>
            <w:pPr>
              <w:spacing w:before="60" w:after="40"/>
            </w:pPr>
            <w:r>
              <w:rPr>
                <w:rFonts w:ascii="Calibri" w:hAnsi="Calibri"/>
                <w:b w:val="0"/>
                <w:i w:val="0"/>
                <w:color w:val="5A5A5A"/>
                <w:sz w:val="18"/>
              </w:rPr>
              <w:t>#alcohol  #axonopathy  #thiamine  #additiverisk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Glycaemic control</w:t>
            </w:r>
          </w:p>
        </w:tc>
        <w:tc>
          <w:tcPr>
            <w:tcW w:type="dxa" w:w="2160"/>
            <w:vAlign w:val="top"/>
          </w:tcPr>
          <w:p>
            <w:pPr>
              <w:spacing w:after="40" w:before="0" w:line="259" w:lineRule="auto"/>
            </w:pPr>
            <w:r>
              <w:rPr>
                <w:rFonts w:ascii="Calibri" w:hAnsi="Calibri"/>
                <w:b w:val="0"/>
                <w:i w:val="0"/>
                <w:color w:val="212121"/>
                <w:sz w:val="19"/>
              </w:rPr>
              <w:t>Patients with persistently high HbA1c</w:t>
            </w:r>
          </w:p>
        </w:tc>
        <w:tc>
          <w:tcPr>
            <w:tcW w:type="dxa" w:w="4276"/>
            <w:vAlign w:val="top"/>
          </w:tcPr>
          <w:p>
            <w:pPr>
              <w:spacing w:after="60" w:line="259" w:lineRule="auto"/>
            </w:pPr>
            <w:r>
              <w:rPr>
                <w:rFonts w:ascii="Calibri" w:hAnsi="Calibri"/>
                <w:b w:val="0"/>
                <w:i w:val="0"/>
                <w:color w:val="212121"/>
                <w:sz w:val="19"/>
              </w:rPr>
              <w:t>Cumulative hyperglycaemia is the central modifiable driver of nerve injury; improving glucose control lowers the risk of new neuropathy, with the effect being clear in type 1 and more modest in type 2 diabetes.</w:t>
            </w:r>
          </w:p>
          <w:p>
            <w:pPr>
              <w:spacing w:after="40" w:before="60" w:line="259" w:lineRule="auto"/>
            </w:pPr>
            <w:r>
              <w:rPr>
                <w:rFonts w:ascii="Calibri" w:hAnsi="Calibri"/>
                <w:b w:val="0"/>
                <w:i w:val="0"/>
                <w:color w:val="212121"/>
                <w:sz w:val="19"/>
              </w:rPr>
              <w:t>In a Cochrane review, enhanced glucose control significantly reduced new neuropathy in type 1 diabetes (annualised risk difference −1.84%) but the reduction in type 2 diabetes did not reach significance (−0.58%, P = 0.06).</w:t>
            </w:r>
          </w:p>
          <w:p>
            <w:pPr>
              <w:spacing w:after="40" w:line="252" w:lineRule="auto"/>
            </w:pPr>
            <w:hyperlink r:id="rId15">
              <w:r>
                <w:rPr>
                  <w:rFonts w:ascii="Calibri" w:hAnsi="Calibri" w:cs="Calibri"/>
                  <w:sz w:val="18"/>
                  <w:color w:val="1155CC"/>
                  <w:u w:val="single"/>
                </w:rPr>
                <w:t xml:space="preserve">pubmed.ncbi.nlm.nih.gov/22696371 — Cochrane glucose control</w:t>
              </w:r>
            </w:hyperlink>
          </w:p>
          <w:p>
            <w:pPr>
              <w:spacing w:before="60" w:after="40"/>
            </w:pPr>
            <w:r>
              <w:rPr>
                <w:rFonts w:ascii="Calibri" w:hAnsi="Calibri"/>
                <w:b w:val="0"/>
                <w:i w:val="0"/>
                <w:color w:val="5A5A5A"/>
                <w:sz w:val="18"/>
              </w:rPr>
              <w:t>#HbA1c  #glycaemiccontrol  #DCCT  #prevention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Central obesity, metabolic syndrome</w:t>
            </w:r>
          </w:p>
        </w:tc>
        <w:tc>
          <w:tcPr>
            <w:tcW w:type="dxa" w:w="4276"/>
            <w:vAlign w:val="top"/>
          </w:tcPr>
          <w:p>
            <w:pPr>
              <w:spacing w:after="60" w:line="259" w:lineRule="auto"/>
            </w:pPr>
            <w:r>
              <w:rPr>
                <w:rFonts w:ascii="Calibri" w:hAnsi="Calibri"/>
                <w:b w:val="0"/>
                <w:i w:val="0"/>
                <w:color w:val="212121"/>
                <w:sz w:val="19"/>
              </w:rPr>
              <w:t>Obesity, insulin resistance and high triglycerides drive lipotoxic and inflammatory nerve injury; components of metabolic syndrome are linked to neuropathy even in prediabetes.</w:t>
            </w:r>
          </w:p>
          <w:p>
            <w:pPr>
              <w:spacing w:before="60" w:after="40"/>
            </w:pPr>
            <w:r>
              <w:rPr>
                <w:rFonts w:ascii="Calibri" w:hAnsi="Calibri"/>
                <w:b w:val="0"/>
                <w:i w:val="0"/>
                <w:color w:val="5A5A5A"/>
                <w:sz w:val="18"/>
              </w:rPr>
              <w:t>#obesity  #lipotoxicity  #triglycerides  #metabolicsyndrome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Vegetarians and long-term metformin users (low vitamin B12)</w:t>
            </w:r>
          </w:p>
        </w:tc>
        <w:tc>
          <w:tcPr>
            <w:tcW w:type="dxa" w:w="4276"/>
            <w:vAlign w:val="top"/>
          </w:tcPr>
          <w:p>
            <w:pPr>
              <w:spacing w:after="60" w:line="259" w:lineRule="auto"/>
            </w:pPr>
            <w:r>
              <w:rPr>
                <w:rFonts w:ascii="Calibri" w:hAnsi="Calibri"/>
                <w:b w:val="0"/>
                <w:i w:val="0"/>
                <w:color w:val="212121"/>
                <w:sz w:val="19"/>
              </w:rPr>
              <w:t>India's predominantly vegetarian diet is low in vitamin B12, and long-term metformin further lowers B12; deficiency is associated with, and can mimic or worsen, diabetic neuropathy.</w:t>
            </w:r>
          </w:p>
          <w:p>
            <w:pPr>
              <w:spacing w:after="40" w:before="60" w:line="259" w:lineRule="auto"/>
            </w:pPr>
            <w:r>
              <w:rPr>
                <w:rFonts w:ascii="Calibri" w:hAnsi="Calibri"/>
                <w:b w:val="0"/>
                <w:i w:val="0"/>
                <w:color w:val="212121"/>
                <w:sz w:val="19"/>
              </w:rPr>
              <w:t>Metformin users had more vitamin B12 deficiency than placebo (4.3% vs 2.3% at 5 years), with low/borderline B12 in 19.1% vs 9.5%; low B12 was significantly associated with DPN in an Indian study (p = 0.008).</w:t>
            </w:r>
          </w:p>
          <w:p>
            <w:pPr>
              <w:spacing w:after="40" w:line="252" w:lineRule="auto"/>
            </w:pPr>
            <w:hyperlink r:id="rId16">
              <w:r>
                <w:rPr>
                  <w:rFonts w:ascii="Calibri" w:hAnsi="Calibri" w:cs="Calibri"/>
                  <w:sz w:val="18"/>
                  <w:color w:val="1155CC"/>
                  <w:u w:val="single"/>
                </w:rPr>
                <w:t xml:space="preserve">pubmed.ncbi.nlm.nih.gov/26900641 — metformin &amp; B12 (DPPOS)</w:t>
              </w:r>
            </w:hyperlink>
          </w:p>
          <w:p>
            <w:pPr>
              <w:spacing w:before="60" w:after="40"/>
            </w:pPr>
            <w:r>
              <w:rPr>
                <w:rFonts w:ascii="Calibri" w:hAnsi="Calibri"/>
                <w:b w:val="0"/>
                <w:i w:val="0"/>
                <w:color w:val="5A5A5A"/>
                <w:sz w:val="18"/>
              </w:rPr>
              <w:t>#vitaminB12  #metformin  #vegetarian  #micronutrient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 glycaemic-load diet</w:t>
            </w:r>
          </w:p>
        </w:tc>
        <w:tc>
          <w:tcPr>
            <w:tcW w:type="dxa" w:w="2160"/>
            <w:vAlign w:val="top"/>
          </w:tcPr>
          <w:p>
            <w:pPr>
              <w:spacing w:after="40" w:before="0" w:line="259" w:lineRule="auto"/>
            </w:pPr>
            <w:r>
              <w:rPr>
                <w:rFonts w:ascii="Calibri" w:hAnsi="Calibri"/>
                <w:b w:val="0"/>
                <w:i w:val="0"/>
                <w:color w:val="212121"/>
                <w:sz w:val="19"/>
              </w:rPr>
              <w:t>High refined-carbohydrate (white rice/wheat) intake</w:t>
            </w:r>
          </w:p>
        </w:tc>
        <w:tc>
          <w:tcPr>
            <w:tcW w:type="dxa" w:w="4276"/>
            <w:vAlign w:val="top"/>
          </w:tcPr>
          <w:p>
            <w:pPr>
              <w:spacing w:after="60" w:line="259" w:lineRule="auto"/>
            </w:pPr>
            <w:r>
              <w:rPr>
                <w:rFonts w:ascii="Calibri" w:hAnsi="Calibri"/>
                <w:b w:val="0"/>
                <w:i w:val="0"/>
                <w:color w:val="212121"/>
                <w:sz w:val="19"/>
              </w:rPr>
              <w:t>Diets dominated by polished rice, refined wheat and sugary foods raise postprandial glucose and long-term HbA1c, the cumulative exposure that damages nerves; low zinc intake may add to risk.</w:t>
            </w:r>
          </w:p>
          <w:p>
            <w:pPr>
              <w:spacing w:after="40" w:before="60" w:line="259" w:lineRule="auto"/>
            </w:pPr>
            <w:r>
              <w:rPr>
                <w:rFonts w:ascii="Calibri" w:hAnsi="Calibri"/>
                <w:b w:val="0"/>
                <w:i w:val="0"/>
                <w:color w:val="212121"/>
                <w:sz w:val="19"/>
              </w:rPr>
              <w:t>Low serum zinc was significantly associated with diabetic peripheral neuropathy (p = 0.02) in a North Indian study.</w:t>
            </w:r>
          </w:p>
          <w:p>
            <w:pPr>
              <w:spacing w:after="40" w:line="252" w:lineRule="auto"/>
            </w:pPr>
            <w:hyperlink r:id="rId17">
              <w:r>
                <w:rPr>
                  <w:rFonts w:ascii="Calibri" w:hAnsi="Calibri" w:cs="Calibri"/>
                  <w:sz w:val="18"/>
                  <w:color w:val="1155CC"/>
                  <w:u w:val="single"/>
                </w:rPr>
                <w:t xml:space="preserve">pubmed.ncbi.nlm.nih.gov/38881112 — micronutrients &amp; DPN</w:t>
              </w:r>
            </w:hyperlink>
          </w:p>
          <w:p>
            <w:pPr>
              <w:spacing w:before="60" w:after="40"/>
            </w:pPr>
            <w:r>
              <w:rPr>
                <w:rFonts w:ascii="Calibri" w:hAnsi="Calibri"/>
                <w:b w:val="0"/>
                <w:i w:val="0"/>
                <w:color w:val="5A5A5A"/>
                <w:sz w:val="18"/>
              </w:rPr>
              <w:t>#glycaemicload  #refinedcarbs  #zinc  #postprandial</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diabetes / microvascular complications</w:t>
            </w:r>
          </w:p>
        </w:tc>
        <w:tc>
          <w:tcPr>
            <w:tcW w:type="dxa" w:w="4276"/>
            <w:vAlign w:val="top"/>
          </w:tcPr>
          <w:p>
            <w:pPr>
              <w:spacing w:after="60" w:line="259" w:lineRule="auto"/>
            </w:pPr>
            <w:r>
              <w:rPr>
                <w:rFonts w:ascii="Calibri" w:hAnsi="Calibri"/>
                <w:b w:val="0"/>
                <w:i w:val="0"/>
                <w:color w:val="212121"/>
                <w:sz w:val="19"/>
              </w:rPr>
              <w:t>A familial tendency to type 2 diabetes and to microvascular complications means first-degree relatives develop diabetes earlier and are predisposed to parallel nerve, eye and kidney damage.</w:t>
            </w:r>
          </w:p>
          <w:p>
            <w:pPr>
              <w:spacing w:before="60" w:after="40"/>
            </w:pPr>
            <w:r>
              <w:rPr>
                <w:rFonts w:ascii="Calibri" w:hAnsi="Calibri"/>
                <w:b w:val="0"/>
                <w:i w:val="0"/>
                <w:color w:val="5A5A5A"/>
                <w:sz w:val="18"/>
              </w:rPr>
              <w:t>#familyhistory  #genetic  #microvascular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Stature</w:t>
            </w:r>
          </w:p>
        </w:tc>
        <w:tc>
          <w:tcPr>
            <w:tcW w:type="dxa" w:w="2160"/>
            <w:vAlign w:val="top"/>
          </w:tcPr>
          <w:p>
            <w:pPr>
              <w:spacing w:after="40" w:before="0" w:line="259" w:lineRule="auto"/>
            </w:pPr>
            <w:r>
              <w:rPr>
                <w:rFonts w:ascii="Calibri" w:hAnsi="Calibri"/>
                <w:b w:val="0"/>
                <w:i w:val="0"/>
                <w:color w:val="212121"/>
                <w:sz w:val="19"/>
              </w:rPr>
              <w:t>Taller individuals (longer peripheral nerves)</w:t>
            </w:r>
          </w:p>
        </w:tc>
        <w:tc>
          <w:tcPr>
            <w:tcW w:type="dxa" w:w="4276"/>
            <w:vAlign w:val="top"/>
          </w:tcPr>
          <w:p>
            <w:pPr>
              <w:spacing w:after="60" w:line="259" w:lineRule="auto"/>
            </w:pPr>
            <w:r>
              <w:rPr>
                <w:rFonts w:ascii="Calibri" w:hAnsi="Calibri"/>
                <w:b w:val="0"/>
                <w:i w:val="0"/>
                <w:color w:val="212121"/>
                <w:sz w:val="19"/>
              </w:rPr>
              <w:t>Because diabetic polyneuropathy is length-dependent, longer axons in taller people are exposed to more cumulative metabolic and ischaemic injury and are affected earlier.</w:t>
            </w:r>
          </w:p>
          <w:p>
            <w:pPr>
              <w:spacing w:before="60" w:after="40"/>
            </w:pPr>
            <w:r>
              <w:rPr>
                <w:rFonts w:ascii="Calibri" w:hAnsi="Calibri"/>
                <w:b w:val="0"/>
                <w:i w:val="0"/>
                <w:color w:val="5A5A5A"/>
                <w:sz w:val="18"/>
              </w:rPr>
              <w:t>#tallstature  #lengthdependent  #axonlength</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duration</w:t>
            </w:r>
          </w:p>
        </w:tc>
        <w:tc>
          <w:tcPr>
            <w:tcW w:type="dxa" w:w="2160"/>
            <w:vAlign w:val="top"/>
          </w:tcPr>
          <w:p>
            <w:pPr>
              <w:spacing w:after="40" w:before="0" w:line="259" w:lineRule="auto"/>
            </w:pPr>
            <w:r>
              <w:rPr>
                <w:rFonts w:ascii="Calibri" w:hAnsi="Calibri"/>
                <w:b w:val="0"/>
                <w:i w:val="0"/>
                <w:color w:val="212121"/>
                <w:sz w:val="19"/>
              </w:rPr>
              <w:t>Long-standing diabetes (≥ 10–15 years)</w:t>
            </w:r>
          </w:p>
        </w:tc>
        <w:tc>
          <w:tcPr>
            <w:tcW w:type="dxa" w:w="4276"/>
            <w:vAlign w:val="top"/>
          </w:tcPr>
          <w:p>
            <w:pPr>
              <w:spacing w:after="60" w:line="259" w:lineRule="auto"/>
            </w:pPr>
            <w:r>
              <w:rPr>
                <w:rFonts w:ascii="Calibri" w:hAnsi="Calibri"/>
                <w:b w:val="0"/>
                <w:i w:val="0"/>
                <w:color w:val="212121"/>
                <w:sz w:val="19"/>
              </w:rPr>
              <w:t>Duration of diabetes is one of the strongest determinants of neuropathy; risk climbs steeply the longer a person lives with hyperglycaemia.</w:t>
            </w:r>
          </w:p>
          <w:p>
            <w:pPr>
              <w:spacing w:after="40" w:before="60" w:line="259" w:lineRule="auto"/>
            </w:pPr>
            <w:r>
              <w:rPr>
                <w:rFonts w:ascii="Calibri" w:hAnsi="Calibri"/>
                <w:b w:val="0"/>
                <w:i w:val="0"/>
                <w:color w:val="212121"/>
                <w:sz w:val="19"/>
              </w:rPr>
              <w:t>In CURES-55, having diabetes for ≥ 15 years increased the odds of neuropathy about 5.7-fold (95% CI 3.52–9.08, P &lt; 0.0001).</w:t>
            </w:r>
          </w:p>
          <w:p>
            <w:pPr>
              <w:spacing w:after="40" w:line="252" w:lineRule="auto"/>
            </w:pPr>
            <w:hyperlink r:id="rId11">
              <w:r>
                <w:rPr>
                  <w:rFonts w:ascii="Calibri" w:hAnsi="Calibri" w:cs="Calibri"/>
                  <w:sz w:val="18"/>
                  <w:color w:val="1155CC"/>
                  <w:u w:val="single"/>
                </w:rPr>
                <w:t xml:space="preserve">pubmed.ncbi.nlm.nih.gov/18294224 — CURES-55</w:t>
              </w:r>
            </w:hyperlink>
          </w:p>
          <w:p>
            <w:pPr>
              <w:spacing w:before="60" w:after="40"/>
            </w:pPr>
            <w:r>
              <w:rPr>
                <w:rFonts w:ascii="Calibri" w:hAnsi="Calibri"/>
                <w:b w:val="0"/>
                <w:i w:val="0"/>
                <w:color w:val="5A5A5A"/>
                <w:sz w:val="18"/>
              </w:rPr>
              <w:t>#duration  #longstanding  #cumulativerisk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Coexisting microvascular disease</w:t>
            </w:r>
          </w:p>
        </w:tc>
        <w:tc>
          <w:tcPr>
            <w:tcW w:type="dxa" w:w="2160"/>
            <w:vAlign w:val="top"/>
          </w:tcPr>
          <w:p>
            <w:pPr>
              <w:spacing w:after="40" w:before="0" w:line="259" w:lineRule="auto"/>
            </w:pPr>
            <w:r>
              <w:rPr>
                <w:rFonts w:ascii="Calibri" w:hAnsi="Calibri"/>
                <w:b w:val="0"/>
                <w:i w:val="0"/>
                <w:color w:val="212121"/>
                <w:sz w:val="19"/>
              </w:rPr>
              <w:t>Diabetic retinopathy and/or nephropathy</w:t>
            </w:r>
          </w:p>
        </w:tc>
        <w:tc>
          <w:tcPr>
            <w:tcW w:type="dxa" w:w="4276"/>
            <w:vAlign w:val="top"/>
          </w:tcPr>
          <w:p>
            <w:pPr>
              <w:spacing w:after="60" w:line="259" w:lineRule="auto"/>
            </w:pPr>
            <w:r>
              <w:rPr>
                <w:rFonts w:ascii="Calibri" w:hAnsi="Calibri"/>
                <w:b w:val="0"/>
                <w:i w:val="0"/>
                <w:color w:val="212121"/>
                <w:sz w:val="19"/>
              </w:rPr>
              <w:t>Retinopathy, nephropathy and neuropathy share the same hyperglycaemia-driven microangiopathy, so the presence of one strongly predicts the others.</w:t>
            </w:r>
          </w:p>
          <w:p>
            <w:pPr>
              <w:spacing w:after="40" w:line="252" w:lineRule="auto"/>
            </w:pPr>
            <w:hyperlink r:id="rId18">
              <w:r>
                <w:rPr>
                  <w:rFonts w:ascii="Calibri" w:hAnsi="Calibri" w:cs="Calibri"/>
                  <w:sz w:val="18"/>
                  <w:color w:val="1155CC"/>
                  <w:u w:val="single"/>
                </w:rPr>
                <w:t xml:space="preserve">pubmed.ncbi.nlm.nih.gov/31197183 — diabetic neuropathy (primer)</w:t>
              </w:r>
            </w:hyperlink>
          </w:p>
          <w:p>
            <w:pPr>
              <w:spacing w:before="60" w:after="40"/>
            </w:pPr>
            <w:r>
              <w:rPr>
                <w:rFonts w:ascii="Calibri" w:hAnsi="Calibri"/>
                <w:b w:val="0"/>
                <w:i w:val="0"/>
                <w:color w:val="5A5A5A"/>
                <w:sz w:val="18"/>
              </w:rPr>
              <w:t>#retinopathy  #nephropathy  #microangiopathy  #shared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Peripheral arterial disease / hypertension</w:t>
            </w:r>
          </w:p>
        </w:tc>
        <w:tc>
          <w:tcPr>
            <w:tcW w:type="dxa" w:w="2160"/>
            <w:vAlign w:val="top"/>
          </w:tcPr>
          <w:p>
            <w:pPr>
              <w:spacing w:after="40" w:before="0" w:line="259" w:lineRule="auto"/>
            </w:pPr>
            <w:r>
              <w:rPr>
                <w:rFonts w:ascii="Calibri" w:hAnsi="Calibri"/>
                <w:b w:val="0"/>
                <w:i w:val="0"/>
                <w:color w:val="212121"/>
                <w:sz w:val="19"/>
              </w:rPr>
              <w:t>Coexisting PAD or hypertension</w:t>
            </w:r>
          </w:p>
        </w:tc>
        <w:tc>
          <w:tcPr>
            <w:tcW w:type="dxa" w:w="4276"/>
            <w:vAlign w:val="top"/>
          </w:tcPr>
          <w:p>
            <w:pPr>
              <w:spacing w:after="60" w:line="259" w:lineRule="auto"/>
            </w:pPr>
            <w:r>
              <w:rPr>
                <w:rFonts w:ascii="Calibri" w:hAnsi="Calibri"/>
                <w:b w:val="0"/>
                <w:i w:val="0"/>
                <w:color w:val="212121"/>
                <w:sz w:val="19"/>
              </w:rPr>
              <w:t>Large-vessel ischaemia and hypertension compound microvascular nerve injury and, in the insensate foot, sharply increase the risk of ulceration and amputation.</w:t>
            </w:r>
          </w:p>
          <w:p>
            <w:pPr>
              <w:spacing w:before="60" w:after="40"/>
            </w:pPr>
            <w:r>
              <w:rPr>
                <w:rFonts w:ascii="Calibri" w:hAnsi="Calibri"/>
                <w:b w:val="0"/>
                <w:i w:val="0"/>
                <w:color w:val="5A5A5A"/>
                <w:sz w:val="18"/>
              </w:rPr>
              <w:t>#PAD  #hypertension  #ischaemia  #footrisk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B12 deficiency</w:t>
            </w:r>
          </w:p>
        </w:tc>
        <w:tc>
          <w:tcPr>
            <w:tcW w:type="dxa" w:w="2160"/>
            <w:vAlign w:val="top"/>
          </w:tcPr>
          <w:p>
            <w:pPr>
              <w:spacing w:after="40" w:before="0" w:line="259" w:lineRule="auto"/>
            </w:pPr>
            <w:r>
              <w:rPr>
                <w:rFonts w:ascii="Calibri" w:hAnsi="Calibri"/>
                <w:b w:val="0"/>
                <w:i w:val="0"/>
                <w:color w:val="212121"/>
                <w:sz w:val="19"/>
              </w:rPr>
              <w:t>Patients with low vitamin B12</w:t>
            </w:r>
          </w:p>
        </w:tc>
        <w:tc>
          <w:tcPr>
            <w:tcW w:type="dxa" w:w="4276"/>
            <w:vAlign w:val="top"/>
          </w:tcPr>
          <w:p>
            <w:pPr>
              <w:spacing w:after="60" w:line="259" w:lineRule="auto"/>
            </w:pPr>
            <w:r>
              <w:rPr>
                <w:rFonts w:ascii="Calibri" w:hAnsi="Calibri"/>
                <w:b w:val="0"/>
                <w:i w:val="0"/>
                <w:color w:val="212121"/>
                <w:sz w:val="19"/>
              </w:rPr>
              <w:t>B12 deficiency causes its own sensory neuropathy and, when it coexists with diabetes, worsens and confounds DPN — an easily missed, treatable contributor.</w:t>
            </w:r>
          </w:p>
          <w:p>
            <w:pPr>
              <w:spacing w:after="40" w:before="60" w:line="259" w:lineRule="auto"/>
            </w:pPr>
            <w:r>
              <w:rPr>
                <w:rFonts w:ascii="Calibri" w:hAnsi="Calibri"/>
                <w:b w:val="0"/>
                <w:i w:val="0"/>
                <w:color w:val="212121"/>
                <w:sz w:val="19"/>
              </w:rPr>
              <w:t>Low vitamin B12 was significantly associated with diabetic peripheral neuropathy (p = 0.008) in a North Indian study of type 2 diabetics.</w:t>
            </w:r>
          </w:p>
          <w:p>
            <w:pPr>
              <w:spacing w:after="40" w:line="252" w:lineRule="auto"/>
            </w:pPr>
            <w:hyperlink r:id="rId17">
              <w:r>
                <w:rPr>
                  <w:rFonts w:ascii="Calibri" w:hAnsi="Calibri" w:cs="Calibri"/>
                  <w:sz w:val="18"/>
                  <w:color w:val="1155CC"/>
                  <w:u w:val="single"/>
                </w:rPr>
                <w:t xml:space="preserve">pubmed.ncbi.nlm.nih.gov/38881112 — micronutrients &amp; DPN</w:t>
              </w:r>
            </w:hyperlink>
          </w:p>
          <w:p>
            <w:pPr>
              <w:spacing w:before="60" w:after="40"/>
            </w:pPr>
            <w:r>
              <w:rPr>
                <w:rFonts w:ascii="Calibri" w:hAnsi="Calibri"/>
                <w:b w:val="0"/>
                <w:i w:val="0"/>
                <w:color w:val="5A5A5A"/>
                <w:sz w:val="18"/>
              </w:rPr>
              <w:t>#B12deficiency  #treatable  #confounder  #sensory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worsens hyperglycaemia, insulin resistance and nerve microcirculation. Structured aerobic, resistance and balance training reduces neuropathic symptoms and improves nerve function and cutaneous nerve-fibre density in people with DPN, and lowers fall and ulcer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glycaemic-load, refined-carbohydrate diets raise cumulative glycaemia (HbA1c), the central driver of nerve injury. Low vitamin B12 (vegetarian diets, metformin) and low zinc are independently associated with diabetic peripheral neuropathy in Indian studies.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Painful DPN disrupts sleep, and poor/short sleep and obstructive sleep apnoea worsen glycaemic control and are linked to microvascular complications — a bidirectional pain–sleep loop.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causes vasoconstriction and endothelial injury that reduce nerve blood flow; a history of smoking was strongly associated with DPN (OR 5.8) in a South Indian study, and it accelerates foot complications.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alcohol is directly axonotoxic and causes thiamine and B-vitamin deficiency, producing an additive length-dependent neuropathy that compounds diabetic nerve damage.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anxiety are markedly more common with painful diabetic neuropathy, amplify pain perception and impair self-care and glycaemic control — a bidirectional relationship.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direct role in causing nerve injury, though adequate fluid intake helps limit orthostatic (postural) symptoms in autonomic neuropathy.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effect on nerve damage; excess caffeine may transiently worsen palpitations or orthostatic symptoms in those with cardiovascular autonomic neuropathy.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Daily foot hygiene, inspection, moisturising and correctly fitting footwear prevent ulcers and infection in the insensate foot; poor foot care is the main avoidable pathway to diabetic foot ulceration and amputation.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Rapid glycaemic correction can precipitate treatment-induced neuropathy of diabetes; in the insensate foot, unnoticed trauma, tight or new footwear, hot water, walking barefoot and thermal burns commonly precipitate ulceration.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Prolonged pressure or immobility risks pressure injury in insensate limbs, and orthostatic (postural) hypotension on standing is a hallmark of cardiovascular autonomic neuropathy.</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Glycated haemoglobin (HbA1c)</w:t>
            </w:r>
          </w:p>
        </w:tc>
        <w:tc>
          <w:tcPr>
            <w:tcW w:type="dxa" w:w="1655"/>
            <w:vAlign w:val="top"/>
          </w:tcPr>
          <w:p>
            <w:pPr>
              <w:spacing w:after="40" w:before="0" w:line="259" w:lineRule="auto"/>
            </w:pPr>
            <w:r>
              <w:rPr>
                <w:rFonts w:ascii="Calibri" w:hAnsi="Calibri"/>
                <w:b w:val="0"/>
                <w:i w:val="0"/>
                <w:color w:val="212121"/>
                <w:sz w:val="19"/>
              </w:rPr>
              <w:t>All people with diabetes</w:t>
            </w:r>
          </w:p>
        </w:tc>
        <w:tc>
          <w:tcPr>
            <w:tcW w:type="dxa" w:w="1512"/>
            <w:vAlign w:val="top"/>
          </w:tcPr>
          <w:p>
            <w:pPr>
              <w:spacing w:after="40" w:before="0" w:line="259" w:lineRule="auto"/>
            </w:pPr>
            <w:r>
              <w:rPr>
                <w:rFonts w:ascii="Calibri" w:hAnsi="Calibri"/>
                <w:b w:val="0"/>
                <w:i w:val="0"/>
                <w:color w:val="212121"/>
                <w:sz w:val="19"/>
              </w:rPr>
              <w:t>&lt; 7.0% (individualised)</w:t>
            </w:r>
          </w:p>
        </w:tc>
        <w:tc>
          <w:tcPr>
            <w:tcW w:type="dxa" w:w="1512"/>
            <w:vAlign w:val="top"/>
          </w:tcPr>
          <w:p>
            <w:pPr>
              <w:spacing w:after="40" w:before="0" w:line="259" w:lineRule="auto"/>
            </w:pPr>
            <w:r>
              <w:rPr>
                <w:rFonts w:ascii="Calibri" w:hAnsi="Calibri"/>
                <w:b w:val="0"/>
                <w:i w:val="0"/>
                <w:color w:val="212121"/>
                <w:sz w:val="19"/>
              </w:rPr>
              <w:t>≥ 7.0% (and rising cumulative exposure)</w:t>
            </w:r>
          </w:p>
        </w:tc>
        <w:tc>
          <w:tcPr>
            <w:tcW w:type="dxa" w:w="1468"/>
            <w:vAlign w:val="top"/>
          </w:tcPr>
          <w:p>
            <w:pPr>
              <w:spacing w:after="60" w:line="259" w:lineRule="auto"/>
            </w:pPr>
            <w:r>
              <w:rPr>
                <w:rFonts w:ascii="Calibri" w:hAnsi="Calibri"/>
                <w:b w:val="0"/>
                <w:i w:val="0"/>
                <w:color w:val="212121"/>
                <w:sz w:val="19"/>
              </w:rPr>
              <w:t>Cumulative glycaemia is the main modifiable driver of DPN; better control reduces incidence.</w:t>
            </w:r>
          </w:p>
          <w:p>
            <w:pPr>
              <w:spacing w:after="40" w:line="252" w:lineRule="auto"/>
            </w:pPr>
            <w:hyperlink r:id="rId15">
              <w:r>
                <w:rPr>
                  <w:rFonts w:ascii="Calibri" w:hAnsi="Calibri" w:cs="Calibri"/>
                  <w:sz w:val="18"/>
                  <w:color w:val="1155CC"/>
                  <w:u w:val="single"/>
                </w:rPr>
                <w:t xml:space="preserve">https://pubmed.ncbi.nlm.nih.gov/22696371/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w:t>
            </w:r>
          </w:p>
        </w:tc>
        <w:tc>
          <w:tcPr>
            <w:tcW w:type="dxa" w:w="1655"/>
            <w:vAlign w:val="top"/>
          </w:tcPr>
          <w:p>
            <w:pPr>
              <w:spacing w:after="40" w:before="0" w:line="259" w:lineRule="auto"/>
            </w:pPr>
            <w:r>
              <w:rPr>
                <w:rFonts w:ascii="Calibri" w:hAnsi="Calibri"/>
                <w:b w:val="0"/>
                <w:i w:val="0"/>
                <w:color w:val="212121"/>
                <w:sz w:val="19"/>
              </w:rPr>
              <w:t>Vegetarians, long-term metformin users, elderly</w:t>
            </w:r>
          </w:p>
        </w:tc>
        <w:tc>
          <w:tcPr>
            <w:tcW w:type="dxa" w:w="1512"/>
            <w:vAlign w:val="top"/>
          </w:tcPr>
          <w:p>
            <w:pPr>
              <w:spacing w:after="40" w:before="0" w:line="259" w:lineRule="auto"/>
            </w:pPr>
            <w:r>
              <w:rPr>
                <w:rFonts w:ascii="Calibri" w:hAnsi="Calibri"/>
                <w:b w:val="0"/>
                <w:i w:val="0"/>
                <w:color w:val="212121"/>
                <w:sz w:val="19"/>
              </w:rPr>
              <w:t>&gt; 300 pg/mL</w:t>
            </w:r>
          </w:p>
        </w:tc>
        <w:tc>
          <w:tcPr>
            <w:tcW w:type="dxa" w:w="1512"/>
            <w:vAlign w:val="top"/>
          </w:tcPr>
          <w:p>
            <w:pPr>
              <w:spacing w:after="40" w:before="0" w:line="259" w:lineRule="auto"/>
            </w:pPr>
            <w:r>
              <w:rPr>
                <w:rFonts w:ascii="Calibri" w:hAnsi="Calibri"/>
                <w:b w:val="0"/>
                <w:i w:val="0"/>
                <w:color w:val="212121"/>
                <w:sz w:val="19"/>
              </w:rPr>
              <w:t>&lt; 200 pg/mL (borderline 200–300)</w:t>
            </w:r>
          </w:p>
        </w:tc>
        <w:tc>
          <w:tcPr>
            <w:tcW w:type="dxa" w:w="1468"/>
            <w:vAlign w:val="top"/>
          </w:tcPr>
          <w:p>
            <w:pPr>
              <w:spacing w:after="60" w:line="259" w:lineRule="auto"/>
            </w:pPr>
            <w:r>
              <w:rPr>
                <w:rFonts w:ascii="Calibri" w:hAnsi="Calibri"/>
                <w:b w:val="0"/>
                <w:i w:val="0"/>
                <w:color w:val="212121"/>
                <w:sz w:val="19"/>
              </w:rPr>
              <w:t>Low B12 mimics/worsens DPN; metformin lowers B12 — test and replace.</w:t>
            </w:r>
          </w:p>
          <w:p>
            <w:pPr>
              <w:spacing w:after="40" w:line="252" w:lineRule="auto"/>
            </w:pPr>
            <w:hyperlink r:id="rId16">
              <w:r>
                <w:rPr>
                  <w:rFonts w:ascii="Calibri" w:hAnsi="Calibri" w:cs="Calibri"/>
                  <w:sz w:val="18"/>
                  <w:color w:val="1155CC"/>
                  <w:u w:val="single"/>
                </w:rPr>
                <w:t xml:space="preserve">https://pubmed.ncbi.nlm.nih.gov/26900641/</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 150 min/week + resistance 2–3 days</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Exercise improves nerve function and cutaneous innervation and reduces symptoms.</w:t>
            </w:r>
          </w:p>
          <w:p>
            <w:pPr>
              <w:spacing w:after="40" w:line="252" w:lineRule="auto"/>
            </w:pPr>
            <w:hyperlink r:id="rId14">
              <w:r>
                <w:rPr>
                  <w:rFonts w:ascii="Calibri" w:hAnsi="Calibri" w:cs="Calibri"/>
                  <w:sz w:val="18"/>
                  <w:color w:val="1155CC"/>
                  <w:u w:val="single"/>
                </w:rPr>
                <w:t xml:space="preserve">https://pubmed.ncbi.nlm.nih.gov/22717465/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Obesity drives lipotoxic/inflammatory nerve injury.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0 (non-user)</w:t>
            </w:r>
          </w:p>
        </w:tc>
        <w:tc>
          <w:tcPr>
            <w:tcW w:type="dxa" w:w="1512"/>
            <w:vAlign w:val="top"/>
          </w:tcPr>
          <w:p>
            <w:pPr>
              <w:spacing w:after="40" w:before="0" w:line="259" w:lineRule="auto"/>
            </w:pPr>
            <w:r>
              <w:rPr>
                <w:rFonts w:ascii="Calibri" w:hAnsi="Calibri"/>
                <w:b w:val="0"/>
                <w:i w:val="0"/>
                <w:color w:val="212121"/>
                <w:sz w:val="19"/>
              </w:rPr>
              <w:t>≥ 1 cigarette/bidi/day or any smokeless tobacco</w:t>
            </w:r>
          </w:p>
        </w:tc>
        <w:tc>
          <w:tcPr>
            <w:tcW w:type="dxa" w:w="1468"/>
            <w:vAlign w:val="top"/>
          </w:tcPr>
          <w:p>
            <w:pPr>
              <w:spacing w:after="60" w:line="259" w:lineRule="auto"/>
            </w:pPr>
            <w:r>
              <w:rPr>
                <w:rFonts w:ascii="Calibri" w:hAnsi="Calibri"/>
                <w:b w:val="0"/>
                <w:i w:val="0"/>
                <w:color w:val="212121"/>
                <w:sz w:val="19"/>
              </w:rPr>
              <w:t>Smoking (OR ~5.8) accelerates ischaemic nerve and foot damage.</w:t>
            </w:r>
          </w:p>
          <w:p>
            <w:pPr>
              <w:spacing w:after="40" w:line="252" w:lineRule="auto"/>
            </w:pPr>
            <w:hyperlink r:id="rId10">
              <w:r>
                <w:rPr>
                  <w:rFonts w:ascii="Calibri" w:hAnsi="Calibri" w:cs="Calibri"/>
                  <w:sz w:val="18"/>
                  <w:color w:val="1155CC"/>
                  <w:u w:val="single"/>
                </w:rPr>
                <w:t xml:space="preserve">https://pubmed.ncbi.nlm.nih.gov/26425491/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(standard drinks/week)</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0 / occasional</w:t>
            </w:r>
          </w:p>
        </w:tc>
        <w:tc>
          <w:tcPr>
            <w:tcW w:type="dxa" w:w="1512"/>
            <w:vAlign w:val="top"/>
          </w:tcPr>
          <w:p>
            <w:pPr>
              <w:spacing w:after="40" w:before="0" w:line="259" w:lineRule="auto"/>
            </w:pPr>
            <w:r>
              <w:rPr>
                <w:rFonts w:ascii="Calibri" w:hAnsi="Calibri"/>
                <w:b w:val="0"/>
                <w:i w:val="0"/>
                <w:color w:val="212121"/>
                <w:sz w:val="19"/>
              </w:rPr>
              <w:t>Regular or &gt; 14 drinks/week</w:t>
            </w:r>
          </w:p>
        </w:tc>
        <w:tc>
          <w:tcPr>
            <w:tcW w:type="dxa" w:w="1468"/>
            <w:vAlign w:val="top"/>
          </w:tcPr>
          <w:p>
            <w:pPr>
              <w:spacing w:after="40" w:before="0" w:line="259" w:lineRule="auto"/>
            </w:pPr>
            <w:r>
              <w:rPr>
                <w:rFonts w:ascii="Calibri" w:hAnsi="Calibri"/>
                <w:b w:val="0"/>
                <w:i w:val="0"/>
                <w:color w:val="212121"/>
                <w:sz w:val="19"/>
              </w:rPr>
              <w:t>Additive axonal toxicity and thiamine deficiency.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esp. painful DPN</w:t>
            </w:r>
          </w:p>
        </w:tc>
        <w:tc>
          <w:tcPr>
            <w:tcW w:type="dxa" w:w="1512"/>
            <w:vAlign w:val="top"/>
          </w:tcPr>
          <w:p>
            <w:pPr>
              <w:spacing w:after="40" w:before="0" w:line="259" w:lineRule="auto"/>
            </w:pPr>
            <w:r>
              <w:rPr>
                <w:rFonts w:ascii="Calibri" w:hAnsi="Calibri"/>
                <w:b w:val="0"/>
                <w:i w:val="0"/>
                <w:color w:val="212121"/>
                <w:sz w:val="19"/>
              </w:rPr>
              <w:t>7–9 hours</w:t>
            </w:r>
          </w:p>
        </w:tc>
        <w:tc>
          <w:tcPr>
            <w:tcW w:type="dxa" w:w="1512"/>
            <w:vAlign w:val="top"/>
          </w:tcPr>
          <w:p>
            <w:pPr>
              <w:spacing w:after="40" w:before="0" w:line="259" w:lineRule="auto"/>
            </w:pPr>
            <w:r>
              <w:rPr>
                <w:rFonts w:ascii="Calibri" w:hAnsi="Calibri"/>
                <w:b w:val="0"/>
                <w:i w:val="0"/>
                <w:color w:val="212121"/>
                <w:sz w:val="19"/>
              </w:rPr>
              <w:t>&lt; 6 or &gt; 9 hours; untreated OSA</w:t>
            </w:r>
          </w:p>
        </w:tc>
        <w:tc>
          <w:tcPr>
            <w:tcW w:type="dxa" w:w="1468"/>
            <w:vAlign w:val="top"/>
          </w:tcPr>
          <w:p>
            <w:pPr>
              <w:spacing w:after="40" w:before="0" w:line="259" w:lineRule="auto"/>
            </w:pPr>
            <w:r>
              <w:rPr>
                <w:rFonts w:ascii="Calibri" w:hAnsi="Calibri"/>
                <w:b w:val="0"/>
                <w:i w:val="0"/>
                <w:color w:val="212121"/>
                <w:sz w:val="19"/>
              </w:rPr>
              <w:t>Poor sleep worsens glycaemia and pain; pain worsens sleep.</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depression score</w:t>
            </w:r>
          </w:p>
        </w:tc>
        <w:tc>
          <w:tcPr>
            <w:tcW w:type="dxa" w:w="1655"/>
            <w:vAlign w:val="top"/>
          </w:tcPr>
          <w:p>
            <w:pPr>
              <w:spacing w:after="40" w:before="0" w:line="259" w:lineRule="auto"/>
            </w:pPr>
            <w:r>
              <w:rPr>
                <w:rFonts w:ascii="Calibri" w:hAnsi="Calibri"/>
                <w:b w:val="0"/>
                <w:i w:val="0"/>
                <w:color w:val="212121"/>
                <w:sz w:val="19"/>
              </w:rPr>
              <w:t>Painful DPN, chronic pain</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 (moderate depression)</w:t>
            </w:r>
          </w:p>
        </w:tc>
        <w:tc>
          <w:tcPr>
            <w:tcW w:type="dxa" w:w="1468"/>
            <w:vAlign w:val="top"/>
          </w:tcPr>
          <w:p>
            <w:pPr>
              <w:spacing w:after="40" w:before="0" w:line="259" w:lineRule="auto"/>
            </w:pPr>
            <w:r>
              <w:rPr>
                <w:rFonts w:ascii="Calibri" w:hAnsi="Calibri"/>
                <w:b w:val="0"/>
                <w:i w:val="0"/>
                <w:color w:val="212121"/>
                <w:sz w:val="19"/>
              </w:rPr>
              <w:t>Depression amplifies pain and undermines self-care/glycaemic control.</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Vibration perception threshold (biothesiometry)</w:t>
            </w:r>
          </w:p>
        </w:tc>
        <w:tc>
          <w:tcPr>
            <w:tcW w:type="dxa" w:w="1655"/>
            <w:vAlign w:val="top"/>
          </w:tcPr>
          <w:p>
            <w:pPr>
              <w:spacing w:after="40" w:before="0" w:line="259" w:lineRule="auto"/>
            </w:pPr>
            <w:r>
              <w:rPr>
                <w:rFonts w:ascii="Calibri" w:hAnsi="Calibri"/>
                <w:b w:val="0"/>
                <w:i w:val="0"/>
                <w:color w:val="212121"/>
                <w:sz w:val="19"/>
              </w:rPr>
              <w:t>Feet of people with diabetes</w:t>
            </w:r>
          </w:p>
        </w:tc>
        <w:tc>
          <w:tcPr>
            <w:tcW w:type="dxa" w:w="1512"/>
            <w:vAlign w:val="top"/>
          </w:tcPr>
          <w:p>
            <w:pPr>
              <w:spacing w:after="40" w:before="0" w:line="259" w:lineRule="auto"/>
            </w:pPr>
            <w:r>
              <w:rPr>
                <w:rFonts w:ascii="Calibri" w:hAnsi="Calibri"/>
                <w:b w:val="0"/>
                <w:i w:val="0"/>
                <w:color w:val="212121"/>
                <w:sz w:val="19"/>
              </w:rPr>
              <w:t>&lt; 15 volts</w:t>
            </w:r>
          </w:p>
        </w:tc>
        <w:tc>
          <w:tcPr>
            <w:tcW w:type="dxa" w:w="1512"/>
            <w:vAlign w:val="top"/>
          </w:tcPr>
          <w:p>
            <w:pPr>
              <w:spacing w:after="40" w:before="0" w:line="259" w:lineRule="auto"/>
            </w:pPr>
            <w:r>
              <w:rPr>
                <w:rFonts w:ascii="Calibri" w:hAnsi="Calibri"/>
                <w:b w:val="0"/>
                <w:i w:val="0"/>
                <w:color w:val="212121"/>
                <w:sz w:val="19"/>
              </w:rPr>
              <w:t>≥ 25 volts (high ulcer risk)</w:t>
            </w:r>
          </w:p>
        </w:tc>
        <w:tc>
          <w:tcPr>
            <w:tcW w:type="dxa" w:w="1468"/>
            <w:vAlign w:val="top"/>
          </w:tcPr>
          <w:p>
            <w:pPr>
              <w:spacing w:after="60" w:line="259" w:lineRule="auto"/>
            </w:pPr>
            <w:r>
              <w:rPr>
                <w:rFonts w:ascii="Calibri" w:hAnsi="Calibri"/>
                <w:b w:val="0"/>
                <w:i w:val="0"/>
                <w:color w:val="212121"/>
                <w:sz w:val="19"/>
              </w:rPr>
              <w:t>Objectively grades large-fibre loss and foot-ulcer risk.</w:t>
            </w:r>
          </w:p>
          <w:p>
            <w:pPr>
              <w:spacing w:after="40" w:line="252" w:lineRule="auto"/>
            </w:pPr>
            <w:hyperlink r:id="rId11">
              <w:r>
                <w:rPr>
                  <w:rFonts w:ascii="Calibri" w:hAnsi="Calibri" w:cs="Calibri"/>
                  <w:sz w:val="18"/>
                  <w:color w:val="1155CC"/>
                  <w:u w:val="single"/>
                </w:rPr>
                <w:t xml:space="preserve">https://pubmed.ncbi.nlm.nih.gov/18294224/</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10 g monofilament sites perceived (of 10)</w:t>
            </w:r>
          </w:p>
        </w:tc>
        <w:tc>
          <w:tcPr>
            <w:tcW w:type="dxa" w:w="1655"/>
            <w:vAlign w:val="top"/>
          </w:tcPr>
          <w:p>
            <w:pPr>
              <w:spacing w:after="40" w:before="0" w:line="259" w:lineRule="auto"/>
            </w:pPr>
            <w:r>
              <w:rPr>
                <w:rFonts w:ascii="Calibri" w:hAnsi="Calibri"/>
                <w:b w:val="0"/>
                <w:i w:val="0"/>
                <w:color w:val="212121"/>
                <w:sz w:val="19"/>
              </w:rPr>
              <w:t>Feet of people with diabetes</w:t>
            </w:r>
          </w:p>
        </w:tc>
        <w:tc>
          <w:tcPr>
            <w:tcW w:type="dxa" w:w="1512"/>
            <w:vAlign w:val="top"/>
          </w:tcPr>
          <w:p>
            <w:pPr>
              <w:spacing w:after="40" w:before="0" w:line="259" w:lineRule="auto"/>
            </w:pPr>
            <w:r>
              <w:rPr>
                <w:rFonts w:ascii="Calibri" w:hAnsi="Calibri"/>
                <w:b w:val="0"/>
                <w:i w:val="0"/>
                <w:color w:val="212121"/>
                <w:sz w:val="19"/>
              </w:rPr>
              <w:t>All sites felt</w:t>
            </w:r>
          </w:p>
        </w:tc>
        <w:tc>
          <w:tcPr>
            <w:tcW w:type="dxa" w:w="1512"/>
            <w:vAlign w:val="top"/>
          </w:tcPr>
          <w:p>
            <w:pPr>
              <w:spacing w:after="40" w:before="0" w:line="259" w:lineRule="auto"/>
            </w:pPr>
            <w:r>
              <w:rPr>
                <w:rFonts w:ascii="Calibri" w:hAnsi="Calibri"/>
                <w:b w:val="0"/>
                <w:i w:val="0"/>
                <w:color w:val="212121"/>
                <w:sz w:val="19"/>
              </w:rPr>
              <w:t>Any insensate site (loss of protective sensation)</w:t>
            </w:r>
          </w:p>
        </w:tc>
        <w:tc>
          <w:tcPr>
            <w:tcW w:type="dxa" w:w="1468"/>
            <w:vAlign w:val="top"/>
          </w:tcPr>
          <w:p>
            <w:pPr>
              <w:spacing w:after="60" w:line="259" w:lineRule="auto"/>
            </w:pPr>
            <w:r>
              <w:rPr>
                <w:rFonts w:ascii="Calibri" w:hAnsi="Calibri"/>
                <w:b w:val="0"/>
                <w:i w:val="0"/>
                <w:color w:val="212121"/>
                <w:sz w:val="19"/>
              </w:rPr>
              <w:t>Loss of protective sensation mandates daily foot care and protective footwear.</w:t>
            </w:r>
          </w:p>
          <w:p>
            <w:pPr>
              <w:spacing w:after="40" w:line="252" w:lineRule="auto"/>
            </w:pPr>
            <w:hyperlink r:id="rId9">
              <w:r>
                <w:rPr>
                  <w:rFonts w:ascii="Calibri" w:hAnsi="Calibri" w:cs="Calibri"/>
                  <w:sz w:val="18"/>
                  <w:color w:val="1155CC"/>
                  <w:u w:val="single"/>
                </w:rPr>
                <w:t xml:space="preserve">https://www.niddk.nih.gov/health-information/diabetes/overview/preventing-problems/nerve-damage-diabetic-neuropathies</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serum triglycerides</w:t>
            </w:r>
          </w:p>
        </w:tc>
        <w:tc>
          <w:tcPr>
            <w:tcW w:type="dxa" w:w="1655"/>
            <w:vAlign w:val="top"/>
          </w:tcPr>
          <w:p>
            <w:pPr>
              <w:spacing w:after="40" w:before="0" w:line="259" w:lineRule="auto"/>
            </w:pPr>
            <w:r>
              <w:rPr>
                <w:rFonts w:ascii="Calibri" w:hAnsi="Calibri"/>
                <w:b w:val="0"/>
                <w:i w:val="0"/>
                <w:color w:val="212121"/>
                <w:sz w:val="19"/>
              </w:rPr>
              <w:t>Metabolic syndrome, obese diabetics</w:t>
            </w:r>
          </w:p>
        </w:tc>
        <w:tc>
          <w:tcPr>
            <w:tcW w:type="dxa" w:w="1512"/>
            <w:vAlign w:val="top"/>
          </w:tcPr>
          <w:p>
            <w:pPr>
              <w:spacing w:after="40" w:before="0" w:line="259" w:lineRule="auto"/>
            </w:pPr>
            <w:r>
              <w:rPr>
                <w:rFonts w:ascii="Calibri" w:hAnsi="Calibri"/>
                <w:b w:val="0"/>
                <w:i w:val="0"/>
                <w:color w:val="212121"/>
                <w:sz w:val="19"/>
              </w:rPr>
              <w:t>&lt; 150 mg/dL</w:t>
            </w:r>
          </w:p>
        </w:tc>
        <w:tc>
          <w:tcPr>
            <w:tcW w:type="dxa" w:w="1512"/>
            <w:vAlign w:val="top"/>
          </w:tcPr>
          <w:p>
            <w:pPr>
              <w:spacing w:after="40" w:before="0" w:line="259" w:lineRule="auto"/>
            </w:pPr>
            <w:r>
              <w:rPr>
                <w:rFonts w:ascii="Calibri" w:hAnsi="Calibri"/>
                <w:b w:val="0"/>
                <w:i w:val="0"/>
                <w:color w:val="212121"/>
                <w:sz w:val="19"/>
              </w:rPr>
              <w:t>≥ 150 mg/dL</w:t>
            </w:r>
          </w:p>
        </w:tc>
        <w:tc>
          <w:tcPr>
            <w:tcW w:type="dxa" w:w="1468"/>
            <w:vAlign w:val="top"/>
          </w:tcPr>
          <w:p>
            <w:pPr>
              <w:spacing w:after="40" w:before="0" w:line="259" w:lineRule="auto"/>
            </w:pPr>
            <w:r>
              <w:rPr>
                <w:rFonts w:ascii="Calibri" w:hAnsi="Calibri"/>
                <w:b w:val="0"/>
                <w:i w:val="0"/>
                <w:color w:val="212121"/>
                <w:sz w:val="19"/>
              </w:rPr>
              <w:t>Dyslipidaemia contributes to lipotoxic nerve injury independent of glucose.</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Orthostatic blood-pressure drop</w:t>
            </w:r>
          </w:p>
        </w:tc>
        <w:tc>
          <w:tcPr>
            <w:tcW w:type="dxa" w:w="1655"/>
            <w:vAlign w:val="top"/>
          </w:tcPr>
          <w:p>
            <w:pPr>
              <w:spacing w:after="40" w:before="0" w:line="259" w:lineRule="auto"/>
            </w:pPr>
            <w:r>
              <w:rPr>
                <w:rFonts w:ascii="Calibri" w:hAnsi="Calibri"/>
                <w:b w:val="0"/>
                <w:i w:val="0"/>
                <w:color w:val="212121"/>
                <w:sz w:val="19"/>
              </w:rPr>
              <w:t>Suspected autonomic neuropathy</w:t>
            </w:r>
          </w:p>
        </w:tc>
        <w:tc>
          <w:tcPr>
            <w:tcW w:type="dxa" w:w="1512"/>
            <w:vAlign w:val="top"/>
          </w:tcPr>
          <w:p>
            <w:pPr>
              <w:spacing w:after="40" w:before="0" w:line="259" w:lineRule="auto"/>
            </w:pPr>
            <w:r>
              <w:rPr>
                <w:rFonts w:ascii="Calibri" w:hAnsi="Calibri"/>
                <w:b w:val="0"/>
                <w:i w:val="0"/>
                <w:color w:val="212121"/>
                <w:sz w:val="19"/>
              </w:rPr>
              <w:t>&lt; 20 mmHg systolic / &lt; 10 mmHg diastolic on standing</w:t>
            </w:r>
          </w:p>
        </w:tc>
        <w:tc>
          <w:tcPr>
            <w:tcW w:type="dxa" w:w="1512"/>
            <w:vAlign w:val="top"/>
          </w:tcPr>
          <w:p>
            <w:pPr>
              <w:spacing w:after="40" w:before="0" w:line="259" w:lineRule="auto"/>
            </w:pPr>
            <w:r>
              <w:rPr>
                <w:rFonts w:ascii="Calibri" w:hAnsi="Calibri"/>
                <w:b w:val="0"/>
                <w:i w:val="0"/>
                <w:color w:val="212121"/>
                <w:sz w:val="19"/>
              </w:rPr>
              <w:t>≥ 20/10 mmHg fall (with symptoms)</w:t>
            </w:r>
          </w:p>
        </w:tc>
        <w:tc>
          <w:tcPr>
            <w:tcW w:type="dxa" w:w="1468"/>
            <w:vAlign w:val="top"/>
          </w:tcPr>
          <w:p>
            <w:pPr>
              <w:spacing w:after="60" w:line="259" w:lineRule="auto"/>
            </w:pPr>
            <w:r>
              <w:rPr>
                <w:rFonts w:ascii="Calibri" w:hAnsi="Calibri"/>
                <w:b w:val="0"/>
                <w:i w:val="0"/>
                <w:color w:val="212121"/>
                <w:sz w:val="19"/>
              </w:rPr>
              <w:t>Marks cardiovascular autonomic neuropathy; guides fall-prevention.</w:t>
            </w:r>
          </w:p>
          <w:p>
            <w:pPr>
              <w:spacing w:after="40" w:line="252" w:lineRule="auto"/>
            </w:pPr>
            <w:hyperlink r:id="rId19">
              <w:r>
                <w:rPr>
                  <w:rFonts w:ascii="Calibri" w:hAnsi="Calibri" w:cs="Calibri"/>
                  <w:sz w:val="18"/>
                  <w:color w:val="1155CC"/>
                  <w:u w:val="single"/>
                </w:rPr>
                <w:t xml:space="preserve">https://www.niddk.nih.gov/health-information/diabetes/overview/preventing-problems/nerve-damage-diabetic-neuropathies/autonomic-neuropathy</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w:t>
            </w:r>
          </w:p>
        </w:tc>
        <w:tc>
          <w:tcPr>
            <w:tcW w:type="dxa" w:w="950"/>
            <w:vAlign w:val="top"/>
          </w:tcPr>
          <w:p>
            <w:pPr>
              <w:spacing w:after="40" w:before="0" w:line="259" w:lineRule="auto"/>
            </w:pPr>
            <w:r>
              <w:rPr>
                <w:rFonts w:ascii="Calibri" w:hAnsi="Calibri"/>
                <w:b w:val="0"/>
                <w:i w:val="0"/>
                <w:color w:val="212121"/>
                <w:sz w:val="16"/>
              </w:rPr>
              <w:t>≥ 6.5% (target usually &lt; 7%)</w:t>
            </w:r>
          </w:p>
        </w:tc>
        <w:tc>
          <w:tcPr>
            <w:tcW w:type="dxa" w:w="1036"/>
            <w:vAlign w:val="top"/>
          </w:tcPr>
          <w:p>
            <w:pPr>
              <w:spacing w:after="40" w:before="0" w:line="259" w:lineRule="auto"/>
            </w:pPr>
            <w:r>
              <w:rPr>
                <w:rFonts w:ascii="Calibri" w:hAnsi="Calibri"/>
                <w:b w:val="0"/>
                <w:i w:val="0"/>
                <w:color w:val="212121"/>
                <w:sz w:val="16"/>
              </w:rPr>
              <w:t>Reflects 2–3 month glycaemia; cumulative exposure drives and monitors DPN risk</w:t>
            </w:r>
          </w:p>
        </w:tc>
        <w:tc>
          <w:tcPr>
            <w:tcW w:type="dxa" w:w="1036"/>
            <w:vAlign w:val="top"/>
          </w:tcPr>
          <w:p>
            <w:pPr>
              <w:spacing w:after="40" w:before="0" w:line="259" w:lineRule="auto"/>
            </w:pPr>
            <w:r>
              <w:rPr>
                <w:rFonts w:ascii="Calibri" w:hAnsi="Calibri"/>
                <w:b w:val="0"/>
                <w:i w:val="0"/>
                <w:color w:val="212121"/>
                <w:sz w:val="16"/>
              </w:rPr>
              <w:t>All people with diabetes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Core monitoring</w:t>
            </w:r>
          </w:p>
        </w:tc>
        <w:tc>
          <w:tcPr>
            <w:tcW w:type="dxa" w:w="720"/>
            <w:vAlign w:val="top"/>
          </w:tcPr>
          <w:p>
            <w:pPr>
              <w:spacing w:after="40" w:before="0" w:line="259" w:lineRule="auto"/>
            </w:pPr>
            <w:r>
              <w:rPr>
                <w:rFonts w:ascii="Calibri" w:hAnsi="Calibri"/>
                <w:b w:val="0"/>
                <w:i w:val="0"/>
                <w:color w:val="212121"/>
                <w:sz w:val="16"/>
              </w:rPr>
              <w:t>Better control lowers neuropathy incidence (clear in T1DM, modest in T2DM)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Vitamin B12</w:t>
            </w:r>
          </w:p>
        </w:tc>
        <w:tc>
          <w:tcPr>
            <w:tcW w:type="dxa" w:w="892"/>
            <w:vAlign w:val="top"/>
          </w:tcPr>
          <w:p>
            <w:pPr>
              <w:spacing w:after="40" w:before="0" w:line="259" w:lineRule="auto"/>
            </w:pPr>
            <w:r>
              <w:rPr>
                <w:rFonts w:ascii="Calibri" w:hAnsi="Calibri"/>
                <w:b w:val="0"/>
                <w:i w:val="0"/>
                <w:color w:val="212121"/>
                <w:sz w:val="16"/>
              </w:rPr>
              <w:t>Micronutrient assay</w:t>
            </w:r>
          </w:p>
        </w:tc>
        <w:tc>
          <w:tcPr>
            <w:tcW w:type="dxa" w:w="950"/>
            <w:vAlign w:val="top"/>
          </w:tcPr>
          <w:p>
            <w:pPr>
              <w:spacing w:after="40" w:before="0" w:line="259" w:lineRule="auto"/>
            </w:pPr>
            <w:r>
              <w:rPr>
                <w:rFonts w:ascii="Calibri" w:hAnsi="Calibri"/>
                <w:b w:val="0"/>
                <w:i w:val="0"/>
                <w:color w:val="212121"/>
                <w:sz w:val="16"/>
              </w:rPr>
              <w:t>200–900 pg/mL</w:t>
            </w:r>
          </w:p>
        </w:tc>
        <w:tc>
          <w:tcPr>
            <w:tcW w:type="dxa" w:w="950"/>
            <w:vAlign w:val="top"/>
          </w:tcPr>
          <w:p>
            <w:pPr>
              <w:spacing w:after="40" w:before="0" w:line="259" w:lineRule="auto"/>
            </w:pPr>
            <w:r>
              <w:rPr>
                <w:rFonts w:ascii="Calibri" w:hAnsi="Calibri"/>
                <w:b w:val="0"/>
                <w:i w:val="0"/>
                <w:color w:val="212121"/>
                <w:sz w:val="16"/>
              </w:rPr>
              <w:t>&lt; 200 pg/mL (borderline 200–300)</w:t>
            </w:r>
          </w:p>
        </w:tc>
        <w:tc>
          <w:tcPr>
            <w:tcW w:type="dxa" w:w="1036"/>
            <w:vAlign w:val="top"/>
          </w:tcPr>
          <w:p>
            <w:pPr>
              <w:spacing w:after="40" w:before="0" w:line="259" w:lineRule="auto"/>
            </w:pPr>
            <w:r>
              <w:rPr>
                <w:rFonts w:ascii="Calibri" w:hAnsi="Calibri"/>
                <w:b w:val="0"/>
                <w:i w:val="0"/>
                <w:color w:val="212121"/>
                <w:sz w:val="16"/>
              </w:rPr>
              <w:t>Deficiency mimics/worsens DPN; common with vegetarian diet and metformin</w:t>
            </w:r>
          </w:p>
        </w:tc>
        <w:tc>
          <w:tcPr>
            <w:tcW w:type="dxa" w:w="1036"/>
            <w:vAlign w:val="top"/>
          </w:tcPr>
          <w:p>
            <w:pPr>
              <w:spacing w:after="40" w:before="0" w:line="259" w:lineRule="auto"/>
            </w:pPr>
            <w:r>
              <w:rPr>
                <w:rFonts w:ascii="Calibri" w:hAnsi="Calibri"/>
                <w:b w:val="0"/>
                <w:i w:val="0"/>
                <w:color w:val="212121"/>
                <w:sz w:val="16"/>
              </w:rPr>
              <w:t>Vegetarians, metformin users,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Treatable contributor</w:t>
            </w:r>
          </w:p>
        </w:tc>
        <w:tc>
          <w:tcPr>
            <w:tcW w:type="dxa" w:w="720"/>
            <w:vAlign w:val="top"/>
          </w:tcPr>
          <w:p>
            <w:pPr>
              <w:spacing w:after="40" w:before="0" w:line="259" w:lineRule="auto"/>
            </w:pPr>
            <w:r>
              <w:rPr>
                <w:rFonts w:ascii="Calibri" w:hAnsi="Calibri"/>
                <w:b w:val="0"/>
                <w:i w:val="0"/>
                <w:color w:val="212121"/>
                <w:sz w:val="16"/>
              </w:rPr>
              <w:t>Check with MMA/homocysteine if borderline; replace if low</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Nerve Conduction Studies (NCS)</w:t>
            </w:r>
          </w:p>
        </w:tc>
        <w:tc>
          <w:tcPr>
            <w:tcW w:type="dxa" w:w="892"/>
            <w:vAlign w:val="top"/>
          </w:tcPr>
          <w:p>
            <w:pPr>
              <w:spacing w:after="40" w:before="0" w:line="259" w:lineRule="auto"/>
            </w:pPr>
            <w:r>
              <w:rPr>
                <w:rFonts w:ascii="Calibri" w:hAnsi="Calibri"/>
                <w:b w:val="0"/>
                <w:i w:val="0"/>
                <w:color w:val="212121"/>
                <w:sz w:val="16"/>
              </w:rPr>
              <w:t>Electrodiagnostics</w:t>
            </w:r>
          </w:p>
        </w:tc>
        <w:tc>
          <w:tcPr>
            <w:tcW w:type="dxa" w:w="950"/>
            <w:vAlign w:val="top"/>
          </w:tcPr>
          <w:p>
            <w:pPr>
              <w:spacing w:after="40" w:before="0" w:line="259" w:lineRule="auto"/>
            </w:pPr>
            <w:r>
              <w:rPr>
                <w:rFonts w:ascii="Calibri" w:hAnsi="Calibri"/>
                <w:b w:val="0"/>
                <w:i w:val="0"/>
                <w:color w:val="212121"/>
                <w:sz w:val="16"/>
              </w:rPr>
              <w:t>Normal conduction velocity &amp; amplitude</w:t>
            </w:r>
          </w:p>
        </w:tc>
        <w:tc>
          <w:tcPr>
            <w:tcW w:type="dxa" w:w="950"/>
            <w:vAlign w:val="top"/>
          </w:tcPr>
          <w:p>
            <w:pPr>
              <w:spacing w:after="40" w:before="0" w:line="259" w:lineRule="auto"/>
            </w:pPr>
            <w:r>
              <w:rPr>
                <w:rFonts w:ascii="Calibri" w:hAnsi="Calibri"/>
                <w:b w:val="0"/>
                <w:i w:val="0"/>
                <w:color w:val="212121"/>
                <w:sz w:val="16"/>
              </w:rPr>
              <w:t>Reduced velocity/amplitude (length-dependent, symmetric)</w:t>
            </w:r>
          </w:p>
        </w:tc>
        <w:tc>
          <w:tcPr>
            <w:tcW w:type="dxa" w:w="1036"/>
            <w:vAlign w:val="top"/>
          </w:tcPr>
          <w:p>
            <w:pPr>
              <w:spacing w:after="40" w:before="0" w:line="259" w:lineRule="auto"/>
            </w:pPr>
            <w:r>
              <w:rPr>
                <w:rFonts w:ascii="Calibri" w:hAnsi="Calibri"/>
                <w:b w:val="0"/>
                <w:i w:val="0"/>
                <w:color w:val="212121"/>
                <w:sz w:val="16"/>
              </w:rPr>
              <w:t>Reference standard for large-fibre DSPN; confirms/atypical work-up</w:t>
            </w:r>
          </w:p>
        </w:tc>
        <w:tc>
          <w:tcPr>
            <w:tcW w:type="dxa" w:w="1036"/>
            <w:vAlign w:val="top"/>
          </w:tcPr>
          <w:p>
            <w:pPr>
              <w:spacing w:after="40" w:before="0" w:line="259" w:lineRule="auto"/>
            </w:pPr>
            <w:r>
              <w:rPr>
                <w:rFonts w:ascii="Calibri" w:hAnsi="Calibri"/>
                <w:b w:val="0"/>
                <w:i w:val="0"/>
                <w:color w:val="212121"/>
                <w:sz w:val="16"/>
              </w:rPr>
              <w:t>Atypical, asymmetric or rapidly progressive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 (reference standard)</w:t>
            </w:r>
          </w:p>
        </w:tc>
        <w:tc>
          <w:tcPr>
            <w:tcW w:type="dxa" w:w="720"/>
            <w:vAlign w:val="top"/>
          </w:tcPr>
          <w:p>
            <w:pPr>
              <w:spacing w:after="40" w:before="0" w:line="259" w:lineRule="auto"/>
            </w:pPr>
            <w:r>
              <w:rPr>
                <w:rFonts w:ascii="Calibri" w:hAnsi="Calibri"/>
                <w:b w:val="0"/>
                <w:i w:val="0"/>
                <w:color w:val="212121"/>
                <w:sz w:val="16"/>
              </w:rPr>
              <w:t>Not needed for typical DSPN; use when diagnosis is uncertain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Vibration Perception Threshold (biothesiometry)</w:t>
            </w:r>
          </w:p>
        </w:tc>
        <w:tc>
          <w:tcPr>
            <w:tcW w:type="dxa" w:w="892"/>
            <w:vAlign w:val="top"/>
          </w:tcPr>
          <w:p>
            <w:pPr>
              <w:spacing w:after="40" w:before="0" w:line="259" w:lineRule="auto"/>
            </w:pPr>
            <w:r>
              <w:rPr>
                <w:rFonts w:ascii="Calibri" w:hAnsi="Calibri"/>
                <w:b w:val="0"/>
                <w:i w:val="0"/>
                <w:color w:val="212121"/>
                <w:sz w:val="16"/>
              </w:rPr>
              <w:t>Quantitative sensory test</w:t>
            </w:r>
          </w:p>
        </w:tc>
        <w:tc>
          <w:tcPr>
            <w:tcW w:type="dxa" w:w="950"/>
            <w:vAlign w:val="top"/>
          </w:tcPr>
          <w:p>
            <w:pPr>
              <w:spacing w:after="40" w:before="0" w:line="259" w:lineRule="auto"/>
            </w:pPr>
            <w:r>
              <w:rPr>
                <w:rFonts w:ascii="Calibri" w:hAnsi="Calibri"/>
                <w:b w:val="0"/>
                <w:i w:val="0"/>
                <w:color w:val="212121"/>
                <w:sz w:val="16"/>
              </w:rPr>
              <w:t>&lt; 15 volts</w:t>
            </w:r>
          </w:p>
        </w:tc>
        <w:tc>
          <w:tcPr>
            <w:tcW w:type="dxa" w:w="950"/>
            <w:vAlign w:val="top"/>
          </w:tcPr>
          <w:p>
            <w:pPr>
              <w:spacing w:after="40" w:before="0" w:line="259" w:lineRule="auto"/>
            </w:pPr>
            <w:r>
              <w:rPr>
                <w:rFonts w:ascii="Calibri" w:hAnsi="Calibri"/>
                <w:b w:val="0"/>
                <w:i w:val="0"/>
                <w:color w:val="212121"/>
                <w:sz w:val="16"/>
              </w:rPr>
              <w:t>≥ 25 volts (high ulcer risk)</w:t>
            </w:r>
          </w:p>
        </w:tc>
        <w:tc>
          <w:tcPr>
            <w:tcW w:type="dxa" w:w="1036"/>
            <w:vAlign w:val="top"/>
          </w:tcPr>
          <w:p>
            <w:pPr>
              <w:spacing w:after="40" w:before="0" w:line="259" w:lineRule="auto"/>
            </w:pPr>
            <w:r>
              <w:rPr>
                <w:rFonts w:ascii="Calibri" w:hAnsi="Calibri"/>
                <w:b w:val="0"/>
                <w:i w:val="0"/>
                <w:color w:val="212121"/>
                <w:sz w:val="16"/>
              </w:rPr>
              <w:t>Quantifies large-fibre loss and stratifies foot-ulcer risk</w:t>
            </w:r>
          </w:p>
        </w:tc>
        <w:tc>
          <w:tcPr>
            <w:tcW w:type="dxa" w:w="1036"/>
            <w:vAlign w:val="top"/>
          </w:tcPr>
          <w:p>
            <w:pPr>
              <w:spacing w:after="40" w:before="0" w:line="259" w:lineRule="auto"/>
            </w:pPr>
            <w:r>
              <w:rPr>
                <w:rFonts w:ascii="Calibri" w:hAnsi="Calibri"/>
                <w:b w:val="0"/>
                <w:i w:val="0"/>
                <w:color w:val="212121"/>
                <w:sz w:val="16"/>
              </w:rPr>
              <w:t>People with diabetes at foot-risk screening</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Simple, reproducible bedside quantitation of neuropathy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 (triglycerides)</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TG &lt; 150 mg/dL</w:t>
            </w:r>
          </w:p>
        </w:tc>
        <w:tc>
          <w:tcPr>
            <w:tcW w:type="dxa" w:w="950"/>
            <w:vAlign w:val="top"/>
          </w:tcPr>
          <w:p>
            <w:pPr>
              <w:spacing w:after="40" w:before="0" w:line="259" w:lineRule="auto"/>
            </w:pPr>
            <w:r>
              <w:rPr>
                <w:rFonts w:ascii="Calibri" w:hAnsi="Calibri"/>
                <w:b w:val="0"/>
                <w:i w:val="0"/>
                <w:color w:val="212121"/>
                <w:sz w:val="16"/>
              </w:rPr>
              <w:t>TG ≥ 150 mg/dL</w:t>
            </w:r>
          </w:p>
        </w:tc>
        <w:tc>
          <w:tcPr>
            <w:tcW w:type="dxa" w:w="1036"/>
            <w:vAlign w:val="top"/>
          </w:tcPr>
          <w:p>
            <w:pPr>
              <w:spacing w:after="40" w:before="0" w:line="259" w:lineRule="auto"/>
            </w:pPr>
            <w:r>
              <w:rPr>
                <w:rFonts w:ascii="Calibri" w:hAnsi="Calibri"/>
                <w:b w:val="0"/>
                <w:i w:val="0"/>
                <w:color w:val="212121"/>
                <w:sz w:val="16"/>
              </w:rPr>
              <w:t>Dyslipidaemia contributes to lipotoxic nerve injury independent of glucose</w:t>
            </w:r>
          </w:p>
        </w:tc>
        <w:tc>
          <w:tcPr>
            <w:tcW w:type="dxa" w:w="1036"/>
            <w:vAlign w:val="top"/>
          </w:tcPr>
          <w:p>
            <w:pPr>
              <w:spacing w:after="40" w:before="0" w:line="259" w:lineRule="auto"/>
            </w:pPr>
            <w:r>
              <w:rPr>
                <w:rFonts w:ascii="Calibri" w:hAnsi="Calibri"/>
                <w:b w:val="0"/>
                <w:i w:val="0"/>
                <w:color w:val="212121"/>
                <w:sz w:val="16"/>
              </w:rPr>
              <w:t>Obese diabetics,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Modifiable risk</w:t>
            </w:r>
          </w:p>
        </w:tc>
        <w:tc>
          <w:tcPr>
            <w:tcW w:type="dxa" w:w="720"/>
            <w:vAlign w:val="top"/>
          </w:tcPr>
          <w:p>
            <w:pPr>
              <w:spacing w:after="40" w:before="0" w:line="259" w:lineRule="auto"/>
            </w:pPr>
            <w:r>
              <w:rPr>
                <w:rFonts w:ascii="Calibri" w:hAnsi="Calibri"/>
                <w:b w:val="0"/>
                <w:i w:val="0"/>
                <w:color w:val="212121"/>
                <w:sz w:val="16"/>
              </w:rPr>
              <w:t>Address as part of global cardiovascular-metabolic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eGFR &amp; Urine ACR</w:t>
            </w:r>
          </w:p>
        </w:tc>
        <w:tc>
          <w:tcPr>
            <w:tcW w:type="dxa" w:w="892"/>
            <w:vAlign w:val="top"/>
          </w:tcPr>
          <w:p>
            <w:pPr>
              <w:spacing w:after="40" w:before="0" w:line="259" w:lineRule="auto"/>
            </w:pPr>
            <w:r>
              <w:rPr>
                <w:rFonts w:ascii="Calibri" w:hAnsi="Calibri"/>
                <w:b w:val="0"/>
                <w:i w:val="0"/>
                <w:color w:val="212121"/>
                <w:sz w:val="16"/>
              </w:rPr>
              <w:t>Renal function</w:t>
            </w:r>
          </w:p>
        </w:tc>
        <w:tc>
          <w:tcPr>
            <w:tcW w:type="dxa" w:w="950"/>
            <w:vAlign w:val="top"/>
          </w:tcPr>
          <w:p>
            <w:pPr>
              <w:spacing w:after="40" w:before="0" w:line="259" w:lineRule="auto"/>
            </w:pPr>
            <w:r>
              <w:rPr>
                <w:rFonts w:ascii="Calibri" w:hAnsi="Calibri"/>
                <w:b w:val="0"/>
                <w:i w:val="0"/>
                <w:color w:val="212121"/>
                <w:sz w:val="16"/>
              </w:rPr>
              <w:t>eGFR ≥ 60 mL/min; ACR &lt; 30 mg/g</w:t>
            </w:r>
          </w:p>
        </w:tc>
        <w:tc>
          <w:tcPr>
            <w:tcW w:type="dxa" w:w="950"/>
            <w:vAlign w:val="top"/>
          </w:tcPr>
          <w:p>
            <w:pPr>
              <w:spacing w:after="40" w:before="0" w:line="259" w:lineRule="auto"/>
            </w:pPr>
            <w:r>
              <w:rPr>
                <w:rFonts w:ascii="Calibri" w:hAnsi="Calibri"/>
                <w:b w:val="0"/>
                <w:i w:val="0"/>
                <w:color w:val="212121"/>
                <w:sz w:val="16"/>
              </w:rPr>
              <w:t>eGFR &lt; 60 and/or ACR ≥ 30 mg/g</w:t>
            </w:r>
          </w:p>
        </w:tc>
        <w:tc>
          <w:tcPr>
            <w:tcW w:type="dxa" w:w="1036"/>
            <w:vAlign w:val="top"/>
          </w:tcPr>
          <w:p>
            <w:pPr>
              <w:spacing w:after="40" w:before="0" w:line="259" w:lineRule="auto"/>
            </w:pPr>
            <w:r>
              <w:rPr>
                <w:rFonts w:ascii="Calibri" w:hAnsi="Calibri"/>
                <w:b w:val="0"/>
                <w:i w:val="0"/>
                <w:color w:val="212121"/>
                <w:sz w:val="16"/>
              </w:rPr>
              <w:t>Coexisting nephropathy signals shared microangiopathy and alters neuropathic-drug dosing</w:t>
            </w:r>
          </w:p>
        </w:tc>
        <w:tc>
          <w:tcPr>
            <w:tcW w:type="dxa" w:w="1036"/>
            <w:vAlign w:val="top"/>
          </w:tcPr>
          <w:p>
            <w:pPr>
              <w:spacing w:after="40" w:before="0" w:line="259" w:lineRule="auto"/>
            </w:pPr>
            <w:r>
              <w:rPr>
                <w:rFonts w:ascii="Calibri" w:hAnsi="Calibri"/>
                <w:b w:val="0"/>
                <w:i w:val="0"/>
                <w:color w:val="212121"/>
                <w:sz w:val="16"/>
              </w:rPr>
              <w:t>Long-standing diabetes, hypertensives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Management impact</w:t>
            </w:r>
          </w:p>
        </w:tc>
        <w:tc>
          <w:tcPr>
            <w:tcW w:type="dxa" w:w="720"/>
            <w:vAlign w:val="top"/>
          </w:tcPr>
          <w:p>
            <w:pPr>
              <w:spacing w:after="40" w:before="0" w:line="259" w:lineRule="auto"/>
            </w:pPr>
            <w:r>
              <w:rPr>
                <w:rFonts w:ascii="Calibri" w:hAnsi="Calibri"/>
                <w:b w:val="0"/>
                <w:i w:val="0"/>
                <w:color w:val="212121"/>
                <w:sz w:val="16"/>
              </w:rPr>
              <w:t>Gabapentin/pregabalin require dose reduction in CKD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w:t>
            </w:r>
          </w:p>
        </w:tc>
        <w:tc>
          <w:tcPr>
            <w:tcW w:type="dxa" w:w="892"/>
            <w:vAlign w:val="top"/>
          </w:tcPr>
          <w:p>
            <w:pPr>
              <w:spacing w:after="40" w:before="0" w:line="259" w:lineRule="auto"/>
            </w:pPr>
            <w:r>
              <w:rPr>
                <w:rFonts w:ascii="Calibri" w:hAnsi="Calibri"/>
                <w:b w:val="0"/>
                <w:i w:val="0"/>
                <w:color w:val="212121"/>
                <w:sz w:val="16"/>
              </w:rPr>
              <w:t>Endocrine screen</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Elevated (hypothyroidism)</w:t>
            </w:r>
          </w:p>
        </w:tc>
        <w:tc>
          <w:tcPr>
            <w:tcW w:type="dxa" w:w="1036"/>
            <w:vAlign w:val="top"/>
          </w:tcPr>
          <w:p>
            <w:pPr>
              <w:spacing w:after="40" w:before="0" w:line="259" w:lineRule="auto"/>
            </w:pPr>
            <w:r>
              <w:rPr>
                <w:rFonts w:ascii="Calibri" w:hAnsi="Calibri"/>
                <w:b w:val="0"/>
                <w:i w:val="0"/>
                <w:color w:val="212121"/>
                <w:sz w:val="16"/>
              </w:rPr>
              <w:t>Excludes hypothyroid neuropathy as a mimic/contributor</w:t>
            </w:r>
          </w:p>
        </w:tc>
        <w:tc>
          <w:tcPr>
            <w:tcW w:type="dxa" w:w="1036"/>
            <w:vAlign w:val="top"/>
          </w:tcPr>
          <w:p>
            <w:pPr>
              <w:spacing w:after="40" w:before="0" w:line="259" w:lineRule="auto"/>
            </w:pPr>
            <w:r>
              <w:rPr>
                <w:rFonts w:ascii="Calibri" w:hAnsi="Calibri"/>
                <w:b w:val="0"/>
                <w:i w:val="0"/>
                <w:color w:val="212121"/>
                <w:sz w:val="16"/>
              </w:rPr>
              <w:t>New or atypical neuropathy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 of mimics</w:t>
            </w:r>
          </w:p>
        </w:tc>
        <w:tc>
          <w:tcPr>
            <w:tcW w:type="dxa" w:w="720"/>
            <w:vAlign w:val="top"/>
          </w:tcPr>
          <w:p>
            <w:pPr>
              <w:spacing w:after="40" w:before="0" w:line="259" w:lineRule="auto"/>
            </w:pPr>
            <w:r>
              <w:rPr>
                <w:rFonts w:ascii="Calibri" w:hAnsi="Calibri"/>
                <w:b w:val="0"/>
                <w:i w:val="0"/>
                <w:color w:val="212121"/>
                <w:sz w:val="16"/>
              </w:rPr>
              <w:t>Part of secondary-cause screen with B12</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Numbness, tingling, burning or shooting pain in feet (worse at night)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neuropathic symptoms; grade with DN4/MNSI</w:t>
            </w:r>
          </w:p>
        </w:tc>
        <w:tc>
          <w:tcPr>
            <w:tcW w:type="dxa" w:w="1036"/>
            <w:vAlign w:val="top"/>
          </w:tcPr>
          <w:p>
            <w:pPr>
              <w:spacing w:after="40" w:before="0" w:line="259" w:lineRule="auto"/>
            </w:pPr>
            <w:r>
              <w:rPr>
                <w:rFonts w:ascii="Calibri" w:hAnsi="Calibri"/>
                <w:b w:val="0"/>
                <w:i w:val="0"/>
                <w:color w:val="212121"/>
                <w:sz w:val="16"/>
              </w:rPr>
              <w:t>People with diabetes, esp. long duration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Up to half of neuropathy is asymptomatic — examine even without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 history</w:t>
            </w:r>
          </w:p>
        </w:tc>
        <w:tc>
          <w:tcPr>
            <w:tcW w:type="dxa" w:w="979"/>
            <w:vAlign w:val="top"/>
          </w:tcPr>
          <w:p>
            <w:pPr>
              <w:spacing w:after="40" w:before="0" w:line="259" w:lineRule="auto"/>
            </w:pPr>
            <w:r>
              <w:rPr>
                <w:rFonts w:ascii="Calibri" w:hAnsi="Calibri"/>
                <w:b w:val="0"/>
                <w:i w:val="0"/>
                <w:color w:val="212121"/>
                <w:sz w:val="16"/>
              </w:rPr>
              <w:t>Diabetes duration, glycaemic control, smoking, alcohol, metformin/B12</w:t>
            </w:r>
          </w:p>
        </w:tc>
        <w:tc>
          <w:tcPr>
            <w:tcW w:type="dxa" w:w="950"/>
            <w:vAlign w:val="top"/>
          </w:tcPr>
          <w:p>
            <w:pPr>
              <w:spacing w:after="40" w:before="0" w:line="259" w:lineRule="auto"/>
            </w:pPr>
            <w:r>
              <w:rPr>
                <w:rFonts w:ascii="Calibri" w:hAnsi="Calibri"/>
                <w:b w:val="0"/>
                <w:i w:val="0"/>
                <w:color w:val="212121"/>
                <w:sz w:val="16"/>
              </w:rPr>
              <w:t>Short duration, good control, no toxins</w:t>
            </w:r>
          </w:p>
        </w:tc>
        <w:tc>
          <w:tcPr>
            <w:tcW w:type="dxa" w:w="950"/>
            <w:vAlign w:val="top"/>
          </w:tcPr>
          <w:p>
            <w:pPr>
              <w:spacing w:after="40" w:before="0" w:line="259" w:lineRule="auto"/>
            </w:pPr>
            <w:r>
              <w:rPr>
                <w:rFonts w:ascii="Calibri" w:hAnsi="Calibri"/>
                <w:b w:val="0"/>
                <w:i w:val="0"/>
                <w:color w:val="212121"/>
                <w:sz w:val="16"/>
              </w:rPr>
              <w:t>Long duration, high HbA1c, smoking/alcohol</w:t>
            </w:r>
          </w:p>
        </w:tc>
        <w:tc>
          <w:tcPr>
            <w:tcW w:type="dxa" w:w="1036"/>
            <w:vAlign w:val="top"/>
          </w:tcPr>
          <w:p>
            <w:pPr>
              <w:spacing w:after="40" w:before="0" w:line="259" w:lineRule="auto"/>
            </w:pPr>
            <w:r>
              <w:rPr>
                <w:rFonts w:ascii="Calibri" w:hAnsi="Calibri"/>
                <w:b w:val="0"/>
                <w:i w:val="0"/>
                <w:color w:val="212121"/>
                <w:sz w:val="16"/>
              </w:rPr>
              <w:t>Defines cumulative and modifiable risk</w:t>
            </w:r>
          </w:p>
        </w:tc>
        <w:tc>
          <w:tcPr>
            <w:tcW w:type="dxa" w:w="1036"/>
            <w:vAlign w:val="top"/>
          </w:tcPr>
          <w:p>
            <w:pPr>
              <w:spacing w:after="40" w:before="0" w:line="259" w:lineRule="auto"/>
            </w:pPr>
            <w:r>
              <w:rPr>
                <w:rFonts w:ascii="Calibri" w:hAnsi="Calibri"/>
                <w:b w:val="0"/>
                <w:i w:val="0"/>
                <w:color w:val="212121"/>
                <w:sz w:val="16"/>
              </w:rPr>
              <w:t>All people with diabetes</w:t>
            </w:r>
          </w:p>
        </w:tc>
        <w:tc>
          <w:tcPr>
            <w:tcW w:type="dxa" w:w="720"/>
            <w:vAlign w:val="top"/>
          </w:tcPr>
          <w:p>
            <w:pPr>
              <w:spacing w:after="40" w:before="0" w:line="259" w:lineRule="auto"/>
            </w:pPr>
            <w:r>
              <w:rPr>
                <w:rFonts w:ascii="Calibri" w:hAnsi="Calibri"/>
                <w:b w:val="0"/>
                <w:i w:val="0"/>
                <w:color w:val="212121"/>
                <w:sz w:val="16"/>
              </w:rPr>
              <w:t>Smoking; Alcohol;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 15 years' duration raised neuropathy odds ~5.7-fold in CURES-55</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sensory test</w:t>
            </w:r>
          </w:p>
        </w:tc>
        <w:tc>
          <w:tcPr>
            <w:tcW w:type="dxa" w:w="950"/>
            <w:vAlign w:val="top"/>
          </w:tcPr>
          <w:p>
            <w:pPr>
              <w:spacing w:after="40" w:before="0" w:line="259" w:lineRule="auto"/>
            </w:pPr>
            <w:r>
              <w:rPr>
                <w:rFonts w:ascii="Calibri" w:hAnsi="Calibri"/>
                <w:b w:val="0"/>
                <w:i w:val="0"/>
                <w:color w:val="212121"/>
                <w:sz w:val="16"/>
              </w:rPr>
              <w:t>10 g monofilament</w:t>
            </w:r>
          </w:p>
        </w:tc>
        <w:tc>
          <w:tcPr>
            <w:tcW w:type="dxa" w:w="979"/>
            <w:vAlign w:val="top"/>
          </w:tcPr>
          <w:p>
            <w:pPr>
              <w:spacing w:after="40" w:before="0" w:line="259" w:lineRule="auto"/>
            </w:pPr>
            <w:r>
              <w:rPr>
                <w:rFonts w:ascii="Calibri" w:hAnsi="Calibri"/>
                <w:b w:val="0"/>
                <w:i w:val="0"/>
                <w:color w:val="212121"/>
                <w:sz w:val="16"/>
              </w:rPr>
              <w:t>Protective sensation at plantar great toe &amp; metatarsal heads</w:t>
            </w:r>
          </w:p>
        </w:tc>
        <w:tc>
          <w:tcPr>
            <w:tcW w:type="dxa" w:w="950"/>
            <w:vAlign w:val="top"/>
          </w:tcPr>
          <w:p>
            <w:pPr>
              <w:spacing w:after="40" w:before="0" w:line="259" w:lineRule="auto"/>
            </w:pPr>
            <w:r>
              <w:rPr>
                <w:rFonts w:ascii="Calibri" w:hAnsi="Calibri"/>
                <w:b w:val="0"/>
                <w:i w:val="0"/>
                <w:color w:val="212121"/>
                <w:sz w:val="16"/>
              </w:rPr>
              <w:t>All sites perceived</w:t>
            </w:r>
          </w:p>
        </w:tc>
        <w:tc>
          <w:tcPr>
            <w:tcW w:type="dxa" w:w="950"/>
            <w:vAlign w:val="top"/>
          </w:tcPr>
          <w:p>
            <w:pPr>
              <w:spacing w:after="40" w:before="0" w:line="259" w:lineRule="auto"/>
            </w:pPr>
            <w:r>
              <w:rPr>
                <w:rFonts w:ascii="Calibri" w:hAnsi="Calibri"/>
                <w:b w:val="0"/>
                <w:i w:val="0"/>
                <w:color w:val="212121"/>
                <w:sz w:val="16"/>
              </w:rPr>
              <w:t>Any insensate site</w:t>
            </w:r>
          </w:p>
        </w:tc>
        <w:tc>
          <w:tcPr>
            <w:tcW w:type="dxa" w:w="1036"/>
            <w:vAlign w:val="top"/>
          </w:tcPr>
          <w:p>
            <w:pPr>
              <w:spacing w:after="40" w:before="0" w:line="259" w:lineRule="auto"/>
            </w:pPr>
            <w:r>
              <w:rPr>
                <w:rFonts w:ascii="Calibri" w:hAnsi="Calibri"/>
                <w:b w:val="0"/>
                <w:i w:val="0"/>
                <w:color w:val="212121"/>
                <w:sz w:val="16"/>
              </w:rPr>
              <w:t>Loss of protective sensation — foot at ulcer risk</w:t>
            </w:r>
          </w:p>
        </w:tc>
        <w:tc>
          <w:tcPr>
            <w:tcW w:type="dxa" w:w="1036"/>
            <w:vAlign w:val="top"/>
          </w:tcPr>
          <w:p>
            <w:pPr>
              <w:spacing w:after="40" w:before="0" w:line="259" w:lineRule="auto"/>
            </w:pPr>
            <w:r>
              <w:rPr>
                <w:rFonts w:ascii="Calibri" w:hAnsi="Calibri"/>
                <w:b w:val="0"/>
                <w:i w:val="0"/>
                <w:color w:val="212121"/>
                <w:sz w:val="16"/>
              </w:rPr>
              <w:t>Feet of all people with diabetes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Foot-risk screening</w:t>
            </w:r>
          </w:p>
        </w:tc>
        <w:tc>
          <w:tcPr>
            <w:tcW w:type="dxa" w:w="720"/>
            <w:vAlign w:val="top"/>
          </w:tcPr>
          <w:p>
            <w:pPr>
              <w:spacing w:after="40" w:before="0" w:line="259" w:lineRule="auto"/>
            </w:pPr>
            <w:r>
              <w:rPr>
                <w:rFonts w:ascii="Calibri" w:hAnsi="Calibri"/>
                <w:b w:val="0"/>
                <w:i w:val="0"/>
                <w:color w:val="212121"/>
                <w:sz w:val="16"/>
              </w:rPr>
              <w:t>Single most useful bedside predictor of ulceration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sensory test</w:t>
            </w:r>
          </w:p>
        </w:tc>
        <w:tc>
          <w:tcPr>
            <w:tcW w:type="dxa" w:w="950"/>
            <w:vAlign w:val="top"/>
          </w:tcPr>
          <w:p>
            <w:pPr>
              <w:spacing w:after="40" w:before="0" w:line="259" w:lineRule="auto"/>
            </w:pPr>
            <w:r>
              <w:rPr>
                <w:rFonts w:ascii="Calibri" w:hAnsi="Calibri"/>
                <w:b w:val="0"/>
                <w:i w:val="0"/>
                <w:color w:val="212121"/>
                <w:sz w:val="16"/>
              </w:rPr>
              <w:t>128 Hz tuning fork / ankle reflexes</w:t>
            </w:r>
          </w:p>
        </w:tc>
        <w:tc>
          <w:tcPr>
            <w:tcW w:type="dxa" w:w="979"/>
            <w:vAlign w:val="top"/>
          </w:tcPr>
          <w:p>
            <w:pPr>
              <w:spacing w:after="40" w:before="0" w:line="259" w:lineRule="auto"/>
            </w:pPr>
            <w:r>
              <w:rPr>
                <w:rFonts w:ascii="Calibri" w:hAnsi="Calibri"/>
                <w:b w:val="0"/>
                <w:i w:val="0"/>
                <w:color w:val="212121"/>
                <w:sz w:val="16"/>
              </w:rPr>
              <w:t>Vibration sense at great toe; ankle jerks</w:t>
            </w:r>
          </w:p>
        </w:tc>
        <w:tc>
          <w:tcPr>
            <w:tcW w:type="dxa" w:w="950"/>
            <w:vAlign w:val="top"/>
          </w:tcPr>
          <w:p>
            <w:pPr>
              <w:spacing w:after="40" w:before="0" w:line="259" w:lineRule="auto"/>
            </w:pPr>
            <w:r>
              <w:rPr>
                <w:rFonts w:ascii="Calibri" w:hAnsi="Calibri"/>
                <w:b w:val="0"/>
                <w:i w:val="0"/>
                <w:color w:val="212121"/>
                <w:sz w:val="16"/>
              </w:rPr>
              <w:t>Vibration felt; reflexes present</w:t>
            </w:r>
          </w:p>
        </w:tc>
        <w:tc>
          <w:tcPr>
            <w:tcW w:type="dxa" w:w="950"/>
            <w:vAlign w:val="top"/>
          </w:tcPr>
          <w:p>
            <w:pPr>
              <w:spacing w:after="40" w:before="0" w:line="259" w:lineRule="auto"/>
            </w:pPr>
            <w:r>
              <w:rPr>
                <w:rFonts w:ascii="Calibri" w:hAnsi="Calibri"/>
                <w:b w:val="0"/>
                <w:i w:val="0"/>
                <w:color w:val="212121"/>
                <w:sz w:val="16"/>
              </w:rPr>
              <w:t>Reduced/absent vibration; absent ankle jerks</w:t>
            </w:r>
          </w:p>
        </w:tc>
        <w:tc>
          <w:tcPr>
            <w:tcW w:type="dxa" w:w="1036"/>
            <w:vAlign w:val="top"/>
          </w:tcPr>
          <w:p>
            <w:pPr>
              <w:spacing w:after="40" w:before="0" w:line="259" w:lineRule="auto"/>
            </w:pPr>
            <w:r>
              <w:rPr>
                <w:rFonts w:ascii="Calibri" w:hAnsi="Calibri"/>
                <w:b w:val="0"/>
                <w:i w:val="0"/>
                <w:color w:val="212121"/>
                <w:sz w:val="16"/>
              </w:rPr>
              <w:t>Large-fibre DSPN</w:t>
            </w:r>
          </w:p>
        </w:tc>
        <w:tc>
          <w:tcPr>
            <w:tcW w:type="dxa" w:w="1036"/>
            <w:vAlign w:val="top"/>
          </w:tcPr>
          <w:p>
            <w:pPr>
              <w:spacing w:after="40" w:before="0" w:line="259" w:lineRule="auto"/>
            </w:pPr>
            <w:r>
              <w:rPr>
                <w:rFonts w:ascii="Calibri" w:hAnsi="Calibri"/>
                <w:b w:val="0"/>
                <w:i w:val="0"/>
                <w:color w:val="212121"/>
                <w:sz w:val="16"/>
              </w:rPr>
              <w:t>People with diabetes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(large-fibre)</w:t>
            </w:r>
          </w:p>
        </w:tc>
        <w:tc>
          <w:tcPr>
            <w:tcW w:type="dxa" w:w="720"/>
            <w:vAlign w:val="top"/>
          </w:tcPr>
          <w:p>
            <w:pPr>
              <w:spacing w:after="40" w:before="0" w:line="259" w:lineRule="auto"/>
            </w:pPr>
            <w:r>
              <w:rPr>
                <w:rFonts w:ascii="Calibri" w:hAnsi="Calibri"/>
                <w:b w:val="0"/>
                <w:i w:val="0"/>
                <w:color w:val="212121"/>
                <w:sz w:val="16"/>
              </w:rPr>
              <w:t>Combine with monofilament for sensitivity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sensory test</w:t>
            </w:r>
          </w:p>
        </w:tc>
        <w:tc>
          <w:tcPr>
            <w:tcW w:type="dxa" w:w="950"/>
            <w:vAlign w:val="top"/>
          </w:tcPr>
          <w:p>
            <w:pPr>
              <w:spacing w:after="40" w:before="0" w:line="259" w:lineRule="auto"/>
            </w:pPr>
            <w:r>
              <w:rPr>
                <w:rFonts w:ascii="Calibri" w:hAnsi="Calibri"/>
                <w:b w:val="0"/>
                <w:i w:val="0"/>
                <w:color w:val="212121"/>
                <w:sz w:val="16"/>
              </w:rPr>
              <w:t>Pinprick &amp; temperature</w:t>
            </w:r>
          </w:p>
        </w:tc>
        <w:tc>
          <w:tcPr>
            <w:tcW w:type="dxa" w:w="979"/>
            <w:vAlign w:val="top"/>
          </w:tcPr>
          <w:p>
            <w:pPr>
              <w:spacing w:after="40" w:before="0" w:line="259" w:lineRule="auto"/>
            </w:pPr>
            <w:r>
              <w:rPr>
                <w:rFonts w:ascii="Calibri" w:hAnsi="Calibri"/>
                <w:b w:val="0"/>
                <w:i w:val="0"/>
                <w:color w:val="212121"/>
                <w:sz w:val="16"/>
              </w:rPr>
              <w:t>Small-fibre sensation (sharp/dull, cold/warm)</w:t>
            </w:r>
          </w:p>
        </w:tc>
        <w:tc>
          <w:tcPr>
            <w:tcW w:type="dxa" w:w="950"/>
            <w:vAlign w:val="top"/>
          </w:tcPr>
          <w:p>
            <w:pPr>
              <w:spacing w:after="40" w:before="0" w:line="259" w:lineRule="auto"/>
            </w:pPr>
            <w:r>
              <w:rPr>
                <w:rFonts w:ascii="Calibri" w:hAnsi="Calibri"/>
                <w:b w:val="0"/>
                <w:i w:val="0"/>
                <w:color w:val="212121"/>
                <w:sz w:val="16"/>
              </w:rPr>
              <w:t>Intact</w:t>
            </w:r>
          </w:p>
        </w:tc>
        <w:tc>
          <w:tcPr>
            <w:tcW w:type="dxa" w:w="950"/>
            <w:vAlign w:val="top"/>
          </w:tcPr>
          <w:p>
            <w:pPr>
              <w:spacing w:after="40" w:before="0" w:line="259" w:lineRule="auto"/>
            </w:pPr>
            <w:r>
              <w:rPr>
                <w:rFonts w:ascii="Calibri" w:hAnsi="Calibri"/>
                <w:b w:val="0"/>
                <w:i w:val="0"/>
                <w:color w:val="212121"/>
                <w:sz w:val="16"/>
              </w:rPr>
              <w:t>Reduced in stocking distribution</w:t>
            </w:r>
          </w:p>
        </w:tc>
        <w:tc>
          <w:tcPr>
            <w:tcW w:type="dxa" w:w="1036"/>
            <w:vAlign w:val="top"/>
          </w:tcPr>
          <w:p>
            <w:pPr>
              <w:spacing w:after="40" w:before="0" w:line="259" w:lineRule="auto"/>
            </w:pPr>
            <w:r>
              <w:rPr>
                <w:rFonts w:ascii="Calibri" w:hAnsi="Calibri"/>
                <w:b w:val="0"/>
                <w:i w:val="0"/>
                <w:color w:val="212121"/>
                <w:sz w:val="16"/>
              </w:rPr>
              <w:t>Small-fibre involvement (pain/temperature) — often earliest</w:t>
            </w:r>
          </w:p>
        </w:tc>
        <w:tc>
          <w:tcPr>
            <w:tcW w:type="dxa" w:w="1036"/>
            <w:vAlign w:val="top"/>
          </w:tcPr>
          <w:p>
            <w:pPr>
              <w:spacing w:after="40" w:before="0" w:line="259" w:lineRule="auto"/>
            </w:pPr>
            <w:r>
              <w:rPr>
                <w:rFonts w:ascii="Calibri" w:hAnsi="Calibri"/>
                <w:b w:val="0"/>
                <w:i w:val="0"/>
                <w:color w:val="212121"/>
                <w:sz w:val="16"/>
              </w:rPr>
              <w:t>People with diabetes, painful DPN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(small-fibre)</w:t>
            </w:r>
          </w:p>
        </w:tc>
        <w:tc>
          <w:tcPr>
            <w:tcW w:type="dxa" w:w="720"/>
            <w:vAlign w:val="top"/>
          </w:tcPr>
          <w:p>
            <w:pPr>
              <w:spacing w:after="40" w:before="0" w:line="259" w:lineRule="auto"/>
            </w:pPr>
            <w:r>
              <w:rPr>
                <w:rFonts w:ascii="Calibri" w:hAnsi="Calibri"/>
                <w:b w:val="0"/>
                <w:i w:val="0"/>
                <w:color w:val="212121"/>
                <w:sz w:val="16"/>
              </w:rPr>
              <w:t>Small-fibre loss may precede large-fibre signs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Foot examination</w:t>
            </w:r>
          </w:p>
        </w:tc>
        <w:tc>
          <w:tcPr>
            <w:tcW w:type="dxa" w:w="950"/>
            <w:vAlign w:val="top"/>
          </w:tcPr>
          <w:p>
            <w:pPr>
              <w:spacing w:after="40" w:before="0" w:line="259" w:lineRule="auto"/>
            </w:pPr>
            <w:r>
              <w:rPr>
                <w:rFonts w:ascii="Calibri" w:hAnsi="Calibri"/>
                <w:b w:val="0"/>
                <w:i w:val="0"/>
                <w:color w:val="212121"/>
                <w:sz w:val="16"/>
              </w:rPr>
              <w:t>Foot inspection</w:t>
            </w:r>
          </w:p>
        </w:tc>
        <w:tc>
          <w:tcPr>
            <w:tcW w:type="dxa" w:w="979"/>
            <w:vAlign w:val="top"/>
          </w:tcPr>
          <w:p>
            <w:pPr>
              <w:spacing w:after="40" w:before="0" w:line="259" w:lineRule="auto"/>
            </w:pPr>
            <w:r>
              <w:rPr>
                <w:rFonts w:ascii="Calibri" w:hAnsi="Calibri"/>
                <w:b w:val="0"/>
                <w:i w:val="0"/>
                <w:color w:val="212121"/>
                <w:sz w:val="16"/>
              </w:rPr>
              <w:t>Ulcers, calluses, deformity, dry skin, pulses, footwear</w:t>
            </w:r>
          </w:p>
        </w:tc>
        <w:tc>
          <w:tcPr>
            <w:tcW w:type="dxa" w:w="950"/>
            <w:vAlign w:val="top"/>
          </w:tcPr>
          <w:p>
            <w:pPr>
              <w:spacing w:after="40" w:before="0" w:line="259" w:lineRule="auto"/>
            </w:pPr>
            <w:r>
              <w:rPr>
                <w:rFonts w:ascii="Calibri" w:hAnsi="Calibri"/>
                <w:b w:val="0"/>
                <w:i w:val="0"/>
                <w:color w:val="212121"/>
                <w:sz w:val="16"/>
              </w:rPr>
              <w:t>Intact skin, no deformity, pulses present</w:t>
            </w:r>
          </w:p>
        </w:tc>
        <w:tc>
          <w:tcPr>
            <w:tcW w:type="dxa" w:w="950"/>
            <w:vAlign w:val="top"/>
          </w:tcPr>
          <w:p>
            <w:pPr>
              <w:spacing w:after="40" w:before="0" w:line="259" w:lineRule="auto"/>
            </w:pPr>
            <w:r>
              <w:rPr>
                <w:rFonts w:ascii="Calibri" w:hAnsi="Calibri"/>
                <w:b w:val="0"/>
                <w:i w:val="0"/>
                <w:color w:val="212121"/>
                <w:sz w:val="16"/>
              </w:rPr>
              <w:t>Ulcer, callus, claw/hammer toes, Charcot, absent pulses</w:t>
            </w:r>
          </w:p>
        </w:tc>
        <w:tc>
          <w:tcPr>
            <w:tcW w:type="dxa" w:w="1036"/>
            <w:vAlign w:val="top"/>
          </w:tcPr>
          <w:p>
            <w:pPr>
              <w:spacing w:after="40" w:before="0" w:line="259" w:lineRule="auto"/>
            </w:pPr>
            <w:r>
              <w:rPr>
                <w:rFonts w:ascii="Calibri" w:hAnsi="Calibri"/>
                <w:b w:val="0"/>
                <w:i w:val="0"/>
                <w:color w:val="212121"/>
                <w:sz w:val="16"/>
              </w:rPr>
              <w:t>Identifies the at-risk / complicated foot</w:t>
            </w:r>
          </w:p>
        </w:tc>
        <w:tc>
          <w:tcPr>
            <w:tcW w:type="dxa" w:w="1036"/>
            <w:vAlign w:val="top"/>
          </w:tcPr>
          <w:p>
            <w:pPr>
              <w:spacing w:after="40" w:before="0" w:line="259" w:lineRule="auto"/>
            </w:pPr>
            <w:r>
              <w:rPr>
                <w:rFonts w:ascii="Calibri" w:hAnsi="Calibri"/>
                <w:b w:val="0"/>
                <w:i w:val="0"/>
                <w:color w:val="212121"/>
                <w:sz w:val="16"/>
              </w:rPr>
              <w:t>Every diabetes review</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Prevents amputation</w:t>
            </w:r>
          </w:p>
        </w:tc>
        <w:tc>
          <w:tcPr>
            <w:tcW w:type="dxa" w:w="720"/>
            <w:vAlign w:val="top"/>
          </w:tcPr>
          <w:p>
            <w:pPr>
              <w:spacing w:after="40" w:before="0" w:line="259" w:lineRule="auto"/>
            </w:pPr>
            <w:r>
              <w:rPr>
                <w:rFonts w:ascii="Calibri" w:hAnsi="Calibri"/>
                <w:b w:val="0"/>
                <w:i w:val="0"/>
                <w:color w:val="212121"/>
                <w:sz w:val="16"/>
              </w:rPr>
              <w:t>Nerve damage plus poor flow leads to ulcers and amputation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Autonomic assessment</w:t>
            </w:r>
          </w:p>
        </w:tc>
        <w:tc>
          <w:tcPr>
            <w:tcW w:type="dxa" w:w="950"/>
            <w:vAlign w:val="top"/>
          </w:tcPr>
          <w:p>
            <w:pPr>
              <w:spacing w:after="40" w:before="0" w:line="259" w:lineRule="auto"/>
            </w:pPr>
            <w:r>
              <w:rPr>
                <w:rFonts w:ascii="Calibri" w:hAnsi="Calibri"/>
                <w:b w:val="0"/>
                <w:i w:val="0"/>
                <w:color w:val="212121"/>
                <w:sz w:val="16"/>
              </w:rPr>
              <w:t>Orthostatic BP &amp; symptom review</w:t>
            </w:r>
          </w:p>
        </w:tc>
        <w:tc>
          <w:tcPr>
            <w:tcW w:type="dxa" w:w="979"/>
            <w:vAlign w:val="top"/>
          </w:tcPr>
          <w:p>
            <w:pPr>
              <w:spacing w:after="40" w:before="0" w:line="259" w:lineRule="auto"/>
            </w:pPr>
            <w:r>
              <w:rPr>
                <w:rFonts w:ascii="Calibri" w:hAnsi="Calibri"/>
                <w:b w:val="0"/>
                <w:i w:val="0"/>
                <w:color w:val="212121"/>
                <w:sz w:val="16"/>
              </w:rPr>
              <w:t>Postural dizziness, gastroparesis, bladder/erectile symptoms, sweating, hypoglycaemia unawareness</w:t>
            </w:r>
          </w:p>
        </w:tc>
        <w:tc>
          <w:tcPr>
            <w:tcW w:type="dxa" w:w="950"/>
            <w:vAlign w:val="top"/>
          </w:tcPr>
          <w:p>
            <w:pPr>
              <w:spacing w:after="40" w:before="0" w:line="259" w:lineRule="auto"/>
            </w:pPr>
            <w:r>
              <w:rPr>
                <w:rFonts w:ascii="Calibri" w:hAnsi="Calibri"/>
                <w:b w:val="0"/>
                <w:i w:val="0"/>
                <w:color w:val="212121"/>
                <w:sz w:val="16"/>
              </w:rPr>
              <w:t>No autonomic symptoms; BP fall &lt; 20/10</w:t>
            </w:r>
          </w:p>
        </w:tc>
        <w:tc>
          <w:tcPr>
            <w:tcW w:type="dxa" w:w="950"/>
            <w:vAlign w:val="top"/>
          </w:tcPr>
          <w:p>
            <w:pPr>
              <w:spacing w:after="40" w:before="0" w:line="259" w:lineRule="auto"/>
            </w:pPr>
            <w:r>
              <w:rPr>
                <w:rFonts w:ascii="Calibri" w:hAnsi="Calibri"/>
                <w:b w:val="0"/>
                <w:i w:val="0"/>
                <w:color w:val="212121"/>
                <w:sz w:val="16"/>
              </w:rPr>
              <w:t>Orthostatic drop ≥ 20/10 mmHg; autonomic symptoms</w:t>
            </w:r>
          </w:p>
        </w:tc>
        <w:tc>
          <w:tcPr>
            <w:tcW w:type="dxa" w:w="1036"/>
            <w:vAlign w:val="top"/>
          </w:tcPr>
          <w:p>
            <w:pPr>
              <w:spacing w:after="40" w:before="0" w:line="259" w:lineRule="auto"/>
            </w:pPr>
            <w:r>
              <w:rPr>
                <w:rFonts w:ascii="Calibri" w:hAnsi="Calibri"/>
                <w:b w:val="0"/>
                <w:i w:val="0"/>
                <w:color w:val="212121"/>
                <w:sz w:val="16"/>
              </w:rPr>
              <w:t>Detects diabetic autonomic neuropathy (cardiovascular, GI, GU, sudomotor)</w:t>
            </w:r>
          </w:p>
        </w:tc>
        <w:tc>
          <w:tcPr>
            <w:tcW w:type="dxa" w:w="1036"/>
            <w:vAlign w:val="top"/>
          </w:tcPr>
          <w:p>
            <w:pPr>
              <w:spacing w:after="40" w:before="0" w:line="259" w:lineRule="auto"/>
            </w:pPr>
            <w:r>
              <w:rPr>
                <w:rFonts w:ascii="Calibri" w:hAnsi="Calibri"/>
                <w:b w:val="0"/>
                <w:i w:val="0"/>
                <w:color w:val="212121"/>
                <w:sz w:val="16"/>
              </w:rPr>
              <w:t>Long-standing diabetes, unexplained symptoms</w:t>
            </w:r>
          </w:p>
        </w:tc>
        <w:tc>
          <w:tcPr>
            <w:tcW w:type="dxa" w:w="720"/>
            <w:vAlign w:val="top"/>
          </w:tcPr>
          <w:p>
            <w:pPr>
              <w:spacing w:after="40" w:before="0" w:line="259" w:lineRule="auto"/>
            </w:pPr>
            <w:r>
              <w:rPr>
                <w:rFonts w:ascii="Calibri" w:hAnsi="Calibri"/>
                <w:b w:val="0"/>
                <w:i w:val="0"/>
                <w:color w:val="212121"/>
                <w:sz w:val="16"/>
              </w:rPr>
              <w:t>Posture; Water</w:t>
            </w:r>
          </w:p>
        </w:tc>
        <w:tc>
          <w:tcPr>
            <w:tcW w:type="dxa" w:w="720"/>
            <w:vAlign w:val="top"/>
          </w:tcPr>
          <w:p>
            <w:pPr>
              <w:spacing w:after="40" w:before="0" w:line="259" w:lineRule="auto"/>
            </w:pPr>
            <w:r>
              <w:rPr>
                <w:rFonts w:ascii="Calibri" w:hAnsi="Calibri"/>
                <w:b w:val="0"/>
                <w:i w:val="0"/>
                <w:color w:val="212121"/>
                <w:sz w:val="16"/>
              </w:rPr>
              <w:t>Prognostic (increased mortality)</w:t>
            </w:r>
          </w:p>
        </w:tc>
        <w:tc>
          <w:tcPr>
            <w:tcW w:type="dxa" w:w="720"/>
            <w:vAlign w:val="top"/>
          </w:tcPr>
          <w:p>
            <w:pPr>
              <w:spacing w:after="40" w:before="0" w:line="259" w:lineRule="auto"/>
            </w:pPr>
            <w:r>
              <w:rPr>
                <w:rFonts w:ascii="Calibri" w:hAnsi="Calibri"/>
                <w:b w:val="0"/>
                <w:i w:val="0"/>
                <w:color w:val="212121"/>
                <w:sz w:val="16"/>
              </w:rPr>
              <w:t>Cardiovascular autonomic neuropathy raises silent-ischaemia and mortality risk</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Numbness / reduced sensation in the 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Length-dependent loss beginning in the toes; patients may not feel injuries or hot surfaces.</w:t>
            </w:r>
          </w:p>
        </w:tc>
      </w:tr>
      <w:tr>
        <w:trPr>
          <w:cantSplit/>
        </w:trPr>
        <w:tc>
          <w:tcPr>
            <w:tcW w:type="dxa" w:w="2304"/>
            <w:vAlign w:val="top"/>
          </w:tcPr>
          <w:p>
            <w:pPr>
              <w:spacing w:after="40" w:before="0" w:line="259" w:lineRule="auto"/>
            </w:pPr>
            <w:r>
              <w:rPr>
                <w:rFonts w:ascii="Calibri" w:hAnsi="Calibri"/>
                <w:b/>
                <w:i w:val="0"/>
                <w:color w:val="212121"/>
                <w:sz w:val="19"/>
              </w:rPr>
              <w:t>Tingling or “pins-and-needles” (paraesthesia)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small- and large-fibre irritation, typically in a stocking distribution.</w:t>
            </w:r>
          </w:p>
        </w:tc>
      </w:tr>
      <w:tr>
        <w:trPr>
          <w:cantSplit/>
        </w:trPr>
        <w:tc>
          <w:tcPr>
            <w:tcW w:type="dxa" w:w="2304"/>
            <w:vAlign w:val="top"/>
          </w:tcPr>
          <w:p>
            <w:pPr>
              <w:spacing w:after="40" w:before="0" w:line="259" w:lineRule="auto"/>
            </w:pPr>
            <w:r>
              <w:rPr>
                <w:rFonts w:ascii="Calibri" w:hAnsi="Calibri"/>
                <w:b/>
                <w:i w:val="0"/>
                <w:color w:val="212121"/>
                <w:sz w:val="19"/>
              </w:rPr>
              <w:t>Burning pain in feet and lower legs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Small-fibre neuropathic pain, characteristically worse at night and at rest.</w:t>
            </w:r>
          </w:p>
        </w:tc>
      </w:tr>
      <w:tr>
        <w:trPr>
          <w:cantSplit/>
        </w:trPr>
        <w:tc>
          <w:tcPr>
            <w:tcW w:type="dxa" w:w="2304"/>
            <w:vAlign w:val="top"/>
          </w:tcPr>
          <w:p>
            <w:pPr>
              <w:spacing w:after="40" w:before="0" w:line="259" w:lineRule="auto"/>
            </w:pPr>
            <w:r>
              <w:rPr>
                <w:rFonts w:ascii="Calibri" w:hAnsi="Calibri"/>
                <w:b/>
                <w:i w:val="0"/>
                <w:color w:val="212121"/>
                <w:sz w:val="19"/>
              </w:rPr>
              <w:t>Sharp, shooting or electric-shock-like pains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Lancinating neuropathic pain; part of painful DPN.</w:t>
            </w:r>
          </w:p>
        </w:tc>
      </w:tr>
      <w:tr>
        <w:trPr>
          <w:cantSplit/>
        </w:trPr>
        <w:tc>
          <w:tcPr>
            <w:tcW w:type="dxa" w:w="2304"/>
            <w:vAlign w:val="top"/>
          </w:tcPr>
          <w:p>
            <w:pPr>
              <w:spacing w:after="40" w:before="0" w:line="259" w:lineRule="auto"/>
            </w:pPr>
            <w:r>
              <w:rPr>
                <w:rFonts w:ascii="Calibri" w:hAnsi="Calibri"/>
                <w:b/>
                <w:i w:val="0"/>
                <w:color w:val="212121"/>
                <w:sz w:val="19"/>
              </w:rPr>
              <w:t>Increased sensitivity to touch (allodynia)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Even light bedsheet contact is painful — a hallmark of neuropathic pain.</w:t>
            </w:r>
          </w:p>
        </w:tc>
      </w:tr>
      <w:tr>
        <w:trPr>
          <w:cantSplit/>
        </w:trPr>
        <w:tc>
          <w:tcPr>
            <w:tcW w:type="dxa" w:w="2304"/>
            <w:vAlign w:val="top"/>
          </w:tcPr>
          <w:p>
            <w:pPr>
              <w:spacing w:after="40" w:before="0" w:line="259" w:lineRule="auto"/>
            </w:pPr>
            <w:r>
              <w:rPr>
                <w:rFonts w:ascii="Calibri" w:hAnsi="Calibri"/>
                <w:b/>
                <w:i w:val="0"/>
                <w:color w:val="212121"/>
                <w:sz w:val="19"/>
              </w:rPr>
              <w:t>Muscle cramps or aching in the legs/feet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accompaniment of DSPN, often nocturnal.</w:t>
            </w:r>
          </w:p>
        </w:tc>
      </w:tr>
      <w:tr>
        <w:trPr>
          <w:cantSplit/>
        </w:trPr>
        <w:tc>
          <w:tcPr>
            <w:tcW w:type="dxa" w:w="2304"/>
            <w:vAlign w:val="top"/>
          </w:tcPr>
          <w:p>
            <w:pPr>
              <w:spacing w:after="40" w:before="0" w:line="259" w:lineRule="auto"/>
            </w:pPr>
            <w:r>
              <w:rPr>
                <w:rFonts w:ascii="Calibri" w:hAnsi="Calibri"/>
                <w:b/>
                <w:i w:val="0"/>
                <w:color w:val="212121"/>
                <w:sz w:val="19"/>
              </w:rPr>
              <w:t>Unsteadiness and loss of balance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Proprioceptive (large-fibre) loss causes a wide-based, unsteady gait and falls.</w:t>
            </w:r>
          </w:p>
        </w:tc>
      </w:tr>
      <w:tr>
        <w:trPr>
          <w:cantSplit/>
        </w:trPr>
        <w:tc>
          <w:tcPr>
            <w:tcW w:type="dxa" w:w="2304"/>
            <w:vAlign w:val="top"/>
          </w:tcPr>
          <w:p>
            <w:pPr>
              <w:spacing w:after="40" w:before="0" w:line="259" w:lineRule="auto"/>
            </w:pPr>
            <w:r>
              <w:rPr>
                <w:rFonts w:ascii="Calibri" w:hAnsi="Calibri"/>
                <w:b/>
                <w:i w:val="0"/>
                <w:color w:val="212121"/>
                <w:sz w:val="19"/>
              </w:rPr>
              <w:t>A painless foot ulcer or unnoticed injury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Loss of protective sensation lets pressure sores and wounds develop and progress unnoticed.</w:t>
            </w:r>
          </w:p>
        </w:tc>
      </w:tr>
      <w:tr>
        <w:trPr>
          <w:cantSplit/>
        </w:trPr>
        <w:tc>
          <w:tcPr>
            <w:tcW w:type="dxa" w:w="2304"/>
            <w:vAlign w:val="top"/>
          </w:tcPr>
          <w:p>
            <w:pPr>
              <w:spacing w:after="40" w:before="0" w:line="259" w:lineRule="auto"/>
            </w:pPr>
            <w:r>
              <w:rPr>
                <w:rFonts w:ascii="Calibri" w:hAnsi="Calibri"/>
                <w:b/>
                <w:i w:val="0"/>
                <w:color w:val="212121"/>
                <w:sz w:val="19"/>
              </w:rPr>
              <w:t>Erectile dysfunction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Genitourinary autonomic neuropathy; an early and common autonomic symptom in men.</w:t>
            </w:r>
          </w:p>
        </w:tc>
      </w:tr>
      <w:tr>
        <w:trPr>
          <w:cantSplit/>
        </w:trPr>
        <w:tc>
          <w:tcPr>
            <w:tcW w:type="dxa" w:w="2304"/>
            <w:vAlign w:val="top"/>
          </w:tcPr>
          <w:p>
            <w:pPr>
              <w:spacing w:after="40" w:before="0" w:line="259" w:lineRule="auto"/>
            </w:pPr>
            <w:r>
              <w:rPr>
                <w:rFonts w:ascii="Calibri" w:hAnsi="Calibri"/>
                <w:b/>
                <w:i w:val="0"/>
                <w:color w:val="212121"/>
                <w:sz w:val="19"/>
              </w:rPr>
              <w:t>Light-headedness or fainting on standing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Orthostatic hypotension from cardiovascular autonomic neuropathy.</w:t>
            </w:r>
          </w:p>
        </w:tc>
      </w:tr>
      <w:tr>
        <w:trPr>
          <w:cantSplit/>
        </w:trPr>
        <w:tc>
          <w:tcPr>
            <w:tcW w:type="dxa" w:w="2304"/>
            <w:vAlign w:val="top"/>
          </w:tcPr>
          <w:p>
            <w:pPr>
              <w:spacing w:after="40" w:before="0" w:line="259" w:lineRule="auto"/>
            </w:pPr>
            <w:r>
              <w:rPr>
                <w:rFonts w:ascii="Calibri" w:hAnsi="Calibri"/>
                <w:b/>
                <w:i w:val="0"/>
                <w:color w:val="212121"/>
                <w:sz w:val="19"/>
              </w:rPr>
              <w:t>Bloating, early fullness, nausea or erratic glucose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Gastroparesis — delayed gastric emptying — from GI autonomic neuropathy.</w:t>
            </w:r>
          </w:p>
        </w:tc>
      </w:tr>
      <w:tr>
        <w:trPr>
          <w:cantSplit/>
        </w:trPr>
        <w:tc>
          <w:tcPr>
            <w:tcW w:type="dxa" w:w="2304"/>
            <w:vAlign w:val="top"/>
          </w:tcPr>
          <w:p>
            <w:pPr>
              <w:spacing w:after="40" w:before="0" w:line="259" w:lineRule="auto"/>
            </w:pPr>
            <w:r>
              <w:rPr>
                <w:rFonts w:ascii="Calibri" w:hAnsi="Calibri"/>
                <w:b/>
                <w:i w:val="0"/>
                <w:color w:val="212121"/>
                <w:sz w:val="19"/>
              </w:rPr>
              <w:t>Bladder symptoms (poor stream, incomplete emptying,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Neurogenic bladder from autonomic neuropathy; predisposes to UTIs.</w:t>
            </w:r>
          </w:p>
        </w:tc>
      </w:tr>
      <w:tr>
        <w:trPr>
          <w:cantSplit/>
        </w:trPr>
        <w:tc>
          <w:tcPr>
            <w:tcW w:type="dxa" w:w="2304"/>
            <w:vAlign w:val="top"/>
          </w:tcPr>
          <w:p>
            <w:pPr>
              <w:spacing w:after="40" w:before="0" w:line="259" w:lineRule="auto"/>
            </w:pPr>
            <w:r>
              <w:rPr>
                <w:rFonts w:ascii="Calibri" w:hAnsi="Calibri"/>
                <w:b/>
                <w:i w:val="0"/>
                <w:color w:val="212121"/>
                <w:sz w:val="19"/>
              </w:rPr>
              <w:t>Foot drop, wrist drop or focal weakness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Mononeuropathy (common peroneal, ulnar) or diabetic amyotrophy.</w:t>
            </w:r>
          </w:p>
        </w:tc>
      </w:tr>
      <w:tr>
        <w:trPr>
          <w:cantSplit/>
        </w:trPr>
        <w:tc>
          <w:tcPr>
            <w:tcW w:type="dxa" w:w="2304"/>
            <w:vAlign w:val="top"/>
          </w:tcPr>
          <w:p>
            <w:pPr>
              <w:spacing w:after="40" w:before="0" w:line="259" w:lineRule="auto"/>
            </w:pPr>
            <w:r>
              <w:rPr>
                <w:rFonts w:ascii="Calibri" w:hAnsi="Calibri"/>
                <w:b/>
                <w:i w:val="0"/>
                <w:color w:val="212121"/>
                <w:sz w:val="19"/>
              </w:rPr>
              <w:t>Double vision or facial droop</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Cranial neuropathy (III with pupil sparing, VI, or VII).</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Absent or reduced ankle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Early large-fibre sign of distal symmetric polyneuropathy.</w:t>
            </w:r>
          </w:p>
        </w:tc>
      </w:tr>
      <w:tr>
        <w:trPr>
          <w:cantSplit/>
        </w:trPr>
        <w:tc>
          <w:tcPr>
            <w:tcW w:type="dxa" w:w="3456"/>
            <w:vAlign w:val="top"/>
          </w:tcPr>
          <w:p>
            <w:pPr>
              <w:spacing w:after="40" w:before="0" w:line="259" w:lineRule="auto"/>
            </w:pPr>
            <w:r>
              <w:rPr>
                <w:rFonts w:ascii="Calibri" w:hAnsi="Calibri"/>
                <w:b/>
                <w:i w:val="0"/>
                <w:color w:val="212121"/>
                <w:sz w:val="19"/>
              </w:rPr>
              <w:t>Impaired vibration sense (128 Hz fork / VPT ≥ 25 V)</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Large-fibre loss; biothesiometry ≥ 25 V marks high foot-ulcer risk.</w:t>
            </w:r>
          </w:p>
        </w:tc>
      </w:tr>
      <w:tr>
        <w:trPr>
          <w:cantSplit/>
        </w:trPr>
        <w:tc>
          <w:tcPr>
            <w:tcW w:type="dxa" w:w="3456"/>
            <w:vAlign w:val="top"/>
          </w:tcPr>
          <w:p>
            <w:pPr>
              <w:spacing w:after="40" w:before="0" w:line="259" w:lineRule="auto"/>
            </w:pPr>
            <w:r>
              <w:rPr>
                <w:rFonts w:ascii="Calibri" w:hAnsi="Calibri"/>
                <w:b/>
                <w:i w:val="0"/>
                <w:color w:val="212121"/>
                <w:sz w:val="19"/>
              </w:rPr>
              <w:t>Reduced 10 g monofilament perception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protective sensation — the foot at risk of ulceration.</w:t>
            </w:r>
          </w:p>
        </w:tc>
      </w:tr>
      <w:tr>
        <w:trPr>
          <w:cantSplit/>
        </w:trPr>
        <w:tc>
          <w:tcPr>
            <w:tcW w:type="dxa" w:w="3456"/>
            <w:vAlign w:val="top"/>
          </w:tcPr>
          <w:p>
            <w:pPr>
              <w:spacing w:after="40" w:before="0" w:line="259" w:lineRule="auto"/>
            </w:pPr>
            <w:r>
              <w:rPr>
                <w:rFonts w:ascii="Calibri" w:hAnsi="Calibri"/>
                <w:b/>
                <w:i w:val="0"/>
                <w:color w:val="212121"/>
                <w:sz w:val="19"/>
              </w:rPr>
              <w:t>Impaired pinprick and temperature (stocking pattern)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Small-fibre sensory loss, often symmetrical and length-dependent.</w:t>
            </w:r>
          </w:p>
        </w:tc>
      </w:tr>
      <w:tr>
        <w:trPr>
          <w:cantSplit/>
        </w:trPr>
        <w:tc>
          <w:tcPr>
            <w:tcW w:type="dxa" w:w="3456"/>
            <w:vAlign w:val="top"/>
          </w:tcPr>
          <w:p>
            <w:pPr>
              <w:spacing w:after="40" w:before="0" w:line="259" w:lineRule="auto"/>
            </w:pPr>
            <w:r>
              <w:rPr>
                <w:rFonts w:ascii="Calibri" w:hAnsi="Calibri"/>
                <w:b/>
                <w:i w:val="0"/>
                <w:color w:val="212121"/>
                <w:sz w:val="19"/>
              </w:rPr>
              <w:t>Dry, cracked skin and thick callus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Sudomotor autonomic dysfunction reduces sweating; callus overlies pressure points.</w:t>
            </w:r>
          </w:p>
        </w:tc>
      </w:tr>
      <w:tr>
        <w:trPr>
          <w:cantSplit/>
        </w:trPr>
        <w:tc>
          <w:tcPr>
            <w:tcW w:type="dxa" w:w="3456"/>
            <w:vAlign w:val="top"/>
          </w:tcPr>
          <w:p>
            <w:pPr>
              <w:spacing w:after="40" w:before="0" w:line="259" w:lineRule="auto"/>
            </w:pPr>
            <w:r>
              <w:rPr>
                <w:rFonts w:ascii="Calibri" w:hAnsi="Calibri"/>
                <w:b/>
                <w:i w:val="0"/>
                <w:color w:val="212121"/>
                <w:sz w:val="19"/>
              </w:rPr>
              <w:t>Foot deformity (claw/hammer toes, high arch)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Intrinsic-muscle imbalance redistributes pressure and precipitates ulcers.</w:t>
            </w:r>
          </w:p>
        </w:tc>
      </w:tr>
      <w:tr>
        <w:trPr>
          <w:cantSplit/>
        </w:trPr>
        <w:tc>
          <w:tcPr>
            <w:tcW w:type="dxa" w:w="3456"/>
            <w:vAlign w:val="top"/>
          </w:tcPr>
          <w:p>
            <w:pPr>
              <w:spacing w:after="40" w:before="0" w:line="259" w:lineRule="auto"/>
            </w:pPr>
            <w:r>
              <w:rPr>
                <w:rFonts w:ascii="Calibri" w:hAnsi="Calibri"/>
                <w:b/>
                <w:i w:val="0"/>
                <w:color w:val="212121"/>
                <w:sz w:val="19"/>
              </w:rPr>
              <w:t>Distal muscle wasting and weakness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Motor involvement of intrinsic foot muscles and toe extensors in advanced DSPN.</w:t>
            </w:r>
          </w:p>
        </w:tc>
      </w:tr>
      <w:tr>
        <w:trPr>
          <w:cantSplit/>
        </w:trPr>
        <w:tc>
          <w:tcPr>
            <w:tcW w:type="dxa" w:w="3456"/>
            <w:vAlign w:val="top"/>
          </w:tcPr>
          <w:p>
            <w:pPr>
              <w:spacing w:after="40" w:before="0" w:line="259" w:lineRule="auto"/>
            </w:pPr>
            <w:r>
              <w:rPr>
                <w:rFonts w:ascii="Calibri" w:hAnsi="Calibri"/>
                <w:b/>
                <w:i w:val="0"/>
                <w:color w:val="212121"/>
                <w:sz w:val="19"/>
              </w:rPr>
              <w:t>Neuropathic (painless) foot ulcer at pressure points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Punched-out ulcer over metatarsal heads/heel in an insensate, warm foot.</w:t>
            </w:r>
          </w:p>
        </w:tc>
      </w:tr>
      <w:tr>
        <w:trPr>
          <w:cantSplit/>
        </w:trPr>
        <w:tc>
          <w:tcPr>
            <w:tcW w:type="dxa" w:w="3456"/>
            <w:vAlign w:val="top"/>
          </w:tcPr>
          <w:p>
            <w:pPr>
              <w:spacing w:after="40" w:before="0" w:line="259" w:lineRule="auto"/>
            </w:pPr>
            <w:r>
              <w:rPr>
                <w:rFonts w:ascii="Calibri" w:hAnsi="Calibri"/>
                <w:b/>
                <w:i w:val="0"/>
                <w:color w:val="212121"/>
                <w:sz w:val="19"/>
              </w:rPr>
              <w:t>Orthostatic blood-pressure fall ≥ 20/10 mmHg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Cardiovascular autonomic neuropathy; often with resting tachycardia and loss of HR variability.</w:t>
            </w:r>
          </w:p>
        </w:tc>
      </w:tr>
      <w:tr>
        <w:trPr>
          <w:cantSplit/>
        </w:trPr>
        <w:tc>
          <w:tcPr>
            <w:tcW w:type="dxa" w:w="3456"/>
            <w:vAlign w:val="top"/>
          </w:tcPr>
          <w:p>
            <w:pPr>
              <w:spacing w:after="40" w:before="0" w:line="259" w:lineRule="auto"/>
            </w:pPr>
            <w:r>
              <w:rPr>
                <w:rFonts w:ascii="Calibri" w:hAnsi="Calibri"/>
                <w:b/>
                <w:i w:val="0"/>
                <w:color w:val="212121"/>
                <w:sz w:val="19"/>
              </w:rPr>
              <w:t>Resting tachycardia / fixed heart rate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Early cardiovascular autonomic neuropathy from vagal denervation.</w:t>
            </w:r>
          </w:p>
        </w:tc>
      </w:tr>
      <w:tr>
        <w:trPr>
          <w:cantSplit/>
        </w:trPr>
        <w:tc>
          <w:tcPr>
            <w:tcW w:type="dxa" w:w="3456"/>
            <w:vAlign w:val="top"/>
          </w:tcPr>
          <w:p>
            <w:pPr>
              <w:spacing w:after="40" w:before="0" w:line="259" w:lineRule="auto"/>
            </w:pPr>
            <w:r>
              <w:rPr>
                <w:rFonts w:ascii="Calibri" w:hAnsi="Calibri"/>
                <w:b/>
                <w:i w:val="0"/>
                <w:color w:val="212121"/>
                <w:sz w:val="19"/>
              </w:rPr>
              <w:t>Charcot neuroarthropathy (warm, swollen, deformed midfoot)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Progressive bone/joint destruction in a well-perfused insensate foot — a limb-threatening emergency.</w:t>
            </w:r>
          </w:p>
        </w:tc>
      </w:tr>
      <w:tr>
        <w:trPr>
          <w:cantSplit/>
        </w:trPr>
        <w:tc>
          <w:tcPr>
            <w:tcW w:type="dxa" w:w="3456"/>
            <w:vAlign w:val="top"/>
          </w:tcPr>
          <w:p>
            <w:pPr>
              <w:spacing w:after="40" w:before="0" w:line="259" w:lineRule="auto"/>
            </w:pPr>
            <w:r>
              <w:rPr>
                <w:rFonts w:ascii="Calibri" w:hAnsi="Calibri"/>
                <w:b/>
                <w:i w:val="0"/>
                <w:color w:val="212121"/>
                <w:sz w:val="19"/>
              </w:rPr>
              <w:t>Cranial nerve palsy (pupil-sparing III, VI or VII)</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Ischaemic diabetic mononeuropathy; usually self-limiting.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neuropathic pain (painful DPN) with disturbed sleep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loss of protective sensation (“insensate 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Small-fibre dysfunction — burning pain, allodynia and impaired temperature sensation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 impairment from proprioceptive loss</w:t>
            </w:r>
          </w:p>
        </w:tc>
        <w:tc>
          <w:tcPr>
            <w:tcW w:type="dxa" w:w="2980"/>
            <w:vAlign w:val="top"/>
          </w:tcPr>
          <w:p>
            <w:pPr>
              <w:spacing w:after="40" w:before="0" w:line="259" w:lineRule="auto"/>
            </w:pPr>
            <w:r>
              <w:rPr>
                <w:rFonts w:ascii="Calibri" w:hAnsi="Calibri"/>
                <w:b w:val="0"/>
                <w:i w:val="0"/>
                <w:color w:val="212121"/>
                <w:sz w:val="19"/>
              </w:rPr>
              <w:t>Direct consequences of hyperglycaemic and ischaemic injury to peripheral sensory nerves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foot ulceration and recurrent, unnoticed injury/infection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Charcot neuroarthropathy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fractures from unsteadiness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Gastroparesis with erratic glycaemia; diabetic diarrhoea/constipation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Orthostatic hypotension and syncope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Erectile dysfunction and neurogenic bladder with recurrent UTIs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Silent myocardial ischaemia and hypoglycaemia unawareness (autonomic)</w:t>
            </w:r>
          </w:p>
        </w:tc>
        <w:tc>
          <w:tcPr>
            <w:tcW w:type="dxa" w:w="2980"/>
            <w:vAlign w:val="top"/>
          </w:tcPr>
          <w:p>
            <w:pPr>
              <w:spacing w:after="40" w:before="0" w:line="259" w:lineRule="auto"/>
            </w:pPr>
            <w:r>
              <w:rPr>
                <w:rFonts w:ascii="Calibri" w:hAnsi="Calibri"/>
                <w:b w:val="0"/>
                <w:i w:val="0"/>
                <w:color w:val="212121"/>
                <w:sz w:val="19"/>
              </w:rPr>
              <w:t>Result from sensory loss in the foot and from autonomic (cardiovascular, GI, GU, sudomotor) neuropathy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Non-traumatic lower-limb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Life-threatening foot sepsis / osteomyelitis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 and increased mortality from cardiovascular autonomic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immobility and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markedly reduced quality of life</w:t>
            </w:r>
          </w:p>
        </w:tc>
        <w:tc>
          <w:tcPr>
            <w:tcW w:type="dxa" w:w="2980"/>
            <w:vAlign w:val="top"/>
          </w:tcPr>
          <w:p>
            <w:pPr>
              <w:spacing w:after="40" w:before="0" w:line="259" w:lineRule="auto"/>
            </w:pPr>
            <w:r>
              <w:rPr>
                <w:rFonts w:ascii="Calibri" w:hAnsi="Calibri"/>
                <w:b w:val="0"/>
                <w:i w:val="0"/>
                <w:color w:val="212121"/>
                <w:sz w:val="19"/>
              </w:rPr>
              <w:t>Irreversible, disabling outcomes; WHO notes nerve damage and poor blood flow drive foot ulcers and amputation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Diabetic neuropathy is a chronic microvascular complication of sustained hyperglycaemia; about one-third to one-half of people with diabetes are affected over their lifetime.</w:t>
            </w:r>
          </w:p>
          <w:p>
            <w:pPr>
              <w:spacing w:after="40" w:before="0" w:line="259" w:lineRule="auto"/>
            </w:pPr>
            <w:r>
              <w:rPr>
                <w:rFonts w:ascii="Calibri" w:hAnsi="Calibri"/>
                <w:b/>
                <w:i w:val="0"/>
                <w:color w:val="212121"/>
                <w:sz w:val="19"/>
              </w:rPr>
              <w:t>~33–50%</w:t>
            </w:r>
          </w:p>
        </w:tc>
      </w:tr>
      <w:tr>
        <w:trPr>
          <w:cantSplit/>
        </w:trPr>
        <w:tc>
          <w:tcPr>
            <w:tcW w:type="dxa" w:w="2232"/>
            <w:vAlign w:val="top"/>
          </w:tcPr>
          <w:p>
            <w:pPr>
              <w:spacing w:after="40" w:before="0" w:line="259" w:lineRule="auto"/>
            </w:pPr>
            <w:r>
              <w:rPr>
                <w:rFonts w:ascii="Calibri" w:hAnsi="Calibri"/>
                <w:b/>
                <w:i w:val="0"/>
                <w:color w:val="212121"/>
                <w:sz w:val="19"/>
              </w:rPr>
              <w:t>Diabetic foot ulcer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protective sensation is the key cause of ulceration; most diabetic foot ulcers occur in insensate feet and precede the majority of amputations.</w:t>
            </w:r>
          </w:p>
        </w:tc>
      </w:tr>
      <w:tr>
        <w:trPr>
          <w:cantSplit/>
        </w:trPr>
        <w:tc>
          <w:tcPr>
            <w:tcW w:type="dxa" w:w="2232"/>
            <w:vAlign w:val="top"/>
          </w:tcPr>
          <w:p>
            <w:pPr>
              <w:spacing w:after="40" w:before="0" w:line="259" w:lineRule="auto"/>
            </w:pPr>
            <w:r>
              <w:rPr>
                <w:rFonts w:ascii="Calibri" w:hAnsi="Calibri"/>
                <w:b/>
                <w:i w:val="0"/>
                <w:color w:val="212121"/>
                <w:sz w:val="19"/>
              </w:rPr>
              <w:t>Peripheral arterial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Large-vessel ischaemia compounds microvascular nerve injury; combined neuro-ischaemic feet carry the highest ulcer and amputation risk.</w:t>
            </w:r>
          </w:p>
        </w:tc>
      </w:tr>
      <w:tr>
        <w:trPr>
          <w:cantSplit/>
        </w:trPr>
        <w:tc>
          <w:tcPr>
            <w:tcW w:type="dxa" w:w="2232"/>
            <w:vAlign w:val="top"/>
          </w:tcPr>
          <w:p>
            <w:pPr>
              <w:spacing w:after="40" w:before="0" w:line="259" w:lineRule="auto"/>
            </w:pPr>
            <w:r>
              <w:rPr>
                <w:rFonts w:ascii="Calibri" w:hAnsi="Calibri"/>
                <w:b/>
                <w:i w:val="0"/>
                <w:color w:val="212121"/>
                <w:sz w:val="19"/>
              </w:rPr>
              <w:t>Diabetic retinopathy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the same hyperglycaemia-driven microangiopathy; its presence strongly predicts coexisting neuropathy and vice versa.</w:t>
            </w:r>
          </w:p>
        </w:tc>
      </w:tr>
      <w:tr>
        <w:trPr>
          <w:cantSplit/>
        </w:trPr>
        <w:tc>
          <w:tcPr>
            <w:tcW w:type="dxa" w:w="2232"/>
            <w:vAlign w:val="top"/>
          </w:tcPr>
          <w:p>
            <w:pPr>
              <w:spacing w:after="40" w:before="0" w:line="259" w:lineRule="auto"/>
            </w:pPr>
            <w:r>
              <w:rPr>
                <w:rFonts w:ascii="Calibri" w:hAnsi="Calibri"/>
                <w:b/>
                <w:i w:val="0"/>
                <w:color w:val="212121"/>
                <w:sz w:val="19"/>
              </w:rPr>
              <w:t>Diabetic nephropathy / CKD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microangiopathy; CKD may add uraemic neuropathy and requires dose reduction of gabapentin/pregabalin used for neuropathic pain.</w:t>
            </w:r>
          </w:p>
        </w:tc>
      </w:tr>
      <w:tr>
        <w:trPr>
          <w:cantSplit/>
        </w:trPr>
        <w:tc>
          <w:tcPr>
            <w:tcW w:type="dxa" w:w="2232"/>
            <w:vAlign w:val="top"/>
          </w:tcPr>
          <w:p>
            <w:pPr>
              <w:spacing w:after="40" w:before="0" w:line="259" w:lineRule="auto"/>
            </w:pPr>
            <w:r>
              <w:rPr>
                <w:rFonts w:ascii="Calibri" w:hAnsi="Calibri"/>
                <w:b/>
                <w:i w:val="0"/>
                <w:color w:val="212121"/>
                <w:sz w:val="19"/>
              </w:rPr>
              <w:t>Cardiovascular autonomic neuropathy / CVD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form of diabetic autonomic neuropathy causing resting tachycardia, orthostatic hypotension and silent ischaemia; independently increases mortality.</w:t>
            </w:r>
          </w:p>
        </w:tc>
      </w:tr>
      <w:tr>
        <w:trPr>
          <w:cantSplit/>
        </w:trPr>
        <w:tc>
          <w:tcPr>
            <w:tcW w:type="dxa" w:w="2232"/>
            <w:vAlign w:val="top"/>
          </w:tcPr>
          <w:p>
            <w:pPr>
              <w:spacing w:after="40" w:before="0" w:line="259" w:lineRule="auto"/>
            </w:pPr>
            <w:r>
              <w:rPr>
                <w:rFonts w:ascii="Calibri" w:hAnsi="Calibri"/>
                <w:b/>
                <w:i w:val="0"/>
                <w:color w:val="212121"/>
                <w:sz w:val="19"/>
              </w:rPr>
              <w:t>Vitamin B12 deficiency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with DPN (p = 0.008 in an Indian study) and aggravated by long-term metformin (low/borderline B12 in ~19% of users); can mimic or worsen neuropathy and is treatable.</w:t>
            </w:r>
          </w:p>
          <w:p>
            <w:pPr>
              <w:spacing w:after="40" w:before="0" w:line="259" w:lineRule="auto"/>
            </w:pPr>
            <w:r>
              <w:rPr>
                <w:rFonts w:ascii="Calibri" w:hAnsi="Calibri"/>
                <w:b/>
                <w:i w:val="0"/>
                <w:color w:val="212121"/>
                <w:sz w:val="19"/>
              </w:rPr>
              <w:t>Up to ~19% (low/borderline on metformin)</w:t>
            </w:r>
          </w:p>
        </w:tc>
      </w:tr>
      <w:tr>
        <w:trPr>
          <w:cantSplit/>
        </w:trPr>
        <w:tc>
          <w:tcPr>
            <w:tcW w:type="dxa" w:w="2232"/>
            <w:vAlign w:val="top"/>
          </w:tcPr>
          <w:p>
            <w:pPr>
              <w:spacing w:after="40" w:before="0" w:line="259" w:lineRule="auto"/>
            </w:pPr>
            <w:r>
              <w:rPr>
                <w:rFonts w:ascii="Calibri" w:hAnsi="Calibri"/>
                <w:b/>
                <w:i w:val="0"/>
                <w:color w:val="212121"/>
                <w:sz w:val="19"/>
              </w:rPr>
              <w:t>Erectile dysfunction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Genitourinary autonomic neuropathy; often an early autonomic manifestation and a marker of wider vascular/autonomic disease.</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Twice as common with painful DPN; amplifies pain and undermines self-care and glycaemic control in a bidirectional loop.</w:t>
            </w:r>
          </w:p>
        </w:tc>
      </w:tr>
      <w:tr>
        <w:trPr>
          <w:cantSplit/>
        </w:trPr>
        <w:tc>
          <w:tcPr>
            <w:tcW w:type="dxa" w:w="2232"/>
            <w:vAlign w:val="top"/>
          </w:tcPr>
          <w:p>
            <w:pPr>
              <w:spacing w:after="40" w:before="0" w:line="259" w:lineRule="auto"/>
            </w:pPr>
            <w:r>
              <w:rPr>
                <w:rFonts w:ascii="Calibri" w:hAnsi="Calibri"/>
                <w:b/>
                <w:i w:val="0"/>
                <w:color w:val="212121"/>
                <w:sz w:val="19"/>
              </w:rPr>
              <w:t>Charcot neuroarthropathy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Destructive bone/joint disorder occurring specifically in the insensate but well-perfused diabetic foot.</w:t>
            </w:r>
          </w:p>
        </w:tc>
      </w:tr>
      <w:tr>
        <w:trPr>
          <w:cantSplit/>
        </w:trPr>
        <w:tc>
          <w:tcPr>
            <w:tcW w:type="dxa" w:w="2232"/>
            <w:vAlign w:val="top"/>
          </w:tcPr>
          <w:p>
            <w:pPr>
              <w:spacing w:after="40" w:before="0" w:line="259" w:lineRule="auto"/>
            </w:pPr>
            <w:r>
              <w:rPr>
                <w:rFonts w:ascii="Calibri" w:hAnsi="Calibri"/>
                <w:b/>
                <w:i w:val="0"/>
                <w:color w:val="212121"/>
                <w:sz w:val="19"/>
              </w:rPr>
              <w:t>Dyslipidaemia and 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High triglycerides (lipotoxicity) and hypertension coexist with and aggravate microvascular nerve injury.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up to half of nerve damage is silent — have your feet and sensation checked at every diabetes visit, even if they feel normal.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Inspect both feet daily (use a mirror or ask a family member) for cuts, blisters, redness, calluses or colour change, and seek care promptly for any wound.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walk barefoot (indoors, in temples or on hot ground); check inside footwear for stones/grit and test bath-water temperature by hand or elbow to avoid burns.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well-fitting, cushioned footwear; do not cut calluses or corns yourself — see a podiatrist.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HbA1c, blood pressure and lipids at target and attend annual foot, eye and kidney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about vitamin B12 testing if you are vegetarian or on long-term metformin.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Long-standing / poorly controlled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on metformin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Rural/barefoot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current treatments relieve symptoms and prevent complications but do not reverse established nerve damage — so consistent glucose control and foot care matter most.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neuropathic-pain medicines (e.g., duloxetine, pregabalin/gabapentin, amitriptyline) as prescribed, and report side-effects rather than stopping abruptly.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any foot ulcer as urgent — offloading, wound care and infection control prevent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feel dizzy on standing, rise slowly and report it; simple measures reduce falls from autonomic neuropathy.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established DPN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diabetic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Foot-ulcer / autonomic neuropathy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plus resistance training 2–3 days/week to improve glucose control and nerve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balance and gait training (e.g., tai-chi-style or supervised balance work) to reduce falls from proprioceptive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protective sensation is lost or there is a foot ulcer, prefer non-weight-bearing options (cycling, swimming, chair/arm exercises) and check feet after every session.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Structured exercise has been shown to reduce neuropathic symptoms and improve nerve function in DPN — progress gradually under guidance.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DPN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Fall-risk / elderly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Base meals on low-glycaemic whole grains and millets (ragi, jowar, bajra), pulses, non-starchy vegetables and nuts; limit polished white rice, refined wheat and sugary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carbohydrate evenly across meals to smooth post-meal glucose and lower long-term HbA1c.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B12 — include dairy/eggs or a supplement if vegetarian or on metformin — and a zinc-adequate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triglycerides in check with healthy fats and by reducing fried and bakery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individualised targets set with your care team rather than crash diets.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on metformin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refined-carb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regular sleep; treat painful DPN adequately so night pain does not fragment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screened and treated for obstructive sleep apnoea (snoring, daytime sleepiness), which worsens glucose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bedtime neuropathic-pain dosing and a cradle to keep bedding off sensitive feet if allodynia disturbs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DPN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diabetics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smoking and smokeless tobacco — tobacco strongly accelerates nerve and foot-vessel damage (smoking was linked to roughly a 6-fold higher DPN risk in an Indian study).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bupropion/varenicline) to quit and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harms the microcirculation.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Smokers/tobacco users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Neuro-ischaemic foot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smokers with early diabetes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strictly limit alcohol — it is directly toxic to nerves and adds to diabetic nerve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drink, keep well within low-risk limits, never on an empty stomach (risk of hypoglycaemia), and ensure adequate thiamine/B-vitamin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which commonly coexists with and worsens neuropathy.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users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or worsening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with painful DPN and worsen pain and self-care.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antidepressants that also relieve neuropathic pain (e.g., duloxetine, amitriptyline) where appropriate to treat both together.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cognitive-behavioural therapy, relaxation and pain-coping strategies, and peer/group support for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in foot-care and medication routines to sustain motivation and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DPN with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 elderly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ddk.nih.gov/health-information/diabetes/overview/preventing-problems/nerve-damage-diabetic-neuropathies" TargetMode="External"/><Relationship Id="rId10" Type="http://schemas.openxmlformats.org/officeDocument/2006/relationships/hyperlink" Target="https://pubmed.ncbi.nlm.nih.gov/26425491/" TargetMode="External"/><Relationship Id="rId11" Type="http://schemas.openxmlformats.org/officeDocument/2006/relationships/hyperlink" Target="https://pubmed.ncbi.nlm.nih.gov/18294224/" TargetMode="External"/><Relationship Id="rId12" Type="http://schemas.openxmlformats.org/officeDocument/2006/relationships/hyperlink" Target="https://pubmed.ncbi.nlm.nih.gov/31333282/" TargetMode="External"/><Relationship Id="rId13" Type="http://schemas.openxmlformats.org/officeDocument/2006/relationships/hyperlink" Target="https://pubmed.ncbi.nlm.nih.gov/39639140/" TargetMode="External"/><Relationship Id="rId14" Type="http://schemas.openxmlformats.org/officeDocument/2006/relationships/hyperlink" Target="https://pubmed.ncbi.nlm.nih.gov/22717465/" TargetMode="External"/><Relationship Id="rId15" Type="http://schemas.openxmlformats.org/officeDocument/2006/relationships/hyperlink" Target="https://pubmed.ncbi.nlm.nih.gov/22696371/" TargetMode="External"/><Relationship Id="rId16" Type="http://schemas.openxmlformats.org/officeDocument/2006/relationships/hyperlink" Target="https://pubmed.ncbi.nlm.nih.gov/26900641/" TargetMode="External"/><Relationship Id="rId17" Type="http://schemas.openxmlformats.org/officeDocument/2006/relationships/hyperlink" Target="https://pubmed.ncbi.nlm.nih.gov/38881112/" TargetMode="External"/><Relationship Id="rId18" Type="http://schemas.openxmlformats.org/officeDocument/2006/relationships/hyperlink" Target="https://pubmed.ncbi.nlm.nih.gov/31197183/" TargetMode="External"/><Relationship Id="rId19" Type="http://schemas.openxmlformats.org/officeDocument/2006/relationships/hyperlink" Target="https://www.niddk.nih.gov/health-information/diabetes/overview/preventing-problems/nerve-damage-diabetic-neuropathies/autonomic-neuropat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