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Diabetic Nephropathy</w:t>
      </w:r>
    </w:p>
    <w:p>
      <w:pPr>
        <w:spacing w:before="0" w:after="160"/>
      </w:pPr>
      <w:r>
        <w:rPr>
          <w:rFonts w:ascii="Calibri" w:hAnsi="Calibri"/>
          <w:b/>
          <w:i w:val="0"/>
          <w:color w:val="212121"/>
          <w:sz w:val="22"/>
        </w:rPr>
        <w:t xml:space="preserve">AKA </w:t>
      </w:r>
      <w:r>
        <w:rPr>
          <w:rFonts w:ascii="Calibri" w:hAnsi="Calibri"/>
          <w:b w:val="0"/>
          <w:i w:val="0"/>
          <w:color w:val="212121"/>
          <w:sz w:val="22"/>
        </w:rPr>
        <w:t>i.e., Diabetic Kidney Disease (DKD), Diabetic glomerulosclerosis, Kimmelstiel–Wilson disease, Nodular glomerulosclerosis, Kidney disease of diabetes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Diabetic nephropathy is a chronic, progressive kidney disease that develops as a microvascular complication of long-standing type 1 or type 2 diabetes mellitus. It is characterised by persistent albuminuria, a progressive decline in the glomerular filtration rate (GFR) and rising blood pressure, all driven by hyperglycaemia-induced injury to the glomerular filtration barrier. Left unchecked it advances through albuminuria and falling GFR to end-stage renal disease (ESRD), and it is the single most common cause of chronic kidney disease and dialysis-dependent kidney failure worldwide and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Roughly 25–40% of people living with diabetes eventually develop diabetic kidney disease, and with an estimated 100+ million Indians already diabetic, diabetic nephropathy has become a leading cause of chronic kidney disease and dialysis in India. In the community-based SEEK study, 17.2% of Indian adults screened had chronic kidney disease, and diabetes was present in nearly one in three (31.6%) of those with CKD. About 1 in 3 adults with diabetes has some degree of kidney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Diabetic nephropathy is diagnosed in a person with diabetes on the basis of persistent kidney-damage markers, after other causes of kidney disease have been reasonably excluded. Diagnosis rests on one or more of the following, confirmed on repeat testing over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persistently elevated urine albumin-to-creatinine ratio (UACR) ≥ 30 mg/g on at least two of three samples over 3–6 months (moderately increased albuminuria, formerly “microalbuminuria”);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severely increased albuminuria (UACR ≥ 300 mg/g, formerly “macroalbuminuria” or overt proteinuria), which may reach nephrotic range;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sustained reduction in estimated glomerular filtration rate (eGFR) &lt; 60 mL/min/1.73 m² persisting for ≥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typically in the setting of long-standing diabetes (usually &gt; 5–10 years in type 1 diabetes), frequently accompanied by diabetic retinopathy and hypertension;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consider non-diabetic kidney disease (and biopsy) when features are atypical — absence of retinopathy, active urinary sediment, rapidly declining GFR, or abrupt-onset heavy proteinuria.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Diabetic nephropathy is classically described using the Mogensen stages of natural progression and, in current practice, staged with the KDIGO “CGA” framework that combines Cause, GFR category (G1–G5) and Albuminuria category (A1–A3):</w:t>
      </w:r>
    </w:p>
    <w:p>
      <w:pPr>
        <w:spacing w:before="0" w:after="80"/>
      </w:pPr>
      <w:r>
        <w:rPr>
          <w:rFonts w:ascii="Calibri" w:hAnsi="Calibri"/>
          <w:b w:val="0"/>
          <w:i w:val="0"/>
          <w:color w:val="212121"/>
          <w:sz w:val="21"/>
        </w:rPr>
        <w:t>(1) Stage 1 — Hyperfiltration &amp; hypertrophy: raised GFR and enlarged kidneys at or near diagnosis, with normal albumin excretion; functionally reversible with good control.</w:t>
      </w:r>
    </w:p>
    <w:p>
      <w:pPr>
        <w:spacing w:before="0" w:after="80"/>
      </w:pPr>
      <w:r>
        <w:rPr>
          <w:rFonts w:ascii="Calibri" w:hAnsi="Calibri"/>
          <w:b w:val="0"/>
          <w:i w:val="0"/>
          <w:color w:val="212121"/>
          <w:sz w:val="21"/>
        </w:rPr>
        <w:t>(2) Stage 2 — Silent / normoalbuminuric stage: glomerular basement-membrane thickening and mesangial expansion are present on biopsy while urinary albumin remains normal.</w:t>
      </w:r>
    </w:p>
    <w:p>
      <w:pPr>
        <w:spacing w:before="0" w:after="80"/>
      </w:pPr>
      <w:r>
        <w:rPr>
          <w:rFonts w:ascii="Calibri" w:hAnsi="Calibri"/>
          <w:b w:val="0"/>
          <w:i w:val="0"/>
          <w:color w:val="212121"/>
          <w:sz w:val="21"/>
        </w:rPr>
        <w:t>(3) Stage 3 — Incipient nephropathy (moderately increased albuminuria): persistent UACR 30–300 mg/g (microalbuminuria); blood pressure begins to rise; the earliest clinically detectable and most reversible stage.</w:t>
      </w:r>
    </w:p>
    <w:p>
      <w:pPr>
        <w:spacing w:before="0" w:after="80"/>
      </w:pPr>
      <w:r>
        <w:rPr>
          <w:rFonts w:ascii="Calibri" w:hAnsi="Calibri"/>
          <w:b w:val="0"/>
          <w:i w:val="0"/>
          <w:color w:val="212121"/>
          <w:sz w:val="21"/>
        </w:rPr>
        <w:t>(4) Stage 4 — Overt / clinical nephropathy (severely increased albuminuria): UACR &gt; 300 mg/g with a steadily falling GFR, worsening hypertension and sometimes nephrotic-range proteinuria with oedema.</w:t>
      </w:r>
    </w:p>
    <w:p>
      <w:pPr>
        <w:spacing w:before="0" w:after="80"/>
      </w:pPr>
      <w:r>
        <w:rPr>
          <w:rFonts w:ascii="Calibri" w:hAnsi="Calibri"/>
          <w:b w:val="0"/>
          <w:i w:val="0"/>
          <w:color w:val="212121"/>
          <w:sz w:val="21"/>
        </w:rPr>
        <w:t>(5) Stage 5 — End-stage renal disease (ESRD): GFR &lt; 15 mL/min/1.73 m², requiring renal replacement therapy (dialysis or transplantation).</w:t>
      </w:r>
    </w:p>
    <w:p>
      <w:pPr>
        <w:spacing w:before="0" w:after="80"/>
      </w:pPr>
      <w:r>
        <w:rPr>
          <w:rFonts w:ascii="Calibri" w:hAnsi="Calibri"/>
          <w:b w:val="0"/>
          <w:i w:val="0"/>
          <w:color w:val="212121"/>
          <w:sz w:val="21"/>
        </w:rPr>
        <w:t>KDIGO staging superimposes GFR categories G1 (≥ 90) to G5 (&lt; 15 mL/min/1.73 m²) on albuminuria categories A1 (&lt; 30), A2 (30–300) and A3 (&gt; 300 mg/g) to grade prognosis and guide treatment intensity.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hyperglycaemia: Sustained high blood glucose glycates renal proteins and activates the polyol, hexosamine, protein-kinase-C and advanced-glycation-end-product (AGE–RAGE) pathways, damaging the glomerular filtration barrier and driving albuminuria.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Long duration of diabetes: Cumulative glycaemic exposure progressively injures glomeruli; nephropathy risk climbs steeply after 5–10 years of diabetes.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Hypertension &amp; intraglomerular pressure: Systemic and intraglomerular hypertension with renin–angiotensin–aldosterone system (RAAS) activation accelerates glomerulosclerosis, albuminuria and GFR loss in a vicious cycle.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&amp; ethnic susceptibility: Familial clustering and South Asian ancestry confer higher susceptibility to diabetic kidney disease, often at younger ages and lower BMI (the “thin-fat” phenotype).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Dyslipidaemia: High triglycerides and LDL-cholesterol promote lipotoxic renal injury, endothelial dysfunction and faster progression.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Obesity &amp; insulin resistance: Central adiposity and adipokine imbalance add glomerular hyperfiltration and haemodynamic stress to the diabetic kidney.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Smoking: Nicotine, oxidative stress and endothelial injury worsen albuminuria and hasten decline in kidney function.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with diabetes (35–60 years)</w:t>
            </w:r>
          </w:p>
        </w:tc>
        <w:tc>
          <w:tcPr>
            <w:tcW w:type="dxa" w:w="4276"/>
            <w:vAlign w:val="top"/>
          </w:tcPr>
          <w:p>
            <w:pPr>
              <w:spacing w:after="60" w:line="259" w:lineRule="auto"/>
            </w:pPr>
            <w:r>
              <w:rPr>
                <w:rFonts w:ascii="Calibri" w:hAnsi="Calibri"/>
                <w:b w:val="0"/>
                <w:i w:val="0"/>
                <w:color w:val="212121"/>
                <w:sz w:val="19"/>
              </w:rPr>
              <w:t>Diabetic kidney disease develops silently over years of cumulative glycaemic and blood-pressure exposure; by mid-life many people with type 2 diabetes already have moderately increased albuminuria before any symptoms appear.</w:t>
            </w:r>
          </w:p>
          <w:p>
            <w:pPr>
              <w:spacing w:after="40" w:before="60" w:line="259" w:lineRule="auto"/>
            </w:pPr>
            <w:r>
              <w:rPr>
                <w:rFonts w:ascii="Calibri" w:hAnsi="Calibri"/>
                <w:b w:val="0"/>
                <w:i w:val="0"/>
                <w:color w:val="212121"/>
                <w:sz w:val="19"/>
              </w:rPr>
              <w:t>About 30–40% of people with diabetes develop diabetic nephropathy over the course of their disease.</w:t>
            </w:r>
          </w:p>
          <w:p>
            <w:pPr>
              <w:spacing w:after="40" w:line="252" w:lineRule="auto"/>
            </w:pPr>
            <w:hyperlink r:id="rId9">
              <w:r>
                <w:rPr>
                  <w:rFonts w:ascii="Calibri" w:hAnsi="Calibri" w:cs="Calibri"/>
                  <w:sz w:val="18"/>
                  <w:color w:val="1155CC"/>
                  <w:u w:val="single"/>
                </w:rPr>
                <w:t xml:space="preserve">ncbi.nlm.nih.gov — StatPearls: Diabetic Nephropathy</w:t>
              </w:r>
            </w:hyperlink>
          </w:p>
          <w:p>
            <w:pPr>
              <w:spacing w:before="60" w:after="40"/>
            </w:pPr>
            <w:r>
              <w:rPr>
                <w:rFonts w:ascii="Calibri" w:hAnsi="Calibri"/>
                <w:b w:val="0"/>
                <w:i w:val="0"/>
                <w:color w:val="5A5A5A"/>
                <w:sz w:val="18"/>
              </w:rPr>
              <w:t>#DKD  #albuminuria  #silentprogression  #glycaemicexposure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Age-related nephron loss and reduced renal reserve compound long-standing diabetes and hypertension, so the elderly reach lower eGFR faster and tolerate it less well, often alongside polypharmacy and nephrotoxin exposure.</w:t>
            </w:r>
          </w:p>
          <w:p>
            <w:pPr>
              <w:spacing w:after="40" w:before="60" w:line="259" w:lineRule="auto"/>
            </w:pPr>
            <w:r>
              <w:rPr>
                <w:rFonts w:ascii="Calibri" w:hAnsi="Calibri"/>
                <w:b w:val="0"/>
                <w:i w:val="0"/>
                <w:color w:val="212121"/>
                <w:sz w:val="19"/>
              </w:rPr>
              <w:t>About 1 in 3 adults with diabetes has chronic kidney disease, with prevalence and severity rising with age and diabetes duration.</w:t>
            </w:r>
          </w:p>
          <w:p>
            <w:pPr>
              <w:spacing w:after="40" w:line="252" w:lineRule="auto"/>
            </w:pPr>
            <w:hyperlink r:id="rId10">
              <w:r>
                <w:rPr>
                  <w:rFonts w:ascii="Calibri" w:hAnsi="Calibri" w:cs="Calibri"/>
                  <w:sz w:val="18"/>
                  <w:color w:val="1155CC"/>
                  <w:u w:val="single"/>
                </w:rPr>
                <w:t xml:space="preserve">cdc.gov — diabetes and chronic kidney disease</w:t>
              </w:r>
            </w:hyperlink>
          </w:p>
          <w:p>
            <w:pPr>
              <w:spacing w:before="60" w:after="40"/>
            </w:pPr>
            <w:r>
              <w:rPr>
                <w:rFonts w:ascii="Calibri" w:hAnsi="Calibri"/>
                <w:b w:val="0"/>
                <w:i w:val="0"/>
                <w:color w:val="5A5A5A"/>
                <w:sz w:val="18"/>
              </w:rPr>
              <w:t>#ageing  #lownephronreserve  #polypharmacy  #eGFRdecline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tend to develop type 2 diabetes at a lower body weight and carry more visceral (belly) fat, and generally show earlier onset and faster progression of albuminuria and GFR decline than pre-menopausal women.</w:t>
            </w:r>
          </w:p>
          <w:p>
            <w:pPr>
              <w:spacing w:after="40" w:before="60" w:line="259" w:lineRule="auto"/>
            </w:pPr>
            <w:r>
              <w:rPr>
                <w:rFonts w:ascii="Calibri" w:hAnsi="Calibri"/>
                <w:b w:val="0"/>
                <w:i w:val="0"/>
                <w:color w:val="212121"/>
                <w:sz w:val="19"/>
              </w:rPr>
              <w:t>CDC notes men develop type 2 diabetes at a lower weight than women and are prone to belly fat, a key metabolic risk factor.</w:t>
            </w:r>
          </w:p>
          <w:p>
            <w:pPr>
              <w:spacing w:after="40" w:line="252" w:lineRule="auto"/>
            </w:pPr>
            <w:hyperlink r:id="rId11">
              <w:r>
                <w:rPr>
                  <w:rFonts w:ascii="Calibri" w:hAnsi="Calibri" w:cs="Calibri"/>
                  <w:sz w:val="18"/>
                  <w:color w:val="1155CC"/>
                  <w:u w:val="single"/>
                </w:rPr>
                <w:t xml:space="preserve">cdc.gov — diabetes and men</w:t>
              </w:r>
            </w:hyperlink>
          </w:p>
          <w:p>
            <w:pPr>
              <w:spacing w:before="60" w:after="40"/>
            </w:pPr>
            <w:r>
              <w:rPr>
                <w:rFonts w:ascii="Calibri" w:hAnsi="Calibri"/>
                <w:b w:val="0"/>
                <w:i w:val="0"/>
                <w:color w:val="5A5A5A"/>
                <w:sz w:val="18"/>
              </w:rPr>
              <w:t>#malesex  #visceralfat  #fasterprogression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limited healthcare access</w:t>
            </w:r>
          </w:p>
        </w:tc>
        <w:tc>
          <w:tcPr>
            <w:tcW w:type="dxa" w:w="4276"/>
            <w:vAlign w:val="top"/>
          </w:tcPr>
          <w:p>
            <w:pPr>
              <w:spacing w:after="60" w:line="259" w:lineRule="auto"/>
            </w:pPr>
            <w:r>
              <w:rPr>
                <w:rFonts w:ascii="Calibri" w:hAnsi="Calibri"/>
                <w:b w:val="0"/>
                <w:i w:val="0"/>
                <w:color w:val="212121"/>
                <w:sz w:val="19"/>
              </w:rPr>
              <w:t>Late diagnosis, poor glycaemic and blood-pressure control, out-of-pocket costs of monitoring and drugs, and limited access to dialysis mean disadvantaged patients present later with advanced kidney disease.</w:t>
            </w:r>
          </w:p>
          <w:p>
            <w:pPr>
              <w:spacing w:after="40" w:before="60" w:line="259" w:lineRule="auto"/>
            </w:pPr>
            <w:r>
              <w:rPr>
                <w:rFonts w:ascii="Calibri" w:hAnsi="Calibri"/>
                <w:b w:val="0"/>
                <w:i w:val="0"/>
                <w:color w:val="212121"/>
                <w:sz w:val="19"/>
              </w:rPr>
              <w:t>WHO reports diabetes prevalence is rising more rapidly in low- and middle-income countries, where treatment gaps are widest — over half of people with diabetes were untreated in 2022.</w:t>
            </w:r>
          </w:p>
          <w:p>
            <w:pPr>
              <w:spacing w:after="40" w:line="252" w:lineRule="auto"/>
            </w:pPr>
            <w:hyperlink r:id="rId12">
              <w:r>
                <w:rPr>
                  <w:rFonts w:ascii="Calibri" w:hAnsi="Calibri" w:cs="Calibri"/>
                  <w:sz w:val="18"/>
                  <w:color w:val="1155CC"/>
                  <w:u w:val="single"/>
                </w:rPr>
                <w:t xml:space="preserve">who.int — diabetes fact sheet</w:t>
              </w:r>
            </w:hyperlink>
          </w:p>
          <w:p>
            <w:pPr>
              <w:spacing w:before="60" w:after="40"/>
            </w:pPr>
            <w:r>
              <w:rPr>
                <w:rFonts w:ascii="Calibri" w:hAnsi="Calibri"/>
                <w:b w:val="0"/>
                <w:i w:val="0"/>
                <w:color w:val="5A5A5A"/>
                <w:sz w:val="18"/>
              </w:rPr>
              <w:t>#healthaccess  #latediagnosis  #treatmentgap  #outofpocket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(incl. South Indian Dravidian)</w:t>
            </w:r>
          </w:p>
        </w:tc>
        <w:tc>
          <w:tcPr>
            <w:tcW w:type="dxa" w:w="4276"/>
            <w:vAlign w:val="top"/>
          </w:tcPr>
          <w:p>
            <w:pPr>
              <w:spacing w:after="60" w:line="259" w:lineRule="auto"/>
            </w:pPr>
            <w:r>
              <w:rPr>
                <w:rFonts w:ascii="Calibri" w:hAnsi="Calibri"/>
                <w:b w:val="0"/>
                <w:i w:val="0"/>
                <w:color w:val="212121"/>
                <w:sz w:val="19"/>
              </w:rPr>
              <w:t>South Asians develop diabetes earlier and at lower BMI and show heightened susceptibility to its microvascular complications, making diabetic nephropathy a leading contributor to chronic kidney disease across India.</w:t>
            </w:r>
          </w:p>
          <w:p>
            <w:pPr>
              <w:spacing w:after="40" w:before="60" w:line="259" w:lineRule="auto"/>
            </w:pPr>
            <w:r>
              <w:rPr>
                <w:rFonts w:ascii="Calibri" w:hAnsi="Calibri"/>
                <w:b w:val="0"/>
                <w:i w:val="0"/>
                <w:color w:val="212121"/>
                <w:sz w:val="19"/>
              </w:rPr>
              <w:t>In the SEEK study, 17.2% of screened Indian adults had CKD and diabetes was present in 31.6% of those with CKD.</w:t>
            </w:r>
          </w:p>
          <w:p>
            <w:pPr>
              <w:spacing w:after="40" w:line="252" w:lineRule="auto"/>
            </w:pPr>
            <w:hyperlink r:id="rId13">
              <w:r>
                <w:rPr>
                  <w:rFonts w:ascii="Calibri" w:hAnsi="Calibri" w:cs="Calibri"/>
                  <w:sz w:val="18"/>
                  <w:color w:val="1155CC"/>
                  <w:u w:val="single"/>
                </w:rPr>
                <w:t xml:space="preserve">link.springer.com — SEEK study (CKD in India)</w:t>
              </w:r>
            </w:hyperlink>
          </w:p>
          <w:p>
            <w:pPr>
              <w:spacing w:before="60" w:after="40"/>
            </w:pPr>
            <w:r>
              <w:rPr>
                <w:rFonts w:ascii="Calibri" w:hAnsi="Calibri"/>
                <w:b w:val="0"/>
                <w:i w:val="0"/>
                <w:color w:val="5A5A5A"/>
                <w:sz w:val="18"/>
              </w:rPr>
              <w:t>#southasian  #thinfat  #earlyonset  #IndiaCKD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&amp; peri-urban India</w:t>
            </w:r>
          </w:p>
        </w:tc>
        <w:tc>
          <w:tcPr>
            <w:tcW w:type="dxa" w:w="4276"/>
            <w:vAlign w:val="top"/>
          </w:tcPr>
          <w:p>
            <w:pPr>
              <w:spacing w:after="60" w:line="259" w:lineRule="auto"/>
            </w:pPr>
            <w:r>
              <w:rPr>
                <w:rFonts w:ascii="Calibri" w:hAnsi="Calibri"/>
                <w:b w:val="0"/>
                <w:i w:val="0"/>
                <w:color w:val="212121"/>
                <w:sz w:val="19"/>
              </w:rPr>
              <w:t>Urbanisation brings sedentary work, energy-dense refined diets, higher obesity and hypertension, and greater type 2 diabetes burden — the upstream drivers that feed diabetic kidney disease.</w:t>
            </w:r>
          </w:p>
          <w:p>
            <w:pPr>
              <w:spacing w:after="40" w:before="60" w:line="259" w:lineRule="auto"/>
            </w:pPr>
            <w:r>
              <w:rPr>
                <w:rFonts w:ascii="Calibri" w:hAnsi="Calibri"/>
                <w:b w:val="0"/>
                <w:i w:val="0"/>
                <w:color w:val="212121"/>
                <w:sz w:val="19"/>
              </w:rPr>
              <w:t>Diabetes and hypertension were the dominant risk factors for CKD in the Indian SEEK cohort, with hypertension in 64.5% of those with CKD.</w:t>
            </w:r>
          </w:p>
          <w:p>
            <w:pPr>
              <w:spacing w:after="40" w:line="252" w:lineRule="auto"/>
            </w:pPr>
            <w:hyperlink r:id="rId13">
              <w:r>
                <w:rPr>
                  <w:rFonts w:ascii="Calibri" w:hAnsi="Calibri" w:cs="Calibri"/>
                  <w:sz w:val="18"/>
                  <w:color w:val="1155CC"/>
                  <w:u w:val="single"/>
                </w:rPr>
                <w:t xml:space="preserve">link.springer.com — SEEK study (CKD in India)</w:t>
              </w:r>
            </w:hyperlink>
          </w:p>
          <w:p>
            <w:pPr>
              <w:spacing w:before="60" w:after="40"/>
            </w:pPr>
            <w:r>
              <w:rPr>
                <w:rFonts w:ascii="Calibri" w:hAnsi="Calibri"/>
                <w:b w:val="0"/>
                <w:i w:val="0"/>
                <w:color w:val="5A5A5A"/>
                <w:sz w:val="18"/>
              </w:rPr>
              <w:t>#urbanisation  #sedentary  #refineddiet  #hypertension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homemakers, physically inactive adults</w:t>
            </w:r>
          </w:p>
        </w:tc>
        <w:tc>
          <w:tcPr>
            <w:tcW w:type="dxa" w:w="4276"/>
            <w:vAlign w:val="top"/>
          </w:tcPr>
          <w:p>
            <w:pPr>
              <w:spacing w:after="60" w:line="259" w:lineRule="auto"/>
            </w:pPr>
            <w:r>
              <w:rPr>
                <w:rFonts w:ascii="Calibri" w:hAnsi="Calibri"/>
                <w:b w:val="0"/>
                <w:i w:val="0"/>
                <w:color w:val="212121"/>
                <w:sz w:val="19"/>
              </w:rPr>
              <w:t>Physical inactivity worsens insulin resistance, glycaemic control, weight and blood pressure — the three key drivers of nephropathy — while regular activity improves all of them.</w:t>
            </w:r>
          </w:p>
          <w:p>
            <w:pPr>
              <w:spacing w:after="40" w:before="60" w:line="259" w:lineRule="auto"/>
            </w:pPr>
            <w:r>
              <w:rPr>
                <w:rFonts w:ascii="Calibri" w:hAnsi="Calibri"/>
                <w:b w:val="0"/>
                <w:i w:val="0"/>
                <w:color w:val="212121"/>
                <w:sz w:val="19"/>
              </w:rPr>
              <w:t>NIDDK lists physical inactivity, overweight and high blood pressure among the modifiable risk factors for diabetic kidney disease.</w:t>
            </w:r>
          </w:p>
          <w:p>
            <w:pPr>
              <w:spacing w:after="40" w:line="252" w:lineRule="auto"/>
            </w:pPr>
            <w:hyperlink r:id="rId14">
              <w:r>
                <w:rPr>
                  <w:rFonts w:ascii="Calibri" w:hAnsi="Calibri" w:cs="Calibri"/>
                  <w:sz w:val="18"/>
                  <w:color w:val="1155CC"/>
                  <w:u w:val="single"/>
                </w:rPr>
                <w:t xml:space="preserve">niddk.nih.gov — diabetic kidney disease</w:t>
              </w:r>
            </w:hyperlink>
          </w:p>
          <w:p>
            <w:pPr>
              <w:spacing w:before="60" w:after="40"/>
            </w:pPr>
            <w:r>
              <w:rPr>
                <w:rFonts w:ascii="Calibri" w:hAnsi="Calibri"/>
                <w:b w:val="0"/>
                <w:i w:val="0"/>
                <w:color w:val="5A5A5A"/>
                <w:sz w:val="18"/>
              </w:rPr>
              <w:t>#sedentary  #insulinresistance  #bloodpressure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(incl. bidi/hookah, smokeless tobacco)</w:t>
            </w:r>
          </w:p>
        </w:tc>
        <w:tc>
          <w:tcPr>
            <w:tcW w:type="dxa" w:w="4276"/>
            <w:vAlign w:val="top"/>
          </w:tcPr>
          <w:p>
            <w:pPr>
              <w:spacing w:after="60" w:line="259" w:lineRule="auto"/>
            </w:pPr>
            <w:r>
              <w:rPr>
                <w:rFonts w:ascii="Calibri" w:hAnsi="Calibri"/>
                <w:b w:val="0"/>
                <w:i w:val="0"/>
                <w:color w:val="212121"/>
                <w:sz w:val="19"/>
              </w:rPr>
              <w:t>Tobacco causes endothelial injury, oxidative stress and vasoconstriction that accelerate albuminuria and GFR decline; cessation slows progression of diabetic kidney disease.</w:t>
            </w:r>
          </w:p>
          <w:p>
            <w:pPr>
              <w:spacing w:after="40" w:before="60" w:line="259" w:lineRule="auto"/>
            </w:pPr>
            <w:r>
              <w:rPr>
                <w:rFonts w:ascii="Calibri" w:hAnsi="Calibri"/>
                <w:b w:val="0"/>
                <w:i w:val="0"/>
                <w:color w:val="212121"/>
                <w:sz w:val="19"/>
              </w:rPr>
              <w:t>Smoking is an established risk factor for diabetic nephropathy that accelerates diabetic vascular and renal damage.</w:t>
            </w:r>
          </w:p>
          <w:p>
            <w:pPr>
              <w:spacing w:after="40" w:line="252" w:lineRule="auto"/>
            </w:pPr>
            <w:hyperlink r:id="rId15">
              <w:r>
                <w:rPr>
                  <w:rFonts w:ascii="Calibri" w:hAnsi="Calibri" w:cs="Calibri"/>
                  <w:sz w:val="18"/>
                  <w:color w:val="1155CC"/>
                  <w:u w:val="single"/>
                </w:rPr>
                <w:t xml:space="preserve">mayoclinic.org — diabetic nephropathy (causes/risk)</w:t>
              </w:r>
            </w:hyperlink>
          </w:p>
          <w:p>
            <w:pPr>
              <w:spacing w:before="60" w:after="40"/>
            </w:pPr>
            <w:r>
              <w:rPr>
                <w:rFonts w:ascii="Calibri" w:hAnsi="Calibri"/>
                <w:b w:val="0"/>
                <w:i w:val="0"/>
                <w:color w:val="5A5A5A"/>
                <w:sz w:val="18"/>
              </w:rPr>
              <w:t>#smoking  #tobacco  #oxidativestress  #albuminuria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Excess alcohol raises blood pressure, worsens glycaemic swings, adds calories driving obesity, and can precipitate dehydration and hypoglycaemia — all detrimental to the diabetic kidney.</w:t>
            </w:r>
          </w:p>
          <w:p>
            <w:pPr>
              <w:spacing w:after="40" w:before="60" w:line="259" w:lineRule="auto"/>
            </w:pPr>
            <w:r>
              <w:rPr>
                <w:rFonts w:ascii="Calibri" w:hAnsi="Calibri"/>
                <w:b w:val="0"/>
                <w:i w:val="0"/>
                <w:color w:val="212121"/>
                <w:sz w:val="19"/>
              </w:rPr>
              <w:t>Uncontrolled hypertension and poor glycaemic control are central risk factors for diabetic nephropathy; heavy alcohol worsens both.</w:t>
            </w:r>
          </w:p>
          <w:p>
            <w:pPr>
              <w:spacing w:after="40" w:line="252" w:lineRule="auto"/>
            </w:pPr>
            <w:hyperlink r:id="rId14">
              <w:r>
                <w:rPr>
                  <w:rFonts w:ascii="Calibri" w:hAnsi="Calibri" w:cs="Calibri"/>
                  <w:sz w:val="18"/>
                  <w:color w:val="1155CC"/>
                  <w:u w:val="single"/>
                </w:rPr>
                <w:t xml:space="preserve">niddk.nih.gov — diabetic kidney disease</w:t>
              </w:r>
            </w:hyperlink>
          </w:p>
          <w:p>
            <w:pPr>
              <w:spacing w:before="60" w:after="40"/>
            </w:pPr>
            <w:r>
              <w:rPr>
                <w:rFonts w:ascii="Calibri" w:hAnsi="Calibri"/>
                <w:b w:val="0"/>
                <w:i w:val="0"/>
                <w:color w:val="5A5A5A"/>
                <w:sz w:val="18"/>
              </w:rPr>
              <w:t>#alcohol  #hypertension  #glycaemicswings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(abdominal) obesity</w:t>
            </w:r>
          </w:p>
        </w:tc>
        <w:tc>
          <w:tcPr>
            <w:tcW w:type="dxa" w:w="4276"/>
            <w:vAlign w:val="top"/>
          </w:tcPr>
          <w:p>
            <w:pPr>
              <w:spacing w:after="60" w:line="259" w:lineRule="auto"/>
            </w:pPr>
            <w:r>
              <w:rPr>
                <w:rFonts w:ascii="Calibri" w:hAnsi="Calibri"/>
                <w:b w:val="0"/>
                <w:i w:val="0"/>
                <w:color w:val="212121"/>
                <w:sz w:val="19"/>
              </w:rPr>
              <w:t>Obesity drives insulin resistance, glomerular hyperfiltration and hypertension, and clusters with dyslipidaemia — together accelerating structural kidney damage.</w:t>
            </w:r>
          </w:p>
          <w:p>
            <w:pPr>
              <w:spacing w:after="40" w:before="60" w:line="259" w:lineRule="auto"/>
            </w:pPr>
            <w:r>
              <w:rPr>
                <w:rFonts w:ascii="Calibri" w:hAnsi="Calibri"/>
                <w:b w:val="0"/>
                <w:i w:val="0"/>
                <w:color w:val="212121"/>
                <w:sz w:val="19"/>
              </w:rPr>
              <w:t>Obesity and hyperlipidaemia are recognised risk factors for the development of diabetic nephropathy.</w:t>
            </w:r>
          </w:p>
          <w:p>
            <w:pPr>
              <w:spacing w:after="40" w:line="252" w:lineRule="auto"/>
            </w:pPr>
            <w:hyperlink r:id="rId9">
              <w:r>
                <w:rPr>
                  <w:rFonts w:ascii="Calibri" w:hAnsi="Calibri" w:cs="Calibri"/>
                  <w:sz w:val="18"/>
                  <w:color w:val="1155CC"/>
                  <w:u w:val="single"/>
                </w:rPr>
                <w:t xml:space="preserve">ncbi.nlm.nih.gov — StatPearls: Diabetic Nephropathy</w:t>
              </w:r>
            </w:hyperlink>
          </w:p>
          <w:p>
            <w:pPr>
              <w:spacing w:before="60" w:after="40"/>
            </w:pPr>
            <w:r>
              <w:rPr>
                <w:rFonts w:ascii="Calibri" w:hAnsi="Calibri"/>
                <w:b w:val="0"/>
                <w:i w:val="0"/>
                <w:color w:val="5A5A5A"/>
                <w:sz w:val="18"/>
              </w:rPr>
              <w:t>#obesity  #centraladiposity  #hyperfiltration  #metabolicsyndrome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High-salt, high-glycaemic-index Indian diets</w:t>
            </w:r>
          </w:p>
        </w:tc>
        <w:tc>
          <w:tcPr>
            <w:tcW w:type="dxa" w:w="4276"/>
            <w:vAlign w:val="top"/>
          </w:tcPr>
          <w:p>
            <w:pPr>
              <w:spacing w:after="60" w:line="259" w:lineRule="auto"/>
            </w:pPr>
            <w:r>
              <w:rPr>
                <w:rFonts w:ascii="Calibri" w:hAnsi="Calibri"/>
                <w:b w:val="0"/>
                <w:i w:val="0"/>
                <w:color w:val="212121"/>
                <w:sz w:val="19"/>
              </w:rPr>
              <w:t>Diets heavy in refined rice/wheat, fried and processed foods and pickles/papads deliver a high glycaemic and sodium load that raises blood glucose and blood pressure, increasing intraglomerular pressure and albuminuria.</w:t>
            </w:r>
          </w:p>
          <w:p>
            <w:pPr>
              <w:spacing w:after="40" w:before="60" w:line="259" w:lineRule="auto"/>
            </w:pPr>
            <w:r>
              <w:rPr>
                <w:rFonts w:ascii="Calibri" w:hAnsi="Calibri"/>
                <w:b w:val="0"/>
                <w:i w:val="0"/>
                <w:color w:val="212121"/>
                <w:sz w:val="19"/>
              </w:rPr>
              <w:t>Excess dietary salt and overweight are among the modifiable risk factors highlighted for diabetic kidney disease; reducing sodium helps control blood pressure.</w:t>
            </w:r>
          </w:p>
          <w:p>
            <w:pPr>
              <w:spacing w:after="40" w:line="252" w:lineRule="auto"/>
            </w:pPr>
            <w:hyperlink r:id="rId14">
              <w:r>
                <w:rPr>
                  <w:rFonts w:ascii="Calibri" w:hAnsi="Calibri" w:cs="Calibri"/>
                  <w:sz w:val="18"/>
                  <w:color w:val="1155CC"/>
                  <w:u w:val="single"/>
                </w:rPr>
                <w:t xml:space="preserve">niddk.nih.gov — diabetic kidney disease</w:t>
              </w:r>
            </w:hyperlink>
          </w:p>
          <w:p>
            <w:pPr>
              <w:spacing w:before="60" w:after="40"/>
            </w:pPr>
            <w:r>
              <w:rPr>
                <w:rFonts w:ascii="Calibri" w:hAnsi="Calibri"/>
                <w:b w:val="0"/>
                <w:i w:val="0"/>
                <w:color w:val="5A5A5A"/>
                <w:sz w:val="18"/>
              </w:rPr>
              <w:t>#highsalt  #highGI  #refinedcarbs  #processedfood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Protein &amp; processed intake</w:t>
            </w:r>
          </w:p>
        </w:tc>
        <w:tc>
          <w:tcPr>
            <w:tcW w:type="dxa" w:w="2160"/>
            <w:vAlign w:val="top"/>
          </w:tcPr>
          <w:p>
            <w:pPr>
              <w:spacing w:after="40" w:before="0" w:line="259" w:lineRule="auto"/>
            </w:pPr>
            <w:r>
              <w:rPr>
                <w:rFonts w:ascii="Calibri" w:hAnsi="Calibri"/>
                <w:b w:val="0"/>
                <w:i w:val="0"/>
                <w:color w:val="212121"/>
                <w:sz w:val="19"/>
              </w:rPr>
              <w:t>Very high animal-protein / ultra-processed diets</w:t>
            </w:r>
          </w:p>
        </w:tc>
        <w:tc>
          <w:tcPr>
            <w:tcW w:type="dxa" w:w="4276"/>
            <w:vAlign w:val="top"/>
          </w:tcPr>
          <w:p>
            <w:pPr>
              <w:spacing w:after="60" w:line="259" w:lineRule="auto"/>
            </w:pPr>
            <w:r>
              <w:rPr>
                <w:rFonts w:ascii="Calibri" w:hAnsi="Calibri"/>
                <w:b w:val="0"/>
                <w:i w:val="0"/>
                <w:color w:val="212121"/>
                <w:sz w:val="19"/>
              </w:rPr>
              <w:t>Sustained very high protein intake raises intraglomerular pressure and hyperfiltration, while ultra-processed, sugar-sweetened foods worsen glycaemia and weight; balanced, moderate protein is advised once kidney disease is established.</w:t>
            </w:r>
          </w:p>
          <w:p>
            <w:pPr>
              <w:spacing w:after="40" w:before="60" w:line="259" w:lineRule="auto"/>
            </w:pPr>
            <w:r>
              <w:rPr>
                <w:rFonts w:ascii="Calibri" w:hAnsi="Calibri"/>
                <w:b w:val="0"/>
                <w:i w:val="0"/>
                <w:color w:val="212121"/>
                <w:sz w:val="19"/>
              </w:rPr>
              <w:t>General clinical principle: excessive protein and high-glycaemic, ultra-processed intake add haemodynamic and metabolic stress to the diabetic kidney (no single verified prevalence figure).</w:t>
            </w:r>
          </w:p>
          <w:p>
            <w:pPr>
              <w:spacing w:before="60" w:after="40"/>
            </w:pPr>
            <w:r>
              <w:rPr>
                <w:rFonts w:ascii="Calibri" w:hAnsi="Calibri"/>
                <w:b w:val="0"/>
                <w:i w:val="0"/>
                <w:color w:val="5A5A5A"/>
                <w:sz w:val="18"/>
              </w:rPr>
              <w:t>#proteinload  #hyperfiltration  #ultraprocessed  #SSB</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diabetes or kidney disease</w:t>
            </w:r>
          </w:p>
        </w:tc>
        <w:tc>
          <w:tcPr>
            <w:tcW w:type="dxa" w:w="4276"/>
            <w:vAlign w:val="top"/>
          </w:tcPr>
          <w:p>
            <w:pPr>
              <w:spacing w:after="60" w:line="259" w:lineRule="auto"/>
            </w:pPr>
            <w:r>
              <w:rPr>
                <w:rFonts w:ascii="Calibri" w:hAnsi="Calibri"/>
                <w:b w:val="0"/>
                <w:i w:val="0"/>
                <w:color w:val="212121"/>
                <w:sz w:val="19"/>
              </w:rPr>
              <w:t>A family history of diabetes and of kidney failure independently raises the risk of developing diabetic nephropathy, reflecting shared genetic susceptibility and household lifestyle.</w:t>
            </w:r>
          </w:p>
          <w:p>
            <w:pPr>
              <w:spacing w:after="40" w:before="60" w:line="259" w:lineRule="auto"/>
            </w:pPr>
            <w:r>
              <w:rPr>
                <w:rFonts w:ascii="Calibri" w:hAnsi="Calibri"/>
                <w:b w:val="0"/>
                <w:i w:val="0"/>
                <w:color w:val="212121"/>
                <w:sz w:val="19"/>
              </w:rPr>
              <w:t>Mayo Clinic lists a family history of diabetes and kidney disease as a risk factor for diabetic nephropathy.</w:t>
            </w:r>
          </w:p>
          <w:p>
            <w:pPr>
              <w:spacing w:after="40" w:line="252" w:lineRule="auto"/>
            </w:pPr>
            <w:hyperlink r:id="rId15">
              <w:r>
                <w:rPr>
                  <w:rFonts w:ascii="Calibri" w:hAnsi="Calibri" w:cs="Calibri"/>
                  <w:sz w:val="18"/>
                  <w:color w:val="1155CC"/>
                  <w:u w:val="single"/>
                </w:rPr>
                <w:t xml:space="preserve">mayoclinic.org — diabetic nephropathy (causes/risk)</w:t>
              </w:r>
            </w:hyperlink>
          </w:p>
          <w:p>
            <w:pPr>
              <w:spacing w:before="60" w:after="40"/>
            </w:pPr>
            <w:r>
              <w:rPr>
                <w:rFonts w:ascii="Calibri" w:hAnsi="Calibri"/>
                <w:b w:val="0"/>
                <w:i w:val="0"/>
                <w:color w:val="5A5A5A"/>
                <w:sz w:val="18"/>
              </w:rPr>
              <w:t>#familyhistory  #inherited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susceptibility</w:t>
            </w:r>
          </w:p>
        </w:tc>
        <w:tc>
          <w:tcPr>
            <w:tcW w:type="dxa" w:w="2160"/>
            <w:vAlign w:val="top"/>
          </w:tcPr>
          <w:p>
            <w:pPr>
              <w:spacing w:after="40" w:before="0" w:line="259" w:lineRule="auto"/>
            </w:pPr>
            <w:r>
              <w:rPr>
                <w:rFonts w:ascii="Calibri" w:hAnsi="Calibri"/>
                <w:b w:val="0"/>
                <w:i w:val="0"/>
                <w:color w:val="212121"/>
                <w:sz w:val="19"/>
              </w:rPr>
              <w:t>Susceptibility gene carriers (e.g. RAAS, podocyte, ACE variants)</w:t>
            </w:r>
          </w:p>
        </w:tc>
        <w:tc>
          <w:tcPr>
            <w:tcW w:type="dxa" w:w="4276"/>
            <w:vAlign w:val="top"/>
          </w:tcPr>
          <w:p>
            <w:pPr>
              <w:spacing w:after="60" w:line="259" w:lineRule="auto"/>
            </w:pPr>
            <w:r>
              <w:rPr>
                <w:rFonts w:ascii="Calibri" w:hAnsi="Calibri"/>
                <w:b w:val="0"/>
                <w:i w:val="0"/>
                <w:color w:val="212121"/>
                <w:sz w:val="19"/>
              </w:rPr>
              <w:t>Not every poorly controlled diabetic develops nephropathy; polymorphisms affecting the renin–angiotensin system, podocyte structure and inflammation modulate individual risk and rate of progression.</w:t>
            </w:r>
          </w:p>
          <w:p>
            <w:pPr>
              <w:spacing w:after="40" w:before="60" w:line="259" w:lineRule="auto"/>
            </w:pPr>
            <w:r>
              <w:rPr>
                <w:rFonts w:ascii="Calibri" w:hAnsi="Calibri"/>
                <w:b w:val="0"/>
                <w:i w:val="0"/>
                <w:color w:val="212121"/>
                <w:sz w:val="19"/>
              </w:rPr>
              <w:t>General clinical principle: strong familial clustering of diabetic kidney disease points to genetic determinants of susceptibility (no single verified prevalence figure).</w:t>
            </w:r>
          </w:p>
          <w:p>
            <w:pPr>
              <w:spacing w:before="60" w:after="40"/>
            </w:pPr>
            <w:r>
              <w:rPr>
                <w:rFonts w:ascii="Calibri" w:hAnsi="Calibri"/>
                <w:b w:val="0"/>
                <w:i w:val="0"/>
                <w:color w:val="5A5A5A"/>
                <w:sz w:val="18"/>
              </w:rPr>
              <w:t>#genetics  #RAAS  #podocyte  #polymorphism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Diabetics with co-existing hypertension</w:t>
            </w:r>
          </w:p>
        </w:tc>
        <w:tc>
          <w:tcPr>
            <w:tcW w:type="dxa" w:w="4276"/>
            <w:vAlign w:val="top"/>
          </w:tcPr>
          <w:p>
            <w:pPr>
              <w:spacing w:after="60" w:line="259" w:lineRule="auto"/>
            </w:pPr>
            <w:r>
              <w:rPr>
                <w:rFonts w:ascii="Calibri" w:hAnsi="Calibri"/>
                <w:b w:val="0"/>
                <w:i w:val="0"/>
                <w:color w:val="212121"/>
                <w:sz w:val="19"/>
              </w:rPr>
              <w:t>Hypertension both causes and results from diabetic kidney disease; raised systemic and intraglomerular pressure accelerates albuminuria and GFR loss, and rigorous BP control is the single most effective way to slow progression.</w:t>
            </w:r>
          </w:p>
          <w:p>
            <w:pPr>
              <w:spacing w:after="40" w:before="60" w:line="259" w:lineRule="auto"/>
            </w:pPr>
            <w:r>
              <w:rPr>
                <w:rFonts w:ascii="Calibri" w:hAnsi="Calibri"/>
                <w:b w:val="0"/>
                <w:i w:val="0"/>
                <w:color w:val="212121"/>
                <w:sz w:val="19"/>
              </w:rPr>
              <w:t>Hypertension was the most common risk factor among Indians with CKD in the SEEK study, present in 64.5%.</w:t>
            </w:r>
          </w:p>
          <w:p>
            <w:pPr>
              <w:spacing w:after="40" w:line="252" w:lineRule="auto"/>
            </w:pPr>
            <w:hyperlink r:id="rId13">
              <w:r>
                <w:rPr>
                  <w:rFonts w:ascii="Calibri" w:hAnsi="Calibri" w:cs="Calibri"/>
                  <w:sz w:val="18"/>
                  <w:color w:val="1155CC"/>
                  <w:u w:val="single"/>
                </w:rPr>
                <w:t xml:space="preserve">link.springer.com — SEEK study (CKD in India)</w:t>
              </w:r>
            </w:hyperlink>
          </w:p>
          <w:p>
            <w:pPr>
              <w:spacing w:before="60" w:after="40"/>
            </w:pPr>
            <w:r>
              <w:rPr>
                <w:rFonts w:ascii="Calibri" w:hAnsi="Calibri"/>
                <w:b w:val="0"/>
                <w:i w:val="0"/>
                <w:color w:val="5A5A5A"/>
                <w:sz w:val="18"/>
              </w:rPr>
              <w:t>#hypertension  #RAAS  #intraglomerular  #BPcontrol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Diabetic retinopathy</w:t>
            </w:r>
          </w:p>
        </w:tc>
        <w:tc>
          <w:tcPr>
            <w:tcW w:type="dxa" w:w="2160"/>
            <w:vAlign w:val="top"/>
          </w:tcPr>
          <w:p>
            <w:pPr>
              <w:spacing w:after="40" w:before="0" w:line="259" w:lineRule="auto"/>
            </w:pPr>
            <w:r>
              <w:rPr>
                <w:rFonts w:ascii="Calibri" w:hAnsi="Calibri"/>
                <w:b w:val="0"/>
                <w:i w:val="0"/>
                <w:color w:val="212121"/>
                <w:sz w:val="19"/>
              </w:rPr>
              <w:t>Diabetics with retinopathy</w:t>
            </w:r>
          </w:p>
        </w:tc>
        <w:tc>
          <w:tcPr>
            <w:tcW w:type="dxa" w:w="4276"/>
            <w:vAlign w:val="top"/>
          </w:tcPr>
          <w:p>
            <w:pPr>
              <w:spacing w:after="60" w:line="259" w:lineRule="auto"/>
            </w:pPr>
            <w:r>
              <w:rPr>
                <w:rFonts w:ascii="Calibri" w:hAnsi="Calibri"/>
                <w:b w:val="0"/>
                <w:i w:val="0"/>
                <w:color w:val="212121"/>
                <w:sz w:val="19"/>
              </w:rPr>
              <w:t>Retinopathy and nephropathy share the same microvascular pathology; the presence of diabetic retinopathy strongly supports a diagnosis of diabetic (rather than non-diabetic) kidney disease, and its absence should prompt reconsideration.</w:t>
            </w:r>
          </w:p>
          <w:p>
            <w:pPr>
              <w:spacing w:after="40" w:before="60" w:line="259" w:lineRule="auto"/>
            </w:pPr>
            <w:r>
              <w:rPr>
                <w:rFonts w:ascii="Calibri" w:hAnsi="Calibri"/>
                <w:b w:val="0"/>
                <w:i w:val="0"/>
                <w:color w:val="212121"/>
                <w:sz w:val="19"/>
              </w:rPr>
              <w:t>General clinical principle: diabetic retinopathy commonly coexists with nephropathy and is a supportive diagnostic marker (no single verified prevalence figure).</w:t>
            </w:r>
          </w:p>
          <w:p>
            <w:pPr>
              <w:spacing w:before="60" w:after="40"/>
            </w:pPr>
            <w:r>
              <w:rPr>
                <w:rFonts w:ascii="Calibri" w:hAnsi="Calibri"/>
                <w:b w:val="0"/>
                <w:i w:val="0"/>
                <w:color w:val="5A5A5A"/>
                <w:sz w:val="18"/>
              </w:rPr>
              <w:t>#retinopathy  #microvascular  #sharedpathology  #diagnosticclue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Poor glycaemic control</w:t>
            </w:r>
          </w:p>
        </w:tc>
        <w:tc>
          <w:tcPr>
            <w:tcW w:type="dxa" w:w="2160"/>
            <w:vAlign w:val="top"/>
          </w:tcPr>
          <w:p>
            <w:pPr>
              <w:spacing w:after="40" w:before="0" w:line="259" w:lineRule="auto"/>
            </w:pPr>
            <w:r>
              <w:rPr>
                <w:rFonts w:ascii="Calibri" w:hAnsi="Calibri"/>
                <w:b w:val="0"/>
                <w:i w:val="0"/>
                <w:color w:val="212121"/>
                <w:sz w:val="19"/>
              </w:rPr>
              <w:t>Long-standing / poorly controlled diabetes (high HbA1c)</w:t>
            </w:r>
          </w:p>
        </w:tc>
        <w:tc>
          <w:tcPr>
            <w:tcW w:type="dxa" w:w="4276"/>
            <w:vAlign w:val="top"/>
          </w:tcPr>
          <w:p>
            <w:pPr>
              <w:spacing w:after="60" w:line="259" w:lineRule="auto"/>
            </w:pPr>
            <w:r>
              <w:rPr>
                <w:rFonts w:ascii="Calibri" w:hAnsi="Calibri"/>
                <w:b w:val="0"/>
                <w:i w:val="0"/>
                <w:color w:val="212121"/>
                <w:sz w:val="19"/>
              </w:rPr>
              <w:t>Persistently high HbA1c and longer diabetes duration are the strongest modifiable determinants of who develops and progresses to overt nephropathy and ESRD.</w:t>
            </w:r>
          </w:p>
          <w:p>
            <w:pPr>
              <w:spacing w:after="40" w:before="60" w:line="259" w:lineRule="auto"/>
            </w:pPr>
            <w:r>
              <w:rPr>
                <w:rFonts w:ascii="Calibri" w:hAnsi="Calibri"/>
                <w:b w:val="0"/>
                <w:i w:val="0"/>
                <w:color w:val="212121"/>
                <w:sz w:val="19"/>
              </w:rPr>
              <w:t>Longer diabetes duration and poor glycaemic control are core risk factors for diabetic nephropathy.</w:t>
            </w:r>
          </w:p>
          <w:p>
            <w:pPr>
              <w:spacing w:after="40" w:line="252" w:lineRule="auto"/>
            </w:pPr>
            <w:hyperlink r:id="rId9">
              <w:r>
                <w:rPr>
                  <w:rFonts w:ascii="Calibri" w:hAnsi="Calibri" w:cs="Calibri"/>
                  <w:sz w:val="18"/>
                  <w:color w:val="1155CC"/>
                  <w:u w:val="single"/>
                </w:rPr>
                <w:t xml:space="preserve">ncbi.nlm.nih.gov — StatPearls: Diabetic Nephropathy</w:t>
              </w:r>
            </w:hyperlink>
          </w:p>
          <w:p>
            <w:pPr>
              <w:spacing w:before="60" w:after="40"/>
            </w:pPr>
            <w:r>
              <w:rPr>
                <w:rFonts w:ascii="Calibri" w:hAnsi="Calibri"/>
                <w:b w:val="0"/>
                <w:i w:val="0"/>
                <w:color w:val="5A5A5A"/>
                <w:sz w:val="18"/>
              </w:rPr>
              <w:t>#HbA1c  #glycaemiccontrol  #duration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w:t>
            </w:r>
          </w:p>
        </w:tc>
        <w:tc>
          <w:tcPr>
            <w:tcW w:type="dxa" w:w="2160"/>
            <w:vAlign w:val="top"/>
          </w:tcPr>
          <w:p>
            <w:pPr>
              <w:spacing w:after="40" w:before="0" w:line="259" w:lineRule="auto"/>
            </w:pPr>
            <w:r>
              <w:rPr>
                <w:rFonts w:ascii="Calibri" w:hAnsi="Calibri"/>
                <w:b w:val="0"/>
                <w:i w:val="0"/>
                <w:color w:val="212121"/>
                <w:sz w:val="19"/>
              </w:rPr>
              <w:t>Diabetics with high LDL / triglycerides</w:t>
            </w:r>
          </w:p>
        </w:tc>
        <w:tc>
          <w:tcPr>
            <w:tcW w:type="dxa" w:w="4276"/>
            <w:vAlign w:val="top"/>
          </w:tcPr>
          <w:p>
            <w:pPr>
              <w:spacing w:after="60" w:line="259" w:lineRule="auto"/>
            </w:pPr>
            <w:r>
              <w:rPr>
                <w:rFonts w:ascii="Calibri" w:hAnsi="Calibri"/>
                <w:b w:val="0"/>
                <w:i w:val="0"/>
                <w:color w:val="212121"/>
                <w:sz w:val="19"/>
              </w:rPr>
              <w:t>Atherogenic dyslipidaemia adds lipotoxic renal injury and cardiovascular risk; statins reduce urinary protein and cardiovascular events in diabetic kidney disease.</w:t>
            </w:r>
          </w:p>
          <w:p>
            <w:pPr>
              <w:spacing w:after="40" w:before="60" w:line="259" w:lineRule="auto"/>
            </w:pPr>
            <w:r>
              <w:rPr>
                <w:rFonts w:ascii="Calibri" w:hAnsi="Calibri"/>
                <w:b w:val="0"/>
                <w:i w:val="0"/>
                <w:color w:val="212121"/>
                <w:sz w:val="19"/>
              </w:rPr>
              <w:t>Hyperlipidaemia is listed among the risk factors for diabetic nephropathy, and statins are used to reduce protein in the urine.</w:t>
            </w:r>
          </w:p>
          <w:p>
            <w:pPr>
              <w:spacing w:after="40" w:line="252" w:lineRule="auto"/>
            </w:pPr>
            <w:hyperlink r:id="rId16">
              <w:r>
                <w:rPr>
                  <w:rFonts w:ascii="Calibri" w:hAnsi="Calibri" w:cs="Calibri"/>
                  <w:sz w:val="18"/>
                  <w:color w:val="1155CC"/>
                  <w:u w:val="single"/>
                </w:rPr>
                <w:t xml:space="preserve">mayoclinic.org — diabetic nephropathy (diagnosis/treatment)</w:t>
              </w:r>
            </w:hyperlink>
          </w:p>
          <w:p>
            <w:pPr>
              <w:spacing w:before="60" w:after="40"/>
            </w:pPr>
            <w:r>
              <w:rPr>
                <w:rFonts w:ascii="Calibri" w:hAnsi="Calibri"/>
                <w:b w:val="0"/>
                <w:i w:val="0"/>
                <w:color w:val="5A5A5A"/>
                <w:sz w:val="18"/>
              </w:rPr>
              <w:t>#dyslipidaemia  #lipotoxicity  #statins  #CVrisk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improves insulin sensitivity, weight and blood pressure — the main drivers of nephropathy — and slows albuminuria progression; prolonged inactivity worsens all three.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High-sodium, high-glycaemic and very high-protein diets raise blood pressure, glucose and intraglomerular pressure; sodium restriction and balanced protein slow decline in kidney function.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or poor-quality sleep and obstructive sleep apnoea worsen blood-pressure and glycaemic control, indirectly accelerating renal damage.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use accelerates albuminuria and GFR decline through endothelial injury and oxidative stress; cessation is one of the most effective ways to slow progression.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raises blood pressure, worsens glycaemic swings and adds calories; moderation supports better blood-pressure and glucose control.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chronic stress impair diabetes self-care, medication adherence and glycaemic control, indirectly influencing kidney outcomes.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normal kidney function and helps avoid pre-renal insults, but in advanced CKD with oedema fluid intake must be individualised and sometimes restricted.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and inconsistent; excessive caffeine can transiently raise blood pressure, but moderate intake has no clearly established effect on nephropathy.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foot, skin and genito-urinary hygiene reduces infections and urinary tract infections, which are commoner in diabetes and can precipitate acute worsening of kidney function.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Nephrotoxins (NSAIDs, iodinated contrast, aminoglycosides), dehydration, urinary tract infection and uncontrolled blood pressure or glucose can provoke acute-on-chronic deterioration of kidney function.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18.5–22.9 kg/m² (Asian cut-offs)</w:t>
            </w:r>
          </w:p>
        </w:tc>
        <w:tc>
          <w:tcPr>
            <w:tcW w:type="dxa" w:w="1512"/>
            <w:vAlign w:val="top"/>
          </w:tcPr>
          <w:p>
            <w:pPr>
              <w:spacing w:after="40" w:before="0" w:line="259" w:lineRule="auto"/>
            </w:pPr>
            <w:r>
              <w:rPr>
                <w:rFonts w:ascii="Calibri" w:hAnsi="Calibri"/>
                <w:b w:val="0"/>
                <w:i w:val="0"/>
                <w:color w:val="212121"/>
                <w:sz w:val="19"/>
              </w:rPr>
              <w:t>≥ 23 (overweight); ≥ 25 (obesity), Asian-Indian</w:t>
            </w:r>
          </w:p>
        </w:tc>
        <w:tc>
          <w:tcPr>
            <w:tcW w:type="dxa" w:w="1468"/>
            <w:vAlign w:val="top"/>
          </w:tcPr>
          <w:p>
            <w:pPr>
              <w:spacing w:after="60" w:line="259" w:lineRule="auto"/>
            </w:pPr>
            <w:r>
              <w:rPr>
                <w:rFonts w:ascii="Calibri" w:hAnsi="Calibri"/>
                <w:b w:val="0"/>
                <w:i w:val="0"/>
                <w:color w:val="212121"/>
                <w:sz w:val="19"/>
              </w:rPr>
              <w:t>Higher BMI worsens insulin resistance, hypertension and glomerular hyperfiltration.</w:t>
            </w:r>
          </w:p>
          <w:p>
            <w:pPr>
              <w:spacing w:after="40" w:line="252" w:lineRule="auto"/>
            </w:pPr>
            <w:hyperlink r:id="rId9">
              <w:r>
                <w:rPr>
                  <w:rFonts w:ascii="Calibri" w:hAnsi="Calibri" w:cs="Calibri"/>
                  <w:sz w:val="18"/>
                  <w:color w:val="1155CC"/>
                  <w:u w:val="single"/>
                </w:rPr>
                <w:t xml:space="preserve">https://www.ncbi.nlm.nih.gov/books/NBK534200/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overweight/obese</w:t>
            </w:r>
          </w:p>
        </w:tc>
        <w:tc>
          <w:tcPr>
            <w:tcW w:type="dxa" w:w="1512"/>
            <w:vAlign w:val="top"/>
          </w:tcPr>
          <w:p>
            <w:pPr>
              <w:spacing w:after="40" w:before="0" w:line="259" w:lineRule="auto"/>
            </w:pPr>
            <w:r>
              <w:rPr>
                <w:rFonts w:ascii="Calibri" w:hAnsi="Calibri"/>
                <w:b w:val="0"/>
                <w:i w:val="0"/>
                <w:color w:val="212121"/>
                <w:sz w:val="19"/>
              </w:rPr>
              <w:t>M &lt; 0.90; F &lt; 0.85</w:t>
            </w:r>
          </w:p>
        </w:tc>
        <w:tc>
          <w:tcPr>
            <w:tcW w:type="dxa" w:w="1512"/>
            <w:vAlign w:val="top"/>
          </w:tcPr>
          <w:p>
            <w:pPr>
              <w:spacing w:after="40" w:before="0" w:line="259" w:lineRule="auto"/>
            </w:pPr>
            <w:r>
              <w:rPr>
                <w:rFonts w:ascii="Calibri" w:hAnsi="Calibri"/>
                <w:b w:val="0"/>
                <w:i w:val="0"/>
                <w:color w:val="212121"/>
                <w:sz w:val="19"/>
              </w:rPr>
              <w:t>M ≥ 0.90; F ≥ 0.85</w:t>
            </w:r>
          </w:p>
        </w:tc>
        <w:tc>
          <w:tcPr>
            <w:tcW w:type="dxa" w:w="1468"/>
            <w:vAlign w:val="top"/>
          </w:tcPr>
          <w:p>
            <w:pPr>
              <w:spacing w:after="40" w:before="0" w:line="259" w:lineRule="auto"/>
            </w:pPr>
            <w:r>
              <w:rPr>
                <w:rFonts w:ascii="Calibri" w:hAnsi="Calibri"/>
                <w:b w:val="0"/>
                <w:i w:val="0"/>
                <w:color w:val="212121"/>
                <w:sz w:val="19"/>
              </w:rPr>
              <w:t>Central obesity marks visceral fat, insulin resistance and higher renal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All people with diabetes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activity improves glycaemia and blood pressure, slowing albuminuria.</w:t>
            </w:r>
          </w:p>
          <w:p>
            <w:pPr>
              <w:spacing w:after="40" w:line="252" w:lineRule="auto"/>
            </w:pPr>
            <w:hyperlink r:id="rId14">
              <w:r>
                <w:rPr>
                  <w:rFonts w:ascii="Calibri" w:hAnsi="Calibri" w:cs="Calibri"/>
                  <w:sz w:val="18"/>
                  <w:color w:val="1155CC"/>
                  <w:u w:val="single"/>
                </w:rPr>
                <w:t xml:space="preserve">https://www.niddk.nih.gov/health-information/diabetes/overview/preventing-problems/diabetic-kidney-disease</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(salt)</w:t>
            </w:r>
          </w:p>
        </w:tc>
        <w:tc>
          <w:tcPr>
            <w:tcW w:type="dxa" w:w="1655"/>
            <w:vAlign w:val="top"/>
          </w:tcPr>
          <w:p>
            <w:pPr>
              <w:spacing w:after="40" w:before="0" w:line="259" w:lineRule="auto"/>
            </w:pPr>
            <w:r>
              <w:rPr>
                <w:rFonts w:ascii="Calibri" w:hAnsi="Calibri"/>
                <w:b w:val="0"/>
                <w:i w:val="0"/>
                <w:color w:val="212121"/>
                <w:sz w:val="19"/>
              </w:rPr>
              <w:t>Diabetics, hypertensives</w:t>
            </w:r>
          </w:p>
        </w:tc>
        <w:tc>
          <w:tcPr>
            <w:tcW w:type="dxa" w:w="1512"/>
            <w:vAlign w:val="top"/>
          </w:tcPr>
          <w:p>
            <w:pPr>
              <w:spacing w:after="40" w:before="0" w:line="259" w:lineRule="auto"/>
            </w:pPr>
            <w:r>
              <w:rPr>
                <w:rFonts w:ascii="Calibri" w:hAnsi="Calibri"/>
                <w:b w:val="0"/>
                <w:i w:val="0"/>
                <w:color w:val="212121"/>
                <w:sz w:val="19"/>
              </w:rPr>
              <w:t>&lt; 2000 mg sodium (~5 g salt)/day</w:t>
            </w:r>
          </w:p>
        </w:tc>
        <w:tc>
          <w:tcPr>
            <w:tcW w:type="dxa" w:w="1512"/>
            <w:vAlign w:val="top"/>
          </w:tcPr>
          <w:p>
            <w:pPr>
              <w:spacing w:after="40" w:before="0" w:line="259" w:lineRule="auto"/>
            </w:pPr>
            <w:r>
              <w:rPr>
                <w:rFonts w:ascii="Calibri" w:hAnsi="Calibri"/>
                <w:b w:val="0"/>
                <w:i w:val="0"/>
                <w:color w:val="212121"/>
                <w:sz w:val="19"/>
              </w:rPr>
              <w:t>&gt; 2300 mg sodium/day</w:t>
            </w:r>
          </w:p>
        </w:tc>
        <w:tc>
          <w:tcPr>
            <w:tcW w:type="dxa" w:w="1468"/>
            <w:vAlign w:val="top"/>
          </w:tcPr>
          <w:p>
            <w:pPr>
              <w:spacing w:after="60" w:line="259" w:lineRule="auto"/>
            </w:pPr>
            <w:r>
              <w:rPr>
                <w:rFonts w:ascii="Calibri" w:hAnsi="Calibri"/>
                <w:b w:val="0"/>
                <w:i w:val="0"/>
                <w:color w:val="212121"/>
                <w:sz w:val="19"/>
              </w:rPr>
              <w:t>High salt raises blood pressure and albuminuria; restriction improves BP control.</w:t>
            </w:r>
          </w:p>
          <w:p>
            <w:pPr>
              <w:spacing w:after="40" w:line="252" w:lineRule="auto"/>
            </w:pPr>
            <w:hyperlink r:id="rId14">
              <w:r>
                <w:rPr>
                  <w:rFonts w:ascii="Calibri" w:hAnsi="Calibri" w:cs="Calibri"/>
                  <w:sz w:val="18"/>
                  <w:color w:val="1155CC"/>
                  <w:u w:val="single"/>
                </w:rPr>
                <w:t xml:space="preserve">https://www.niddk.nih.gov/health-information/diabetes/overview/preventing-problems/diabetic-kidney-disease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w:t>
            </w:r>
          </w:p>
        </w:tc>
        <w:tc>
          <w:tcPr>
            <w:tcW w:type="dxa" w:w="1655"/>
            <w:vAlign w:val="top"/>
          </w:tcPr>
          <w:p>
            <w:pPr>
              <w:spacing w:after="40" w:before="0" w:line="259" w:lineRule="auto"/>
            </w:pPr>
            <w:r>
              <w:rPr>
                <w:rFonts w:ascii="Calibri" w:hAnsi="Calibri"/>
                <w:b w:val="0"/>
                <w:i w:val="0"/>
                <w:color w:val="212121"/>
                <w:sz w:val="19"/>
              </w:rPr>
              <w:t>Diabetics with established CKD</w:t>
            </w:r>
          </w:p>
        </w:tc>
        <w:tc>
          <w:tcPr>
            <w:tcW w:type="dxa" w:w="1512"/>
            <w:vAlign w:val="top"/>
          </w:tcPr>
          <w:p>
            <w:pPr>
              <w:spacing w:after="40" w:before="0" w:line="259" w:lineRule="auto"/>
            </w:pPr>
            <w:r>
              <w:rPr>
                <w:rFonts w:ascii="Calibri" w:hAnsi="Calibri"/>
                <w:b w:val="0"/>
                <w:i w:val="0"/>
                <w:color w:val="212121"/>
                <w:sz w:val="19"/>
              </w:rPr>
              <w:t>~0.8 g/kg/day (moderate)</w:t>
            </w:r>
          </w:p>
        </w:tc>
        <w:tc>
          <w:tcPr>
            <w:tcW w:type="dxa" w:w="1512"/>
            <w:vAlign w:val="top"/>
          </w:tcPr>
          <w:p>
            <w:pPr>
              <w:spacing w:after="40" w:before="0" w:line="259" w:lineRule="auto"/>
            </w:pPr>
            <w:r>
              <w:rPr>
                <w:rFonts w:ascii="Calibri" w:hAnsi="Calibri"/>
                <w:b w:val="0"/>
                <w:i w:val="0"/>
                <w:color w:val="212121"/>
                <w:sz w:val="19"/>
              </w:rPr>
              <w:t>&gt; 1.3 g/kg/day (high protein)</w:t>
            </w:r>
          </w:p>
        </w:tc>
        <w:tc>
          <w:tcPr>
            <w:tcW w:type="dxa" w:w="1468"/>
            <w:vAlign w:val="top"/>
          </w:tcPr>
          <w:p>
            <w:pPr>
              <w:spacing w:after="40" w:before="0" w:line="259" w:lineRule="auto"/>
            </w:pPr>
            <w:r>
              <w:rPr>
                <w:rFonts w:ascii="Calibri" w:hAnsi="Calibri"/>
                <w:b w:val="0"/>
                <w:i w:val="0"/>
                <w:color w:val="212121"/>
                <w:sz w:val="19"/>
              </w:rPr>
              <w:t>Very high protein raises intraglomerular pressure and hyperfiltration.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All people with diabetes</w:t>
            </w:r>
          </w:p>
        </w:tc>
        <w:tc>
          <w:tcPr>
            <w:tcW w:type="dxa" w:w="1512"/>
            <w:vAlign w:val="top"/>
          </w:tcPr>
          <w:p>
            <w:pPr>
              <w:spacing w:after="40" w:before="0" w:line="259" w:lineRule="auto"/>
            </w:pPr>
            <w:r>
              <w:rPr>
                <w:rFonts w:ascii="Calibri" w:hAnsi="Calibri"/>
                <w:b w:val="0"/>
                <w:i w:val="0"/>
                <w:color w:val="212121"/>
                <w:sz w:val="19"/>
              </w:rPr>
              <w:t>&lt; 7.0% (individualised)</w:t>
            </w:r>
          </w:p>
        </w:tc>
        <w:tc>
          <w:tcPr>
            <w:tcW w:type="dxa" w:w="1512"/>
            <w:vAlign w:val="top"/>
          </w:tcPr>
          <w:p>
            <w:pPr>
              <w:spacing w:after="40" w:before="0" w:line="259" w:lineRule="auto"/>
            </w:pPr>
            <w:r>
              <w:rPr>
                <w:rFonts w:ascii="Calibri" w:hAnsi="Calibri"/>
                <w:b w:val="0"/>
                <w:i w:val="0"/>
                <w:color w:val="212121"/>
                <w:sz w:val="19"/>
              </w:rPr>
              <w:t>≥ 7.0% (and rising)</w:t>
            </w:r>
          </w:p>
        </w:tc>
        <w:tc>
          <w:tcPr>
            <w:tcW w:type="dxa" w:w="1468"/>
            <w:vAlign w:val="top"/>
          </w:tcPr>
          <w:p>
            <w:pPr>
              <w:spacing w:after="60" w:line="259" w:lineRule="auto"/>
            </w:pPr>
            <w:r>
              <w:rPr>
                <w:rFonts w:ascii="Calibri" w:hAnsi="Calibri"/>
                <w:b w:val="0"/>
                <w:i w:val="0"/>
                <w:color w:val="212121"/>
                <w:sz w:val="19"/>
              </w:rPr>
              <w:t>Cumulative glycaemia is the main modifiable driver of nephropathy onset/progression.</w:t>
            </w:r>
          </w:p>
          <w:p>
            <w:pPr>
              <w:spacing w:after="40" w:line="252" w:lineRule="auto"/>
            </w:pPr>
            <w:hyperlink r:id="rId14">
              <w:r>
                <w:rPr>
                  <w:rFonts w:ascii="Calibri" w:hAnsi="Calibri" w:cs="Calibri"/>
                  <w:sz w:val="18"/>
                  <w:color w:val="1155CC"/>
                  <w:u w:val="single"/>
                </w:rPr>
                <w:t xml:space="preserve">https://www.niddk.nih.gov/health-information/diabetes/overview/preventing-problems/diabetic-kidney-disease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Urine albumin-to-creatinine ratio (UACR)</w:t>
            </w:r>
          </w:p>
        </w:tc>
        <w:tc>
          <w:tcPr>
            <w:tcW w:type="dxa" w:w="1655"/>
            <w:vAlign w:val="top"/>
          </w:tcPr>
          <w:p>
            <w:pPr>
              <w:spacing w:after="40" w:before="0" w:line="259" w:lineRule="auto"/>
            </w:pPr>
            <w:r>
              <w:rPr>
                <w:rFonts w:ascii="Calibri" w:hAnsi="Calibri"/>
                <w:b w:val="0"/>
                <w:i w:val="0"/>
                <w:color w:val="212121"/>
                <w:sz w:val="19"/>
              </w:rPr>
              <w:t>All diabetics (annual screen)</w:t>
            </w:r>
          </w:p>
        </w:tc>
        <w:tc>
          <w:tcPr>
            <w:tcW w:type="dxa" w:w="1512"/>
            <w:vAlign w:val="top"/>
          </w:tcPr>
          <w:p>
            <w:pPr>
              <w:spacing w:after="40" w:before="0" w:line="259" w:lineRule="auto"/>
            </w:pPr>
            <w:r>
              <w:rPr>
                <w:rFonts w:ascii="Calibri" w:hAnsi="Calibri"/>
                <w:b w:val="0"/>
                <w:i w:val="0"/>
                <w:color w:val="212121"/>
                <w:sz w:val="19"/>
              </w:rPr>
              <w:t>&lt; 30 mg/g</w:t>
            </w:r>
          </w:p>
        </w:tc>
        <w:tc>
          <w:tcPr>
            <w:tcW w:type="dxa" w:w="1512"/>
            <w:vAlign w:val="top"/>
          </w:tcPr>
          <w:p>
            <w:pPr>
              <w:spacing w:after="40" w:before="0" w:line="259" w:lineRule="auto"/>
            </w:pPr>
            <w:r>
              <w:rPr>
                <w:rFonts w:ascii="Calibri" w:hAnsi="Calibri"/>
                <w:b w:val="0"/>
                <w:i w:val="0"/>
                <w:color w:val="212121"/>
                <w:sz w:val="19"/>
              </w:rPr>
              <w:t>30–300 mg/g (A2); &gt; 300 mg/g (A3)</w:t>
            </w:r>
          </w:p>
        </w:tc>
        <w:tc>
          <w:tcPr>
            <w:tcW w:type="dxa" w:w="1468"/>
            <w:vAlign w:val="top"/>
          </w:tcPr>
          <w:p>
            <w:pPr>
              <w:spacing w:after="60" w:line="259" w:lineRule="auto"/>
            </w:pPr>
            <w:r>
              <w:rPr>
                <w:rFonts w:ascii="Calibri" w:hAnsi="Calibri"/>
                <w:b w:val="0"/>
                <w:i w:val="0"/>
                <w:color w:val="212121"/>
                <w:sz w:val="19"/>
              </w:rPr>
              <w:t>Earliest reliable clinical marker of diabetic kidney damage.</w:t>
            </w:r>
          </w:p>
          <w:p>
            <w:pPr>
              <w:spacing w:after="40" w:line="252" w:lineRule="auto"/>
            </w:pPr>
            <w:hyperlink r:id="rId16">
              <w:r>
                <w:rPr>
                  <w:rFonts w:ascii="Calibri" w:hAnsi="Calibri" w:cs="Calibri"/>
                  <w:sz w:val="18"/>
                  <w:color w:val="1155CC"/>
                  <w:u w:val="single"/>
                </w:rPr>
                <w:t xml:space="preserve">https://www.mayoclinic.org/diseases-conditions/diabetic-nephropathy/diagnosis-treatment/drc-20354562</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Estimated GFR (mL/min/1.73 m²)</w:t>
            </w:r>
          </w:p>
        </w:tc>
        <w:tc>
          <w:tcPr>
            <w:tcW w:type="dxa" w:w="1655"/>
            <w:vAlign w:val="top"/>
          </w:tcPr>
          <w:p>
            <w:pPr>
              <w:spacing w:after="40" w:before="0" w:line="259" w:lineRule="auto"/>
            </w:pPr>
            <w:r>
              <w:rPr>
                <w:rFonts w:ascii="Calibri" w:hAnsi="Calibri"/>
                <w:b w:val="0"/>
                <w:i w:val="0"/>
                <w:color w:val="212121"/>
                <w:sz w:val="19"/>
              </w:rPr>
              <w:t>All diabetics (annual screen)</w:t>
            </w:r>
          </w:p>
        </w:tc>
        <w:tc>
          <w:tcPr>
            <w:tcW w:type="dxa" w:w="1512"/>
            <w:vAlign w:val="top"/>
          </w:tcPr>
          <w:p>
            <w:pPr>
              <w:spacing w:after="40" w:before="0" w:line="259" w:lineRule="auto"/>
            </w:pPr>
            <w:r>
              <w:rPr>
                <w:rFonts w:ascii="Calibri" w:hAnsi="Calibri"/>
                <w:b w:val="0"/>
                <w:i w:val="0"/>
                <w:color w:val="212121"/>
                <w:sz w:val="19"/>
              </w:rPr>
              <w:t>≥ 90</w:t>
            </w:r>
          </w:p>
        </w:tc>
        <w:tc>
          <w:tcPr>
            <w:tcW w:type="dxa" w:w="1512"/>
            <w:vAlign w:val="top"/>
          </w:tcPr>
          <w:p>
            <w:pPr>
              <w:spacing w:after="40" w:before="0" w:line="259" w:lineRule="auto"/>
            </w:pPr>
            <w:r>
              <w:rPr>
                <w:rFonts w:ascii="Calibri" w:hAnsi="Calibri"/>
                <w:b w:val="0"/>
                <w:i w:val="0"/>
                <w:color w:val="212121"/>
                <w:sz w:val="19"/>
              </w:rPr>
              <w:t>&lt; 60 for ≥ 3 months</w:t>
            </w:r>
          </w:p>
        </w:tc>
        <w:tc>
          <w:tcPr>
            <w:tcW w:type="dxa" w:w="1468"/>
            <w:vAlign w:val="top"/>
          </w:tcPr>
          <w:p>
            <w:pPr>
              <w:spacing w:after="60" w:line="259" w:lineRule="auto"/>
            </w:pPr>
            <w:r>
              <w:rPr>
                <w:rFonts w:ascii="Calibri" w:hAnsi="Calibri"/>
                <w:b w:val="0"/>
                <w:i w:val="0"/>
                <w:color w:val="212121"/>
                <w:sz w:val="19"/>
              </w:rPr>
              <w:t>Sustained fall defines and stages chronic kidney disease.</w:t>
            </w:r>
          </w:p>
          <w:p>
            <w:pPr>
              <w:spacing w:after="40" w:line="252" w:lineRule="auto"/>
            </w:pPr>
            <w:hyperlink r:id="rId16">
              <w:r>
                <w:rPr>
                  <w:rFonts w:ascii="Calibri" w:hAnsi="Calibri" w:cs="Calibri"/>
                  <w:sz w:val="18"/>
                  <w:color w:val="1155CC"/>
                  <w:u w:val="single"/>
                </w:rPr>
                <w:t xml:space="preserve">https://www.mayoclinic.org/diseases-conditions/diabetic-nephropathy/diagnosis-treatment/drc-20354562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Blood pressure</w:t>
            </w:r>
          </w:p>
        </w:tc>
        <w:tc>
          <w:tcPr>
            <w:tcW w:type="dxa" w:w="1655"/>
            <w:vAlign w:val="top"/>
          </w:tcPr>
          <w:p>
            <w:pPr>
              <w:spacing w:after="40" w:before="0" w:line="259" w:lineRule="auto"/>
            </w:pPr>
            <w:r>
              <w:rPr>
                <w:rFonts w:ascii="Calibri" w:hAnsi="Calibri"/>
                <w:b w:val="0"/>
                <w:i w:val="0"/>
                <w:color w:val="212121"/>
                <w:sz w:val="19"/>
              </w:rPr>
              <w:t>Diabetics with/without CKD</w:t>
            </w:r>
          </w:p>
        </w:tc>
        <w:tc>
          <w:tcPr>
            <w:tcW w:type="dxa" w:w="1512"/>
            <w:vAlign w:val="top"/>
          </w:tcPr>
          <w:p>
            <w:pPr>
              <w:spacing w:after="40" w:before="0" w:line="259" w:lineRule="auto"/>
            </w:pPr>
            <w:r>
              <w:rPr>
                <w:rFonts w:ascii="Calibri" w:hAnsi="Calibri"/>
                <w:b w:val="0"/>
                <w:i w:val="0"/>
                <w:color w:val="212121"/>
                <w:sz w:val="19"/>
              </w:rPr>
              <w:t>&lt; 130/80 mmHg (individualised)</w:t>
            </w:r>
          </w:p>
        </w:tc>
        <w:tc>
          <w:tcPr>
            <w:tcW w:type="dxa" w:w="1512"/>
            <w:vAlign w:val="top"/>
          </w:tcPr>
          <w:p>
            <w:pPr>
              <w:spacing w:after="40" w:before="0" w:line="259" w:lineRule="auto"/>
            </w:pPr>
            <w:r>
              <w:rPr>
                <w:rFonts w:ascii="Calibri" w:hAnsi="Calibri"/>
                <w:b w:val="0"/>
                <w:i w:val="0"/>
                <w:color w:val="212121"/>
                <w:sz w:val="19"/>
              </w:rPr>
              <w:t>≥ 140/90 mmHg</w:t>
            </w:r>
          </w:p>
        </w:tc>
        <w:tc>
          <w:tcPr>
            <w:tcW w:type="dxa" w:w="1468"/>
            <w:vAlign w:val="top"/>
          </w:tcPr>
          <w:p>
            <w:pPr>
              <w:spacing w:after="60" w:line="259" w:lineRule="auto"/>
            </w:pPr>
            <w:r>
              <w:rPr>
                <w:rFonts w:ascii="Calibri" w:hAnsi="Calibri"/>
                <w:b w:val="0"/>
                <w:i w:val="0"/>
                <w:color w:val="212121"/>
                <w:sz w:val="19"/>
              </w:rPr>
              <w:t>Tight BP control (with ACE inhibitor/ARB) is central to slowing progression.</w:t>
            </w:r>
          </w:p>
          <w:p>
            <w:pPr>
              <w:spacing w:after="40" w:line="252" w:lineRule="auto"/>
            </w:pPr>
            <w:hyperlink r:id="rId14">
              <w:r>
                <w:rPr>
                  <w:rFonts w:ascii="Calibri" w:hAnsi="Calibri" w:cs="Calibri"/>
                  <w:sz w:val="18"/>
                  <w:color w:val="1155CC"/>
                  <w:u w:val="single"/>
                </w:rPr>
                <w:t xml:space="preserve">https://www.niddk.nih.gov/health-information/diabetes/overview/preventing-problems/diabetic-kidney-disease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(complete cessation)</w:t>
            </w:r>
          </w:p>
        </w:tc>
        <w:tc>
          <w:tcPr>
            <w:tcW w:type="dxa" w:w="1512"/>
            <w:vAlign w:val="top"/>
          </w:tcPr>
          <w:p>
            <w:pPr>
              <w:spacing w:after="40" w:before="0" w:line="259" w:lineRule="auto"/>
            </w:pPr>
            <w:r>
              <w:rPr>
                <w:rFonts w:ascii="Calibri" w:hAnsi="Calibri"/>
                <w:b w:val="0"/>
                <w:i w:val="0"/>
                <w:color w:val="212121"/>
                <w:sz w:val="19"/>
              </w:rPr>
              <w:t>≥ 1 cigarette/bidi/day</w:t>
            </w:r>
          </w:p>
        </w:tc>
        <w:tc>
          <w:tcPr>
            <w:tcW w:type="dxa" w:w="1468"/>
            <w:vAlign w:val="top"/>
          </w:tcPr>
          <w:p>
            <w:pPr>
              <w:spacing w:after="60" w:line="259" w:lineRule="auto"/>
            </w:pPr>
            <w:r>
              <w:rPr>
                <w:rFonts w:ascii="Calibri" w:hAnsi="Calibri"/>
                <w:b w:val="0"/>
                <w:i w:val="0"/>
                <w:color w:val="212121"/>
                <w:sz w:val="19"/>
              </w:rPr>
              <w:t>Any tobacco accelerates albuminuria and vascular/renal damage.</w:t>
            </w:r>
          </w:p>
          <w:p>
            <w:pPr>
              <w:spacing w:after="40" w:line="252" w:lineRule="auto"/>
            </w:pPr>
            <w:hyperlink r:id="rId15">
              <w:r>
                <w:rPr>
                  <w:rFonts w:ascii="Calibri" w:hAnsi="Calibri" w:cs="Calibri"/>
                  <w:sz w:val="18"/>
                  <w:color w:val="1155CC"/>
                  <w:u w:val="single"/>
                </w:rPr>
                <w:t xml:space="preserve">https://www.mayoclinic.org/diseases-conditions/diabetic-nephropathy/symptoms-causes/syc-20354556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diabetes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 / binge drinking</w:t>
            </w:r>
          </w:p>
        </w:tc>
        <w:tc>
          <w:tcPr>
            <w:tcW w:type="dxa" w:w="1468"/>
            <w:vAlign w:val="top"/>
          </w:tcPr>
          <w:p>
            <w:pPr>
              <w:spacing w:after="40" w:before="0" w:line="259" w:lineRule="auto"/>
            </w:pPr>
            <w:r>
              <w:rPr>
                <w:rFonts w:ascii="Calibri" w:hAnsi="Calibri"/>
                <w:b w:val="0"/>
                <w:i w:val="0"/>
                <w:color w:val="212121"/>
                <w:sz w:val="19"/>
              </w:rPr>
              <w:t>Excess alcohol raises blood pressure and destabilises glycaemic control.</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LDL cholesterol</w:t>
            </w:r>
          </w:p>
        </w:tc>
        <w:tc>
          <w:tcPr>
            <w:tcW w:type="dxa" w:w="1655"/>
            <w:vAlign w:val="top"/>
          </w:tcPr>
          <w:p>
            <w:pPr>
              <w:spacing w:after="40" w:before="0" w:line="259" w:lineRule="auto"/>
            </w:pPr>
            <w:r>
              <w:rPr>
                <w:rFonts w:ascii="Calibri" w:hAnsi="Calibri"/>
                <w:b w:val="0"/>
                <w:i w:val="0"/>
                <w:color w:val="212121"/>
                <w:sz w:val="19"/>
              </w:rPr>
              <w:t>Diabetics (high CV risk)</w:t>
            </w:r>
          </w:p>
        </w:tc>
        <w:tc>
          <w:tcPr>
            <w:tcW w:type="dxa" w:w="1512"/>
            <w:vAlign w:val="top"/>
          </w:tcPr>
          <w:p>
            <w:pPr>
              <w:spacing w:after="40" w:before="0" w:line="259" w:lineRule="auto"/>
            </w:pPr>
            <w:r>
              <w:rPr>
                <w:rFonts w:ascii="Calibri" w:hAnsi="Calibri"/>
                <w:b w:val="0"/>
                <w:i w:val="0"/>
                <w:color w:val="212121"/>
                <w:sz w:val="19"/>
              </w:rPr>
              <w:t>&lt; 70 mg/dL (high risk)</w:t>
            </w:r>
          </w:p>
        </w:tc>
        <w:tc>
          <w:tcPr>
            <w:tcW w:type="dxa" w:w="1512"/>
            <w:vAlign w:val="top"/>
          </w:tcPr>
          <w:p>
            <w:pPr>
              <w:spacing w:after="40" w:before="0" w:line="259" w:lineRule="auto"/>
            </w:pPr>
            <w:r>
              <w:rPr>
                <w:rFonts w:ascii="Calibri" w:hAnsi="Calibri"/>
                <w:b w:val="0"/>
                <w:i w:val="0"/>
                <w:color w:val="212121"/>
                <w:sz w:val="19"/>
              </w:rPr>
              <w:t>≥ 100 mg/dL</w:t>
            </w:r>
          </w:p>
        </w:tc>
        <w:tc>
          <w:tcPr>
            <w:tcW w:type="dxa" w:w="1468"/>
            <w:vAlign w:val="top"/>
          </w:tcPr>
          <w:p>
            <w:pPr>
              <w:spacing w:after="60" w:line="259" w:lineRule="auto"/>
            </w:pPr>
            <w:r>
              <w:rPr>
                <w:rFonts w:ascii="Calibri" w:hAnsi="Calibri"/>
                <w:b w:val="0"/>
                <w:i w:val="0"/>
                <w:color w:val="212121"/>
                <w:sz w:val="19"/>
              </w:rPr>
              <w:t>Atherogenic lipids add lipotoxic renal injury and cardiovascular risk; statins help.</w:t>
            </w:r>
          </w:p>
          <w:p>
            <w:pPr>
              <w:spacing w:after="40" w:line="252" w:lineRule="auto"/>
            </w:pPr>
            <w:hyperlink r:id="rId16">
              <w:r>
                <w:rPr>
                  <w:rFonts w:ascii="Calibri" w:hAnsi="Calibri" w:cs="Calibri"/>
                  <w:sz w:val="18"/>
                  <w:color w:val="1155CC"/>
                  <w:u w:val="single"/>
                </w:rPr>
                <w:t xml:space="preserve">https://www.mayoclinic.org/diseases-conditions/diabetic-nephropathy/diagnosis-treatment/drc-20354562</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(urine)</w:t>
            </w:r>
          </w:p>
        </w:tc>
        <w:tc>
          <w:tcPr>
            <w:tcW w:type="dxa" w:w="1036"/>
            <w:vAlign w:val="top"/>
          </w:tcPr>
          <w:p>
            <w:pPr>
              <w:spacing w:after="40" w:before="0" w:line="259" w:lineRule="auto"/>
            </w:pPr>
            <w:r>
              <w:rPr>
                <w:rFonts w:ascii="Calibri" w:hAnsi="Calibri"/>
                <w:b w:val="0"/>
                <w:i w:val="0"/>
                <w:color w:val="212121"/>
                <w:sz w:val="16"/>
              </w:rPr>
              <w:t>Urine Albumin-to-Creatinine Ratio (UACR)</w:t>
            </w:r>
          </w:p>
        </w:tc>
        <w:tc>
          <w:tcPr>
            <w:tcW w:type="dxa" w:w="892"/>
            <w:vAlign w:val="top"/>
          </w:tcPr>
          <w:p>
            <w:pPr>
              <w:spacing w:after="40" w:before="0" w:line="259" w:lineRule="auto"/>
            </w:pPr>
            <w:r>
              <w:rPr>
                <w:rFonts w:ascii="Calibri" w:hAnsi="Calibri"/>
                <w:b w:val="0"/>
                <w:i w:val="0"/>
                <w:color w:val="212121"/>
                <w:sz w:val="16"/>
              </w:rPr>
              <w:t>Spot urine test</w:t>
            </w:r>
          </w:p>
        </w:tc>
        <w:tc>
          <w:tcPr>
            <w:tcW w:type="dxa" w:w="950"/>
            <w:vAlign w:val="top"/>
          </w:tcPr>
          <w:p>
            <w:pPr>
              <w:spacing w:after="40" w:before="0" w:line="259" w:lineRule="auto"/>
            </w:pPr>
            <w:r>
              <w:rPr>
                <w:rFonts w:ascii="Calibri" w:hAnsi="Calibri"/>
                <w:b w:val="0"/>
                <w:i w:val="0"/>
                <w:color w:val="212121"/>
                <w:sz w:val="16"/>
              </w:rPr>
              <w:t>&lt; 30 mg/g</w:t>
            </w:r>
          </w:p>
        </w:tc>
        <w:tc>
          <w:tcPr>
            <w:tcW w:type="dxa" w:w="950"/>
            <w:vAlign w:val="top"/>
          </w:tcPr>
          <w:p>
            <w:pPr>
              <w:spacing w:after="40" w:before="0" w:line="259" w:lineRule="auto"/>
            </w:pPr>
            <w:r>
              <w:rPr>
                <w:rFonts w:ascii="Calibri" w:hAnsi="Calibri"/>
                <w:b w:val="0"/>
                <w:i w:val="0"/>
                <w:color w:val="212121"/>
                <w:sz w:val="16"/>
              </w:rPr>
              <w:t>30–300 mg/g (A2); &gt; 300 mg/g (A3)</w:t>
            </w:r>
          </w:p>
        </w:tc>
        <w:tc>
          <w:tcPr>
            <w:tcW w:type="dxa" w:w="1036"/>
            <w:vAlign w:val="top"/>
          </w:tcPr>
          <w:p>
            <w:pPr>
              <w:spacing w:after="40" w:before="0" w:line="259" w:lineRule="auto"/>
            </w:pPr>
            <w:r>
              <w:rPr>
                <w:rFonts w:ascii="Calibri" w:hAnsi="Calibri"/>
                <w:b w:val="0"/>
                <w:i w:val="0"/>
                <w:color w:val="212121"/>
                <w:sz w:val="16"/>
              </w:rPr>
              <w:t>Earliest and most sensitive marker of diabetic kidney damage; confirm on 2 of 3 samples over 3–6 months</w:t>
            </w:r>
          </w:p>
        </w:tc>
        <w:tc>
          <w:tcPr>
            <w:tcW w:type="dxa" w:w="1036"/>
            <w:vAlign w:val="top"/>
          </w:tcPr>
          <w:p>
            <w:pPr>
              <w:spacing w:after="40" w:before="0" w:line="259" w:lineRule="auto"/>
            </w:pPr>
            <w:r>
              <w:rPr>
                <w:rFonts w:ascii="Calibri" w:hAnsi="Calibri"/>
                <w:b w:val="0"/>
                <w:i w:val="0"/>
                <w:color w:val="212121"/>
                <w:sz w:val="16"/>
              </w:rPr>
              <w:t>All diabetics (annual screen); T1DM from year 5, T2DM from diagnosis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 / screening</w:t>
            </w:r>
          </w:p>
        </w:tc>
        <w:tc>
          <w:tcPr>
            <w:tcW w:type="dxa" w:w="720"/>
            <w:vAlign w:val="top"/>
          </w:tcPr>
          <w:p>
            <w:pPr>
              <w:spacing w:after="40" w:before="0" w:line="259" w:lineRule="auto"/>
            </w:pPr>
            <w:r>
              <w:rPr>
                <w:rFonts w:ascii="Calibri" w:hAnsi="Calibri"/>
                <w:b w:val="0"/>
                <w:i w:val="0"/>
                <w:color w:val="212121"/>
                <w:sz w:val="16"/>
              </w:rPr>
              <w:t>Avoid testing during fever, UTI, heavy exercise or menstruation (false positives)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(blood)</w:t>
            </w:r>
          </w:p>
        </w:tc>
        <w:tc>
          <w:tcPr>
            <w:tcW w:type="dxa" w:w="1036"/>
            <w:vAlign w:val="top"/>
          </w:tcPr>
          <w:p>
            <w:pPr>
              <w:spacing w:after="40" w:before="0" w:line="259" w:lineRule="auto"/>
            </w:pPr>
            <w:r>
              <w:rPr>
                <w:rFonts w:ascii="Calibri" w:hAnsi="Calibri"/>
                <w:b w:val="0"/>
                <w:i w:val="0"/>
                <w:color w:val="212121"/>
                <w:sz w:val="16"/>
              </w:rPr>
              <w:t>Serum Creatinine &amp; estimated GFR</w:t>
            </w:r>
          </w:p>
        </w:tc>
        <w:tc>
          <w:tcPr>
            <w:tcW w:type="dxa" w:w="892"/>
            <w:vAlign w:val="top"/>
          </w:tcPr>
          <w:p>
            <w:pPr>
              <w:spacing w:after="40" w:before="0" w:line="259" w:lineRule="auto"/>
            </w:pPr>
            <w:r>
              <w:rPr>
                <w:rFonts w:ascii="Calibri" w:hAnsi="Calibri"/>
                <w:b w:val="0"/>
                <w:i w:val="0"/>
                <w:color w:val="212121"/>
                <w:sz w:val="16"/>
              </w:rPr>
              <w:t>Kidney function test</w:t>
            </w:r>
          </w:p>
        </w:tc>
        <w:tc>
          <w:tcPr>
            <w:tcW w:type="dxa" w:w="950"/>
            <w:vAlign w:val="top"/>
          </w:tcPr>
          <w:p>
            <w:pPr>
              <w:spacing w:after="40" w:before="0" w:line="259" w:lineRule="auto"/>
            </w:pPr>
            <w:r>
              <w:rPr>
                <w:rFonts w:ascii="Calibri" w:hAnsi="Calibri"/>
                <w:b w:val="0"/>
                <w:i w:val="0"/>
                <w:color w:val="212121"/>
                <w:sz w:val="16"/>
              </w:rPr>
              <w:t>eGFR ≥ 90 mL/min/1.73 m²</w:t>
            </w:r>
          </w:p>
        </w:tc>
        <w:tc>
          <w:tcPr>
            <w:tcW w:type="dxa" w:w="950"/>
            <w:vAlign w:val="top"/>
          </w:tcPr>
          <w:p>
            <w:pPr>
              <w:spacing w:after="40" w:before="0" w:line="259" w:lineRule="auto"/>
            </w:pPr>
            <w:r>
              <w:rPr>
                <w:rFonts w:ascii="Calibri" w:hAnsi="Calibri"/>
                <w:b w:val="0"/>
                <w:i w:val="0"/>
                <w:color w:val="212121"/>
                <w:sz w:val="16"/>
              </w:rPr>
              <w:t>eGFR &lt; 60 for ≥ 3 months</w:t>
            </w:r>
          </w:p>
        </w:tc>
        <w:tc>
          <w:tcPr>
            <w:tcW w:type="dxa" w:w="1036"/>
            <w:vAlign w:val="top"/>
          </w:tcPr>
          <w:p>
            <w:pPr>
              <w:spacing w:after="40" w:before="0" w:line="259" w:lineRule="auto"/>
            </w:pPr>
            <w:r>
              <w:rPr>
                <w:rFonts w:ascii="Calibri" w:hAnsi="Calibri"/>
                <w:b w:val="0"/>
                <w:i w:val="0"/>
                <w:color w:val="212121"/>
                <w:sz w:val="16"/>
              </w:rPr>
              <w:t>Quantifies filtration loss and stages CKD (G1–G5)</w:t>
            </w:r>
          </w:p>
        </w:tc>
        <w:tc>
          <w:tcPr>
            <w:tcW w:type="dxa" w:w="1036"/>
            <w:vAlign w:val="top"/>
          </w:tcPr>
          <w:p>
            <w:pPr>
              <w:spacing w:after="40" w:before="0" w:line="259" w:lineRule="auto"/>
            </w:pPr>
            <w:r>
              <w:rPr>
                <w:rFonts w:ascii="Calibri" w:hAnsi="Calibri"/>
                <w:b w:val="0"/>
                <w:i w:val="0"/>
                <w:color w:val="212121"/>
                <w:sz w:val="16"/>
              </w:rPr>
              <w:t>All diabetics; elderly; long-standing diabetes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 / monitoring</w:t>
            </w:r>
          </w:p>
        </w:tc>
        <w:tc>
          <w:tcPr>
            <w:tcW w:type="dxa" w:w="720"/>
            <w:vAlign w:val="top"/>
          </w:tcPr>
          <w:p>
            <w:pPr>
              <w:spacing w:after="40" w:before="0" w:line="259" w:lineRule="auto"/>
            </w:pPr>
            <w:r>
              <w:rPr>
                <w:rFonts w:ascii="Calibri" w:hAnsi="Calibri"/>
                <w:b w:val="0"/>
                <w:i w:val="0"/>
                <w:color w:val="212121"/>
                <w:sz w:val="16"/>
              </w:rPr>
              <w:t>Use CKD-EPI equation; track trajectory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w:t>
            </w:r>
          </w:p>
        </w:tc>
        <w:tc>
          <w:tcPr>
            <w:tcW w:type="dxa" w:w="950"/>
            <w:vAlign w:val="top"/>
          </w:tcPr>
          <w:p>
            <w:pPr>
              <w:spacing w:after="40" w:before="0" w:line="259" w:lineRule="auto"/>
            </w:pPr>
            <w:r>
              <w:rPr>
                <w:rFonts w:ascii="Calibri" w:hAnsi="Calibri"/>
                <w:b w:val="0"/>
                <w:i w:val="0"/>
                <w:color w:val="212121"/>
                <w:sz w:val="16"/>
              </w:rPr>
              <w:t>≥ 6.5% (target usually &lt; 7% in DKD)</w:t>
            </w:r>
          </w:p>
        </w:tc>
        <w:tc>
          <w:tcPr>
            <w:tcW w:type="dxa" w:w="1036"/>
            <w:vAlign w:val="top"/>
          </w:tcPr>
          <w:p>
            <w:pPr>
              <w:spacing w:after="40" w:before="0" w:line="259" w:lineRule="auto"/>
            </w:pPr>
            <w:r>
              <w:rPr>
                <w:rFonts w:ascii="Calibri" w:hAnsi="Calibri"/>
                <w:b w:val="0"/>
                <w:i w:val="0"/>
                <w:color w:val="212121"/>
                <w:sz w:val="16"/>
              </w:rPr>
              <w:t>Reflects 2–3 month glycaemia; cumulative exposure drives nephropathy</w:t>
            </w:r>
          </w:p>
        </w:tc>
        <w:tc>
          <w:tcPr>
            <w:tcW w:type="dxa" w:w="1036"/>
            <w:vAlign w:val="top"/>
          </w:tcPr>
          <w:p>
            <w:pPr>
              <w:spacing w:after="40" w:before="0" w:line="259" w:lineRule="auto"/>
            </w:pPr>
            <w:r>
              <w:rPr>
                <w:rFonts w:ascii="Calibri" w:hAnsi="Calibri"/>
                <w:b w:val="0"/>
                <w:i w:val="0"/>
                <w:color w:val="212121"/>
                <w:sz w:val="16"/>
              </w:rPr>
              <w:t>All people with diabetes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Core monitoring</w:t>
            </w:r>
          </w:p>
        </w:tc>
        <w:tc>
          <w:tcPr>
            <w:tcW w:type="dxa" w:w="720"/>
            <w:vAlign w:val="top"/>
          </w:tcPr>
          <w:p>
            <w:pPr>
              <w:spacing w:after="40" w:before="0" w:line="259" w:lineRule="auto"/>
            </w:pPr>
            <w:r>
              <w:rPr>
                <w:rFonts w:ascii="Calibri" w:hAnsi="Calibri"/>
                <w:b w:val="0"/>
                <w:i w:val="0"/>
                <w:color w:val="212121"/>
                <w:sz w:val="16"/>
              </w:rPr>
              <w:t>Individualise target; less reliable in anaemia/advanced CKD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(esp. Potassium) &amp; Bicarbonate</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K⁺ 3.5–5.0 mmol/L</w:t>
            </w:r>
          </w:p>
        </w:tc>
        <w:tc>
          <w:tcPr>
            <w:tcW w:type="dxa" w:w="950"/>
            <w:vAlign w:val="top"/>
          </w:tcPr>
          <w:p>
            <w:pPr>
              <w:spacing w:after="40" w:before="0" w:line="259" w:lineRule="auto"/>
            </w:pPr>
            <w:r>
              <w:rPr>
                <w:rFonts w:ascii="Calibri" w:hAnsi="Calibri"/>
                <w:b w:val="0"/>
                <w:i w:val="0"/>
                <w:color w:val="212121"/>
                <w:sz w:val="16"/>
              </w:rPr>
              <w:t>Hyperkalaemia; low bicarbonate (metabolic acidosis)</w:t>
            </w:r>
          </w:p>
        </w:tc>
        <w:tc>
          <w:tcPr>
            <w:tcW w:type="dxa" w:w="1036"/>
            <w:vAlign w:val="top"/>
          </w:tcPr>
          <w:p>
            <w:pPr>
              <w:spacing w:after="40" w:before="0" w:line="259" w:lineRule="auto"/>
            </w:pPr>
            <w:r>
              <w:rPr>
                <w:rFonts w:ascii="Calibri" w:hAnsi="Calibri"/>
                <w:b w:val="0"/>
                <w:i w:val="0"/>
                <w:color w:val="212121"/>
                <w:sz w:val="16"/>
              </w:rPr>
              <w:t>Detects hyperkalaemia and acidosis of advancing CKD, worsened by ACE inhibitor/ARB</w:t>
            </w:r>
          </w:p>
        </w:tc>
        <w:tc>
          <w:tcPr>
            <w:tcW w:type="dxa" w:w="1036"/>
            <w:vAlign w:val="top"/>
          </w:tcPr>
          <w:p>
            <w:pPr>
              <w:spacing w:after="40" w:before="0" w:line="259" w:lineRule="auto"/>
            </w:pPr>
            <w:r>
              <w:rPr>
                <w:rFonts w:ascii="Calibri" w:hAnsi="Calibri"/>
                <w:b w:val="0"/>
                <w:i w:val="0"/>
                <w:color w:val="212121"/>
                <w:sz w:val="16"/>
              </w:rPr>
              <w:t>Advanced DKD; patients on RAAS blockers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Monitor K⁺ after starting/up-titrating ACE inhibitor, ARB or MRA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mg/dL</w:t>
            </w:r>
          </w:p>
        </w:tc>
        <w:tc>
          <w:tcPr>
            <w:tcW w:type="dxa" w:w="950"/>
            <w:vAlign w:val="top"/>
          </w:tcPr>
          <w:p>
            <w:pPr>
              <w:spacing w:after="40" w:before="0" w:line="259" w:lineRule="auto"/>
            </w:pPr>
            <w:r>
              <w:rPr>
                <w:rFonts w:ascii="Calibri" w:hAnsi="Calibri"/>
                <w:b w:val="0"/>
                <w:i w:val="0"/>
                <w:color w:val="212121"/>
                <w:sz w:val="16"/>
              </w:rPr>
              <w:t>LDL ≥ 100; high triglycerides; low HDL</w:t>
            </w:r>
          </w:p>
        </w:tc>
        <w:tc>
          <w:tcPr>
            <w:tcW w:type="dxa" w:w="1036"/>
            <w:vAlign w:val="top"/>
          </w:tcPr>
          <w:p>
            <w:pPr>
              <w:spacing w:after="40" w:before="0" w:line="259" w:lineRule="auto"/>
            </w:pPr>
            <w:r>
              <w:rPr>
                <w:rFonts w:ascii="Calibri" w:hAnsi="Calibri"/>
                <w:b w:val="0"/>
                <w:i w:val="0"/>
                <w:color w:val="212121"/>
                <w:sz w:val="16"/>
              </w:rPr>
              <w:t>Atherogenic dyslipidaemia adds renal and cardiovascular risk</w:t>
            </w:r>
          </w:p>
        </w:tc>
        <w:tc>
          <w:tcPr>
            <w:tcW w:type="dxa" w:w="1036"/>
            <w:vAlign w:val="top"/>
          </w:tcPr>
          <w:p>
            <w:pPr>
              <w:spacing w:after="40" w:before="0" w:line="259" w:lineRule="auto"/>
            </w:pPr>
            <w:r>
              <w:rPr>
                <w:rFonts w:ascii="Calibri" w:hAnsi="Calibri"/>
                <w:b w:val="0"/>
                <w:i w:val="0"/>
                <w:color w:val="212121"/>
                <w:sz w:val="16"/>
              </w:rPr>
              <w:t>Diabetics with DKD, obesity,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Statins reduce urinary protein and CV events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 13–17 g/dL (M), 12–15 g/dL (F)</w:t>
            </w:r>
          </w:p>
        </w:tc>
        <w:tc>
          <w:tcPr>
            <w:tcW w:type="dxa" w:w="950"/>
            <w:vAlign w:val="top"/>
          </w:tcPr>
          <w:p>
            <w:pPr>
              <w:spacing w:after="40" w:before="0" w:line="259" w:lineRule="auto"/>
            </w:pPr>
            <w:r>
              <w:rPr>
                <w:rFonts w:ascii="Calibri" w:hAnsi="Calibri"/>
                <w:b w:val="0"/>
                <w:i w:val="0"/>
                <w:color w:val="212121"/>
                <w:sz w:val="16"/>
              </w:rPr>
              <w:t>Low Hb (anaemia of CKD)</w:t>
            </w:r>
          </w:p>
        </w:tc>
        <w:tc>
          <w:tcPr>
            <w:tcW w:type="dxa" w:w="1036"/>
            <w:vAlign w:val="top"/>
          </w:tcPr>
          <w:p>
            <w:pPr>
              <w:spacing w:after="40" w:before="0" w:line="259" w:lineRule="auto"/>
            </w:pPr>
            <w:r>
              <w:rPr>
                <w:rFonts w:ascii="Calibri" w:hAnsi="Calibri"/>
                <w:b w:val="0"/>
                <w:i w:val="0"/>
                <w:color w:val="212121"/>
                <w:sz w:val="16"/>
              </w:rPr>
              <w:t>Erythropoietin deficiency and iron issues cause anaemia as GFR falls</w:t>
            </w:r>
          </w:p>
        </w:tc>
        <w:tc>
          <w:tcPr>
            <w:tcW w:type="dxa" w:w="1036"/>
            <w:vAlign w:val="top"/>
          </w:tcPr>
          <w:p>
            <w:pPr>
              <w:spacing w:after="40" w:before="0" w:line="259" w:lineRule="auto"/>
            </w:pPr>
            <w:r>
              <w:rPr>
                <w:rFonts w:ascii="Calibri" w:hAnsi="Calibri"/>
                <w:b w:val="0"/>
                <w:i w:val="0"/>
                <w:color w:val="212121"/>
                <w:sz w:val="16"/>
              </w:rPr>
              <w:t>CKD stage 3–5; Indian CKD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Anaemia was present in 40.7% of Indians with CKD in the SEEK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Urea / Blood Urea Nitrogen</w:t>
            </w:r>
          </w:p>
        </w:tc>
        <w:tc>
          <w:tcPr>
            <w:tcW w:type="dxa" w:w="892"/>
            <w:vAlign w:val="top"/>
          </w:tcPr>
          <w:p>
            <w:pPr>
              <w:spacing w:after="40" w:before="0" w:line="259" w:lineRule="auto"/>
            </w:pPr>
            <w:r>
              <w:rPr>
                <w:rFonts w:ascii="Calibri" w:hAnsi="Calibri"/>
                <w:b w:val="0"/>
                <w:i w:val="0"/>
                <w:color w:val="212121"/>
                <w:sz w:val="16"/>
              </w:rPr>
              <w:t>Kidney function test</w:t>
            </w:r>
          </w:p>
        </w:tc>
        <w:tc>
          <w:tcPr>
            <w:tcW w:type="dxa" w:w="950"/>
            <w:vAlign w:val="top"/>
          </w:tcPr>
          <w:p>
            <w:pPr>
              <w:spacing w:after="40" w:before="0" w:line="259" w:lineRule="auto"/>
            </w:pPr>
            <w:r>
              <w:rPr>
                <w:rFonts w:ascii="Calibri" w:hAnsi="Calibri"/>
                <w:b w:val="0"/>
                <w:i w:val="0"/>
                <w:color w:val="212121"/>
                <w:sz w:val="16"/>
              </w:rPr>
              <w:t>BUN ~ 7–20 mg/dL</w:t>
            </w:r>
          </w:p>
        </w:tc>
        <w:tc>
          <w:tcPr>
            <w:tcW w:type="dxa" w:w="950"/>
            <w:vAlign w:val="top"/>
          </w:tcPr>
          <w:p>
            <w:pPr>
              <w:spacing w:after="40" w:before="0" w:line="259" w:lineRule="auto"/>
            </w:pPr>
            <w:r>
              <w:rPr>
                <w:rFonts w:ascii="Calibri" w:hAnsi="Calibri"/>
                <w:b w:val="0"/>
                <w:i w:val="0"/>
                <w:color w:val="212121"/>
                <w:sz w:val="16"/>
              </w:rPr>
              <w:t>Elevated (rises with falling GFR)</w:t>
            </w:r>
          </w:p>
        </w:tc>
        <w:tc>
          <w:tcPr>
            <w:tcW w:type="dxa" w:w="1036"/>
            <w:vAlign w:val="top"/>
          </w:tcPr>
          <w:p>
            <w:pPr>
              <w:spacing w:after="40" w:before="0" w:line="259" w:lineRule="auto"/>
            </w:pPr>
            <w:r>
              <w:rPr>
                <w:rFonts w:ascii="Calibri" w:hAnsi="Calibri"/>
                <w:b w:val="0"/>
                <w:i w:val="0"/>
                <w:color w:val="212121"/>
                <w:sz w:val="16"/>
              </w:rPr>
              <w:t>Supports assessment of renal function and uraemia</w:t>
            </w:r>
          </w:p>
        </w:tc>
        <w:tc>
          <w:tcPr>
            <w:tcW w:type="dxa" w:w="1036"/>
            <w:vAlign w:val="top"/>
          </w:tcPr>
          <w:p>
            <w:pPr>
              <w:spacing w:after="40" w:before="0" w:line="259" w:lineRule="auto"/>
            </w:pPr>
            <w:r>
              <w:rPr>
                <w:rFonts w:ascii="Calibri" w:hAnsi="Calibri"/>
                <w:b w:val="0"/>
                <w:i w:val="0"/>
                <w:color w:val="212121"/>
                <w:sz w:val="16"/>
              </w:rPr>
              <w:t>Declining eGFR; advanced DKD</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Influenced by hydration, protein intake and GI bleeding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Renal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Normal-sized kidneys, no obstruction</w:t>
            </w:r>
          </w:p>
        </w:tc>
        <w:tc>
          <w:tcPr>
            <w:tcW w:type="dxa" w:w="950"/>
            <w:vAlign w:val="top"/>
          </w:tcPr>
          <w:p>
            <w:pPr>
              <w:spacing w:after="40" w:before="0" w:line="259" w:lineRule="auto"/>
            </w:pPr>
            <w:r>
              <w:rPr>
                <w:rFonts w:ascii="Calibri" w:hAnsi="Calibri"/>
                <w:b w:val="0"/>
                <w:i w:val="0"/>
                <w:color w:val="212121"/>
                <w:sz w:val="16"/>
              </w:rPr>
              <w:t>Small echogenic kidneys (chronicity) or other pathology</w:t>
            </w:r>
          </w:p>
        </w:tc>
        <w:tc>
          <w:tcPr>
            <w:tcW w:type="dxa" w:w="1036"/>
            <w:vAlign w:val="top"/>
          </w:tcPr>
          <w:p>
            <w:pPr>
              <w:spacing w:after="40" w:before="0" w:line="259" w:lineRule="auto"/>
            </w:pPr>
            <w:r>
              <w:rPr>
                <w:rFonts w:ascii="Calibri" w:hAnsi="Calibri"/>
                <w:b w:val="0"/>
                <w:i w:val="0"/>
                <w:color w:val="212121"/>
                <w:sz w:val="16"/>
              </w:rPr>
              <w:t>Excludes obstruction/other renal disease; assesses chronicity</w:t>
            </w:r>
          </w:p>
        </w:tc>
        <w:tc>
          <w:tcPr>
            <w:tcW w:type="dxa" w:w="1036"/>
            <w:vAlign w:val="top"/>
          </w:tcPr>
          <w:p>
            <w:pPr>
              <w:spacing w:after="40" w:before="0" w:line="259" w:lineRule="auto"/>
            </w:pPr>
            <w:r>
              <w:rPr>
                <w:rFonts w:ascii="Calibri" w:hAnsi="Calibri"/>
                <w:b w:val="0"/>
                <w:i w:val="0"/>
                <w:color w:val="212121"/>
                <w:sz w:val="16"/>
              </w:rPr>
              <w:t>New CKD, atypical features, before biopsy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Kidneys may be normal or enlarged early in diabetic nephropathy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Frothy urine, ankle/periorbital swelling, fatigue, poorly controlled BP</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Suggest proteinuria, fluid retention and declining renal function</w:t>
            </w:r>
          </w:p>
        </w:tc>
        <w:tc>
          <w:tcPr>
            <w:tcW w:type="dxa" w:w="1036"/>
            <w:vAlign w:val="top"/>
          </w:tcPr>
          <w:p>
            <w:pPr>
              <w:spacing w:after="40" w:before="0" w:line="259" w:lineRule="auto"/>
            </w:pPr>
            <w:r>
              <w:rPr>
                <w:rFonts w:ascii="Calibri" w:hAnsi="Calibri"/>
                <w:b w:val="0"/>
                <w:i w:val="0"/>
                <w:color w:val="212121"/>
                <w:sz w:val="16"/>
              </w:rPr>
              <w:t>Long-standing diabetics; those with rising BP</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silent early — screen even when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Diabetes duration &amp; control</w:t>
            </w:r>
          </w:p>
        </w:tc>
        <w:tc>
          <w:tcPr>
            <w:tcW w:type="dxa" w:w="979"/>
            <w:vAlign w:val="top"/>
          </w:tcPr>
          <w:p>
            <w:pPr>
              <w:spacing w:after="40" w:before="0" w:line="259" w:lineRule="auto"/>
            </w:pPr>
            <w:r>
              <w:rPr>
                <w:rFonts w:ascii="Calibri" w:hAnsi="Calibri"/>
                <w:b w:val="0"/>
                <w:i w:val="0"/>
                <w:color w:val="212121"/>
                <w:sz w:val="16"/>
              </w:rPr>
              <w:t>Years since diagnosis; HbA1c trend; treatment adherence</w:t>
            </w:r>
          </w:p>
        </w:tc>
        <w:tc>
          <w:tcPr>
            <w:tcW w:type="dxa" w:w="950"/>
            <w:vAlign w:val="top"/>
          </w:tcPr>
          <w:p>
            <w:pPr>
              <w:spacing w:after="40" w:before="0" w:line="259" w:lineRule="auto"/>
            </w:pPr>
            <w:r>
              <w:rPr>
                <w:rFonts w:ascii="Calibri" w:hAnsi="Calibri"/>
                <w:b w:val="0"/>
                <w:i w:val="0"/>
                <w:color w:val="212121"/>
                <w:sz w:val="16"/>
              </w:rPr>
              <w:t>Short duration, well controlled</w:t>
            </w:r>
          </w:p>
        </w:tc>
        <w:tc>
          <w:tcPr>
            <w:tcW w:type="dxa" w:w="950"/>
            <w:vAlign w:val="top"/>
          </w:tcPr>
          <w:p>
            <w:pPr>
              <w:spacing w:after="40" w:before="0" w:line="259" w:lineRule="auto"/>
            </w:pPr>
            <w:r>
              <w:rPr>
                <w:rFonts w:ascii="Calibri" w:hAnsi="Calibri"/>
                <w:b w:val="0"/>
                <w:i w:val="0"/>
                <w:color w:val="212121"/>
                <w:sz w:val="16"/>
              </w:rPr>
              <w:t>&gt; 5–10 years and/or persistently high HbA1c</w:t>
            </w:r>
          </w:p>
        </w:tc>
        <w:tc>
          <w:tcPr>
            <w:tcW w:type="dxa" w:w="1036"/>
            <w:vAlign w:val="top"/>
          </w:tcPr>
          <w:p>
            <w:pPr>
              <w:spacing w:after="40" w:before="0" w:line="259" w:lineRule="auto"/>
            </w:pPr>
            <w:r>
              <w:rPr>
                <w:rFonts w:ascii="Calibri" w:hAnsi="Calibri"/>
                <w:b w:val="0"/>
                <w:i w:val="0"/>
                <w:color w:val="212121"/>
                <w:sz w:val="16"/>
              </w:rPr>
              <w:t>Cumulative glycaemic exposure is the key driver of nephropathy</w:t>
            </w:r>
          </w:p>
        </w:tc>
        <w:tc>
          <w:tcPr>
            <w:tcW w:type="dxa" w:w="1036"/>
            <w:vAlign w:val="top"/>
          </w:tcPr>
          <w:p>
            <w:pPr>
              <w:spacing w:after="40" w:before="0" w:line="259" w:lineRule="auto"/>
            </w:pPr>
            <w:r>
              <w:rPr>
                <w:rFonts w:ascii="Calibri" w:hAnsi="Calibri"/>
                <w:b w:val="0"/>
                <w:i w:val="0"/>
                <w:color w:val="212121"/>
                <w:sz w:val="16"/>
              </w:rPr>
              <w:t>All diabetics, esp. long duration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diagnosis and glycaemic history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Blood pressure &amp; drug history</w:t>
            </w:r>
          </w:p>
        </w:tc>
        <w:tc>
          <w:tcPr>
            <w:tcW w:type="dxa" w:w="979"/>
            <w:vAlign w:val="top"/>
          </w:tcPr>
          <w:p>
            <w:pPr>
              <w:spacing w:after="40" w:before="0" w:line="259" w:lineRule="auto"/>
            </w:pPr>
            <w:r>
              <w:rPr>
                <w:rFonts w:ascii="Calibri" w:hAnsi="Calibri"/>
                <w:b w:val="0"/>
                <w:i w:val="0"/>
                <w:color w:val="212121"/>
                <w:sz w:val="16"/>
              </w:rPr>
              <w:t>Hypertension; ACE inhibitor/ARB use; NSAID and nephrotoxin exposure</w:t>
            </w:r>
          </w:p>
        </w:tc>
        <w:tc>
          <w:tcPr>
            <w:tcW w:type="dxa" w:w="950"/>
            <w:vAlign w:val="top"/>
          </w:tcPr>
          <w:p>
            <w:pPr>
              <w:spacing w:after="40" w:before="0" w:line="259" w:lineRule="auto"/>
            </w:pPr>
            <w:r>
              <w:rPr>
                <w:rFonts w:ascii="Calibri" w:hAnsi="Calibri"/>
                <w:b w:val="0"/>
                <w:i w:val="0"/>
                <w:color w:val="212121"/>
                <w:sz w:val="16"/>
              </w:rPr>
              <w:t>Normotensive, no nephrotoxins</w:t>
            </w:r>
          </w:p>
        </w:tc>
        <w:tc>
          <w:tcPr>
            <w:tcW w:type="dxa" w:w="950"/>
            <w:vAlign w:val="top"/>
          </w:tcPr>
          <w:p>
            <w:pPr>
              <w:spacing w:after="40" w:before="0" w:line="259" w:lineRule="auto"/>
            </w:pPr>
            <w:r>
              <w:rPr>
                <w:rFonts w:ascii="Calibri" w:hAnsi="Calibri"/>
                <w:b w:val="0"/>
                <w:i w:val="0"/>
                <w:color w:val="212121"/>
                <w:sz w:val="16"/>
              </w:rPr>
              <w:t>Uncontrolled BP; recurrent NSAID/contrast use</w:t>
            </w:r>
          </w:p>
        </w:tc>
        <w:tc>
          <w:tcPr>
            <w:tcW w:type="dxa" w:w="1036"/>
            <w:vAlign w:val="top"/>
          </w:tcPr>
          <w:p>
            <w:pPr>
              <w:spacing w:after="40" w:before="0" w:line="259" w:lineRule="auto"/>
            </w:pPr>
            <w:r>
              <w:rPr>
                <w:rFonts w:ascii="Calibri" w:hAnsi="Calibri"/>
                <w:b w:val="0"/>
                <w:i w:val="0"/>
                <w:color w:val="212121"/>
                <w:sz w:val="16"/>
              </w:rPr>
              <w:t>Identifies modifiable accelerators and provoking factors</w:t>
            </w:r>
          </w:p>
        </w:tc>
        <w:tc>
          <w:tcPr>
            <w:tcW w:type="dxa" w:w="1036"/>
            <w:vAlign w:val="top"/>
          </w:tcPr>
          <w:p>
            <w:pPr>
              <w:spacing w:after="40" w:before="0" w:line="259" w:lineRule="auto"/>
            </w:pPr>
            <w:r>
              <w:rPr>
                <w:rFonts w:ascii="Calibri" w:hAnsi="Calibri"/>
                <w:b w:val="0"/>
                <w:i w:val="0"/>
                <w:color w:val="212121"/>
                <w:sz w:val="16"/>
              </w:rPr>
              <w:t>Hypertensive diabetics; self-medicating patients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Management</w:t>
            </w:r>
          </w:p>
        </w:tc>
        <w:tc>
          <w:tcPr>
            <w:tcW w:type="dxa" w:w="720"/>
            <w:vAlign w:val="top"/>
          </w:tcPr>
          <w:p>
            <w:pPr>
              <w:spacing w:after="40" w:before="0" w:line="259" w:lineRule="auto"/>
            </w:pPr>
            <w:r>
              <w:rPr>
                <w:rFonts w:ascii="Calibri" w:hAnsi="Calibri"/>
                <w:b w:val="0"/>
                <w:i w:val="0"/>
                <w:color w:val="212121"/>
                <w:sz w:val="16"/>
              </w:rPr>
              <w:t>Counsel to avoid over-the-counter NSAIDs and nephrotoxins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diabetes or kidney failure</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susceptibility raises nephropathy risk</w:t>
            </w:r>
          </w:p>
        </w:tc>
        <w:tc>
          <w:tcPr>
            <w:tcW w:type="dxa" w:w="1036"/>
            <w:vAlign w:val="top"/>
          </w:tcPr>
          <w:p>
            <w:pPr>
              <w:spacing w:after="40" w:before="0" w:line="259" w:lineRule="auto"/>
            </w:pPr>
            <w:r>
              <w:rPr>
                <w:rFonts w:ascii="Calibri" w:hAnsi="Calibri"/>
                <w:b w:val="0"/>
                <w:i w:val="0"/>
                <w:color w:val="212121"/>
                <w:sz w:val="16"/>
              </w:rPr>
              <w:t>Relatives of diabetics/CKD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Record age at onset and dialysis history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Blood pressure measurement</w:t>
            </w:r>
          </w:p>
        </w:tc>
        <w:tc>
          <w:tcPr>
            <w:tcW w:type="dxa" w:w="979"/>
            <w:vAlign w:val="top"/>
          </w:tcPr>
          <w:p>
            <w:pPr>
              <w:spacing w:after="40" w:before="0" w:line="259" w:lineRule="auto"/>
            </w:pPr>
            <w:r>
              <w:rPr>
                <w:rFonts w:ascii="Calibri" w:hAnsi="Calibri"/>
                <w:b w:val="0"/>
                <w:i w:val="0"/>
                <w:color w:val="212121"/>
                <w:sz w:val="16"/>
              </w:rPr>
              <w:t>Office (and home) blood pressure</w:t>
            </w:r>
          </w:p>
        </w:tc>
        <w:tc>
          <w:tcPr>
            <w:tcW w:type="dxa" w:w="950"/>
            <w:vAlign w:val="top"/>
          </w:tcPr>
          <w:p>
            <w:pPr>
              <w:spacing w:after="40" w:before="0" w:line="259" w:lineRule="auto"/>
            </w:pPr>
            <w:r>
              <w:rPr>
                <w:rFonts w:ascii="Calibri" w:hAnsi="Calibri"/>
                <w:b w:val="0"/>
                <w:i w:val="0"/>
                <w:color w:val="212121"/>
                <w:sz w:val="16"/>
              </w:rPr>
              <w:t>&lt; 130/80 mmHg (individualised)</w:t>
            </w:r>
          </w:p>
        </w:tc>
        <w:tc>
          <w:tcPr>
            <w:tcW w:type="dxa" w:w="950"/>
            <w:vAlign w:val="top"/>
          </w:tcPr>
          <w:p>
            <w:pPr>
              <w:spacing w:after="40" w:before="0" w:line="259" w:lineRule="auto"/>
            </w:pPr>
            <w:r>
              <w:rPr>
                <w:rFonts w:ascii="Calibri" w:hAnsi="Calibri"/>
                <w:b w:val="0"/>
                <w:i w:val="0"/>
                <w:color w:val="212121"/>
                <w:sz w:val="16"/>
              </w:rPr>
              <w:t>≥ 140/90 mmHg</w:t>
            </w:r>
          </w:p>
        </w:tc>
        <w:tc>
          <w:tcPr>
            <w:tcW w:type="dxa" w:w="1036"/>
            <w:vAlign w:val="top"/>
          </w:tcPr>
          <w:p>
            <w:pPr>
              <w:spacing w:after="40" w:before="0" w:line="259" w:lineRule="auto"/>
            </w:pPr>
            <w:r>
              <w:rPr>
                <w:rFonts w:ascii="Calibri" w:hAnsi="Calibri"/>
                <w:b w:val="0"/>
                <w:i w:val="0"/>
                <w:color w:val="212121"/>
                <w:sz w:val="16"/>
              </w:rPr>
              <w:t>Hypertension both drives and reflects kidney damage</w:t>
            </w:r>
          </w:p>
        </w:tc>
        <w:tc>
          <w:tcPr>
            <w:tcW w:type="dxa" w:w="1036"/>
            <w:vAlign w:val="top"/>
          </w:tcPr>
          <w:p>
            <w:pPr>
              <w:spacing w:after="40" w:before="0" w:line="259" w:lineRule="auto"/>
            </w:pPr>
            <w:r>
              <w:rPr>
                <w:rFonts w:ascii="Calibri" w:hAnsi="Calibri"/>
                <w:b w:val="0"/>
                <w:i w:val="0"/>
                <w:color w:val="212121"/>
                <w:sz w:val="16"/>
              </w:rPr>
              <w:t>All 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Use correct cuff; consider home/ambulatory monitoring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Oedema &amp; volume status</w:t>
            </w:r>
          </w:p>
        </w:tc>
        <w:tc>
          <w:tcPr>
            <w:tcW w:type="dxa" w:w="979"/>
            <w:vAlign w:val="top"/>
          </w:tcPr>
          <w:p>
            <w:pPr>
              <w:spacing w:after="40" w:before="0" w:line="259" w:lineRule="auto"/>
            </w:pPr>
            <w:r>
              <w:rPr>
                <w:rFonts w:ascii="Calibri" w:hAnsi="Calibri"/>
                <w:b w:val="0"/>
                <w:i w:val="0"/>
                <w:color w:val="212121"/>
                <w:sz w:val="16"/>
              </w:rPr>
              <w:t>Pitting pedal/periorbital oedema; JVP; lung bases</w:t>
            </w:r>
          </w:p>
        </w:tc>
        <w:tc>
          <w:tcPr>
            <w:tcW w:type="dxa" w:w="950"/>
            <w:vAlign w:val="top"/>
          </w:tcPr>
          <w:p>
            <w:pPr>
              <w:spacing w:after="40" w:before="0" w:line="259" w:lineRule="auto"/>
            </w:pPr>
            <w:r>
              <w:rPr>
                <w:rFonts w:ascii="Calibri" w:hAnsi="Calibri"/>
                <w:b w:val="0"/>
                <w:i w:val="0"/>
                <w:color w:val="212121"/>
                <w:sz w:val="16"/>
              </w:rPr>
              <w:t>No oedema, euvolaemic</w:t>
            </w:r>
          </w:p>
        </w:tc>
        <w:tc>
          <w:tcPr>
            <w:tcW w:type="dxa" w:w="950"/>
            <w:vAlign w:val="top"/>
          </w:tcPr>
          <w:p>
            <w:pPr>
              <w:spacing w:after="40" w:before="0" w:line="259" w:lineRule="auto"/>
            </w:pPr>
            <w:r>
              <w:rPr>
                <w:rFonts w:ascii="Calibri" w:hAnsi="Calibri"/>
                <w:b w:val="0"/>
                <w:i w:val="0"/>
                <w:color w:val="212121"/>
                <w:sz w:val="16"/>
              </w:rPr>
              <w:t>Pitting oedema, raised JVP, basal crepitations</w:t>
            </w:r>
          </w:p>
        </w:tc>
        <w:tc>
          <w:tcPr>
            <w:tcW w:type="dxa" w:w="1036"/>
            <w:vAlign w:val="top"/>
          </w:tcPr>
          <w:p>
            <w:pPr>
              <w:spacing w:after="40" w:before="0" w:line="259" w:lineRule="auto"/>
            </w:pPr>
            <w:r>
              <w:rPr>
                <w:rFonts w:ascii="Calibri" w:hAnsi="Calibri"/>
                <w:b w:val="0"/>
                <w:i w:val="0"/>
                <w:color w:val="212121"/>
                <w:sz w:val="16"/>
              </w:rPr>
              <w:t>Indicates fluid retention from proteinuria/declining GFR</w:t>
            </w:r>
          </w:p>
        </w:tc>
        <w:tc>
          <w:tcPr>
            <w:tcW w:type="dxa" w:w="1036"/>
            <w:vAlign w:val="top"/>
          </w:tcPr>
          <w:p>
            <w:pPr>
              <w:spacing w:after="40" w:before="0" w:line="259" w:lineRule="auto"/>
            </w:pPr>
            <w:r>
              <w:rPr>
                <w:rFonts w:ascii="Calibri" w:hAnsi="Calibri"/>
                <w:b w:val="0"/>
                <w:i w:val="0"/>
                <w:color w:val="212121"/>
                <w:sz w:val="16"/>
              </w:rPr>
              <w:t>Overt nephropathy; nephrotic-range proteinuria</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Correlate with weight, albumin and diuretic needs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Dilated fundus examination</w:t>
            </w:r>
          </w:p>
        </w:tc>
        <w:tc>
          <w:tcPr>
            <w:tcW w:type="dxa" w:w="979"/>
            <w:vAlign w:val="top"/>
          </w:tcPr>
          <w:p>
            <w:pPr>
              <w:spacing w:after="40" w:before="0" w:line="259" w:lineRule="auto"/>
            </w:pPr>
            <w:r>
              <w:rPr>
                <w:rFonts w:ascii="Calibri" w:hAnsi="Calibri"/>
                <w:b w:val="0"/>
                <w:i w:val="0"/>
                <w:color w:val="212121"/>
                <w:sz w:val="16"/>
              </w:rPr>
              <w:t>Diabetic retinopathy on fundoscopy</w:t>
            </w:r>
          </w:p>
        </w:tc>
        <w:tc>
          <w:tcPr>
            <w:tcW w:type="dxa" w:w="950"/>
            <w:vAlign w:val="top"/>
          </w:tcPr>
          <w:p>
            <w:pPr>
              <w:spacing w:after="40" w:before="0" w:line="259" w:lineRule="auto"/>
            </w:pPr>
            <w:r>
              <w:rPr>
                <w:rFonts w:ascii="Calibri" w:hAnsi="Calibri"/>
                <w:b w:val="0"/>
                <w:i w:val="0"/>
                <w:color w:val="212121"/>
                <w:sz w:val="16"/>
              </w:rPr>
              <w:t>No retinopathy</w:t>
            </w:r>
          </w:p>
        </w:tc>
        <w:tc>
          <w:tcPr>
            <w:tcW w:type="dxa" w:w="950"/>
            <w:vAlign w:val="top"/>
          </w:tcPr>
          <w:p>
            <w:pPr>
              <w:spacing w:after="40" w:before="0" w:line="259" w:lineRule="auto"/>
            </w:pPr>
            <w:r>
              <w:rPr>
                <w:rFonts w:ascii="Calibri" w:hAnsi="Calibri"/>
                <w:b w:val="0"/>
                <w:i w:val="0"/>
                <w:color w:val="212121"/>
                <w:sz w:val="16"/>
              </w:rPr>
              <w:t>Microaneurysms, haemorrhages, exudates</w:t>
            </w:r>
          </w:p>
        </w:tc>
        <w:tc>
          <w:tcPr>
            <w:tcW w:type="dxa" w:w="1036"/>
            <w:vAlign w:val="top"/>
          </w:tcPr>
          <w:p>
            <w:pPr>
              <w:spacing w:after="40" w:before="0" w:line="259" w:lineRule="auto"/>
            </w:pPr>
            <w:r>
              <w:rPr>
                <w:rFonts w:ascii="Calibri" w:hAnsi="Calibri"/>
                <w:b w:val="0"/>
                <w:i w:val="0"/>
                <w:color w:val="212121"/>
                <w:sz w:val="16"/>
              </w:rPr>
              <w:t>Retinopathy supports diabetic (vs non-diabetic) kidney disease</w:t>
            </w:r>
          </w:p>
        </w:tc>
        <w:tc>
          <w:tcPr>
            <w:tcW w:type="dxa" w:w="1036"/>
            <w:vAlign w:val="top"/>
          </w:tcPr>
          <w:p>
            <w:pPr>
              <w:spacing w:after="40" w:before="0" w:line="259" w:lineRule="auto"/>
            </w:pPr>
            <w:r>
              <w:rPr>
                <w:rFonts w:ascii="Calibri" w:hAnsi="Calibri"/>
                <w:b w:val="0"/>
                <w:i w:val="0"/>
                <w:color w:val="212121"/>
                <w:sz w:val="16"/>
              </w:rPr>
              <w:t>All diabetics with kidney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Absence of retinopathy should prompt search for other causes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Frothy / foamy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heavy albuminuria/proteinuria leaking through the damaged glomerular filter.</w:t>
            </w:r>
          </w:p>
        </w:tc>
      </w:tr>
      <w:tr>
        <w:trPr>
          <w:cantSplit/>
        </w:trPr>
        <w:tc>
          <w:tcPr>
            <w:tcW w:type="dxa" w:w="2304"/>
            <w:vAlign w:val="top"/>
          </w:tcPr>
          <w:p>
            <w:pPr>
              <w:spacing w:after="40" w:before="0" w:line="259" w:lineRule="auto"/>
            </w:pPr>
            <w:r>
              <w:rPr>
                <w:rFonts w:ascii="Calibri" w:hAnsi="Calibri"/>
                <w:b/>
                <w:i w:val="0"/>
                <w:color w:val="212121"/>
                <w:sz w:val="19"/>
              </w:rPr>
              <w:t>Swelling of feet and ankles (pedal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Fluid retention from proteinuria and falling GFR; often the first noticed sign.</w:t>
            </w:r>
          </w:p>
        </w:tc>
      </w:tr>
      <w:tr>
        <w:trPr>
          <w:cantSplit/>
        </w:trPr>
        <w:tc>
          <w:tcPr>
            <w:tcW w:type="dxa" w:w="2304"/>
            <w:vAlign w:val="top"/>
          </w:tcPr>
          <w:p>
            <w:pPr>
              <w:spacing w:after="40" w:before="0" w:line="259" w:lineRule="auto"/>
            </w:pPr>
            <w:r>
              <w:rPr>
                <w:rFonts w:ascii="Calibri" w:hAnsi="Calibri"/>
                <w:b/>
                <w:i w:val="0"/>
                <w:color w:val="212121"/>
                <w:sz w:val="19"/>
              </w:rPr>
              <w:t>Periorbital / facial puffiness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morning facial swelling due to fluid retention and low serum albumin.</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Anaemia of CKD and accumulation of uraemic toxins reduce energy.</w:t>
            </w:r>
          </w:p>
        </w:tc>
      </w:tr>
      <w:tr>
        <w:trPr>
          <w:cantSplit/>
        </w:trPr>
        <w:tc>
          <w:tcPr>
            <w:tcW w:type="dxa" w:w="2304"/>
            <w:vAlign w:val="top"/>
          </w:tcPr>
          <w:p>
            <w:pPr>
              <w:spacing w:after="40" w:before="0" w:line="259" w:lineRule="auto"/>
            </w:pPr>
            <w:r>
              <w:rPr>
                <w:rFonts w:ascii="Calibri" w:hAnsi="Calibri"/>
                <w:b/>
                <w:i w:val="0"/>
                <w:color w:val="212121"/>
                <w:sz w:val="19"/>
              </w:rPr>
              <w:t>Worsening, hard-to-control blood pressure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Kidney damage activates the RAAS and retains sodium/fluid, raising blood pressure.</w:t>
            </w:r>
          </w:p>
        </w:tc>
      </w:tr>
      <w:tr>
        <w:trPr>
          <w:cantSplit/>
        </w:trPr>
        <w:tc>
          <w:tcPr>
            <w:tcW w:type="dxa" w:w="2304"/>
            <w:vAlign w:val="top"/>
          </w:tcPr>
          <w:p>
            <w:pPr>
              <w:spacing w:after="40" w:before="0" w:line="259" w:lineRule="auto"/>
            </w:pPr>
            <w:r>
              <w:rPr>
                <w:rFonts w:ascii="Calibri" w:hAnsi="Calibri"/>
                <w:b/>
                <w:i w:val="0"/>
                <w:color w:val="212121"/>
                <w:sz w:val="19"/>
              </w:rPr>
              <w:t>Nocturia / increased night-time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urinary concentrating ability from tubulointerstitial damage.</w:t>
            </w:r>
          </w:p>
        </w:tc>
      </w:tr>
      <w:tr>
        <w:trPr>
          <w:cantSplit/>
        </w:trPr>
        <w:tc>
          <w:tcPr>
            <w:tcW w:type="dxa" w:w="2304"/>
            <w:vAlign w:val="top"/>
          </w:tcPr>
          <w:p>
            <w:pPr>
              <w:spacing w:after="40" w:before="0" w:line="259" w:lineRule="auto"/>
            </w:pPr>
            <w:r>
              <w:rPr>
                <w:rFonts w:ascii="Calibri" w:hAnsi="Calibri"/>
                <w:b/>
                <w:i w:val="0"/>
                <w:color w:val="212121"/>
                <w:sz w:val="19"/>
              </w:rPr>
              <w:t>Loss of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Uraemia and metabolic disturbance blunt appetite as kidney function declines.</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Accumulating uraemic toxins in more advanced kidney disease.</w:t>
            </w:r>
          </w:p>
        </w:tc>
      </w:tr>
      <w:tr>
        <w:trPr>
          <w:cantSplit/>
        </w:trPr>
        <w:tc>
          <w:tcPr>
            <w:tcW w:type="dxa" w:w="2304"/>
            <w:vAlign w:val="top"/>
          </w:tcPr>
          <w:p>
            <w:pPr>
              <w:spacing w:after="40" w:before="0" w:line="259" w:lineRule="auto"/>
            </w:pPr>
            <w:r>
              <w:rPr>
                <w:rFonts w:ascii="Calibri" w:hAnsi="Calibri"/>
                <w:b/>
                <w:i w:val="0"/>
                <w:color w:val="212121"/>
                <w:sz w:val="19"/>
              </w:rPr>
              <w:t>Generalised itching (pruritus)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Uraemic pruritus and mineral–bone disturbances of advancing CKD.</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Fluid overload/pulmonary congestion or associated anaemia and heart disease.</w:t>
            </w:r>
          </w:p>
        </w:tc>
      </w:tr>
      <w:tr>
        <w:trPr>
          <w:cantSplit/>
        </w:trPr>
        <w:tc>
          <w:tcPr>
            <w:tcW w:type="dxa" w:w="2304"/>
            <w:vAlign w:val="top"/>
          </w:tcPr>
          <w:p>
            <w:pPr>
              <w:spacing w:after="40" w:before="0" w:line="259" w:lineRule="auto"/>
            </w:pPr>
            <w:r>
              <w:rPr>
                <w:rFonts w:ascii="Calibri" w:hAnsi="Calibri"/>
                <w:b/>
                <w:i w:val="0"/>
                <w:color w:val="212121"/>
                <w:sz w:val="19"/>
              </w:rPr>
              <w:t>Difficulty concentrating / mental cloudiness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Uraemia affects cognition as toxins accumulate.</w:t>
            </w:r>
          </w:p>
        </w:tc>
      </w:tr>
      <w:tr>
        <w:trPr>
          <w:cantSplit/>
        </w:trPr>
        <w:tc>
          <w:tcPr>
            <w:tcW w:type="dxa" w:w="2304"/>
            <w:vAlign w:val="top"/>
          </w:tcPr>
          <w:p>
            <w:pPr>
              <w:spacing w:after="40" w:before="0" w:line="259" w:lineRule="auto"/>
            </w:pPr>
            <w:r>
              <w:rPr>
                <w:rFonts w:ascii="Calibri" w:hAnsi="Calibri"/>
                <w:b/>
                <w:i w:val="0"/>
                <w:color w:val="212121"/>
                <w:sz w:val="19"/>
              </w:rPr>
              <w:t>Muscle cramps and restless legs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Electrolyte and mineral disturbances of chronic kidney disease.</w:t>
            </w:r>
          </w:p>
        </w:tc>
      </w:tr>
      <w:tr>
        <w:trPr>
          <w:cantSplit/>
        </w:trPr>
        <w:tc>
          <w:tcPr>
            <w:tcW w:type="dxa" w:w="2304"/>
            <w:vAlign w:val="top"/>
          </w:tcPr>
          <w:p>
            <w:pPr>
              <w:spacing w:after="40" w:before="0" w:line="259" w:lineRule="auto"/>
            </w:pPr>
            <w:r>
              <w:rPr>
                <w:rFonts w:ascii="Calibri" w:hAnsi="Calibri"/>
                <w:b/>
                <w:i w:val="0"/>
                <w:color w:val="212121"/>
                <w:sz w:val="19"/>
              </w:rPr>
              <w:t>Falling insulin / drug requirement or unexplained hypoglycaemia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Reduced renal clearance of insulin and some oral agents as GFR declines; an important early warning.</w:t>
            </w:r>
          </w:p>
        </w:tc>
      </w:tr>
      <w:tr>
        <w:trPr>
          <w:cantSplit/>
        </w:trPr>
        <w:tc>
          <w:tcPr>
            <w:tcW w:type="dxa" w:w="2304"/>
            <w:vAlign w:val="top"/>
          </w:tcPr>
          <w:p>
            <w:pPr>
              <w:spacing w:after="40" w:before="0" w:line="259" w:lineRule="auto"/>
            </w:pPr>
            <w:r>
              <w:rPr>
                <w:rFonts w:ascii="Calibri" w:hAnsi="Calibri"/>
                <w:b/>
                <w:i w:val="0"/>
                <w:color w:val="212121"/>
                <w:sz w:val="19"/>
              </w:rPr>
              <w:t>Metallic taste / uraemic breath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Feature of advanced uraemia in end-stage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Persistent albuminuria / proteinuria on dipstick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laboratory sign; confirm with quantitative UACR.</w:t>
            </w:r>
          </w:p>
        </w:tc>
      </w:tr>
      <w:tr>
        <w:trPr>
          <w:cantSplit/>
        </w:trPr>
        <w:tc>
          <w:tcPr>
            <w:tcW w:type="dxa" w:w="3456"/>
            <w:vAlign w:val="top"/>
          </w:tcPr>
          <w:p>
            <w:pPr>
              <w:spacing w:after="40" w:before="0" w:line="259" w:lineRule="auto"/>
            </w:pPr>
            <w:r>
              <w:rPr>
                <w:rFonts w:ascii="Calibri" w:hAnsi="Calibri"/>
                <w:b/>
                <w:i w:val="0"/>
                <w:color w:val="212121"/>
                <w:sz w:val="19"/>
              </w:rPr>
              <w:t>Elevated / worsening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Hypertension is nearly universal as diabetic kidney disease progresses.</w:t>
            </w:r>
          </w:p>
        </w:tc>
      </w:tr>
      <w:tr>
        <w:trPr>
          <w:cantSplit/>
        </w:trPr>
        <w:tc>
          <w:tcPr>
            <w:tcW w:type="dxa" w:w="3456"/>
            <w:vAlign w:val="top"/>
          </w:tcPr>
          <w:p>
            <w:pPr>
              <w:spacing w:after="40" w:before="0" w:line="259" w:lineRule="auto"/>
            </w:pPr>
            <w:r>
              <w:rPr>
                <w:rFonts w:ascii="Calibri" w:hAnsi="Calibri"/>
                <w:b/>
                <w:i w:val="0"/>
                <w:color w:val="212121"/>
                <w:sz w:val="19"/>
              </w:rPr>
              <w:t>Pitting pedal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Fluid retention from proteinuria and reduced GFR.</w:t>
            </w:r>
          </w:p>
        </w:tc>
      </w:tr>
      <w:tr>
        <w:trPr>
          <w:cantSplit/>
        </w:trPr>
        <w:tc>
          <w:tcPr>
            <w:tcW w:type="dxa" w:w="3456"/>
            <w:vAlign w:val="top"/>
          </w:tcPr>
          <w:p>
            <w:pPr>
              <w:spacing w:after="40" w:before="0" w:line="259" w:lineRule="auto"/>
            </w:pPr>
            <w:r>
              <w:rPr>
                <w:rFonts w:ascii="Calibri" w:hAnsi="Calibri"/>
                <w:b/>
                <w:i w:val="0"/>
                <w:color w:val="212121"/>
                <w:sz w:val="19"/>
              </w:rPr>
              <w:t>Periorbital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in nephrotic-range proteinuria.</w:t>
            </w:r>
          </w:p>
        </w:tc>
      </w:tr>
      <w:tr>
        <w:trPr>
          <w:cantSplit/>
        </w:trPr>
        <w:tc>
          <w:tcPr>
            <w:tcW w:type="dxa" w:w="3456"/>
            <w:vAlign w:val="top"/>
          </w:tcPr>
          <w:p>
            <w:pPr>
              <w:spacing w:after="40" w:before="0" w:line="259" w:lineRule="auto"/>
            </w:pPr>
            <w:r>
              <w:rPr>
                <w:rFonts w:ascii="Calibri" w:hAnsi="Calibri"/>
                <w:b/>
                <w:i w:val="0"/>
                <w:color w:val="212121"/>
                <w:sz w:val="19"/>
              </w:rPr>
              <w:t>Pallor (anaemia of CKD)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Erythropoietin deficiency; anaemia was found in 40.7% of Indians with CKD (SEEK study).</w:t>
            </w:r>
          </w:p>
        </w:tc>
      </w:tr>
      <w:tr>
        <w:trPr>
          <w:cantSplit/>
        </w:trPr>
        <w:tc>
          <w:tcPr>
            <w:tcW w:type="dxa" w:w="3456"/>
            <w:vAlign w:val="top"/>
          </w:tcPr>
          <w:p>
            <w:pPr>
              <w:spacing w:after="40" w:before="0" w:line="259" w:lineRule="auto"/>
            </w:pPr>
            <w:r>
              <w:rPr>
                <w:rFonts w:ascii="Calibri" w:hAnsi="Calibri"/>
                <w:b/>
                <w:i w:val="0"/>
                <w:color w:val="212121"/>
                <w:sz w:val="19"/>
              </w:rPr>
              <w:t>Diabetic retinopathy on fundoscopy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Coexisting microvascular disease supporting a diabetic aetiology of kidney disease.</w:t>
            </w:r>
          </w:p>
        </w:tc>
      </w:tr>
      <w:tr>
        <w:trPr>
          <w:cantSplit/>
        </w:trPr>
        <w:tc>
          <w:tcPr>
            <w:tcW w:type="dxa" w:w="3456"/>
            <w:vAlign w:val="top"/>
          </w:tcPr>
          <w:p>
            <w:pPr>
              <w:spacing w:after="40" w:before="0" w:line="259" w:lineRule="auto"/>
            </w:pPr>
            <w:r>
              <w:rPr>
                <w:rFonts w:ascii="Calibri" w:hAnsi="Calibri"/>
                <w:b/>
                <w:i w:val="0"/>
                <w:color w:val="212121"/>
                <w:sz w:val="19"/>
              </w:rPr>
              <w:t>Reduced eGFR / raised serum creatinine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laboratory sign of declining filtration; stages the disease.</w:t>
            </w:r>
          </w:p>
        </w:tc>
      </w:tr>
      <w:tr>
        <w:trPr>
          <w:cantSplit/>
        </w:trPr>
        <w:tc>
          <w:tcPr>
            <w:tcW w:type="dxa" w:w="3456"/>
            <w:vAlign w:val="top"/>
          </w:tcPr>
          <w:p>
            <w:pPr>
              <w:spacing w:after="40" w:before="0" w:line="259" w:lineRule="auto"/>
            </w:pPr>
            <w:r>
              <w:rPr>
                <w:rFonts w:ascii="Calibri" w:hAnsi="Calibri"/>
                <w:b/>
                <w:i w:val="0"/>
                <w:color w:val="212121"/>
                <w:sz w:val="19"/>
              </w:rPr>
              <w:t>Signs of fluid overload (raised JVP, basal crepitations, pulmonary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Volume overload in advanced disease or nephrotic syndrome.</w:t>
            </w:r>
          </w:p>
        </w:tc>
      </w:tr>
      <w:tr>
        <w:trPr>
          <w:cantSplit/>
        </w:trPr>
        <w:tc>
          <w:tcPr>
            <w:tcW w:type="dxa" w:w="3456"/>
            <w:vAlign w:val="top"/>
          </w:tcPr>
          <w:p>
            <w:pPr>
              <w:spacing w:after="40" w:before="0" w:line="259" w:lineRule="auto"/>
            </w:pPr>
            <w:r>
              <w:rPr>
                <w:rFonts w:ascii="Calibri" w:hAnsi="Calibri"/>
                <w:b/>
                <w:i w:val="0"/>
                <w:color w:val="212121"/>
                <w:sz w:val="19"/>
              </w:rPr>
              <w:t>Hyperkalaemia / metabolic acidosis features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Electrolyte and acid–base derangements of advanced CKD, worsened by RAAS blockade.</w:t>
            </w:r>
          </w:p>
        </w:tc>
      </w:tr>
      <w:tr>
        <w:trPr>
          <w:cantSplit/>
        </w:trPr>
        <w:tc>
          <w:tcPr>
            <w:tcW w:type="dxa" w:w="3456"/>
            <w:vAlign w:val="top"/>
          </w:tcPr>
          <w:p>
            <w:pPr>
              <w:spacing w:after="40" w:before="0" w:line="259" w:lineRule="auto"/>
            </w:pPr>
            <w:r>
              <w:rPr>
                <w:rFonts w:ascii="Calibri" w:hAnsi="Calibri"/>
                <w:b/>
                <w:i w:val="0"/>
                <w:color w:val="212121"/>
                <w:sz w:val="19"/>
              </w:rPr>
              <w:t>Excoriations from pruritus / uraemic sallow skin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Skin manifestations of chronic uraemia.</w:t>
            </w:r>
          </w:p>
        </w:tc>
      </w:tr>
      <w:tr>
        <w:trPr>
          <w:cantSplit/>
        </w:trPr>
        <w:tc>
          <w:tcPr>
            <w:tcW w:type="dxa" w:w="3456"/>
            <w:vAlign w:val="top"/>
          </w:tcPr>
          <w:p>
            <w:pPr>
              <w:spacing w:after="40" w:before="0" w:line="259" w:lineRule="auto"/>
            </w:pPr>
            <w:r>
              <w:rPr>
                <w:rFonts w:ascii="Calibri" w:hAnsi="Calibri"/>
                <w:b/>
                <w:i w:val="0"/>
                <w:color w:val="212121"/>
                <w:sz w:val="19"/>
              </w:rPr>
              <w:t>Asterixis / uraemic encephalopathy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Neurological sign of end-stage uraemia requiring urgent dialysis.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albuminuria advancing to overt/nephrotic-range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Steadily declining glomerular filtration rate (GFR)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treatment-resistant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Nephrotic syndrome (heavy proteinuria, hypoalbuminaemia, oedema)</w:t>
            </w:r>
          </w:p>
        </w:tc>
        <w:tc>
          <w:tcPr>
            <w:tcW w:type="dxa" w:w="2980"/>
            <w:vAlign w:val="top"/>
          </w:tcPr>
          <w:p>
            <w:pPr>
              <w:spacing w:after="40" w:before="0" w:line="259" w:lineRule="auto"/>
            </w:pPr>
            <w:r>
              <w:rPr>
                <w:rFonts w:ascii="Calibri" w:hAnsi="Calibri"/>
                <w:b w:val="0"/>
                <w:i w:val="0"/>
                <w:color w:val="212121"/>
                <w:sz w:val="19"/>
              </w:rPr>
              <w:t>Direct consequences of hyperglycaemia-driven damage to the glomerular filtration barrier.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overload and pulmonary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Hyperkalaemia and metabolic acidosis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CKD–mineral and bone disorder (hyperphosphataemia, secondary hyperparathyroidism, renal osteodystrophy)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cardiovascular disease (the leading cause of death in diabetic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infections, including urinary tract infections</w:t>
            </w:r>
          </w:p>
        </w:tc>
        <w:tc>
          <w:tcPr>
            <w:tcW w:type="dxa" w:w="2980"/>
            <w:vAlign w:val="top"/>
          </w:tcPr>
          <w:p>
            <w:pPr>
              <w:spacing w:after="40" w:before="0" w:line="259" w:lineRule="auto"/>
            </w:pPr>
            <w:r>
              <w:rPr>
                <w:rFonts w:ascii="Calibri" w:hAnsi="Calibri"/>
                <w:b w:val="0"/>
                <w:i w:val="0"/>
                <w:color w:val="212121"/>
                <w:sz w:val="19"/>
              </w:rPr>
              <w:t>Systemic effects of declining renal function and retained solutes/fluid.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requiring dialysis or kidney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Fatal or disabling cardiovascular events (myocardial infarction, stroke,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Uraemic complications (encephalopathy, pericarditis, bleeding tendency)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Dialysis-dependence with its attendant morbidity, cost and reduced quality of life</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progressive nephropathy.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Hypertension both drives and results from diabetic kidney disease; each worsens the other, and tight blood-pressure control is central to slowing progression.</w:t>
            </w:r>
          </w:p>
          <w:p>
            <w:pPr>
              <w:spacing w:after="40" w:before="0" w:line="259" w:lineRule="auto"/>
            </w:pPr>
            <w:r>
              <w:rPr>
                <w:rFonts w:ascii="Calibri" w:hAnsi="Calibri"/>
                <w:b/>
                <w:i w:val="0"/>
                <w:color w:val="212121"/>
                <w:sz w:val="19"/>
              </w:rPr>
              <w:t>Up to 64.5% (among Indians with CKD, SEEK)</w:t>
            </w:r>
          </w:p>
        </w:tc>
      </w:tr>
      <w:tr>
        <w:trPr>
          <w:cantSplit/>
        </w:trPr>
        <w:tc>
          <w:tcPr>
            <w:tcW w:type="dxa" w:w="2232"/>
            <w:vAlign w:val="top"/>
          </w:tcPr>
          <w:p>
            <w:pPr>
              <w:spacing w:after="40" w:before="0" w:line="259" w:lineRule="auto"/>
            </w:pPr>
            <w:r>
              <w:rPr>
                <w:rFonts w:ascii="Calibri" w:hAnsi="Calibri"/>
                <w:b/>
                <w:i w:val="0"/>
                <w:color w:val="212121"/>
                <w:sz w:val="19"/>
              </w:rPr>
              <w:t>Diabetic retinopathy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same microvascular pathology; its presence supports a diabetic aetiology of kidney disease and its absence should prompt a search for other causes.</w:t>
            </w:r>
          </w:p>
        </w:tc>
      </w:tr>
      <w:tr>
        <w:trPr>
          <w:cantSplit/>
        </w:trPr>
        <w:tc>
          <w:tcPr>
            <w:tcW w:type="dxa" w:w="2232"/>
            <w:vAlign w:val="top"/>
          </w:tcPr>
          <w:p>
            <w:pPr>
              <w:spacing w:after="40" w:before="0" w:line="259" w:lineRule="auto"/>
            </w:pPr>
            <w:r>
              <w:rPr>
                <w:rFonts w:ascii="Calibri" w:hAnsi="Calibri"/>
                <w:b/>
                <w:i w:val="0"/>
                <w:color w:val="212121"/>
                <w:sz w:val="19"/>
              </w:rPr>
              <w:t>Diabetic neuropathy (incl. autonomic)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microvascular complication; autonomic neuropathy (neurogenic bladder) can further compromise renal drainage and infection risk.</w:t>
            </w:r>
          </w:p>
        </w:tc>
      </w:tr>
      <w:tr>
        <w:trPr>
          <w:cantSplit/>
        </w:trPr>
        <w:tc>
          <w:tcPr>
            <w:tcW w:type="dxa" w:w="2232"/>
            <w:vAlign w:val="top"/>
          </w:tcPr>
          <w:p>
            <w:pPr>
              <w:spacing w:after="40" w:before="0" w:line="259" w:lineRule="auto"/>
            </w:pPr>
            <w:r>
              <w:rPr>
                <w:rFonts w:ascii="Calibri" w:hAnsi="Calibri"/>
                <w:b/>
                <w:i w:val="0"/>
                <w:color w:val="212121"/>
                <w:sz w:val="19"/>
              </w:rPr>
              <w:t>Cardiovascular disease (CAD, heart failure, stroke)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Diabetic kidney disease markedly raises cardiovascular risk; most patients die of cardiovascular disease before reaching dialysis.</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Atherogenic lipids add lipotoxic renal injury and cardiovascular risk; statins reduce proteinuria and events.</w:t>
            </w:r>
          </w:p>
        </w:tc>
      </w:tr>
      <w:tr>
        <w:trPr>
          <w:cantSplit/>
        </w:trPr>
        <w:tc>
          <w:tcPr>
            <w:tcW w:type="dxa" w:w="2232"/>
            <w:vAlign w:val="top"/>
          </w:tcPr>
          <w:p>
            <w:pPr>
              <w:spacing w:after="40" w:before="0" w:line="259" w:lineRule="auto"/>
            </w:pPr>
            <w:r>
              <w:rPr>
                <w:rFonts w:ascii="Calibri" w:hAnsi="Calibri"/>
                <w:b/>
                <w:i w:val="0"/>
                <w:color w:val="212121"/>
                <w:sz w:val="19"/>
              </w:rPr>
              <w:t>Anaemia of 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Erythropoietin deficiency and iron deficiency develop as GFR falls, contributing to fatigue and cardiac strain.</w:t>
            </w:r>
          </w:p>
          <w:p>
            <w:pPr>
              <w:spacing w:after="40" w:before="0" w:line="259" w:lineRule="auto"/>
            </w:pPr>
            <w:r>
              <w:rPr>
                <w:rFonts w:ascii="Calibri" w:hAnsi="Calibri"/>
                <w:b/>
                <w:i w:val="0"/>
                <w:color w:val="212121"/>
                <w:sz w:val="19"/>
              </w:rPr>
              <w:t>Up to 40.7% (among Indians with CKD, SEEK)</w:t>
            </w:r>
          </w:p>
        </w:tc>
      </w:tr>
      <w:tr>
        <w:trPr>
          <w:cantSplit/>
        </w:trPr>
        <w:tc>
          <w:tcPr>
            <w:tcW w:type="dxa" w:w="2232"/>
            <w:vAlign w:val="top"/>
          </w:tcPr>
          <w:p>
            <w:pPr>
              <w:spacing w:after="40" w:before="0" w:line="259" w:lineRule="auto"/>
            </w:pPr>
            <w:r>
              <w:rPr>
                <w:rFonts w:ascii="Calibri" w:hAnsi="Calibri"/>
                <w:b/>
                <w:i w:val="0"/>
                <w:color w:val="212121"/>
                <w:sz w:val="19"/>
              </w:rPr>
              <w:t>CKD–mineral and bone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Phosphate retention, low active vitamin D and secondary hyperparathyroidism arise as kidney function declines.</w:t>
            </w:r>
          </w:p>
        </w:tc>
      </w:tr>
      <w:tr>
        <w:trPr>
          <w:cantSplit/>
        </w:trPr>
        <w:tc>
          <w:tcPr>
            <w:tcW w:type="dxa" w:w="2232"/>
            <w:vAlign w:val="top"/>
          </w:tcPr>
          <w:p>
            <w:pPr>
              <w:spacing w:after="40" w:before="0" w:line="259" w:lineRule="auto"/>
            </w:pPr>
            <w:r>
              <w:rPr>
                <w:rFonts w:ascii="Calibri" w:hAnsi="Calibri"/>
                <w:b/>
                <w:i w:val="0"/>
                <w:color w:val="212121"/>
                <w:sz w:val="19"/>
              </w:rPr>
              <w:t>Hyperkalaemia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Rises with advancing CKD and is aggravated by ACE inhibitors, ARBs and MRAs, requiring monitoring and dose adjustment.</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adiposity drives insulin resistance, hypertension and glomerular hyperfiltration that precede nephropathy.</w:t>
            </w:r>
          </w:p>
        </w:tc>
      </w:tr>
      <w:tr>
        <w:trPr>
          <w:cantSplit/>
        </w:trPr>
        <w:tc>
          <w:tcPr>
            <w:tcW w:type="dxa" w:w="2232"/>
            <w:vAlign w:val="top"/>
          </w:tcPr>
          <w:p>
            <w:pPr>
              <w:spacing w:after="40" w:before="0" w:line="259" w:lineRule="auto"/>
            </w:pPr>
            <w:r>
              <w:rPr>
                <w:rFonts w:ascii="Calibri" w:hAnsi="Calibri"/>
                <w:b/>
                <w:i w:val="0"/>
                <w:color w:val="212121"/>
                <w:sz w:val="19"/>
              </w:rPr>
              <w:t>Urinary tract infections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More frequent in diabetes and, with autonomic bladder dysfunction, can precipitate acute worsening of kidney function.</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with chronic disease and dialysis; impairs self-care and glycaemic/BP control, worsening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an annual urine albumin (UACR) and blood eGFR test — from diagnosis in type 2 diabetes and from year 5 in type 1 diabetes — because early kidney damage is silent.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glucose (HbA1c usually &lt; 7%) and blood pressure (target ~ &lt; 130/80 mmHg) at individualised targets, the two most effective ways to protect the kidneys.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kidney-protective ACE inhibitor or ARB if prescribed, and do not stop it without medical advice; attend follow-up for potassium and creatinine checks.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self-prescribed painkillers (NSAIDs), unregulated herbal/‘kidney tonic’ remedies and unnecessary contrast scans, which can harm the kidney.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 frothy urine, ankle/face swelling, unexplained fatigue or hard-to-control blood pressure — and seek timely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annual eye and foot screening, since retinopathy and neuropathy travel with kidney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 poorly controlled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low-access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split into manageable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improve insulin sensitivity and preserve muscle.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 short post-meal walk (10–15 min) to blunt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focusing on reducing abdominal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advanced CKD, individualise intensity and stay well hydrated unless fluid restriction is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Early-stage DKD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salt to under ~5 g/day (avoid pickles, papads, packaged and fried snacks) to help control blood pressure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moderate, good-quality protein intake (~0.8 g/kg/day once CKD is established) rather than very high-protein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low-glycaemic whole grains and millets (ragi, jowar, bajra), pulses, non-starchy vegetables and whole fruit in place of refined rice, sugary drinks and 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advanced CKD, follow dietitian advice on potassium and phosphate (limit very high-potassium foods and processed/‘hidden’ phosphate additives).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heart-healthy fats and limit deep-fried foods to control lipids and weight.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albuminuria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CKD (stage 3–5)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High-salt-diet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sugar-sweetened beverages and ultra-processed, high-salt foods that raise glucose and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and favour high-fibre, low-GI staples.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adequately hydrated with water rather than sweetened drinks (unless fluid restriction is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through balanced portions.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Prediabetes / 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blood-pressure and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(loud snoring, daytime sleepiness), which worsens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limit late-night screen and caffeine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hookah and smokeless forms) — cessation is one of the most effective ways to slow kidney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etc.)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albuminuria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raises blood pressure and destabilises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keep well within safe limits and never on an empty stomach (hypoglycaemia risk on insulin/sulfonylureas).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Substitute water or unsweetened drinks for alcoholic beverages.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insulin or sulfonylureas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diabetes distress, which undermine self-care and glycaemic/BP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(yoga, breathing exercises, counselling) to support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peer/dialysis support to sustain long-term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chronic/advanced 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Poorly controlled diabetics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4200/" TargetMode="External"/><Relationship Id="rId10" Type="http://schemas.openxmlformats.org/officeDocument/2006/relationships/hyperlink" Target="https://www.cdc.gov/diabetes/diabetes-complications/diabetes-and-chronic-kidney-disease.html" TargetMode="External"/><Relationship Id="rId11" Type="http://schemas.openxmlformats.org/officeDocument/2006/relationships/hyperlink" Target="https://www.cdc.gov/diabetes/risk-factors/diabetes-and-men.html" TargetMode="External"/><Relationship Id="rId12" Type="http://schemas.openxmlformats.org/officeDocument/2006/relationships/hyperlink" Target="https://www.who.int/news-room/fact-sheets/detail/diabetes" TargetMode="External"/><Relationship Id="rId13" Type="http://schemas.openxmlformats.org/officeDocument/2006/relationships/hyperlink" Target="https://link.springer.com/article/10.1186/1471-2369-14-114" TargetMode="External"/><Relationship Id="rId14" Type="http://schemas.openxmlformats.org/officeDocument/2006/relationships/hyperlink" Target="https://www.niddk.nih.gov/health-information/diabetes/overview/preventing-problems/diabetic-kidney-disease" TargetMode="External"/><Relationship Id="rId15" Type="http://schemas.openxmlformats.org/officeDocument/2006/relationships/hyperlink" Target="https://www.mayoclinic.org/diseases-conditions/diabetic-nephropathy/symptoms-causes/syc-20354556" TargetMode="External"/><Relationship Id="rId16" Type="http://schemas.openxmlformats.org/officeDocument/2006/relationships/hyperlink" Target="https://www.mayoclinic.org/diseases-conditions/diabetic-nephropathy/diagnosis-treatment/drc-203545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