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Diabetic Foot Ulcer</w:t>
      </w:r>
    </w:p>
    <w:p>
      <w:pPr>
        <w:spacing w:before="0" w:after="160"/>
      </w:pPr>
      <w:r>
        <w:rPr>
          <w:rFonts w:ascii="Calibri" w:hAnsi="Calibri"/>
          <w:b/>
          <w:i w:val="0"/>
          <w:color w:val="212121"/>
          <w:sz w:val="22"/>
        </w:rPr>
        <w:t xml:space="preserve">AKA </w:t>
      </w:r>
      <w:r>
        <w:rPr>
          <w:rFonts w:ascii="Calibri" w:hAnsi="Calibri"/>
          <w:b w:val="0"/>
          <w:i w:val="0"/>
          <w:color w:val="212121"/>
          <w:sz w:val="22"/>
        </w:rPr>
        <w:t>i.e., Diabetic foot, Diabetic foot disease / syndrome, Neuropathic (plantar) ulcer, Mal perforans, Diabetic foot wound, “Sugar wound”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diabetic foot ulcer (DFU) is a full-thickness wound (penetrating through the dermis) located below the ankle in a person with diabetes mellitus. It arises from the interaction of peripheral sensorimotor neuropathy (loss of protective sensation), peripheral arterial disease (ischaemia) and repetitive mechanical trauma or pressure, and is frequently complicated by infection. DFU is a chronic, often recurrent wound and is the single most common cause of non-traumatic lower-limb amputation worldwide.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 2024 systematic review and meta-analysis of 18 Indian studies (55,988 people with diabetes) estimated the pooled prevalence of diabetic foot ulcer in India at about 6.2%, higher in men (14.5%) than women (7.7%) and highest in the east (9.5%) and south (7.4%); hospital-based estimates (7.5%) far exceed community estimates (2.5%). Broadly, roughly 5–10% of people with diabetes have a foot ulcer at any time and an estimated 19–34% develop one over their lifetime. With India carrying one of the world's largest diabetes populations, DFU is the leading cause of non-traumatic lower-limb amputation, and delayed presentation and barefoot walking make the Indian burden disproportionately severe.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Diabetic foot ulcer is a clinical diagnosis in a person with diabetes; a structured foot assessment then defines the cause, depth, perfusion and infection status to guide treatment: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full-thickness wound (through the dermis) below the malleoli in a person with diabetes — document site, size, depth, wound base and surrounding skin;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loss of protective sensation confirmed with a 10 g Semmes–Weinstein monofilament at plantar sites and/or impaired vibration (128 Hz tuning fork or biothesiometer; vibration perception threshold &gt; 25 V indicates high ulcer risk);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peripheral arterial disease screening: palpation of dorsalis pedis and posterior tibial pulses plus ankle–brachial index (&lt; 0.9 abnormal; &gt; 1.3 non-compressible/unreliable), with toe–brachial index or transcutaneous oxygen (TcPO₂) where the ABI is falsely elevated;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probe-to-bone test and plain radiograph for suspected osteomyelitis; MRI is the most sensitive test for deep infection, abscess or bone involvement;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infection graded clinically (IWGDF/IDSA: uninfected, mild, moderate, severe) with a deep-tissue or curettage culture — not a superficial swab — to direct antibiotics;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recorded with a validated classification (Wagner, University of Texas, SINBAD or WIfI).</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Diabetic foot ulcers are described both by their dominant mechanism and by standardised grading systems that predict healing and amputation risk:</w:t>
      </w:r>
    </w:p>
    <w:p>
      <w:pPr>
        <w:spacing w:before="0" w:after="80"/>
      </w:pPr>
      <w:r>
        <w:rPr>
          <w:rFonts w:ascii="Calibri" w:hAnsi="Calibri"/>
          <w:b w:val="0"/>
          <w:i w:val="0"/>
          <w:color w:val="212121"/>
          <w:sz w:val="21"/>
        </w:rPr>
        <w:t>(1) By mechanism: neuropathic ulcers (the most common; warm, well-perfused foot with palpable pulses, typically painless and sited over plantar pressure points), ischaemic ulcers (painful, cold, pulseless foot, often at the margins/toes), and neuro-ischaemic ulcers, which combine both and carry the worst prognosis;</w:t>
      </w:r>
    </w:p>
    <w:p>
      <w:pPr>
        <w:spacing w:before="0" w:after="80"/>
      </w:pPr>
      <w:r>
        <w:rPr>
          <w:rFonts w:ascii="Calibri" w:hAnsi="Calibri"/>
          <w:b w:val="0"/>
          <w:i w:val="0"/>
          <w:color w:val="212121"/>
          <w:sz w:val="21"/>
        </w:rPr>
        <w:t>(2) Wagner–Meggitt grade (0–5): grade 0 = intact skin, foot at risk (deformity/callus); 1 = superficial ulcer; 2 = deep ulcer reaching tendon, capsule or bone without abscess/osteomyelitis; 3 = deep ulcer with abscess, osteomyelitis or joint sepsis; 4 = localised gangrene (forefoot or heel); 5 = extensive gangrene of the whole foot;</w:t>
      </w:r>
    </w:p>
    <w:p>
      <w:pPr>
        <w:spacing w:before="0" w:after="80"/>
      </w:pPr>
      <w:r>
        <w:rPr>
          <w:rFonts w:ascii="Calibri" w:hAnsi="Calibri"/>
          <w:b w:val="0"/>
          <w:i w:val="0"/>
          <w:color w:val="212121"/>
          <w:sz w:val="21"/>
        </w:rPr>
        <w:t>(3) University of Texas (UT) system, which combines a depth grade (0–3) with a stage (A = clean, B = infected, C = ischaemic, D = infected and ischaemic) and predicts outcome better than Wagner alone;</w:t>
      </w:r>
    </w:p>
    <w:p>
      <w:pPr>
        <w:spacing w:before="0" w:after="80"/>
      </w:pPr>
      <w:r>
        <w:rPr>
          <w:rFonts w:ascii="Calibri" w:hAnsi="Calibri"/>
          <w:b w:val="0"/>
          <w:i w:val="0"/>
          <w:color w:val="212121"/>
          <w:sz w:val="21"/>
        </w:rPr>
        <w:t>(4) SINBAD score (Site, Ischaemia, Neuropathy, Bacterial infection, Area, Depth; 0–6), a simple tool suited to communication and audit, and the WIfI classification (Wound, Ischaemia, foot Infection) used to stratify amputation risk and the likely benefit of revascularisation.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Peripheral (sensorimotor) neuropathy: Loss of protective sensation means minor trauma, pressure or a foreign body goes unnoticed and unhealed; neuropathy confers roughly a seven-fold increase in ulcer risk and underlies the majority of DFUs.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Peripheral arterial disease (ischaemia): Reduced arterial inflow impairs oxygen and nutrient delivery, delays healing and predisposes to gangrene; PAD contributes to about half of ulcers.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Repetitive mechanical trauma and pressure: Callus, foot deformity, high plantar pressures, ill-fitting footwear and barefoot walking convert intact skin into ulceration at pressure points.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Infection: Polymicrobial infection follows (rather than causes) ulceration and drives deep-tissue loss, osteomyelitis and the need for amputation.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Poor glycaemic control: Hyperglycaemia impairs leucocyte function, collagen deposition and angiogenesis, delaying wound healing and promoting infection.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Foot deformity and autonomic dysfunction: Claw/hammer toes, prominent metatarsal heads, Charcot neuroarthropathy and anhidrotic dry/fissured skin create pressure points and portals for infection.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Prior ulcer or amputation: A healed ulcer or previous amputation is the single strongest predictor of recurrence, with re-ulceration in a large proportion within one year.</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(long-duration diabetics)</w:t>
            </w:r>
          </w:p>
        </w:tc>
        <w:tc>
          <w:tcPr>
            <w:tcW w:type="dxa" w:w="4276"/>
            <w:vAlign w:val="top"/>
          </w:tcPr>
          <w:p>
            <w:pPr>
              <w:spacing w:after="60" w:line="259" w:lineRule="auto"/>
            </w:pPr>
            <w:r>
              <w:rPr>
                <w:rFonts w:ascii="Calibri" w:hAnsi="Calibri"/>
                <w:b w:val="0"/>
                <w:i w:val="0"/>
                <w:color w:val="212121"/>
                <w:sz w:val="19"/>
              </w:rPr>
              <w:t>Cumulative years of hyperglycaemia progressively damage peripheral nerves and small vessels, so ulcer risk rises steeply with diabetes duration. Most DFUs occur in adults who have had diabetes for over a decade.</w:t>
            </w:r>
          </w:p>
          <w:p>
            <w:pPr>
              <w:spacing w:after="40" w:before="60" w:line="259" w:lineRule="auto"/>
            </w:pPr>
            <w:r>
              <w:rPr>
                <w:rFonts w:ascii="Calibri" w:hAnsi="Calibri"/>
                <w:b w:val="0"/>
                <w:i w:val="0"/>
                <w:color w:val="212121"/>
                <w:sz w:val="19"/>
              </w:rPr>
              <w:t>Longer diabetes duration, older age, male sex and comorbidities were the leading risk factors identified across 18 Indian studies (pooled DFU prevalence 6.2%).</w:t>
            </w:r>
          </w:p>
          <w:p>
            <w:pPr>
              <w:spacing w:after="40" w:line="252" w:lineRule="auto"/>
            </w:pPr>
            <w:hyperlink r:id="rId9">
              <w:r>
                <w:rPr>
                  <w:rFonts w:ascii="Calibri" w:hAnsi="Calibri" w:cs="Calibri"/>
                  <w:sz w:val="18"/>
                  <w:color w:val="1155CC"/>
                  <w:u w:val="single"/>
                </w:rPr>
                <w:t xml:space="preserve">link.springer.com — India DFU meta-analysis</w:t>
              </w:r>
            </w:hyperlink>
          </w:p>
          <w:p>
            <w:pPr>
              <w:spacing w:before="60" w:after="40"/>
            </w:pPr>
            <w:r>
              <w:rPr>
                <w:rFonts w:ascii="Calibri" w:hAnsi="Calibri"/>
                <w:b w:val="0"/>
                <w:i w:val="0"/>
                <w:color w:val="5A5A5A"/>
                <w:sz w:val="18"/>
              </w:rPr>
              <w:t>#diabeticfoot  #neuropathy  #diabetesduration  #hyperglycaemia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combine advanced neuropathy, peripheral arterial disease, reduced vision, poor mobility and difficulty inspecting their own feet, so ulcers are more frequent, deeper and slower to heal.</w:t>
            </w:r>
          </w:p>
          <w:p>
            <w:pPr>
              <w:spacing w:after="40" w:before="60" w:line="259" w:lineRule="auto"/>
            </w:pPr>
            <w:r>
              <w:rPr>
                <w:rFonts w:ascii="Calibri" w:hAnsi="Calibri"/>
                <w:b w:val="0"/>
                <w:i w:val="0"/>
                <w:color w:val="212121"/>
                <w:sz w:val="19"/>
              </w:rPr>
              <w:t>Peripheral neuropathy affects at least half of adults with diabetes and increases first-ulcer risk about seven-fold, with prevalence rising with age.</w:t>
            </w:r>
          </w:p>
          <w:p>
            <w:pPr>
              <w:spacing w:after="40" w:line="252" w:lineRule="auto"/>
            </w:pPr>
            <w:hyperlink r:id="rId10">
              <w:r>
                <w:rPr>
                  <w:rFonts w:ascii="Calibri" w:hAnsi="Calibri" w:cs="Calibri"/>
                  <w:sz w:val="18"/>
                  <w:color w:val="1155CC"/>
                  <w:u w:val="single"/>
                </w:rPr>
                <w:t xml:space="preserve">diabetesjournals.org — ADA etiology &amp; epidemiology of DFU</w:t>
              </w:r>
            </w:hyperlink>
          </w:p>
          <w:p>
            <w:pPr>
              <w:spacing w:before="60" w:after="40"/>
            </w:pPr>
            <w:r>
              <w:rPr>
                <w:rFonts w:ascii="Calibri" w:hAnsi="Calibri"/>
                <w:b w:val="0"/>
                <w:i w:val="0"/>
                <w:color w:val="5A5A5A"/>
                <w:sz w:val="18"/>
              </w:rPr>
              <w:t>#elderly  #neuropathy  #PAD  #fallrisk  #selfcare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have a higher DFU incidence, attributed to greater occupational foot exposure, more barefoot/outdoor work, higher smoking rates and higher peripheral neuropathy prevalence.</w:t>
            </w:r>
          </w:p>
          <w:p>
            <w:pPr>
              <w:spacing w:after="40" w:before="60" w:line="259" w:lineRule="auto"/>
            </w:pPr>
            <w:r>
              <w:rPr>
                <w:rFonts w:ascii="Calibri" w:hAnsi="Calibri"/>
                <w:b w:val="0"/>
                <w:i w:val="0"/>
                <w:color w:val="212121"/>
                <w:sz w:val="19"/>
              </w:rPr>
              <w:t>Male sex carries about a 1.6-fold higher ulcer risk; Indian pooled DFU prevalence was 14.5% in men versus 7.7% in women.</w:t>
            </w:r>
          </w:p>
          <w:p>
            <w:pPr>
              <w:spacing w:after="40" w:line="252" w:lineRule="auto"/>
            </w:pPr>
            <w:hyperlink r:id="rId11">
              <w:r>
                <w:rPr>
                  <w:rFonts w:ascii="Calibri" w:hAnsi="Calibri" w:cs="Calibri"/>
                  <w:sz w:val="18"/>
                  <w:color w:val="1155CC"/>
                  <w:u w:val="single"/>
                </w:rPr>
                <w:t xml:space="preserve">ncbi.nlm.nih.gov — Endotext, The Diabetic Foot</w:t>
              </w:r>
            </w:hyperlink>
          </w:p>
          <w:p>
            <w:pPr>
              <w:spacing w:before="60" w:after="40"/>
            </w:pPr>
            <w:r>
              <w:rPr>
                <w:rFonts w:ascii="Calibri" w:hAnsi="Calibri"/>
                <w:b w:val="0"/>
                <w:i w:val="0"/>
                <w:color w:val="5A5A5A"/>
                <w:sz w:val="18"/>
              </w:rPr>
              <w:t>#male  #occupational  #smoking  #neuropathy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East &amp; South India</w:t>
            </w:r>
          </w:p>
        </w:tc>
        <w:tc>
          <w:tcPr>
            <w:tcW w:type="dxa" w:w="4276"/>
            <w:vAlign w:val="top"/>
          </w:tcPr>
          <w:p>
            <w:pPr>
              <w:spacing w:after="60" w:line="259" w:lineRule="auto"/>
            </w:pPr>
            <w:r>
              <w:rPr>
                <w:rFonts w:ascii="Calibri" w:hAnsi="Calibri"/>
                <w:b w:val="0"/>
                <w:i w:val="0"/>
                <w:color w:val="212121"/>
                <w:sz w:val="19"/>
              </w:rPr>
              <w:t>Regional differences in diabetes prevalence, humid climate favouring infection, footwear practices and access to foot care produce a higher documented DFU burden in eastern and southern India.</w:t>
            </w:r>
          </w:p>
          <w:p>
            <w:pPr>
              <w:spacing w:after="40" w:before="60" w:line="259" w:lineRule="auto"/>
            </w:pPr>
            <w:r>
              <w:rPr>
                <w:rFonts w:ascii="Calibri" w:hAnsi="Calibri"/>
                <w:b w:val="0"/>
                <w:i w:val="0"/>
                <w:color w:val="212121"/>
                <w:sz w:val="19"/>
              </w:rPr>
              <w:t>Pooled DFU prevalence was highest in eastern (9.5%) and southern (7.4%) India versus northern India (5.6%).</w:t>
            </w:r>
          </w:p>
          <w:p>
            <w:pPr>
              <w:spacing w:after="40" w:line="252" w:lineRule="auto"/>
            </w:pPr>
            <w:hyperlink r:id="rId9">
              <w:r>
                <w:rPr>
                  <w:rFonts w:ascii="Calibri" w:hAnsi="Calibri" w:cs="Calibri"/>
                  <w:sz w:val="18"/>
                  <w:color w:val="1155CC"/>
                  <w:u w:val="single"/>
                </w:rPr>
                <w:t xml:space="preserve">link.springer.com — India DFU meta-analysis</w:t>
              </w:r>
            </w:hyperlink>
          </w:p>
          <w:p>
            <w:pPr>
              <w:spacing w:before="60" w:after="40"/>
            </w:pPr>
            <w:r>
              <w:rPr>
                <w:rFonts w:ascii="Calibri" w:hAnsi="Calibri"/>
                <w:b w:val="0"/>
                <w:i w:val="0"/>
                <w:color w:val="5A5A5A"/>
                <w:sz w:val="18"/>
              </w:rPr>
              <w:t>#India  #regional  #humidity  #footcareaccess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Rural agricultural populations</w:t>
            </w:r>
          </w:p>
        </w:tc>
        <w:tc>
          <w:tcPr>
            <w:tcW w:type="dxa" w:w="4276"/>
            <w:vAlign w:val="top"/>
          </w:tcPr>
          <w:p>
            <w:pPr>
              <w:spacing w:after="60" w:line="259" w:lineRule="auto"/>
            </w:pPr>
            <w:r>
              <w:rPr>
                <w:rFonts w:ascii="Calibri" w:hAnsi="Calibri"/>
                <w:b w:val="0"/>
                <w:i w:val="0"/>
                <w:color w:val="212121"/>
                <w:sz w:val="19"/>
              </w:rPr>
              <w:t>Rural farmers and labourers frequently walk barefoot or in open toe-grip sandals in fields, sustain unnoticed thermal, chemical and penetrating injuries, and present late because specialist foot care is distant.</w:t>
            </w:r>
          </w:p>
          <w:p>
            <w:pPr>
              <w:spacing w:after="40" w:before="60" w:line="259" w:lineRule="auto"/>
            </w:pPr>
            <w:r>
              <w:rPr>
                <w:rFonts w:ascii="Calibri" w:hAnsi="Calibri"/>
                <w:b w:val="0"/>
                <w:i w:val="0"/>
                <w:color w:val="212121"/>
                <w:sz w:val="19"/>
              </w:rPr>
              <w:t>In a rural North Indian cohort, 42% of people with type 2 diabetes had peripheral neuropathy and 73% were physically inactive — a high-risk substrate for foot ulceration.</w:t>
            </w:r>
          </w:p>
          <w:p>
            <w:pPr>
              <w:spacing w:after="40" w:line="252" w:lineRule="auto"/>
            </w:pPr>
            <w:hyperlink r:id="rId12">
              <w:r>
                <w:rPr>
                  <w:rFonts w:ascii="Calibri" w:hAnsi="Calibri" w:cs="Calibri"/>
                  <w:sz w:val="18"/>
                  <w:color w:val="1155CC"/>
                  <w:u w:val="single"/>
                </w:rPr>
                <w:t xml:space="preserve">redalyc.org — DPN/foot syndrome, rural North India</w:t>
              </w:r>
            </w:hyperlink>
          </w:p>
          <w:p>
            <w:pPr>
              <w:spacing w:before="60" w:after="40"/>
            </w:pPr>
            <w:r>
              <w:rPr>
                <w:rFonts w:ascii="Calibri" w:hAnsi="Calibri"/>
                <w:b w:val="0"/>
                <w:i w:val="0"/>
                <w:color w:val="5A5A5A"/>
                <w:sz w:val="18"/>
              </w:rPr>
              <w:t>#rural  #barefoot  #latepresentation  #agriculture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Footwear / barefoot walking</w:t>
            </w:r>
          </w:p>
        </w:tc>
        <w:tc>
          <w:tcPr>
            <w:tcW w:type="dxa" w:w="2160"/>
            <w:vAlign w:val="top"/>
          </w:tcPr>
          <w:p>
            <w:pPr>
              <w:spacing w:after="40" w:before="0" w:line="259" w:lineRule="auto"/>
            </w:pPr>
            <w:r>
              <w:rPr>
                <w:rFonts w:ascii="Calibri" w:hAnsi="Calibri"/>
                <w:b w:val="0"/>
                <w:i w:val="0"/>
                <w:color w:val="212121"/>
                <w:sz w:val="19"/>
              </w:rPr>
              <w:t>Barefoot walkers, toe-grip sandal users</w:t>
            </w:r>
          </w:p>
        </w:tc>
        <w:tc>
          <w:tcPr>
            <w:tcW w:type="dxa" w:w="4276"/>
            <w:vAlign w:val="top"/>
          </w:tcPr>
          <w:p>
            <w:pPr>
              <w:spacing w:after="60" w:line="259" w:lineRule="auto"/>
            </w:pPr>
            <w:r>
              <w:rPr>
                <w:rFonts w:ascii="Calibri" w:hAnsi="Calibri"/>
                <w:b w:val="0"/>
                <w:i w:val="0"/>
                <w:color w:val="212121"/>
                <w:sz w:val="19"/>
              </w:rPr>
              <w:t>Walking barefoot or in inappropriate footwear exposes an insensate foot to trauma and localised pressure; sandal straps and thin soles are a common Indian cause of first ulcers.</w:t>
            </w:r>
          </w:p>
          <w:p>
            <w:pPr>
              <w:spacing w:after="40" w:before="60" w:line="259" w:lineRule="auto"/>
            </w:pPr>
            <w:r>
              <w:rPr>
                <w:rFonts w:ascii="Calibri" w:hAnsi="Calibri"/>
                <w:b w:val="0"/>
                <w:i w:val="0"/>
                <w:color w:val="212121"/>
                <w:sz w:val="19"/>
              </w:rPr>
              <w:t>About one-fifth (~20%) of first foot ulcers in an Indian series were caused by inappropriate footwear, and 53% of those were due to sandal straps (toe-grip sandals worn by nearly 80% of patients).</w:t>
            </w:r>
          </w:p>
          <w:p>
            <w:pPr>
              <w:spacing w:after="40" w:line="252" w:lineRule="auto"/>
            </w:pPr>
            <w:hyperlink r:id="rId13">
              <w:r>
                <w:rPr>
                  <w:rFonts w:ascii="Calibri" w:hAnsi="Calibri" w:cs="Calibri"/>
                  <w:sz w:val="18"/>
                  <w:color w:val="1155CC"/>
                  <w:u w:val="single"/>
                </w:rPr>
                <w:t xml:space="preserve">nmji.in — footwear in causation/prevention of DFU</w:t>
              </w:r>
            </w:hyperlink>
          </w:p>
          <w:p>
            <w:pPr>
              <w:spacing w:before="60" w:after="40"/>
            </w:pPr>
            <w:r>
              <w:rPr>
                <w:rFonts w:ascii="Calibri" w:hAnsi="Calibri"/>
                <w:b w:val="0"/>
                <w:i w:val="0"/>
                <w:color w:val="5A5A5A"/>
                <w:sz w:val="18"/>
              </w:rPr>
              <w:t>#footwear  #barefoot  #pressurepoints  #toegripsandals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bidi/cigarette users</w:t>
            </w:r>
          </w:p>
        </w:tc>
        <w:tc>
          <w:tcPr>
            <w:tcW w:type="dxa" w:w="4276"/>
            <w:vAlign w:val="top"/>
          </w:tcPr>
          <w:p>
            <w:pPr>
              <w:spacing w:after="60" w:line="259" w:lineRule="auto"/>
            </w:pPr>
            <w:r>
              <w:rPr>
                <w:rFonts w:ascii="Calibri" w:hAnsi="Calibri"/>
                <w:b w:val="0"/>
                <w:i w:val="0"/>
                <w:color w:val="212121"/>
                <w:sz w:val="19"/>
              </w:rPr>
              <w:t>Tobacco accelerates atherosclerosis and impairs microcirculation and wound healing, worsening ischaemia and markedly raising the risk of infection, non-healing and amputation.</w:t>
            </w:r>
          </w:p>
          <w:p>
            <w:pPr>
              <w:spacing w:after="40" w:before="60" w:line="259" w:lineRule="auto"/>
            </w:pPr>
            <w:r>
              <w:rPr>
                <w:rFonts w:ascii="Calibri" w:hAnsi="Calibri"/>
                <w:b w:val="0"/>
                <w:i w:val="0"/>
                <w:color w:val="212121"/>
                <w:sz w:val="19"/>
              </w:rPr>
              <w:t>A meta-analysis found smoking significantly increases the risk of diabetic foot amputation.</w:t>
            </w:r>
          </w:p>
          <w:p>
            <w:pPr>
              <w:spacing w:after="40" w:line="252" w:lineRule="auto"/>
            </w:pPr>
            <w:hyperlink r:id="rId14">
              <w:r>
                <w:rPr>
                  <w:rFonts w:ascii="Calibri" w:hAnsi="Calibri" w:cs="Calibri"/>
                  <w:sz w:val="18"/>
                  <w:color w:val="1155CC"/>
                  <w:u w:val="single"/>
                </w:rPr>
                <w:t xml:space="preserve">pmc.ncbi.nlm.nih.gov — smoking &amp; diabetic foot amputation</w:t>
              </w:r>
            </w:hyperlink>
          </w:p>
          <w:p>
            <w:pPr>
              <w:spacing w:before="60" w:after="40"/>
            </w:pPr>
            <w:r>
              <w:rPr>
                <w:rFonts w:ascii="Calibri" w:hAnsi="Calibri"/>
                <w:b w:val="0"/>
                <w:i w:val="0"/>
                <w:color w:val="5A5A5A"/>
                <w:sz w:val="18"/>
              </w:rPr>
              <w:t>#smoking  #ischaemia  #amputation  #PAD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obese</w:t>
            </w:r>
          </w:p>
        </w:tc>
        <w:tc>
          <w:tcPr>
            <w:tcW w:type="dxa" w:w="2160"/>
            <w:vAlign w:val="top"/>
          </w:tcPr>
          <w:p>
            <w:pPr>
              <w:spacing w:after="40" w:before="0" w:line="259" w:lineRule="auto"/>
            </w:pPr>
            <w:r>
              <w:rPr>
                <w:rFonts w:ascii="Calibri" w:hAnsi="Calibri"/>
                <w:b w:val="0"/>
                <w:i w:val="0"/>
                <w:color w:val="212121"/>
                <w:sz w:val="19"/>
              </w:rPr>
              <w:t>Overweight &amp; obese, inactive adults</w:t>
            </w:r>
          </w:p>
        </w:tc>
        <w:tc>
          <w:tcPr>
            <w:tcW w:type="dxa" w:w="4276"/>
            <w:vAlign w:val="top"/>
          </w:tcPr>
          <w:p>
            <w:pPr>
              <w:spacing w:after="60" w:line="259" w:lineRule="auto"/>
            </w:pPr>
            <w:r>
              <w:rPr>
                <w:rFonts w:ascii="Calibri" w:hAnsi="Calibri"/>
                <w:b w:val="0"/>
                <w:i w:val="0"/>
                <w:color w:val="212121"/>
                <w:sz w:val="19"/>
              </w:rPr>
              <w:t>Excess weight raises plantar pressure and worsens insulin resistance and glycaemic control, while inactivity reduces circulation and slows healing.</w:t>
            </w:r>
          </w:p>
          <w:p>
            <w:pPr>
              <w:spacing w:after="40" w:before="60" w:line="259" w:lineRule="auto"/>
            </w:pPr>
            <w:r>
              <w:rPr>
                <w:rFonts w:ascii="Calibri" w:hAnsi="Calibri"/>
                <w:b w:val="0"/>
                <w:i w:val="0"/>
                <w:color w:val="212121"/>
                <w:sz w:val="19"/>
              </w:rPr>
              <w:t>In a rural Indian diabetes cohort with high neuropathy burden, mean BMI was 33.2 kg/m² and 73% were physically inactive.</w:t>
            </w:r>
          </w:p>
          <w:p>
            <w:pPr>
              <w:spacing w:after="40" w:line="252" w:lineRule="auto"/>
            </w:pPr>
            <w:hyperlink r:id="rId12">
              <w:r>
                <w:rPr>
                  <w:rFonts w:ascii="Calibri" w:hAnsi="Calibri" w:cs="Calibri"/>
                  <w:sz w:val="18"/>
                  <w:color w:val="1155CC"/>
                  <w:u w:val="single"/>
                </w:rPr>
                <w:t xml:space="preserve">redalyc.org — DPN determinants, rural North India</w:t>
              </w:r>
            </w:hyperlink>
          </w:p>
          <w:p>
            <w:pPr>
              <w:spacing w:before="60" w:after="40"/>
            </w:pPr>
            <w:r>
              <w:rPr>
                <w:rFonts w:ascii="Calibri" w:hAnsi="Calibri"/>
                <w:b w:val="0"/>
                <w:i w:val="0"/>
                <w:color w:val="5A5A5A"/>
                <w:sz w:val="18"/>
              </w:rPr>
              <w:t>#obesity  #plantarpressure  #sedentary  #insulinresistance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Alcohol worsens peripheral neuropathy, impairs balance and self-care, and is associated with poor glycaemic control and delayed presentation of foot wounds.</w:t>
            </w:r>
          </w:p>
          <w:p>
            <w:pPr>
              <w:spacing w:after="40" w:before="60" w:line="259" w:lineRule="auto"/>
            </w:pPr>
            <w:r>
              <w:rPr>
                <w:rFonts w:ascii="Calibri" w:hAnsi="Calibri"/>
                <w:b w:val="0"/>
                <w:i w:val="0"/>
                <w:color w:val="212121"/>
                <w:sz w:val="19"/>
              </w:rPr>
              <w:t>Unhealthy lifestyle factors, including alcohol use, were highlighted among the key drivers of DFU across Indian studies.</w:t>
            </w:r>
          </w:p>
          <w:p>
            <w:pPr>
              <w:spacing w:after="40" w:line="252" w:lineRule="auto"/>
            </w:pPr>
            <w:hyperlink r:id="rId9">
              <w:r>
                <w:rPr>
                  <w:rFonts w:ascii="Calibri" w:hAnsi="Calibri" w:cs="Calibri"/>
                  <w:sz w:val="18"/>
                  <w:color w:val="1155CC"/>
                  <w:u w:val="single"/>
                </w:rPr>
                <w:t xml:space="preserve">link.springer.com — India DFU meta-analysis</w:t>
              </w:r>
            </w:hyperlink>
          </w:p>
          <w:p>
            <w:pPr>
              <w:spacing w:before="60" w:after="40"/>
            </w:pPr>
            <w:r>
              <w:rPr>
                <w:rFonts w:ascii="Calibri" w:hAnsi="Calibri"/>
                <w:b w:val="0"/>
                <w:i w:val="0"/>
                <w:color w:val="5A5A5A"/>
                <w:sz w:val="18"/>
              </w:rPr>
              <w:t>#alcohol  #neuropathy  #selfneglect  #glycaemia</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Glycaemic load / poor control</w:t>
            </w:r>
          </w:p>
        </w:tc>
        <w:tc>
          <w:tcPr>
            <w:tcW w:type="dxa" w:w="2160"/>
            <w:vAlign w:val="top"/>
          </w:tcPr>
          <w:p>
            <w:pPr>
              <w:spacing w:after="40" w:before="0" w:line="259" w:lineRule="auto"/>
            </w:pPr>
            <w:r>
              <w:rPr>
                <w:rFonts w:ascii="Calibri" w:hAnsi="Calibri"/>
                <w:b w:val="0"/>
                <w:i w:val="0"/>
                <w:color w:val="212121"/>
                <w:sz w:val="19"/>
              </w:rPr>
              <w:t>High-GI diet, uncontrolled diabetics</w:t>
            </w:r>
          </w:p>
        </w:tc>
        <w:tc>
          <w:tcPr>
            <w:tcW w:type="dxa" w:w="4276"/>
            <w:vAlign w:val="top"/>
          </w:tcPr>
          <w:p>
            <w:pPr>
              <w:spacing w:after="60" w:line="259" w:lineRule="auto"/>
            </w:pPr>
            <w:r>
              <w:rPr>
                <w:rFonts w:ascii="Calibri" w:hAnsi="Calibri"/>
                <w:b w:val="0"/>
                <w:i w:val="0"/>
                <w:color w:val="212121"/>
                <w:sz w:val="19"/>
              </w:rPr>
              <w:t>High-glycaemic diets and poor glycaemic control sustain hyperglycaemia, which impairs immune function, collagen synthesis and angiogenesis and directly slows ulcer healing.</w:t>
            </w:r>
          </w:p>
          <w:p>
            <w:pPr>
              <w:spacing w:after="40" w:before="60" w:line="259" w:lineRule="auto"/>
            </w:pPr>
            <w:r>
              <w:rPr>
                <w:rFonts w:ascii="Calibri" w:hAnsi="Calibri"/>
                <w:b w:val="0"/>
                <w:i w:val="0"/>
                <w:color w:val="212121"/>
                <w:sz w:val="19"/>
              </w:rPr>
              <w:t>In a rural Indian diabetes cohort only 34% had controlled diabetes; higher HbA1c was independently associated with the presence of foot ulceration in Indian data.</w:t>
            </w:r>
          </w:p>
          <w:p>
            <w:pPr>
              <w:spacing w:after="40" w:line="252" w:lineRule="auto"/>
            </w:pPr>
            <w:hyperlink r:id="rId12">
              <w:r>
                <w:rPr>
                  <w:rFonts w:ascii="Calibri" w:hAnsi="Calibri" w:cs="Calibri"/>
                  <w:sz w:val="18"/>
                  <w:color w:val="1155CC"/>
                  <w:u w:val="single"/>
                </w:rPr>
                <w:t xml:space="preserve">redalyc.org — glycaemic control &amp; DPN, North India</w:t>
              </w:r>
            </w:hyperlink>
          </w:p>
          <w:p>
            <w:pPr>
              <w:spacing w:before="60" w:after="40"/>
            </w:pPr>
            <w:r>
              <w:rPr>
                <w:rFonts w:ascii="Calibri" w:hAnsi="Calibri"/>
                <w:b w:val="0"/>
                <w:i w:val="0"/>
                <w:color w:val="5A5A5A"/>
                <w:sz w:val="18"/>
              </w:rPr>
              <w:t>#HbA1c  #glycaemia  #woundhealing  #highGI</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diabetes/neuropathy</w:t>
            </w:r>
          </w:p>
        </w:tc>
        <w:tc>
          <w:tcPr>
            <w:tcW w:type="dxa" w:w="4276"/>
            <w:vAlign w:val="top"/>
          </w:tcPr>
          <w:p>
            <w:pPr>
              <w:spacing w:after="60" w:line="259" w:lineRule="auto"/>
            </w:pPr>
            <w:r>
              <w:rPr>
                <w:rFonts w:ascii="Calibri" w:hAnsi="Calibri"/>
                <w:b w:val="0"/>
                <w:i w:val="0"/>
                <w:color w:val="212121"/>
                <w:sz w:val="19"/>
              </w:rPr>
              <w:t>Inherited susceptibility to type 2 diabetes and to distal symmetrical polyneuropathy raises the likelihood of the neuropathy and vascular disease that underlie foot ulceration.</w:t>
            </w:r>
          </w:p>
          <w:p>
            <w:pPr>
              <w:spacing w:after="40" w:before="60" w:line="259" w:lineRule="auto"/>
            </w:pPr>
            <w:r>
              <w:rPr>
                <w:rFonts w:ascii="Calibri" w:hAnsi="Calibri"/>
                <w:b w:val="0"/>
                <w:i w:val="0"/>
                <w:color w:val="212121"/>
                <w:sz w:val="19"/>
              </w:rPr>
              <w:t>Family history and genetic predisposition to diabetes strongly increase lifetime risk of the neuropathic and vascular complications that cause DFU.</w:t>
            </w:r>
          </w:p>
          <w:p>
            <w:pPr>
              <w:spacing w:before="60" w:after="40"/>
            </w:pPr>
            <w:r>
              <w:rPr>
                <w:rFonts w:ascii="Calibri" w:hAnsi="Calibri"/>
                <w:b w:val="0"/>
                <w:i w:val="0"/>
                <w:color w:val="5A5A5A"/>
                <w:sz w:val="18"/>
              </w:rPr>
              <w:t>#familyhistory  #geneticrisk  #neuropathy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Peripheral neuropathy</w:t>
            </w:r>
          </w:p>
        </w:tc>
        <w:tc>
          <w:tcPr>
            <w:tcW w:type="dxa" w:w="2160"/>
            <w:vAlign w:val="top"/>
          </w:tcPr>
          <w:p>
            <w:pPr>
              <w:spacing w:after="40" w:before="0" w:line="259" w:lineRule="auto"/>
            </w:pPr>
            <w:r>
              <w:rPr>
                <w:rFonts w:ascii="Calibri" w:hAnsi="Calibri"/>
                <w:b w:val="0"/>
                <w:i w:val="0"/>
                <w:color w:val="212121"/>
                <w:sz w:val="19"/>
              </w:rPr>
              <w:t>Diabetics with loss of protective sensation</w:t>
            </w:r>
          </w:p>
        </w:tc>
        <w:tc>
          <w:tcPr>
            <w:tcW w:type="dxa" w:w="4276"/>
            <w:vAlign w:val="top"/>
          </w:tcPr>
          <w:p>
            <w:pPr>
              <w:spacing w:after="60" w:line="259" w:lineRule="auto"/>
            </w:pPr>
            <w:r>
              <w:rPr>
                <w:rFonts w:ascii="Calibri" w:hAnsi="Calibri"/>
                <w:b w:val="0"/>
                <w:i w:val="0"/>
                <w:color w:val="212121"/>
                <w:sz w:val="19"/>
              </w:rPr>
              <w:t>Sensory loss removes the pain warning that normally protects the foot, so trauma and pressure go unnoticed until ulceration is established; it is the central causal pathway of DFU.</w:t>
            </w:r>
          </w:p>
          <w:p>
            <w:pPr>
              <w:spacing w:after="40" w:before="60" w:line="259" w:lineRule="auto"/>
            </w:pPr>
            <w:r>
              <w:rPr>
                <w:rFonts w:ascii="Calibri" w:hAnsi="Calibri"/>
                <w:b w:val="0"/>
                <w:i w:val="0"/>
                <w:color w:val="212121"/>
                <w:sz w:val="19"/>
              </w:rPr>
              <w:t>Peripheral neuropathy underlies roughly 60–70% of diabetic foot ulcers and confers about a seven-fold higher first-ulcer risk.</w:t>
            </w:r>
          </w:p>
          <w:p>
            <w:pPr>
              <w:spacing w:after="40" w:line="252" w:lineRule="auto"/>
            </w:pPr>
            <w:hyperlink r:id="rId15">
              <w:r>
                <w:rPr>
                  <w:rFonts w:ascii="Calibri" w:hAnsi="Calibri" w:cs="Calibri"/>
                  <w:sz w:val="18"/>
                  <w:color w:val="1155CC"/>
                  <w:u w:val="single"/>
                </w:rPr>
                <w:t xml:space="preserve">ncbi.nlm.nih.gov — StatPearls, DFU &amp; complications</w:t>
              </w:r>
            </w:hyperlink>
          </w:p>
          <w:p>
            <w:pPr>
              <w:spacing w:before="60" w:after="40"/>
            </w:pPr>
            <w:r>
              <w:rPr>
                <w:rFonts w:ascii="Calibri" w:hAnsi="Calibri"/>
                <w:b w:val="0"/>
                <w:i w:val="0"/>
                <w:color w:val="5A5A5A"/>
                <w:sz w:val="18"/>
              </w:rPr>
              <w:t>#neuropathy  #LOPS  #monofilament  #giftofpain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Peripheral arterial disease</w:t>
            </w:r>
          </w:p>
        </w:tc>
        <w:tc>
          <w:tcPr>
            <w:tcW w:type="dxa" w:w="2160"/>
            <w:vAlign w:val="top"/>
          </w:tcPr>
          <w:p>
            <w:pPr>
              <w:spacing w:after="40" w:before="0" w:line="259" w:lineRule="auto"/>
            </w:pPr>
            <w:r>
              <w:rPr>
                <w:rFonts w:ascii="Calibri" w:hAnsi="Calibri"/>
                <w:b w:val="0"/>
                <w:i w:val="0"/>
                <w:color w:val="212121"/>
                <w:sz w:val="19"/>
              </w:rPr>
              <w:t>Diabetics with PAD / critical limb ischaemia</w:t>
            </w:r>
          </w:p>
        </w:tc>
        <w:tc>
          <w:tcPr>
            <w:tcW w:type="dxa" w:w="4276"/>
            <w:vAlign w:val="top"/>
          </w:tcPr>
          <w:p>
            <w:pPr>
              <w:spacing w:after="60" w:line="259" w:lineRule="auto"/>
            </w:pPr>
            <w:r>
              <w:rPr>
                <w:rFonts w:ascii="Calibri" w:hAnsi="Calibri"/>
                <w:b w:val="0"/>
                <w:i w:val="0"/>
                <w:color w:val="212121"/>
                <w:sz w:val="19"/>
              </w:rPr>
              <w:t>Impaired arterial inflow starves the wound of oxygen and antibiotics, causing ischaemic ulcers that heal poorly, become infected and progress to gangrene and amputation.</w:t>
            </w:r>
          </w:p>
          <w:p>
            <w:pPr>
              <w:spacing w:after="40" w:before="60" w:line="259" w:lineRule="auto"/>
            </w:pPr>
            <w:r>
              <w:rPr>
                <w:rFonts w:ascii="Calibri" w:hAnsi="Calibri"/>
                <w:b w:val="0"/>
                <w:i w:val="0"/>
                <w:color w:val="212121"/>
                <w:sz w:val="19"/>
              </w:rPr>
              <w:t>Peripheral arterial disease is a contributing factor in about 50% of diabetic foot ulcers and greatly increases the risk of delayed healing and amputation.</w:t>
            </w:r>
          </w:p>
          <w:p>
            <w:pPr>
              <w:spacing w:after="40" w:line="252" w:lineRule="auto"/>
            </w:pPr>
            <w:hyperlink r:id="rId10">
              <w:r>
                <w:rPr>
                  <w:rFonts w:ascii="Calibri" w:hAnsi="Calibri" w:cs="Calibri"/>
                  <w:sz w:val="18"/>
                  <w:color w:val="1155CC"/>
                  <w:u w:val="single"/>
                </w:rPr>
                <w:t xml:space="preserve">diabetesjournals.org — ADA epidemiology of DFU</w:t>
              </w:r>
            </w:hyperlink>
          </w:p>
          <w:p>
            <w:pPr>
              <w:spacing w:before="60" w:after="40"/>
            </w:pPr>
            <w:r>
              <w:rPr>
                <w:rFonts w:ascii="Calibri" w:hAnsi="Calibri"/>
                <w:b w:val="0"/>
                <w:i w:val="0"/>
                <w:color w:val="5A5A5A"/>
                <w:sz w:val="18"/>
              </w:rPr>
              <w:t>#PAD  #ischaemia  #gangrene  #revascularisation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Diabetic retinopathy</w:t>
            </w:r>
          </w:p>
        </w:tc>
        <w:tc>
          <w:tcPr>
            <w:tcW w:type="dxa" w:w="2160"/>
            <w:vAlign w:val="top"/>
          </w:tcPr>
          <w:p>
            <w:pPr>
              <w:spacing w:after="40" w:before="0" w:line="259" w:lineRule="auto"/>
            </w:pPr>
            <w:r>
              <w:rPr>
                <w:rFonts w:ascii="Calibri" w:hAnsi="Calibri"/>
                <w:b w:val="0"/>
                <w:i w:val="0"/>
                <w:color w:val="212121"/>
                <w:sz w:val="19"/>
              </w:rPr>
              <w:t>Diabetics with retinopathy (microvascular disease)</w:t>
            </w:r>
          </w:p>
        </w:tc>
        <w:tc>
          <w:tcPr>
            <w:tcW w:type="dxa" w:w="4276"/>
            <w:vAlign w:val="top"/>
          </w:tcPr>
          <w:p>
            <w:pPr>
              <w:spacing w:after="60" w:line="259" w:lineRule="auto"/>
            </w:pPr>
            <w:r>
              <w:rPr>
                <w:rFonts w:ascii="Calibri" w:hAnsi="Calibri"/>
                <w:b w:val="0"/>
                <w:i w:val="0"/>
                <w:color w:val="212121"/>
                <w:sz w:val="19"/>
              </w:rPr>
              <w:t>Retinopathy is a marker of established microvascular disease and of long, poorly controlled diabetes; it clusters strongly with the neuropathy and nephropathy that cause DFU.</w:t>
            </w:r>
          </w:p>
          <w:p>
            <w:pPr>
              <w:spacing w:after="40" w:before="60" w:line="259" w:lineRule="auto"/>
            </w:pPr>
            <w:r>
              <w:rPr>
                <w:rFonts w:ascii="Calibri" w:hAnsi="Calibri"/>
                <w:b w:val="0"/>
                <w:i w:val="0"/>
                <w:color w:val="212121"/>
                <w:sz w:val="19"/>
              </w:rPr>
              <w:t>In an Indian case-control study, 90% of DFU patients had diabetic retinopathy and 55% had proliferative retinopathy, versus 4.5% in diabetics without DFU (odds ratio ~226).</w:t>
            </w:r>
          </w:p>
          <w:p>
            <w:pPr>
              <w:spacing w:after="40" w:line="252" w:lineRule="auto"/>
            </w:pPr>
            <w:hyperlink r:id="rId16">
              <w:r>
                <w:rPr>
                  <w:rFonts w:ascii="Calibri" w:hAnsi="Calibri" w:cs="Calibri"/>
                  <w:sz w:val="18"/>
                  <w:color w:val="1155CC"/>
                  <w:u w:val="single"/>
                </w:rPr>
                <w:t xml:space="preserve">journals.plos.org — DFU &amp; diabetic retinopathy</w:t>
              </w:r>
            </w:hyperlink>
          </w:p>
          <w:p>
            <w:pPr>
              <w:spacing w:before="60" w:after="40"/>
            </w:pPr>
            <w:r>
              <w:rPr>
                <w:rFonts w:ascii="Calibri" w:hAnsi="Calibri"/>
                <w:b w:val="0"/>
                <w:i w:val="0"/>
                <w:color w:val="5A5A5A"/>
                <w:sz w:val="18"/>
              </w:rPr>
              <w:t>#retinopathy  #microvascular  #PDR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Diabetics with nephropathy / on dialysis</w:t>
            </w:r>
          </w:p>
        </w:tc>
        <w:tc>
          <w:tcPr>
            <w:tcW w:type="dxa" w:w="4276"/>
            <w:vAlign w:val="top"/>
          </w:tcPr>
          <w:p>
            <w:pPr>
              <w:spacing w:after="60" w:line="259" w:lineRule="auto"/>
            </w:pPr>
            <w:r>
              <w:rPr>
                <w:rFonts w:ascii="Calibri" w:hAnsi="Calibri"/>
                <w:b w:val="0"/>
                <w:i w:val="0"/>
                <w:color w:val="212121"/>
                <w:sz w:val="19"/>
              </w:rPr>
              <w:t>Renal impairment reflects advanced microvascular disease and, with dialysis-related immobility, oedema, hypoalbuminaemia and calcified vessels, sharply raises ulcer and amputation risk while impairing healing.</w:t>
            </w:r>
          </w:p>
          <w:p>
            <w:pPr>
              <w:spacing w:after="40" w:before="60" w:line="259" w:lineRule="auto"/>
            </w:pPr>
            <w:r>
              <w:rPr>
                <w:rFonts w:ascii="Calibri" w:hAnsi="Calibri"/>
                <w:b w:val="0"/>
                <w:i w:val="0"/>
                <w:color w:val="212121"/>
                <w:sz w:val="19"/>
              </w:rPr>
              <w:t>About 46% of patients on dialysis have past or present foot ulceration; raised serum creatinine was independently associated with DFU in Indian data.</w:t>
            </w:r>
          </w:p>
          <w:p>
            <w:pPr>
              <w:spacing w:after="40" w:line="252" w:lineRule="auto"/>
            </w:pPr>
            <w:hyperlink r:id="rId11">
              <w:r>
                <w:rPr>
                  <w:rFonts w:ascii="Calibri" w:hAnsi="Calibri" w:cs="Calibri"/>
                  <w:sz w:val="18"/>
                  <w:color w:val="1155CC"/>
                  <w:u w:val="single"/>
                </w:rPr>
                <w:t xml:space="preserve">ncbi.nlm.nih.gov — Endotext, ESRD &amp; foot ulceration</w:t>
              </w:r>
            </w:hyperlink>
          </w:p>
          <w:p>
            <w:pPr>
              <w:spacing w:before="60" w:after="40"/>
            </w:pPr>
            <w:r>
              <w:rPr>
                <w:rFonts w:ascii="Calibri" w:hAnsi="Calibri"/>
                <w:b w:val="0"/>
                <w:i w:val="0"/>
                <w:color w:val="5A5A5A"/>
                <w:sz w:val="18"/>
              </w:rPr>
              <w:t>#CKD  #dialysis  #nephropathy  #poorhealing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ulcer / amputation</w:t>
            </w:r>
          </w:p>
        </w:tc>
        <w:tc>
          <w:tcPr>
            <w:tcW w:type="dxa" w:w="2160"/>
            <w:vAlign w:val="top"/>
          </w:tcPr>
          <w:p>
            <w:pPr>
              <w:spacing w:after="40" w:before="0" w:line="259" w:lineRule="auto"/>
            </w:pPr>
            <w:r>
              <w:rPr>
                <w:rFonts w:ascii="Calibri" w:hAnsi="Calibri"/>
                <w:b w:val="0"/>
                <w:i w:val="0"/>
                <w:color w:val="212121"/>
                <w:sz w:val="19"/>
              </w:rPr>
              <w:t>Patients with a healed ulcer or previous amputation</w:t>
            </w:r>
          </w:p>
        </w:tc>
        <w:tc>
          <w:tcPr>
            <w:tcW w:type="dxa" w:w="4276"/>
            <w:vAlign w:val="top"/>
          </w:tcPr>
          <w:p>
            <w:pPr>
              <w:spacing w:after="60" w:line="259" w:lineRule="auto"/>
            </w:pPr>
            <w:r>
              <w:rPr>
                <w:rFonts w:ascii="Calibri" w:hAnsi="Calibri"/>
                <w:b w:val="0"/>
                <w:i w:val="0"/>
                <w:color w:val="212121"/>
                <w:sz w:val="19"/>
              </w:rPr>
              <w:t>A previous ulcer or amputation signals the full causal substrate (neuropathy, deformity, high pressures) and altered biomechanics, making recurrence the rule rather than the exception.</w:t>
            </w:r>
          </w:p>
          <w:p>
            <w:pPr>
              <w:spacing w:after="40" w:before="60" w:line="259" w:lineRule="auto"/>
            </w:pPr>
            <w:r>
              <w:rPr>
                <w:rFonts w:ascii="Calibri" w:hAnsi="Calibri"/>
                <w:b w:val="0"/>
                <w:i w:val="0"/>
                <w:color w:val="212121"/>
                <w:sz w:val="19"/>
              </w:rPr>
              <w:t>After a healed DFU, re-ulceration reaches 25–44% at one year and 50–65% by 3–5 years.</w:t>
            </w:r>
          </w:p>
          <w:p>
            <w:pPr>
              <w:spacing w:after="40" w:line="252" w:lineRule="auto"/>
            </w:pPr>
            <w:hyperlink r:id="rId10">
              <w:r>
                <w:rPr>
                  <w:rFonts w:ascii="Calibri" w:hAnsi="Calibri" w:cs="Calibri"/>
                  <w:sz w:val="18"/>
                  <w:color w:val="1155CC"/>
                  <w:u w:val="single"/>
                </w:rPr>
                <w:t xml:space="preserve">diabetesjournals.org — DFU recurrence rates</w:t>
              </w:r>
            </w:hyperlink>
          </w:p>
          <w:p>
            <w:pPr>
              <w:spacing w:before="60" w:after="40"/>
            </w:pPr>
            <w:r>
              <w:rPr>
                <w:rFonts w:ascii="Calibri" w:hAnsi="Calibri"/>
                <w:b w:val="0"/>
                <w:i w:val="0"/>
                <w:color w:val="5A5A5A"/>
                <w:sz w:val="18"/>
              </w:rPr>
              <w:t>#recurrence  #priorulcer  #amputation  #remission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non-weight-bearing/low-impact activity aids glycaemic control and circulation, but weight-bearing on an active ulcer is harmful; offloading and pressure redistribution are central to healing. Inactivity worsens glycaemia and perfusion.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Poor glycaemic control and high-glycaemic diets impair leucocyte function, collagen synthesis and angiogenesis, slowing wound healing and promoting infection; adequate protein and micronutrients (zinc, vitamin C) support tissue repair.</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or poor-quality sleep worsens insulin resistance and glycaemic control and is linked to slower wound healing and higher pain and distress in chronic wounds.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accelerates atherosclerosis and impairs microcirculation and healing; a meta-analysis found it significantly raises the risk of diabetic foot amputation.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alcohol use exacerbates peripheral neuropathy, impairs self-care and balance and is associated with poor glycaemic control and late presentation.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is common in people with DFU and predicts poorer self-care, delayed healing, recurrence and higher mortality; the ulcer–depression relationship is bidirectional.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perfusion and skin integrity, but direct evidence linking fluid intake to ulcer prevention or healing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direct effect on foot ulceration; relevance is limited to its minor influence on glucose handling and sleep.</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Daily foot inspection, washing and drying (especially between toes), emollients for dry skin, careful nail care and prompt treatment of minor lesions prevent ulceration and limit infection; poor foot hygiene directly precipitates ulcers and sepsis.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Barefoot walking, ill-fitting footwear, foreign bodies in shoes, thermal (hot surfaces, coals) and chemical injuries, callus and unnoticed trauma to an insensate foot are the immediate triggers of most ulcers.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Foot deformity, abnormal gait, high plantar pressures and Charcot changes concentrate load at pressure points; correcting biomechanics with orthoses and footwear reduces ulceration.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with diabetes</w:t>
            </w:r>
          </w:p>
        </w:tc>
        <w:tc>
          <w:tcPr>
            <w:tcW w:type="dxa" w:w="1512"/>
            <w:vAlign w:val="top"/>
          </w:tcPr>
          <w:p>
            <w:pPr>
              <w:spacing w:after="40" w:before="0" w:line="259" w:lineRule="auto"/>
            </w:pPr>
            <w:r>
              <w:rPr>
                <w:rFonts w:ascii="Calibri" w:hAnsi="Calibri"/>
                <w:b w:val="0"/>
                <w:i w:val="0"/>
                <w:color w:val="212121"/>
                <w:sz w:val="19"/>
              </w:rPr>
              <w:t>18.5–22.9 kg/m² (Asian-Indian cut-offs)</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Excess weight raises plantar pressure and worsens glycaemic control</w:t>
            </w:r>
          </w:p>
          <w:p>
            <w:pPr>
              <w:spacing w:after="40" w:line="252" w:lineRule="auto"/>
            </w:pPr>
            <w:hyperlink r:id="rId12">
              <w:r>
                <w:rPr>
                  <w:rFonts w:ascii="Calibri" w:hAnsi="Calibri" w:cs="Calibri"/>
                  <w:sz w:val="18"/>
                  <w:color w:val="1155CC"/>
                  <w:u w:val="single"/>
                </w:rPr>
                <w:t xml:space="preserve">https://www.redalyc.org/journal/6920/692072541005/html/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Offloading of active ulcer</w:t>
            </w:r>
          </w:p>
        </w:tc>
        <w:tc>
          <w:tcPr>
            <w:tcW w:type="dxa" w:w="1655"/>
            <w:vAlign w:val="top"/>
          </w:tcPr>
          <w:p>
            <w:pPr>
              <w:spacing w:after="40" w:before="0" w:line="259" w:lineRule="auto"/>
            </w:pPr>
            <w:r>
              <w:rPr>
                <w:rFonts w:ascii="Calibri" w:hAnsi="Calibri"/>
                <w:b w:val="0"/>
                <w:i w:val="0"/>
                <w:color w:val="212121"/>
                <w:sz w:val="19"/>
              </w:rPr>
              <w:t>Patients with plantar ulcer</w:t>
            </w:r>
          </w:p>
        </w:tc>
        <w:tc>
          <w:tcPr>
            <w:tcW w:type="dxa" w:w="1512"/>
            <w:vAlign w:val="top"/>
          </w:tcPr>
          <w:p>
            <w:pPr>
              <w:spacing w:after="40" w:before="0" w:line="259" w:lineRule="auto"/>
            </w:pPr>
            <w:r>
              <w:rPr>
                <w:rFonts w:ascii="Calibri" w:hAnsi="Calibri"/>
                <w:b w:val="0"/>
                <w:i w:val="0"/>
                <w:color w:val="212121"/>
                <w:sz w:val="19"/>
              </w:rPr>
              <w:t>Consistent total-contact cast / offloading device use</w:t>
            </w:r>
          </w:p>
        </w:tc>
        <w:tc>
          <w:tcPr>
            <w:tcW w:type="dxa" w:w="1512"/>
            <w:vAlign w:val="top"/>
          </w:tcPr>
          <w:p>
            <w:pPr>
              <w:spacing w:after="40" w:before="0" w:line="259" w:lineRule="auto"/>
            </w:pPr>
            <w:r>
              <w:rPr>
                <w:rFonts w:ascii="Calibri" w:hAnsi="Calibri"/>
                <w:b w:val="0"/>
                <w:i w:val="0"/>
                <w:color w:val="212121"/>
                <w:sz w:val="19"/>
              </w:rPr>
              <w:t>Weight-bearing on ulcer without offloading</w:t>
            </w:r>
          </w:p>
        </w:tc>
        <w:tc>
          <w:tcPr>
            <w:tcW w:type="dxa" w:w="1468"/>
            <w:vAlign w:val="top"/>
          </w:tcPr>
          <w:p>
            <w:pPr>
              <w:spacing w:after="60" w:line="259" w:lineRule="auto"/>
            </w:pPr>
            <w:r>
              <w:rPr>
                <w:rFonts w:ascii="Calibri" w:hAnsi="Calibri"/>
                <w:b w:val="0"/>
                <w:i w:val="0"/>
                <w:color w:val="212121"/>
                <w:sz w:val="19"/>
              </w:rPr>
              <w:t>Pressure removal is essential for plantar ulcer healing</w:t>
            </w:r>
          </w:p>
          <w:p>
            <w:pPr>
              <w:spacing w:after="40" w:line="252" w:lineRule="auto"/>
            </w:pPr>
            <w:hyperlink r:id="rId11">
              <w:r>
                <w:rPr>
                  <w:rFonts w:ascii="Calibri" w:hAnsi="Calibri" w:cs="Calibri"/>
                  <w:sz w:val="18"/>
                  <w:color w:val="1155CC"/>
                  <w:u w:val="single"/>
                </w:rPr>
                <w:t xml:space="preserve">https://www.ncbi.nlm.nih.gov/books/NBK409609/</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Adults with diabetes &amp; DFU</w:t>
            </w:r>
          </w:p>
        </w:tc>
        <w:tc>
          <w:tcPr>
            <w:tcW w:type="dxa" w:w="1512"/>
            <w:vAlign w:val="top"/>
          </w:tcPr>
          <w:p>
            <w:pPr>
              <w:spacing w:after="40" w:before="0" w:line="259" w:lineRule="auto"/>
            </w:pPr>
            <w:r>
              <w:rPr>
                <w:rFonts w:ascii="Calibri" w:hAnsi="Calibri"/>
                <w:b w:val="0"/>
                <w:i w:val="0"/>
                <w:color w:val="212121"/>
                <w:sz w:val="19"/>
              </w:rPr>
              <w:t>&lt; 7% (individualised)</w:t>
            </w:r>
          </w:p>
        </w:tc>
        <w:tc>
          <w:tcPr>
            <w:tcW w:type="dxa" w:w="1512"/>
            <w:vAlign w:val="top"/>
          </w:tcPr>
          <w:p>
            <w:pPr>
              <w:spacing w:after="40" w:before="0" w:line="259" w:lineRule="auto"/>
            </w:pPr>
            <w:r>
              <w:rPr>
                <w:rFonts w:ascii="Calibri" w:hAnsi="Calibri"/>
                <w:b w:val="0"/>
                <w:i w:val="0"/>
                <w:color w:val="212121"/>
                <w:sz w:val="19"/>
              </w:rPr>
              <w:t>≥ 8% (poor control)</w:t>
            </w:r>
          </w:p>
        </w:tc>
        <w:tc>
          <w:tcPr>
            <w:tcW w:type="dxa" w:w="1468"/>
            <w:vAlign w:val="top"/>
          </w:tcPr>
          <w:p>
            <w:pPr>
              <w:spacing w:after="60" w:line="259" w:lineRule="auto"/>
            </w:pPr>
            <w:r>
              <w:rPr>
                <w:rFonts w:ascii="Calibri" w:hAnsi="Calibri"/>
                <w:b w:val="0"/>
                <w:i w:val="0"/>
                <w:color w:val="212121"/>
                <w:sz w:val="19"/>
              </w:rPr>
              <w:t>Higher HbA1c independently linked to ulceration and poor healing</w:t>
            </w:r>
          </w:p>
          <w:p>
            <w:pPr>
              <w:spacing w:after="40" w:line="252" w:lineRule="auto"/>
            </w:pPr>
            <w:hyperlink r:id="rId16">
              <w:r>
                <w:rPr>
                  <w:rFonts w:ascii="Calibri" w:hAnsi="Calibri" w:cs="Calibri"/>
                  <w:sz w:val="18"/>
                  <w:color w:val="1155CC"/>
                  <w:u w:val="single"/>
                </w:rPr>
                <w:t xml:space="preserve">https://journals.plos.org/plosone/article/file?id=10.1371/journal.pone.0175270&amp;type=printable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blood glucose (mg/dL)</w:t>
            </w:r>
          </w:p>
        </w:tc>
        <w:tc>
          <w:tcPr>
            <w:tcW w:type="dxa" w:w="1655"/>
            <w:vAlign w:val="top"/>
          </w:tcPr>
          <w:p>
            <w:pPr>
              <w:spacing w:after="40" w:before="0" w:line="259" w:lineRule="auto"/>
            </w:pPr>
            <w:r>
              <w:rPr>
                <w:rFonts w:ascii="Calibri" w:hAnsi="Calibri"/>
                <w:b w:val="0"/>
                <w:i w:val="0"/>
                <w:color w:val="212121"/>
                <w:sz w:val="19"/>
              </w:rPr>
              <w:t>Adults with diabetes</w:t>
            </w:r>
          </w:p>
        </w:tc>
        <w:tc>
          <w:tcPr>
            <w:tcW w:type="dxa" w:w="1512"/>
            <w:vAlign w:val="top"/>
          </w:tcPr>
          <w:p>
            <w:pPr>
              <w:spacing w:after="40" w:before="0" w:line="259" w:lineRule="auto"/>
            </w:pPr>
            <w:r>
              <w:rPr>
                <w:rFonts w:ascii="Calibri" w:hAnsi="Calibri"/>
                <w:b w:val="0"/>
                <w:i w:val="0"/>
                <w:color w:val="212121"/>
                <w:sz w:val="19"/>
              </w:rPr>
              <w:t>80–130 mg/dL</w:t>
            </w:r>
          </w:p>
        </w:tc>
        <w:tc>
          <w:tcPr>
            <w:tcW w:type="dxa" w:w="1512"/>
            <w:vAlign w:val="top"/>
          </w:tcPr>
          <w:p>
            <w:pPr>
              <w:spacing w:after="40" w:before="0" w:line="259" w:lineRule="auto"/>
            </w:pPr>
            <w:r>
              <w:rPr>
                <w:rFonts w:ascii="Calibri" w:hAnsi="Calibri"/>
                <w:b w:val="0"/>
                <w:i w:val="0"/>
                <w:color w:val="212121"/>
                <w:sz w:val="19"/>
              </w:rPr>
              <w:t>&gt; 130 mg/dL fasting</w:t>
            </w:r>
          </w:p>
        </w:tc>
        <w:tc>
          <w:tcPr>
            <w:tcW w:type="dxa" w:w="1468"/>
            <w:vAlign w:val="top"/>
          </w:tcPr>
          <w:p>
            <w:pPr>
              <w:spacing w:after="40" w:before="0" w:line="259" w:lineRule="auto"/>
            </w:pPr>
            <w:r>
              <w:rPr>
                <w:rFonts w:ascii="Calibri" w:hAnsi="Calibri"/>
                <w:b w:val="0"/>
                <w:i w:val="0"/>
                <w:color w:val="212121"/>
                <w:sz w:val="19"/>
              </w:rPr>
              <w:t>Sustained hyperglycaemia impairs immunity and wound repair</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Duration (hours/night)</w:t>
            </w:r>
          </w:p>
        </w:tc>
        <w:tc>
          <w:tcPr>
            <w:tcW w:type="dxa" w:w="1655"/>
            <w:vAlign w:val="top"/>
          </w:tcPr>
          <w:p>
            <w:pPr>
              <w:spacing w:after="40" w:before="0" w:line="259" w:lineRule="auto"/>
            </w:pPr>
            <w:r>
              <w:rPr>
                <w:rFonts w:ascii="Calibri" w:hAnsi="Calibri"/>
                <w:b w:val="0"/>
                <w:i w:val="0"/>
                <w:color w:val="212121"/>
                <w:sz w:val="19"/>
              </w:rPr>
              <w:t>Adults with diabetes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Poor sleep worsens glycaemic control and wound healing</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Diabetics, PAD patients</w:t>
            </w:r>
          </w:p>
        </w:tc>
        <w:tc>
          <w:tcPr>
            <w:tcW w:type="dxa" w:w="1512"/>
            <w:vAlign w:val="top"/>
          </w:tcPr>
          <w:p>
            <w:pPr>
              <w:spacing w:after="40" w:before="0" w:line="259" w:lineRule="auto"/>
            </w:pPr>
            <w:r>
              <w:rPr>
                <w:rFonts w:ascii="Calibri" w:hAnsi="Calibri"/>
                <w:b w:val="0"/>
                <w:i w:val="0"/>
                <w:color w:val="212121"/>
                <w:sz w:val="19"/>
              </w:rPr>
              <w:t>0 (complete cessation)</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60" w:line="259" w:lineRule="auto"/>
            </w:pPr>
            <w:r>
              <w:rPr>
                <w:rFonts w:ascii="Calibri" w:hAnsi="Calibri"/>
                <w:b w:val="0"/>
                <w:i w:val="0"/>
                <w:color w:val="212121"/>
                <w:sz w:val="19"/>
              </w:rPr>
              <w:t>Any tobacco worsens ischaemia and raises amputation risk</w:t>
            </w:r>
          </w:p>
          <w:p>
            <w:pPr>
              <w:spacing w:after="40" w:line="252" w:lineRule="auto"/>
            </w:pPr>
            <w:hyperlink r:id="rId14">
              <w:r>
                <w:rPr>
                  <w:rFonts w:ascii="Calibri" w:hAnsi="Calibri" w:cs="Calibri"/>
                  <w:sz w:val="18"/>
                  <w:color w:val="1155CC"/>
                  <w:u w:val="single"/>
                </w:rPr>
                <w:t xml:space="preserve">https://pmc.ncbi.nlm.nih.gov/articles/PMC5774386/</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 with diabetes</w:t>
            </w:r>
          </w:p>
        </w:tc>
        <w:tc>
          <w:tcPr>
            <w:tcW w:type="dxa" w:w="1512"/>
            <w:vAlign w:val="top"/>
          </w:tcPr>
          <w:p>
            <w:pPr>
              <w:spacing w:after="40" w:before="0" w:line="259" w:lineRule="auto"/>
            </w:pPr>
            <w:r>
              <w:rPr>
                <w:rFonts w:ascii="Calibri" w:hAnsi="Calibri"/>
                <w:b w:val="0"/>
                <w:i w:val="0"/>
                <w:color w:val="212121"/>
                <w:sz w:val="19"/>
              </w:rPr>
              <w:t>None or minimal</w:t>
            </w:r>
          </w:p>
        </w:tc>
        <w:tc>
          <w:tcPr>
            <w:tcW w:type="dxa" w:w="1512"/>
            <w:vAlign w:val="top"/>
          </w:tcPr>
          <w:p>
            <w:pPr>
              <w:spacing w:after="40" w:before="0" w:line="259" w:lineRule="auto"/>
            </w:pPr>
            <w:r>
              <w:rPr>
                <w:rFonts w:ascii="Calibri" w:hAnsi="Calibri"/>
                <w:b w:val="0"/>
                <w:i w:val="0"/>
                <w:color w:val="212121"/>
                <w:sz w:val="19"/>
              </w:rPr>
              <w:t>Heavy/regular intake</w:t>
            </w:r>
          </w:p>
        </w:tc>
        <w:tc>
          <w:tcPr>
            <w:tcW w:type="dxa" w:w="1468"/>
            <w:vAlign w:val="top"/>
          </w:tcPr>
          <w:p>
            <w:pPr>
              <w:spacing w:after="40" w:before="0" w:line="259" w:lineRule="auto"/>
            </w:pPr>
            <w:r>
              <w:rPr>
                <w:rFonts w:ascii="Calibri" w:hAnsi="Calibri"/>
                <w:b w:val="0"/>
                <w:i w:val="0"/>
                <w:color w:val="212121"/>
                <w:sz w:val="19"/>
              </w:rPr>
              <w:t>Alcohol exacerbates neuropathy and impairs self-care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Daily foot self-inspection</w:t>
            </w:r>
          </w:p>
        </w:tc>
        <w:tc>
          <w:tcPr>
            <w:tcW w:type="dxa" w:w="1655"/>
            <w:vAlign w:val="top"/>
          </w:tcPr>
          <w:p>
            <w:pPr>
              <w:spacing w:after="40" w:before="0" w:line="259" w:lineRule="auto"/>
            </w:pPr>
            <w:r>
              <w:rPr>
                <w:rFonts w:ascii="Calibri" w:hAnsi="Calibri"/>
                <w:b w:val="0"/>
                <w:i w:val="0"/>
                <w:color w:val="212121"/>
                <w:sz w:val="19"/>
              </w:rPr>
              <w:t>All diabetics, high-risk feet</w:t>
            </w:r>
          </w:p>
        </w:tc>
        <w:tc>
          <w:tcPr>
            <w:tcW w:type="dxa" w:w="1512"/>
            <w:vAlign w:val="top"/>
          </w:tcPr>
          <w:p>
            <w:pPr>
              <w:spacing w:after="40" w:before="0" w:line="259" w:lineRule="auto"/>
            </w:pPr>
            <w:r>
              <w:rPr>
                <w:rFonts w:ascii="Calibri" w:hAnsi="Calibri"/>
                <w:b w:val="0"/>
                <w:i w:val="0"/>
                <w:color w:val="212121"/>
                <w:sz w:val="19"/>
              </w:rPr>
              <w:t>Every day (mirror/family help)</w:t>
            </w:r>
          </w:p>
        </w:tc>
        <w:tc>
          <w:tcPr>
            <w:tcW w:type="dxa" w:w="1512"/>
            <w:vAlign w:val="top"/>
          </w:tcPr>
          <w:p>
            <w:pPr>
              <w:spacing w:after="40" w:before="0" w:line="259" w:lineRule="auto"/>
            </w:pPr>
            <w:r>
              <w:rPr>
                <w:rFonts w:ascii="Calibri" w:hAnsi="Calibri"/>
                <w:b w:val="0"/>
                <w:i w:val="0"/>
                <w:color w:val="212121"/>
                <w:sz w:val="19"/>
              </w:rPr>
              <w:t>No routine inspection</w:t>
            </w:r>
          </w:p>
        </w:tc>
        <w:tc>
          <w:tcPr>
            <w:tcW w:type="dxa" w:w="1468"/>
            <w:vAlign w:val="top"/>
          </w:tcPr>
          <w:p>
            <w:pPr>
              <w:spacing w:after="60" w:line="259" w:lineRule="auto"/>
            </w:pPr>
            <w:r>
              <w:rPr>
                <w:rFonts w:ascii="Calibri" w:hAnsi="Calibri"/>
                <w:b w:val="0"/>
                <w:i w:val="0"/>
                <w:color w:val="212121"/>
                <w:sz w:val="19"/>
              </w:rPr>
              <w:t>Detects early lesions before ulceration in insensate feet</w:t>
            </w:r>
          </w:p>
          <w:p>
            <w:pPr>
              <w:spacing w:after="40" w:line="252" w:lineRule="auto"/>
            </w:pPr>
            <w:hyperlink r:id="rId13">
              <w:r>
                <w:rPr>
                  <w:rFonts w:ascii="Calibri" w:hAnsi="Calibri" w:cs="Calibri"/>
                  <w:sz w:val="18"/>
                  <w:color w:val="1155CC"/>
                  <w:u w:val="single"/>
                </w:rPr>
                <w:t xml:space="preserve">https://nmji.in/footwear-in-the-causation-and-prevention-of-foot-ulcers-in-diabetes-mellitus/</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Vibration perception threshold (biothesiometer)</w:t>
            </w:r>
          </w:p>
        </w:tc>
        <w:tc>
          <w:tcPr>
            <w:tcW w:type="dxa" w:w="1655"/>
            <w:vAlign w:val="top"/>
          </w:tcPr>
          <w:p>
            <w:pPr>
              <w:spacing w:after="40" w:before="0" w:line="259" w:lineRule="auto"/>
            </w:pPr>
            <w:r>
              <w:rPr>
                <w:rFonts w:ascii="Calibri" w:hAnsi="Calibri"/>
                <w:b w:val="0"/>
                <w:i w:val="0"/>
                <w:color w:val="212121"/>
                <w:sz w:val="19"/>
              </w:rPr>
              <w:t>Diabetics screened for neuropathy</w:t>
            </w:r>
          </w:p>
        </w:tc>
        <w:tc>
          <w:tcPr>
            <w:tcW w:type="dxa" w:w="1512"/>
            <w:vAlign w:val="top"/>
          </w:tcPr>
          <w:p>
            <w:pPr>
              <w:spacing w:after="40" w:before="0" w:line="259" w:lineRule="auto"/>
            </w:pPr>
            <w:r>
              <w:rPr>
                <w:rFonts w:ascii="Calibri" w:hAnsi="Calibri"/>
                <w:b w:val="0"/>
                <w:i w:val="0"/>
                <w:color w:val="212121"/>
                <w:sz w:val="19"/>
              </w:rPr>
              <w:t>&lt; 15 V</w:t>
            </w:r>
          </w:p>
        </w:tc>
        <w:tc>
          <w:tcPr>
            <w:tcW w:type="dxa" w:w="1512"/>
            <w:vAlign w:val="top"/>
          </w:tcPr>
          <w:p>
            <w:pPr>
              <w:spacing w:after="40" w:before="0" w:line="259" w:lineRule="auto"/>
            </w:pPr>
            <w:r>
              <w:rPr>
                <w:rFonts w:ascii="Calibri" w:hAnsi="Calibri"/>
                <w:b w:val="0"/>
                <w:i w:val="0"/>
                <w:color w:val="212121"/>
                <w:sz w:val="19"/>
              </w:rPr>
              <w:t>&gt; 25 V (high ulcer risk)</w:t>
            </w:r>
          </w:p>
        </w:tc>
        <w:tc>
          <w:tcPr>
            <w:tcW w:type="dxa" w:w="1468"/>
            <w:vAlign w:val="top"/>
          </w:tcPr>
          <w:p>
            <w:pPr>
              <w:spacing w:after="60" w:line="259" w:lineRule="auto"/>
            </w:pPr>
            <w:r>
              <w:rPr>
                <w:rFonts w:ascii="Calibri" w:hAnsi="Calibri"/>
                <w:b w:val="0"/>
                <w:i w:val="0"/>
                <w:color w:val="212121"/>
                <w:sz w:val="19"/>
              </w:rPr>
              <w:t>Quantifies loss of protective sensation</w:t>
            </w:r>
          </w:p>
          <w:p>
            <w:pPr>
              <w:spacing w:after="40" w:line="252" w:lineRule="auto"/>
            </w:pPr>
            <w:hyperlink r:id="rId12">
              <w:r>
                <w:rPr>
                  <w:rFonts w:ascii="Calibri" w:hAnsi="Calibri" w:cs="Calibri"/>
                  <w:sz w:val="18"/>
                  <w:color w:val="1155CC"/>
                  <w:u w:val="single"/>
                </w:rPr>
                <w:t xml:space="preserve">https://www.redalyc.org/journal/6920/692072541005/html/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10 g monofilament sites felt</w:t>
            </w:r>
          </w:p>
        </w:tc>
        <w:tc>
          <w:tcPr>
            <w:tcW w:type="dxa" w:w="1655"/>
            <w:vAlign w:val="top"/>
          </w:tcPr>
          <w:p>
            <w:pPr>
              <w:spacing w:after="40" w:before="0" w:line="259" w:lineRule="auto"/>
            </w:pPr>
            <w:r>
              <w:rPr>
                <w:rFonts w:ascii="Calibri" w:hAnsi="Calibri"/>
                <w:b w:val="0"/>
                <w:i w:val="0"/>
                <w:color w:val="212121"/>
                <w:sz w:val="19"/>
              </w:rPr>
              <w:t>Diabetics, at-risk feet</w:t>
            </w:r>
          </w:p>
        </w:tc>
        <w:tc>
          <w:tcPr>
            <w:tcW w:type="dxa" w:w="1512"/>
            <w:vAlign w:val="top"/>
          </w:tcPr>
          <w:p>
            <w:pPr>
              <w:spacing w:after="40" w:before="0" w:line="259" w:lineRule="auto"/>
            </w:pPr>
            <w:r>
              <w:rPr>
                <w:rFonts w:ascii="Calibri" w:hAnsi="Calibri"/>
                <w:b w:val="0"/>
                <w:i w:val="0"/>
                <w:color w:val="212121"/>
                <w:sz w:val="19"/>
              </w:rPr>
              <w:t>All test sites perceived</w:t>
            </w:r>
          </w:p>
        </w:tc>
        <w:tc>
          <w:tcPr>
            <w:tcW w:type="dxa" w:w="1512"/>
            <w:vAlign w:val="top"/>
          </w:tcPr>
          <w:p>
            <w:pPr>
              <w:spacing w:after="40" w:before="0" w:line="259" w:lineRule="auto"/>
            </w:pPr>
            <w:r>
              <w:rPr>
                <w:rFonts w:ascii="Calibri" w:hAnsi="Calibri"/>
                <w:b w:val="0"/>
                <w:i w:val="0"/>
                <w:color w:val="212121"/>
                <w:sz w:val="19"/>
              </w:rPr>
              <w:t>≥ 1 site not perceived</w:t>
            </w:r>
          </w:p>
        </w:tc>
        <w:tc>
          <w:tcPr>
            <w:tcW w:type="dxa" w:w="1468"/>
            <w:vAlign w:val="top"/>
          </w:tcPr>
          <w:p>
            <w:pPr>
              <w:spacing w:after="60" w:line="259" w:lineRule="auto"/>
            </w:pPr>
            <w:r>
              <w:rPr>
                <w:rFonts w:ascii="Calibri" w:hAnsi="Calibri"/>
                <w:b w:val="0"/>
                <w:i w:val="0"/>
                <w:color w:val="212121"/>
                <w:sz w:val="19"/>
              </w:rPr>
              <w:t>Insensate site marks loss of protective sensation</w:t>
            </w:r>
          </w:p>
          <w:p>
            <w:pPr>
              <w:spacing w:after="40" w:line="252" w:lineRule="auto"/>
            </w:pPr>
            <w:hyperlink r:id="rId11">
              <w:r>
                <w:rPr>
                  <w:rFonts w:ascii="Calibri" w:hAnsi="Calibri" w:cs="Calibri"/>
                  <w:sz w:val="18"/>
                  <w:color w:val="1155CC"/>
                  <w:u w:val="single"/>
                </w:rPr>
                <w:t xml:space="preserve">https://www.ncbi.nlm.nih.gov/books/NBK409609/</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Ankle–brachial index (ABI)</w:t>
            </w:r>
          </w:p>
        </w:tc>
        <w:tc>
          <w:tcPr>
            <w:tcW w:type="dxa" w:w="1655"/>
            <w:vAlign w:val="top"/>
          </w:tcPr>
          <w:p>
            <w:pPr>
              <w:spacing w:after="40" w:before="0" w:line="259" w:lineRule="auto"/>
            </w:pPr>
            <w:r>
              <w:rPr>
                <w:rFonts w:ascii="Calibri" w:hAnsi="Calibri"/>
                <w:b w:val="0"/>
                <w:i w:val="0"/>
                <w:color w:val="212121"/>
                <w:sz w:val="19"/>
              </w:rPr>
              <w:t>Diabetics with suspected PAD</w:t>
            </w:r>
          </w:p>
        </w:tc>
        <w:tc>
          <w:tcPr>
            <w:tcW w:type="dxa" w:w="1512"/>
            <w:vAlign w:val="top"/>
          </w:tcPr>
          <w:p>
            <w:pPr>
              <w:spacing w:after="40" w:before="0" w:line="259" w:lineRule="auto"/>
            </w:pPr>
            <w:r>
              <w:rPr>
                <w:rFonts w:ascii="Calibri" w:hAnsi="Calibri"/>
                <w:b w:val="0"/>
                <w:i w:val="0"/>
                <w:color w:val="212121"/>
                <w:sz w:val="19"/>
              </w:rPr>
              <w:t>0.9–1.3</w:t>
            </w:r>
          </w:p>
        </w:tc>
        <w:tc>
          <w:tcPr>
            <w:tcW w:type="dxa" w:w="1512"/>
            <w:vAlign w:val="top"/>
          </w:tcPr>
          <w:p>
            <w:pPr>
              <w:spacing w:after="40" w:before="0" w:line="259" w:lineRule="auto"/>
            </w:pPr>
            <w:r>
              <w:rPr>
                <w:rFonts w:ascii="Calibri" w:hAnsi="Calibri"/>
                <w:b w:val="0"/>
                <w:i w:val="0"/>
                <w:color w:val="212121"/>
                <w:sz w:val="19"/>
              </w:rPr>
              <w:t>&lt; 0.9 (PAD); &gt; 1.3 non-compressible</w:t>
            </w:r>
          </w:p>
        </w:tc>
        <w:tc>
          <w:tcPr>
            <w:tcW w:type="dxa" w:w="1468"/>
            <w:vAlign w:val="top"/>
          </w:tcPr>
          <w:p>
            <w:pPr>
              <w:spacing w:after="60" w:line="259" w:lineRule="auto"/>
            </w:pPr>
            <w:r>
              <w:rPr>
                <w:rFonts w:ascii="Calibri" w:hAnsi="Calibri"/>
                <w:b w:val="0"/>
                <w:i w:val="0"/>
                <w:color w:val="212121"/>
                <w:sz w:val="19"/>
              </w:rPr>
              <w:t>Screens for ischaemia; use toe pressures if unreliable</w:t>
            </w:r>
          </w:p>
          <w:p>
            <w:pPr>
              <w:spacing w:after="40" w:line="252" w:lineRule="auto"/>
            </w:pPr>
            <w:hyperlink r:id="rId15">
              <w:r>
                <w:rPr>
                  <w:rFonts w:ascii="Calibri" w:hAnsi="Calibri" w:cs="Calibri"/>
                  <w:sz w:val="18"/>
                  <w:color w:val="1155CC"/>
                  <w:u w:val="single"/>
                </w:rPr>
                <w:t xml:space="preserve">https://www.ncbi.nlm.nih.gov/books/NBK499887/</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Glycated Haemoglobin (HbA1c)</w:t>
            </w:r>
          </w:p>
        </w:tc>
        <w:tc>
          <w:tcPr>
            <w:tcW w:type="dxa" w:w="892"/>
            <w:vAlign w:val="top"/>
          </w:tcPr>
          <w:p>
            <w:pPr>
              <w:spacing w:after="40" w:before="0" w:line="259" w:lineRule="auto"/>
            </w:pPr>
            <w:r>
              <w:rPr>
                <w:rFonts w:ascii="Calibri" w:hAnsi="Calibri"/>
                <w:b w:val="0"/>
                <w:i w:val="0"/>
                <w:color w:val="212121"/>
                <w:sz w:val="16"/>
              </w:rPr>
              <w:t>Glycaemic control</w:t>
            </w:r>
          </w:p>
        </w:tc>
        <w:tc>
          <w:tcPr>
            <w:tcW w:type="dxa" w:w="950"/>
            <w:vAlign w:val="top"/>
          </w:tcPr>
          <w:p>
            <w:pPr>
              <w:spacing w:after="40" w:before="0" w:line="259" w:lineRule="auto"/>
            </w:pPr>
            <w:r>
              <w:rPr>
                <w:rFonts w:ascii="Calibri" w:hAnsi="Calibri"/>
                <w:b w:val="0"/>
                <w:i w:val="0"/>
                <w:color w:val="212121"/>
                <w:sz w:val="16"/>
              </w:rPr>
              <w:t>4.0–5.6%</w:t>
            </w:r>
          </w:p>
        </w:tc>
        <w:tc>
          <w:tcPr>
            <w:tcW w:type="dxa" w:w="950"/>
            <w:vAlign w:val="top"/>
          </w:tcPr>
          <w:p>
            <w:pPr>
              <w:spacing w:after="40" w:before="0" w:line="259" w:lineRule="auto"/>
            </w:pPr>
            <w:r>
              <w:rPr>
                <w:rFonts w:ascii="Calibri" w:hAnsi="Calibri"/>
                <w:b w:val="0"/>
                <w:i w:val="0"/>
                <w:color w:val="212121"/>
                <w:sz w:val="16"/>
              </w:rPr>
              <w:t>≥ 6.5% (target &lt; 7% in DFU)</w:t>
            </w:r>
          </w:p>
        </w:tc>
        <w:tc>
          <w:tcPr>
            <w:tcW w:type="dxa" w:w="1036"/>
            <w:vAlign w:val="top"/>
          </w:tcPr>
          <w:p>
            <w:pPr>
              <w:spacing w:after="40" w:before="0" w:line="259" w:lineRule="auto"/>
            </w:pPr>
            <w:r>
              <w:rPr>
                <w:rFonts w:ascii="Calibri" w:hAnsi="Calibri"/>
                <w:b w:val="0"/>
                <w:i w:val="0"/>
                <w:color w:val="212121"/>
                <w:sz w:val="16"/>
              </w:rPr>
              <w:t>Reflects 2–3 month glycaemia; higher values predict ulceration and poor healing</w:t>
            </w:r>
          </w:p>
        </w:tc>
        <w:tc>
          <w:tcPr>
            <w:tcW w:type="dxa" w:w="1036"/>
            <w:vAlign w:val="top"/>
          </w:tcPr>
          <w:p>
            <w:pPr>
              <w:spacing w:after="40" w:before="0" w:line="259" w:lineRule="auto"/>
            </w:pPr>
            <w:r>
              <w:rPr>
                <w:rFonts w:ascii="Calibri" w:hAnsi="Calibri"/>
                <w:b w:val="0"/>
                <w:i w:val="0"/>
                <w:color w:val="212121"/>
                <w:sz w:val="16"/>
              </w:rPr>
              <w:t>All diabetics with or at risk of DFU</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Optimise before and during wound care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 random blood glucose</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70–99 mg/dL fasting</w:t>
            </w:r>
          </w:p>
        </w:tc>
        <w:tc>
          <w:tcPr>
            <w:tcW w:type="dxa" w:w="950"/>
            <w:vAlign w:val="top"/>
          </w:tcPr>
          <w:p>
            <w:pPr>
              <w:spacing w:after="40" w:before="0" w:line="259" w:lineRule="auto"/>
            </w:pPr>
            <w:r>
              <w:rPr>
                <w:rFonts w:ascii="Calibri" w:hAnsi="Calibri"/>
                <w:b w:val="0"/>
                <w:i w:val="0"/>
                <w:color w:val="212121"/>
                <w:sz w:val="16"/>
              </w:rPr>
              <w:t>≥ 126 mg/dL fasting</w:t>
            </w:r>
          </w:p>
        </w:tc>
        <w:tc>
          <w:tcPr>
            <w:tcW w:type="dxa" w:w="1036"/>
            <w:vAlign w:val="top"/>
          </w:tcPr>
          <w:p>
            <w:pPr>
              <w:spacing w:after="40" w:before="0" w:line="259" w:lineRule="auto"/>
            </w:pPr>
            <w:r>
              <w:rPr>
                <w:rFonts w:ascii="Calibri" w:hAnsi="Calibri"/>
                <w:b w:val="0"/>
                <w:i w:val="0"/>
                <w:color w:val="212121"/>
                <w:sz w:val="16"/>
              </w:rPr>
              <w:t>Confirms hyperglycaemia impairing immune and healing responses</w:t>
            </w:r>
          </w:p>
        </w:tc>
        <w:tc>
          <w:tcPr>
            <w:tcW w:type="dxa" w:w="1036"/>
            <w:vAlign w:val="top"/>
          </w:tcPr>
          <w:p>
            <w:pPr>
              <w:spacing w:after="40" w:before="0" w:line="259" w:lineRule="auto"/>
            </w:pPr>
            <w:r>
              <w:rPr>
                <w:rFonts w:ascii="Calibri" w:hAnsi="Calibri"/>
                <w:b w:val="0"/>
                <w:i w:val="0"/>
                <w:color w:val="212121"/>
                <w:sz w:val="16"/>
              </w:rPr>
              <w:t>Diabetics with active ulcer/infection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Routine</w:t>
            </w:r>
          </w:p>
        </w:tc>
        <w:tc>
          <w:tcPr>
            <w:tcW w:type="dxa" w:w="720"/>
            <w:vAlign w:val="top"/>
          </w:tcPr>
          <w:p>
            <w:pPr>
              <w:spacing w:after="40" w:before="0" w:line="259" w:lineRule="auto"/>
            </w:pPr>
            <w:r>
              <w:rPr>
                <w:rFonts w:ascii="Calibri" w:hAnsi="Calibri"/>
                <w:b w:val="0"/>
                <w:i w:val="0"/>
                <w:color w:val="212121"/>
                <w:sz w:val="16"/>
              </w:rPr>
              <w:t>Acute infection can raise glucose sharply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Deep-tissue / curettage culture &amp; sensitivity</w:t>
            </w:r>
          </w:p>
        </w:tc>
        <w:tc>
          <w:tcPr>
            <w:tcW w:type="dxa" w:w="892"/>
            <w:vAlign w:val="top"/>
          </w:tcPr>
          <w:p>
            <w:pPr>
              <w:spacing w:after="40" w:before="0" w:line="259" w:lineRule="auto"/>
            </w:pPr>
            <w:r>
              <w:rPr>
                <w:rFonts w:ascii="Calibri" w:hAnsi="Calibri"/>
                <w:b w:val="0"/>
                <w:i w:val="0"/>
                <w:color w:val="212121"/>
                <w:sz w:val="16"/>
              </w:rPr>
              <w:t>Wound culture</w:t>
            </w:r>
          </w:p>
        </w:tc>
        <w:tc>
          <w:tcPr>
            <w:tcW w:type="dxa" w:w="950"/>
            <w:vAlign w:val="top"/>
          </w:tcPr>
          <w:p>
            <w:pPr>
              <w:spacing w:after="40" w:before="0" w:line="259" w:lineRule="auto"/>
            </w:pPr>
            <w:r>
              <w:rPr>
                <w:rFonts w:ascii="Calibri" w:hAnsi="Calibri"/>
                <w:b w:val="0"/>
                <w:i w:val="0"/>
                <w:color w:val="212121"/>
                <w:sz w:val="16"/>
              </w:rPr>
              <w:t>No growth / commensals</w:t>
            </w:r>
          </w:p>
        </w:tc>
        <w:tc>
          <w:tcPr>
            <w:tcW w:type="dxa" w:w="950"/>
            <w:vAlign w:val="top"/>
          </w:tcPr>
          <w:p>
            <w:pPr>
              <w:spacing w:after="40" w:before="0" w:line="259" w:lineRule="auto"/>
            </w:pPr>
            <w:r>
              <w:rPr>
                <w:rFonts w:ascii="Calibri" w:hAnsi="Calibri"/>
                <w:b w:val="0"/>
                <w:i w:val="0"/>
                <w:color w:val="212121"/>
                <w:sz w:val="16"/>
              </w:rPr>
              <w:t>Pathogen growth (often polymicrobial)</w:t>
            </w:r>
          </w:p>
        </w:tc>
        <w:tc>
          <w:tcPr>
            <w:tcW w:type="dxa" w:w="1036"/>
            <w:vAlign w:val="top"/>
          </w:tcPr>
          <w:p>
            <w:pPr>
              <w:spacing w:after="40" w:before="0" w:line="259" w:lineRule="auto"/>
            </w:pPr>
            <w:r>
              <w:rPr>
                <w:rFonts w:ascii="Calibri" w:hAnsi="Calibri"/>
                <w:b w:val="0"/>
                <w:i w:val="0"/>
                <w:color w:val="212121"/>
                <w:sz w:val="16"/>
              </w:rPr>
              <w:t>Guides targeted antibiotics; deep sample preferred over superficial swab</w:t>
            </w:r>
          </w:p>
        </w:tc>
        <w:tc>
          <w:tcPr>
            <w:tcW w:type="dxa" w:w="1036"/>
            <w:vAlign w:val="top"/>
          </w:tcPr>
          <w:p>
            <w:pPr>
              <w:spacing w:after="40" w:before="0" w:line="259" w:lineRule="auto"/>
            </w:pPr>
            <w:r>
              <w:rPr>
                <w:rFonts w:ascii="Calibri" w:hAnsi="Calibri"/>
                <w:b w:val="0"/>
                <w:i w:val="0"/>
                <w:color w:val="212121"/>
                <w:sz w:val="16"/>
              </w:rPr>
              <w:t>Clinically infected ulcers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Sample after debridement, before antibiotics where possible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TLC 4–11 ×10⁹/L; Hb normal</w:t>
            </w:r>
          </w:p>
        </w:tc>
        <w:tc>
          <w:tcPr>
            <w:tcW w:type="dxa" w:w="950"/>
            <w:vAlign w:val="top"/>
          </w:tcPr>
          <w:p>
            <w:pPr>
              <w:spacing w:after="40" w:before="0" w:line="259" w:lineRule="auto"/>
            </w:pPr>
            <w:r>
              <w:rPr>
                <w:rFonts w:ascii="Calibri" w:hAnsi="Calibri"/>
                <w:b w:val="0"/>
                <w:i w:val="0"/>
                <w:color w:val="212121"/>
                <w:sz w:val="16"/>
              </w:rPr>
              <w:t>Leucocytosis; anaemia</w:t>
            </w:r>
          </w:p>
        </w:tc>
        <w:tc>
          <w:tcPr>
            <w:tcW w:type="dxa" w:w="1036"/>
            <w:vAlign w:val="top"/>
          </w:tcPr>
          <w:p>
            <w:pPr>
              <w:spacing w:after="40" w:before="0" w:line="259" w:lineRule="auto"/>
            </w:pPr>
            <w:r>
              <w:rPr>
                <w:rFonts w:ascii="Calibri" w:hAnsi="Calibri"/>
                <w:b w:val="0"/>
                <w:i w:val="0"/>
                <w:color w:val="212121"/>
                <w:sz w:val="16"/>
              </w:rPr>
              <w:t>Leucocytosis suggests infection; anaemia impairs oxygen delivery and healing</w:t>
            </w:r>
          </w:p>
        </w:tc>
        <w:tc>
          <w:tcPr>
            <w:tcW w:type="dxa" w:w="1036"/>
            <w:vAlign w:val="top"/>
          </w:tcPr>
          <w:p>
            <w:pPr>
              <w:spacing w:after="40" w:before="0" w:line="259" w:lineRule="auto"/>
            </w:pPr>
            <w:r>
              <w:rPr>
                <w:rFonts w:ascii="Calibri" w:hAnsi="Calibri"/>
                <w:b w:val="0"/>
                <w:i w:val="0"/>
                <w:color w:val="212121"/>
                <w:sz w:val="16"/>
              </w:rPr>
              <w:t>Infected/chronic ulcers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Routine</w:t>
            </w:r>
          </w:p>
        </w:tc>
        <w:tc>
          <w:tcPr>
            <w:tcW w:type="dxa" w:w="720"/>
            <w:vAlign w:val="top"/>
          </w:tcPr>
          <w:p>
            <w:pPr>
              <w:spacing w:after="40" w:before="0" w:line="259" w:lineRule="auto"/>
            </w:pPr>
            <w:r>
              <w:rPr>
                <w:rFonts w:ascii="Calibri" w:hAnsi="Calibri"/>
                <w:b w:val="0"/>
                <w:i w:val="0"/>
                <w:color w:val="212121"/>
                <w:sz w:val="16"/>
              </w:rPr>
              <w:t>Counts may be normal despite deep infection in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CRP / ESR</w:t>
            </w:r>
          </w:p>
        </w:tc>
        <w:tc>
          <w:tcPr>
            <w:tcW w:type="dxa" w:w="892"/>
            <w:vAlign w:val="top"/>
          </w:tcPr>
          <w:p>
            <w:pPr>
              <w:spacing w:after="40" w:before="0" w:line="259" w:lineRule="auto"/>
            </w:pPr>
            <w:r>
              <w:rPr>
                <w:rFonts w:ascii="Calibri" w:hAnsi="Calibri"/>
                <w:b w:val="0"/>
                <w:i w:val="0"/>
                <w:color w:val="212121"/>
                <w:sz w:val="16"/>
              </w:rPr>
              <w:t>Acute-phase reactants</w:t>
            </w:r>
          </w:p>
        </w:tc>
        <w:tc>
          <w:tcPr>
            <w:tcW w:type="dxa" w:w="950"/>
            <w:vAlign w:val="top"/>
          </w:tcPr>
          <w:p>
            <w:pPr>
              <w:spacing w:after="40" w:before="0" w:line="259" w:lineRule="auto"/>
            </w:pPr>
            <w:r>
              <w:rPr>
                <w:rFonts w:ascii="Calibri" w:hAnsi="Calibri"/>
                <w:b w:val="0"/>
                <w:i w:val="0"/>
                <w:color w:val="212121"/>
                <w:sz w:val="16"/>
              </w:rPr>
              <w:t>CRP &lt; 5 mg/L; ESR &lt; 20 mm/h</w:t>
            </w:r>
          </w:p>
        </w:tc>
        <w:tc>
          <w:tcPr>
            <w:tcW w:type="dxa" w:w="950"/>
            <w:vAlign w:val="top"/>
          </w:tcPr>
          <w:p>
            <w:pPr>
              <w:spacing w:after="40" w:before="0" w:line="259" w:lineRule="auto"/>
            </w:pPr>
            <w:r>
              <w:rPr>
                <w:rFonts w:ascii="Calibri" w:hAnsi="Calibri"/>
                <w:b w:val="0"/>
                <w:i w:val="0"/>
                <w:color w:val="212121"/>
                <w:sz w:val="16"/>
              </w:rPr>
              <w:t>Raised CRP; ESR ≥ 70 mm/h</w:t>
            </w:r>
          </w:p>
        </w:tc>
        <w:tc>
          <w:tcPr>
            <w:tcW w:type="dxa" w:w="1036"/>
            <w:vAlign w:val="top"/>
          </w:tcPr>
          <w:p>
            <w:pPr>
              <w:spacing w:after="40" w:before="0" w:line="259" w:lineRule="auto"/>
            </w:pPr>
            <w:r>
              <w:rPr>
                <w:rFonts w:ascii="Calibri" w:hAnsi="Calibri"/>
                <w:b w:val="0"/>
                <w:i w:val="0"/>
                <w:color w:val="212121"/>
                <w:sz w:val="16"/>
              </w:rPr>
              <w:t>Support infection and, when very high, osteomyelitis; useful to track response</w:t>
            </w:r>
          </w:p>
        </w:tc>
        <w:tc>
          <w:tcPr>
            <w:tcW w:type="dxa" w:w="1036"/>
            <w:vAlign w:val="top"/>
          </w:tcPr>
          <w:p>
            <w:pPr>
              <w:spacing w:after="40" w:before="0" w:line="259" w:lineRule="auto"/>
            </w:pPr>
            <w:r>
              <w:rPr>
                <w:rFonts w:ascii="Calibri" w:hAnsi="Calibri"/>
                <w:b w:val="0"/>
                <w:i w:val="0"/>
                <w:color w:val="212121"/>
                <w:sz w:val="16"/>
              </w:rPr>
              <w:t>Suspected deep infection/osteomyelitis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ESR ≥ 70 mm/h raises suspicion of bone involvement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Renal</w:t>
            </w:r>
          </w:p>
        </w:tc>
        <w:tc>
          <w:tcPr>
            <w:tcW w:type="dxa" w:w="1036"/>
            <w:vAlign w:val="top"/>
          </w:tcPr>
          <w:p>
            <w:pPr>
              <w:spacing w:after="40" w:before="0" w:line="259" w:lineRule="auto"/>
            </w:pPr>
            <w:r>
              <w:rPr>
                <w:rFonts w:ascii="Calibri" w:hAnsi="Calibri"/>
                <w:b w:val="0"/>
                <w:i w:val="0"/>
                <w:color w:val="212121"/>
                <w:sz w:val="16"/>
              </w:rPr>
              <w:t>Serum creatinine / eGFR</w:t>
            </w:r>
          </w:p>
        </w:tc>
        <w:tc>
          <w:tcPr>
            <w:tcW w:type="dxa" w:w="892"/>
            <w:vAlign w:val="top"/>
          </w:tcPr>
          <w:p>
            <w:pPr>
              <w:spacing w:after="40" w:before="0" w:line="259" w:lineRule="auto"/>
            </w:pPr>
            <w:r>
              <w:rPr>
                <w:rFonts w:ascii="Calibri" w:hAnsi="Calibri"/>
                <w:b w:val="0"/>
                <w:i w:val="0"/>
                <w:color w:val="212121"/>
                <w:sz w:val="16"/>
              </w:rPr>
              <w:t>Renal function</w:t>
            </w:r>
          </w:p>
        </w:tc>
        <w:tc>
          <w:tcPr>
            <w:tcW w:type="dxa" w:w="950"/>
            <w:vAlign w:val="top"/>
          </w:tcPr>
          <w:p>
            <w:pPr>
              <w:spacing w:after="40" w:before="0" w:line="259" w:lineRule="auto"/>
            </w:pPr>
            <w:r>
              <w:rPr>
                <w:rFonts w:ascii="Calibri" w:hAnsi="Calibri"/>
                <w:b w:val="0"/>
                <w:i w:val="0"/>
                <w:color w:val="212121"/>
                <w:sz w:val="16"/>
              </w:rPr>
              <w:t>eGFR ≥ 90 mL/min/1.73m²</w:t>
            </w:r>
          </w:p>
        </w:tc>
        <w:tc>
          <w:tcPr>
            <w:tcW w:type="dxa" w:w="950"/>
            <w:vAlign w:val="top"/>
          </w:tcPr>
          <w:p>
            <w:pPr>
              <w:spacing w:after="40" w:before="0" w:line="259" w:lineRule="auto"/>
            </w:pPr>
            <w:r>
              <w:rPr>
                <w:rFonts w:ascii="Calibri" w:hAnsi="Calibri"/>
                <w:b w:val="0"/>
                <w:i w:val="0"/>
                <w:color w:val="212121"/>
                <w:sz w:val="16"/>
              </w:rPr>
              <w:t>Raised creatinine; low eGFR</w:t>
            </w:r>
          </w:p>
        </w:tc>
        <w:tc>
          <w:tcPr>
            <w:tcW w:type="dxa" w:w="1036"/>
            <w:vAlign w:val="top"/>
          </w:tcPr>
          <w:p>
            <w:pPr>
              <w:spacing w:after="40" w:before="0" w:line="259" w:lineRule="auto"/>
            </w:pPr>
            <w:r>
              <w:rPr>
                <w:rFonts w:ascii="Calibri" w:hAnsi="Calibri"/>
                <w:b w:val="0"/>
                <w:i w:val="0"/>
                <w:color w:val="212121"/>
                <w:sz w:val="16"/>
              </w:rPr>
              <w:t>Identifies nephropathy/CKD that worsens healing and dictates drug/contrast dosing</w:t>
            </w:r>
          </w:p>
        </w:tc>
        <w:tc>
          <w:tcPr>
            <w:tcW w:type="dxa" w:w="1036"/>
            <w:vAlign w:val="top"/>
          </w:tcPr>
          <w:p>
            <w:pPr>
              <w:spacing w:after="40" w:before="0" w:line="259" w:lineRule="auto"/>
            </w:pPr>
            <w:r>
              <w:rPr>
                <w:rFonts w:ascii="Calibri" w:hAnsi="Calibri"/>
                <w:b w:val="0"/>
                <w:i w:val="0"/>
                <w:color w:val="212121"/>
                <w:sz w:val="16"/>
              </w:rPr>
              <w:t>Diabetics with DFU, dialysis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Routine</w:t>
            </w:r>
          </w:p>
        </w:tc>
        <w:tc>
          <w:tcPr>
            <w:tcW w:type="dxa" w:w="720"/>
            <w:vAlign w:val="top"/>
          </w:tcPr>
          <w:p>
            <w:pPr>
              <w:spacing w:after="40" w:before="0" w:line="259" w:lineRule="auto"/>
            </w:pPr>
            <w:r>
              <w:rPr>
                <w:rFonts w:ascii="Calibri" w:hAnsi="Calibri"/>
                <w:b w:val="0"/>
                <w:i w:val="0"/>
                <w:color w:val="212121"/>
                <w:sz w:val="16"/>
              </w:rPr>
              <w:t>Raised creatinine independently associated with DFU</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Plain radiograph of foot</w:t>
            </w:r>
          </w:p>
        </w:tc>
        <w:tc>
          <w:tcPr>
            <w:tcW w:type="dxa" w:w="892"/>
            <w:vAlign w:val="top"/>
          </w:tcPr>
          <w:p>
            <w:pPr>
              <w:spacing w:after="40" w:before="0" w:line="259" w:lineRule="auto"/>
            </w:pPr>
            <w:r>
              <w:rPr>
                <w:rFonts w:ascii="Calibri" w:hAnsi="Calibri"/>
                <w:b w:val="0"/>
                <w:i w:val="0"/>
                <w:color w:val="212121"/>
                <w:sz w:val="16"/>
              </w:rPr>
              <w:t>X-ray</w:t>
            </w:r>
          </w:p>
        </w:tc>
        <w:tc>
          <w:tcPr>
            <w:tcW w:type="dxa" w:w="950"/>
            <w:vAlign w:val="top"/>
          </w:tcPr>
          <w:p>
            <w:pPr>
              <w:spacing w:after="40" w:before="0" w:line="259" w:lineRule="auto"/>
            </w:pPr>
            <w:r>
              <w:rPr>
                <w:rFonts w:ascii="Calibri" w:hAnsi="Calibri"/>
                <w:b w:val="0"/>
                <w:i w:val="0"/>
                <w:color w:val="212121"/>
                <w:sz w:val="16"/>
              </w:rPr>
              <w:t>No bony/soft-tissue abnormality</w:t>
            </w:r>
          </w:p>
        </w:tc>
        <w:tc>
          <w:tcPr>
            <w:tcW w:type="dxa" w:w="950"/>
            <w:vAlign w:val="top"/>
          </w:tcPr>
          <w:p>
            <w:pPr>
              <w:spacing w:after="40" w:before="0" w:line="259" w:lineRule="auto"/>
            </w:pPr>
            <w:r>
              <w:rPr>
                <w:rFonts w:ascii="Calibri" w:hAnsi="Calibri"/>
                <w:b w:val="0"/>
                <w:i w:val="0"/>
                <w:color w:val="212121"/>
                <w:sz w:val="16"/>
              </w:rPr>
              <w:t>Cortical erosion, osteolysis, gas, foreign body, Charcot changes</w:t>
            </w:r>
          </w:p>
        </w:tc>
        <w:tc>
          <w:tcPr>
            <w:tcW w:type="dxa" w:w="1036"/>
            <w:vAlign w:val="top"/>
          </w:tcPr>
          <w:p>
            <w:pPr>
              <w:spacing w:after="40" w:before="0" w:line="259" w:lineRule="auto"/>
            </w:pPr>
            <w:r>
              <w:rPr>
                <w:rFonts w:ascii="Calibri" w:hAnsi="Calibri"/>
                <w:b w:val="0"/>
                <w:i w:val="0"/>
                <w:color w:val="212121"/>
                <w:sz w:val="16"/>
              </w:rPr>
              <w:t>First-line for osteomyelitis, gas gangrene, foreign body and Charcot</w:t>
            </w:r>
          </w:p>
        </w:tc>
        <w:tc>
          <w:tcPr>
            <w:tcW w:type="dxa" w:w="1036"/>
            <w:vAlign w:val="top"/>
          </w:tcPr>
          <w:p>
            <w:pPr>
              <w:spacing w:after="40" w:before="0" w:line="259" w:lineRule="auto"/>
            </w:pPr>
            <w:r>
              <w:rPr>
                <w:rFonts w:ascii="Calibri" w:hAnsi="Calibri"/>
                <w:b w:val="0"/>
                <w:i w:val="0"/>
                <w:color w:val="212121"/>
                <w:sz w:val="16"/>
              </w:rPr>
              <w:t>Deep or non-healing ulcers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 imaging</w:t>
            </w:r>
          </w:p>
        </w:tc>
        <w:tc>
          <w:tcPr>
            <w:tcW w:type="dxa" w:w="720"/>
            <w:vAlign w:val="top"/>
          </w:tcPr>
          <w:p>
            <w:pPr>
              <w:spacing w:after="40" w:before="0" w:line="259" w:lineRule="auto"/>
            </w:pPr>
            <w:r>
              <w:rPr>
                <w:rFonts w:ascii="Calibri" w:hAnsi="Calibri"/>
                <w:b w:val="0"/>
                <w:i w:val="0"/>
                <w:color w:val="212121"/>
                <w:sz w:val="16"/>
              </w:rPr>
              <w:t>Early osteomyelitis may be radiographically silent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of foot</w:t>
            </w:r>
          </w:p>
        </w:tc>
        <w:tc>
          <w:tcPr>
            <w:tcW w:type="dxa" w:w="892"/>
            <w:vAlign w:val="top"/>
          </w:tcPr>
          <w:p>
            <w:pPr>
              <w:spacing w:after="40" w:before="0" w:line="259" w:lineRule="auto"/>
            </w:pPr>
            <w:r>
              <w:rPr>
                <w:rFonts w:ascii="Calibri" w:hAnsi="Calibri"/>
                <w:b w:val="0"/>
                <w:i w:val="0"/>
                <w:color w:val="212121"/>
                <w:sz w:val="16"/>
              </w:rPr>
              <w:t>MRI</w:t>
            </w:r>
          </w:p>
        </w:tc>
        <w:tc>
          <w:tcPr>
            <w:tcW w:type="dxa" w:w="950"/>
            <w:vAlign w:val="top"/>
          </w:tcPr>
          <w:p>
            <w:pPr>
              <w:spacing w:after="40" w:before="0" w:line="259" w:lineRule="auto"/>
            </w:pPr>
            <w:r>
              <w:rPr>
                <w:rFonts w:ascii="Calibri" w:hAnsi="Calibri"/>
                <w:b w:val="0"/>
                <w:i w:val="0"/>
                <w:color w:val="212121"/>
                <w:sz w:val="16"/>
              </w:rPr>
              <w:t>No marrow oedema/abscess</w:t>
            </w:r>
          </w:p>
        </w:tc>
        <w:tc>
          <w:tcPr>
            <w:tcW w:type="dxa" w:w="950"/>
            <w:vAlign w:val="top"/>
          </w:tcPr>
          <w:p>
            <w:pPr>
              <w:spacing w:after="40" w:before="0" w:line="259" w:lineRule="auto"/>
            </w:pPr>
            <w:r>
              <w:rPr>
                <w:rFonts w:ascii="Calibri" w:hAnsi="Calibri"/>
                <w:b w:val="0"/>
                <w:i w:val="0"/>
                <w:color w:val="212121"/>
                <w:sz w:val="16"/>
              </w:rPr>
              <w:t>Marrow oedema, abscess, sinus tract, osteomyelitis</w:t>
            </w:r>
          </w:p>
        </w:tc>
        <w:tc>
          <w:tcPr>
            <w:tcW w:type="dxa" w:w="1036"/>
            <w:vAlign w:val="top"/>
          </w:tcPr>
          <w:p>
            <w:pPr>
              <w:spacing w:after="40" w:before="0" w:line="259" w:lineRule="auto"/>
            </w:pPr>
            <w:r>
              <w:rPr>
                <w:rFonts w:ascii="Calibri" w:hAnsi="Calibri"/>
                <w:b w:val="0"/>
                <w:i w:val="0"/>
                <w:color w:val="212121"/>
                <w:sz w:val="16"/>
              </w:rPr>
              <w:t>Most sensitive test for osteomyelitis and deep soft-tissue infection</w:t>
            </w:r>
          </w:p>
        </w:tc>
        <w:tc>
          <w:tcPr>
            <w:tcW w:type="dxa" w:w="1036"/>
            <w:vAlign w:val="top"/>
          </w:tcPr>
          <w:p>
            <w:pPr>
              <w:spacing w:after="40" w:before="0" w:line="259" w:lineRule="auto"/>
            </w:pPr>
            <w:r>
              <w:rPr>
                <w:rFonts w:ascii="Calibri" w:hAnsi="Calibri"/>
                <w:b w:val="0"/>
                <w:i w:val="0"/>
                <w:color w:val="212121"/>
                <w:sz w:val="16"/>
              </w:rPr>
              <w:t>Suspected osteomyelitis/deep abscess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Definitive imaging</w:t>
            </w:r>
          </w:p>
        </w:tc>
        <w:tc>
          <w:tcPr>
            <w:tcW w:type="dxa" w:w="720"/>
            <w:vAlign w:val="top"/>
          </w:tcPr>
          <w:p>
            <w:pPr>
              <w:spacing w:after="40" w:before="0" w:line="259" w:lineRule="auto"/>
            </w:pPr>
            <w:r>
              <w:rPr>
                <w:rFonts w:ascii="Calibri" w:hAnsi="Calibri"/>
                <w:b w:val="0"/>
                <w:i w:val="0"/>
                <w:color w:val="212121"/>
                <w:sz w:val="16"/>
              </w:rPr>
              <w:t>Guides surgical planning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Vascular</w:t>
            </w:r>
          </w:p>
        </w:tc>
        <w:tc>
          <w:tcPr>
            <w:tcW w:type="dxa" w:w="1036"/>
            <w:vAlign w:val="top"/>
          </w:tcPr>
          <w:p>
            <w:pPr>
              <w:spacing w:after="40" w:before="0" w:line="259" w:lineRule="auto"/>
            </w:pPr>
            <w:r>
              <w:rPr>
                <w:rFonts w:ascii="Calibri" w:hAnsi="Calibri"/>
                <w:b w:val="0"/>
                <w:i w:val="0"/>
                <w:color w:val="212121"/>
                <w:sz w:val="16"/>
              </w:rPr>
              <w:t>ABI / toe pressure / arterial Doppler</w:t>
            </w:r>
          </w:p>
        </w:tc>
        <w:tc>
          <w:tcPr>
            <w:tcW w:type="dxa" w:w="892"/>
            <w:vAlign w:val="top"/>
          </w:tcPr>
          <w:p>
            <w:pPr>
              <w:spacing w:after="40" w:before="0" w:line="259" w:lineRule="auto"/>
            </w:pPr>
            <w:r>
              <w:rPr>
                <w:rFonts w:ascii="Calibri" w:hAnsi="Calibri"/>
                <w:b w:val="0"/>
                <w:i w:val="0"/>
                <w:color w:val="212121"/>
                <w:sz w:val="16"/>
              </w:rPr>
              <w:t>Vascular studies</w:t>
            </w:r>
          </w:p>
        </w:tc>
        <w:tc>
          <w:tcPr>
            <w:tcW w:type="dxa" w:w="950"/>
            <w:vAlign w:val="top"/>
          </w:tcPr>
          <w:p>
            <w:pPr>
              <w:spacing w:after="40" w:before="0" w:line="259" w:lineRule="auto"/>
            </w:pPr>
            <w:r>
              <w:rPr>
                <w:rFonts w:ascii="Calibri" w:hAnsi="Calibri"/>
                <w:b w:val="0"/>
                <w:i w:val="0"/>
                <w:color w:val="212121"/>
                <w:sz w:val="16"/>
              </w:rPr>
              <w:t>ABI 0.9–1.3</w:t>
            </w:r>
          </w:p>
        </w:tc>
        <w:tc>
          <w:tcPr>
            <w:tcW w:type="dxa" w:w="950"/>
            <w:vAlign w:val="top"/>
          </w:tcPr>
          <w:p>
            <w:pPr>
              <w:spacing w:after="40" w:before="0" w:line="259" w:lineRule="auto"/>
            </w:pPr>
            <w:r>
              <w:rPr>
                <w:rFonts w:ascii="Calibri" w:hAnsi="Calibri"/>
                <w:b w:val="0"/>
                <w:i w:val="0"/>
                <w:color w:val="212121"/>
                <w:sz w:val="16"/>
              </w:rPr>
              <w:t>ABI &lt; 0.9 (or non-compressible &gt; 1.3); toe pressure &lt; 30 mmHg</w:t>
            </w:r>
          </w:p>
        </w:tc>
        <w:tc>
          <w:tcPr>
            <w:tcW w:type="dxa" w:w="1036"/>
            <w:vAlign w:val="top"/>
          </w:tcPr>
          <w:p>
            <w:pPr>
              <w:spacing w:after="40" w:before="0" w:line="259" w:lineRule="auto"/>
            </w:pPr>
            <w:r>
              <w:rPr>
                <w:rFonts w:ascii="Calibri" w:hAnsi="Calibri"/>
                <w:b w:val="0"/>
                <w:i w:val="0"/>
                <w:color w:val="212121"/>
                <w:sz w:val="16"/>
              </w:rPr>
              <w:t>Detects PAD and critical ischaemia; toe pressure/TcPO₂ used when ABI unreliable</w:t>
            </w:r>
          </w:p>
        </w:tc>
        <w:tc>
          <w:tcPr>
            <w:tcW w:type="dxa" w:w="1036"/>
            <w:vAlign w:val="top"/>
          </w:tcPr>
          <w:p>
            <w:pPr>
              <w:spacing w:after="40" w:before="0" w:line="259" w:lineRule="auto"/>
            </w:pPr>
            <w:r>
              <w:rPr>
                <w:rFonts w:ascii="Calibri" w:hAnsi="Calibri"/>
                <w:b w:val="0"/>
                <w:i w:val="0"/>
                <w:color w:val="212121"/>
                <w:sz w:val="16"/>
              </w:rPr>
              <w:t>Ischaemic/neuro-ischaemic ulcers</w:t>
            </w:r>
          </w:p>
        </w:tc>
        <w:tc>
          <w:tcPr>
            <w:tcW w:type="dxa" w:w="720"/>
            <w:vAlign w:val="top"/>
          </w:tcPr>
          <w:p>
            <w:pPr>
              <w:spacing w:after="40" w:before="0" w:line="259" w:lineRule="auto"/>
            </w:pPr>
            <w:r>
              <w:rPr>
                <w:rFonts w:ascii="Calibri" w:hAnsi="Calibri"/>
                <w:b w:val="0"/>
                <w:i w:val="0"/>
                <w:color w:val="212121"/>
                <w:sz w:val="16"/>
              </w:rPr>
              <w:t>Smoking; Physical activity</w:t>
            </w:r>
          </w:p>
        </w:tc>
        <w:tc>
          <w:tcPr>
            <w:tcW w:type="dxa" w:w="720"/>
            <w:vAlign w:val="top"/>
          </w:tcPr>
          <w:p>
            <w:pPr>
              <w:spacing w:after="40" w:before="0" w:line="259" w:lineRule="auto"/>
            </w:pPr>
            <w:r>
              <w:rPr>
                <w:rFonts w:ascii="Calibri" w:hAnsi="Calibri"/>
                <w:b w:val="0"/>
                <w:i w:val="0"/>
                <w:color w:val="212121"/>
                <w:sz w:val="16"/>
              </w:rPr>
              <w:t>Key for revascularisation</w:t>
            </w:r>
          </w:p>
        </w:tc>
        <w:tc>
          <w:tcPr>
            <w:tcW w:type="dxa" w:w="720"/>
            <w:vAlign w:val="top"/>
          </w:tcPr>
          <w:p>
            <w:pPr>
              <w:spacing w:after="40" w:before="0" w:line="259" w:lineRule="auto"/>
            </w:pPr>
            <w:r>
              <w:rPr>
                <w:rFonts w:ascii="Calibri" w:hAnsi="Calibri"/>
                <w:b w:val="0"/>
                <w:i w:val="0"/>
                <w:color w:val="212121"/>
                <w:sz w:val="16"/>
              </w:rPr>
              <w:t>ABI falsely high with medial calcinosis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Diabetes &amp; wound history</w:t>
            </w:r>
          </w:p>
        </w:tc>
        <w:tc>
          <w:tcPr>
            <w:tcW w:type="dxa" w:w="979"/>
            <w:vAlign w:val="top"/>
          </w:tcPr>
          <w:p>
            <w:pPr>
              <w:spacing w:after="40" w:before="0" w:line="259" w:lineRule="auto"/>
            </w:pPr>
            <w:r>
              <w:rPr>
                <w:rFonts w:ascii="Calibri" w:hAnsi="Calibri"/>
                <w:b w:val="0"/>
                <w:i w:val="0"/>
                <w:color w:val="212121"/>
                <w:sz w:val="16"/>
              </w:rPr>
              <w:t>Duration of diabetes, prior ulcer/amputation, control</w:t>
            </w:r>
          </w:p>
        </w:tc>
        <w:tc>
          <w:tcPr>
            <w:tcW w:type="dxa" w:w="950"/>
            <w:vAlign w:val="top"/>
          </w:tcPr>
          <w:p>
            <w:pPr>
              <w:spacing w:after="40" w:before="0" w:line="259" w:lineRule="auto"/>
            </w:pPr>
            <w:r>
              <w:rPr>
                <w:rFonts w:ascii="Calibri" w:hAnsi="Calibri"/>
                <w:b w:val="0"/>
                <w:i w:val="0"/>
                <w:color w:val="212121"/>
                <w:sz w:val="16"/>
              </w:rPr>
              <w:t>Short duration, no prior ulcer</w:t>
            </w:r>
          </w:p>
        </w:tc>
        <w:tc>
          <w:tcPr>
            <w:tcW w:type="dxa" w:w="950"/>
            <w:vAlign w:val="top"/>
          </w:tcPr>
          <w:p>
            <w:pPr>
              <w:spacing w:after="40" w:before="0" w:line="259" w:lineRule="auto"/>
            </w:pPr>
            <w:r>
              <w:rPr>
                <w:rFonts w:ascii="Calibri" w:hAnsi="Calibri"/>
                <w:b w:val="0"/>
                <w:i w:val="0"/>
                <w:color w:val="212121"/>
                <w:sz w:val="16"/>
              </w:rPr>
              <w:t>Long duration, prior ulcer/amputation, poor control</w:t>
            </w:r>
          </w:p>
        </w:tc>
        <w:tc>
          <w:tcPr>
            <w:tcW w:type="dxa" w:w="1036"/>
            <w:vAlign w:val="top"/>
          </w:tcPr>
          <w:p>
            <w:pPr>
              <w:spacing w:after="40" w:before="0" w:line="259" w:lineRule="auto"/>
            </w:pPr>
            <w:r>
              <w:rPr>
                <w:rFonts w:ascii="Calibri" w:hAnsi="Calibri"/>
                <w:b w:val="0"/>
                <w:i w:val="0"/>
                <w:color w:val="212121"/>
                <w:sz w:val="16"/>
              </w:rPr>
              <w:t>Establishes cumulative risk; prior ulcer is the strongest predictor of recurrence</w:t>
            </w:r>
          </w:p>
        </w:tc>
        <w:tc>
          <w:tcPr>
            <w:tcW w:type="dxa" w:w="1036"/>
            <w:vAlign w:val="top"/>
          </w:tcPr>
          <w:p>
            <w:pPr>
              <w:spacing w:after="40" w:before="0" w:line="259" w:lineRule="auto"/>
            </w:pPr>
            <w:r>
              <w:rPr>
                <w:rFonts w:ascii="Calibri" w:hAnsi="Calibri"/>
                <w:b w:val="0"/>
                <w:i w:val="0"/>
                <w:color w:val="212121"/>
                <w:sz w:val="16"/>
              </w:rPr>
              <w:t>All diabetics with foot lesions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Note footwear habits and barefoot walking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Neuropathic &amp; ischaemic symptoms</w:t>
            </w:r>
          </w:p>
        </w:tc>
        <w:tc>
          <w:tcPr>
            <w:tcW w:type="dxa" w:w="979"/>
            <w:vAlign w:val="top"/>
          </w:tcPr>
          <w:p>
            <w:pPr>
              <w:spacing w:after="40" w:before="0" w:line="259" w:lineRule="auto"/>
            </w:pPr>
            <w:r>
              <w:rPr>
                <w:rFonts w:ascii="Calibri" w:hAnsi="Calibri"/>
                <w:b w:val="0"/>
                <w:i w:val="0"/>
                <w:color w:val="212121"/>
                <w:sz w:val="16"/>
              </w:rPr>
              <w:t>Numbness, tingling, burning; claudication, rest pain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Sensory symptoms and/or claudication/rest pain</w:t>
            </w:r>
          </w:p>
        </w:tc>
        <w:tc>
          <w:tcPr>
            <w:tcW w:type="dxa" w:w="1036"/>
            <w:vAlign w:val="top"/>
          </w:tcPr>
          <w:p>
            <w:pPr>
              <w:spacing w:after="40" w:before="0" w:line="259" w:lineRule="auto"/>
            </w:pPr>
            <w:r>
              <w:rPr>
                <w:rFonts w:ascii="Calibri" w:hAnsi="Calibri"/>
                <w:b w:val="0"/>
                <w:i w:val="0"/>
                <w:color w:val="212121"/>
                <w:sz w:val="16"/>
              </w:rPr>
              <w:t>Distinguishes neuropathic from ischaemic/neuro-ischaemic disease</w:t>
            </w:r>
          </w:p>
        </w:tc>
        <w:tc>
          <w:tcPr>
            <w:tcW w:type="dxa" w:w="1036"/>
            <w:vAlign w:val="top"/>
          </w:tcPr>
          <w:p>
            <w:pPr>
              <w:spacing w:after="40" w:before="0" w:line="259" w:lineRule="auto"/>
            </w:pPr>
            <w:r>
              <w:rPr>
                <w:rFonts w:ascii="Calibri" w:hAnsi="Calibri"/>
                <w:b w:val="0"/>
                <w:i w:val="0"/>
                <w:color w:val="212121"/>
                <w:sz w:val="16"/>
              </w:rPr>
              <w:t>Diabetics with foot complaints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Neuropathic ulcers are often painless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w:t>
            </w:r>
          </w:p>
        </w:tc>
        <w:tc>
          <w:tcPr>
            <w:tcW w:type="dxa" w:w="950"/>
            <w:vAlign w:val="top"/>
          </w:tcPr>
          <w:p>
            <w:pPr>
              <w:spacing w:after="40" w:before="0" w:line="259" w:lineRule="auto"/>
            </w:pPr>
            <w:r>
              <w:rPr>
                <w:rFonts w:ascii="Calibri" w:hAnsi="Calibri"/>
                <w:b w:val="0"/>
                <w:i w:val="0"/>
                <w:color w:val="212121"/>
                <w:sz w:val="16"/>
              </w:rPr>
              <w:t>Loss of protective sensation</w:t>
            </w:r>
          </w:p>
        </w:tc>
        <w:tc>
          <w:tcPr>
            <w:tcW w:type="dxa" w:w="979"/>
            <w:vAlign w:val="top"/>
          </w:tcPr>
          <w:p>
            <w:pPr>
              <w:spacing w:after="40" w:before="0" w:line="259" w:lineRule="auto"/>
            </w:pPr>
            <w:r>
              <w:rPr>
                <w:rFonts w:ascii="Calibri" w:hAnsi="Calibri"/>
                <w:b w:val="0"/>
                <w:i w:val="0"/>
                <w:color w:val="212121"/>
                <w:sz w:val="16"/>
              </w:rPr>
              <w:t>10 g monofilament ± 128 Hz tuning fork/biothesiometer</w:t>
            </w:r>
          </w:p>
        </w:tc>
        <w:tc>
          <w:tcPr>
            <w:tcW w:type="dxa" w:w="950"/>
            <w:vAlign w:val="top"/>
          </w:tcPr>
          <w:p>
            <w:pPr>
              <w:spacing w:after="40" w:before="0" w:line="259" w:lineRule="auto"/>
            </w:pPr>
            <w:r>
              <w:rPr>
                <w:rFonts w:ascii="Calibri" w:hAnsi="Calibri"/>
                <w:b w:val="0"/>
                <w:i w:val="0"/>
                <w:color w:val="212121"/>
                <w:sz w:val="16"/>
              </w:rPr>
              <w:t>Sensation intact at all sites</w:t>
            </w:r>
          </w:p>
        </w:tc>
        <w:tc>
          <w:tcPr>
            <w:tcW w:type="dxa" w:w="950"/>
            <w:vAlign w:val="top"/>
          </w:tcPr>
          <w:p>
            <w:pPr>
              <w:spacing w:after="40" w:before="0" w:line="259" w:lineRule="auto"/>
            </w:pPr>
            <w:r>
              <w:rPr>
                <w:rFonts w:ascii="Calibri" w:hAnsi="Calibri"/>
                <w:b w:val="0"/>
                <w:i w:val="0"/>
                <w:color w:val="212121"/>
                <w:sz w:val="16"/>
              </w:rPr>
              <w:t>Insensate site(s); VPT &gt; 25 V</w:t>
            </w:r>
          </w:p>
        </w:tc>
        <w:tc>
          <w:tcPr>
            <w:tcW w:type="dxa" w:w="1036"/>
            <w:vAlign w:val="top"/>
          </w:tcPr>
          <w:p>
            <w:pPr>
              <w:spacing w:after="40" w:before="0" w:line="259" w:lineRule="auto"/>
            </w:pPr>
            <w:r>
              <w:rPr>
                <w:rFonts w:ascii="Calibri" w:hAnsi="Calibri"/>
                <w:b w:val="0"/>
                <w:i w:val="0"/>
                <w:color w:val="212121"/>
                <w:sz w:val="16"/>
              </w:rPr>
              <w:t>Confirms neuropathy driving ulcer risk</w:t>
            </w:r>
          </w:p>
        </w:tc>
        <w:tc>
          <w:tcPr>
            <w:tcW w:type="dxa" w:w="1036"/>
            <w:vAlign w:val="top"/>
          </w:tcPr>
          <w:p>
            <w:pPr>
              <w:spacing w:after="40" w:before="0" w:line="259" w:lineRule="auto"/>
            </w:pPr>
            <w:r>
              <w:rPr>
                <w:rFonts w:ascii="Calibri" w:hAnsi="Calibri"/>
                <w:b w:val="0"/>
                <w:i w:val="0"/>
                <w:color w:val="212121"/>
                <w:sz w:val="16"/>
              </w:rPr>
              <w:t>All diabetics (annual screen)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risk test</w:t>
            </w:r>
          </w:p>
        </w:tc>
        <w:tc>
          <w:tcPr>
            <w:tcW w:type="dxa" w:w="720"/>
            <w:vAlign w:val="top"/>
          </w:tcPr>
          <w:p>
            <w:pPr>
              <w:spacing w:after="40" w:before="0" w:line="259" w:lineRule="auto"/>
            </w:pPr>
            <w:r>
              <w:rPr>
                <w:rFonts w:ascii="Calibri" w:hAnsi="Calibri"/>
                <w:b w:val="0"/>
                <w:i w:val="0"/>
                <w:color w:val="212121"/>
                <w:sz w:val="16"/>
              </w:rPr>
              <w:t>Test multiple plantar sites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Vascular</w:t>
            </w:r>
          </w:p>
        </w:tc>
        <w:tc>
          <w:tcPr>
            <w:tcW w:type="dxa" w:w="950"/>
            <w:vAlign w:val="top"/>
          </w:tcPr>
          <w:p>
            <w:pPr>
              <w:spacing w:after="40" w:before="0" w:line="259" w:lineRule="auto"/>
            </w:pPr>
            <w:r>
              <w:rPr>
                <w:rFonts w:ascii="Calibri" w:hAnsi="Calibri"/>
                <w:b w:val="0"/>
                <w:i w:val="0"/>
                <w:color w:val="212121"/>
                <w:sz w:val="16"/>
              </w:rPr>
              <w:t>Peripheral pulses &amp; perfusion</w:t>
            </w:r>
          </w:p>
        </w:tc>
        <w:tc>
          <w:tcPr>
            <w:tcW w:type="dxa" w:w="979"/>
            <w:vAlign w:val="top"/>
          </w:tcPr>
          <w:p>
            <w:pPr>
              <w:spacing w:after="40" w:before="0" w:line="259" w:lineRule="auto"/>
            </w:pPr>
            <w:r>
              <w:rPr>
                <w:rFonts w:ascii="Calibri" w:hAnsi="Calibri"/>
                <w:b w:val="0"/>
                <w:i w:val="0"/>
                <w:color w:val="212121"/>
                <w:sz w:val="16"/>
              </w:rPr>
              <w:t>Dorsalis pedis &amp; posterior tibial pulses, capillary refill, temperature</w:t>
            </w:r>
          </w:p>
        </w:tc>
        <w:tc>
          <w:tcPr>
            <w:tcW w:type="dxa" w:w="950"/>
            <w:vAlign w:val="top"/>
          </w:tcPr>
          <w:p>
            <w:pPr>
              <w:spacing w:after="40" w:before="0" w:line="259" w:lineRule="auto"/>
            </w:pPr>
            <w:r>
              <w:rPr>
                <w:rFonts w:ascii="Calibri" w:hAnsi="Calibri"/>
                <w:b w:val="0"/>
                <w:i w:val="0"/>
                <w:color w:val="212121"/>
                <w:sz w:val="16"/>
              </w:rPr>
              <w:t>Pulses present, warm foot</w:t>
            </w:r>
          </w:p>
        </w:tc>
        <w:tc>
          <w:tcPr>
            <w:tcW w:type="dxa" w:w="950"/>
            <w:vAlign w:val="top"/>
          </w:tcPr>
          <w:p>
            <w:pPr>
              <w:spacing w:after="40" w:before="0" w:line="259" w:lineRule="auto"/>
            </w:pPr>
            <w:r>
              <w:rPr>
                <w:rFonts w:ascii="Calibri" w:hAnsi="Calibri"/>
                <w:b w:val="0"/>
                <w:i w:val="0"/>
                <w:color w:val="212121"/>
                <w:sz w:val="16"/>
              </w:rPr>
              <w:t>Absent/weak pulses, cold foot, prolonged refill</w:t>
            </w:r>
          </w:p>
        </w:tc>
        <w:tc>
          <w:tcPr>
            <w:tcW w:type="dxa" w:w="1036"/>
            <w:vAlign w:val="top"/>
          </w:tcPr>
          <w:p>
            <w:pPr>
              <w:spacing w:after="40" w:before="0" w:line="259" w:lineRule="auto"/>
            </w:pPr>
            <w:r>
              <w:rPr>
                <w:rFonts w:ascii="Calibri" w:hAnsi="Calibri"/>
                <w:b w:val="0"/>
                <w:i w:val="0"/>
                <w:color w:val="212121"/>
                <w:sz w:val="16"/>
              </w:rPr>
              <w:t>Bedside marker of PAD prompting formal vascular studies</w:t>
            </w:r>
          </w:p>
        </w:tc>
        <w:tc>
          <w:tcPr>
            <w:tcW w:type="dxa" w:w="1036"/>
            <w:vAlign w:val="top"/>
          </w:tcPr>
          <w:p>
            <w:pPr>
              <w:spacing w:after="40" w:before="0" w:line="259" w:lineRule="auto"/>
            </w:pPr>
            <w:r>
              <w:rPr>
                <w:rFonts w:ascii="Calibri" w:hAnsi="Calibri"/>
                <w:b w:val="0"/>
                <w:i w:val="0"/>
                <w:color w:val="212121"/>
                <w:sz w:val="16"/>
              </w:rPr>
              <w:t>Ischaemic/neuro-ischaemic feet</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Pulses may be present yet distal disease significant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Foot &amp; ulcer examination</w:t>
            </w:r>
          </w:p>
        </w:tc>
        <w:tc>
          <w:tcPr>
            <w:tcW w:type="dxa" w:w="979"/>
            <w:vAlign w:val="top"/>
          </w:tcPr>
          <w:p>
            <w:pPr>
              <w:spacing w:after="40" w:before="0" w:line="259" w:lineRule="auto"/>
            </w:pPr>
            <w:r>
              <w:rPr>
                <w:rFonts w:ascii="Calibri" w:hAnsi="Calibri"/>
                <w:b w:val="0"/>
                <w:i w:val="0"/>
                <w:color w:val="212121"/>
                <w:sz w:val="16"/>
              </w:rPr>
              <w:t>Deformity, callus, ulcer site/size/depth, skin, interdigital spaces</w:t>
            </w:r>
          </w:p>
        </w:tc>
        <w:tc>
          <w:tcPr>
            <w:tcW w:type="dxa" w:w="950"/>
            <w:vAlign w:val="top"/>
          </w:tcPr>
          <w:p>
            <w:pPr>
              <w:spacing w:after="40" w:before="0" w:line="259" w:lineRule="auto"/>
            </w:pPr>
            <w:r>
              <w:rPr>
                <w:rFonts w:ascii="Calibri" w:hAnsi="Calibri"/>
                <w:b w:val="0"/>
                <w:i w:val="0"/>
                <w:color w:val="212121"/>
                <w:sz w:val="16"/>
              </w:rPr>
              <w:t>Intact skin, no deformity</w:t>
            </w:r>
          </w:p>
        </w:tc>
        <w:tc>
          <w:tcPr>
            <w:tcW w:type="dxa" w:w="950"/>
            <w:vAlign w:val="top"/>
          </w:tcPr>
          <w:p>
            <w:pPr>
              <w:spacing w:after="40" w:before="0" w:line="259" w:lineRule="auto"/>
            </w:pPr>
            <w:r>
              <w:rPr>
                <w:rFonts w:ascii="Calibri" w:hAnsi="Calibri"/>
                <w:b w:val="0"/>
                <w:i w:val="0"/>
                <w:color w:val="212121"/>
                <w:sz w:val="16"/>
              </w:rPr>
              <w:t>Callus, deformity, ulcer, maceration, dry fissures</w:t>
            </w:r>
          </w:p>
        </w:tc>
        <w:tc>
          <w:tcPr>
            <w:tcW w:type="dxa" w:w="1036"/>
            <w:vAlign w:val="top"/>
          </w:tcPr>
          <w:p>
            <w:pPr>
              <w:spacing w:after="40" w:before="0" w:line="259" w:lineRule="auto"/>
            </w:pPr>
            <w:r>
              <w:rPr>
                <w:rFonts w:ascii="Calibri" w:hAnsi="Calibri"/>
                <w:b w:val="0"/>
                <w:i w:val="0"/>
                <w:color w:val="212121"/>
                <w:sz w:val="16"/>
              </w:rPr>
              <w:t>Defines the wound and pressure points; document with a grading system</w:t>
            </w:r>
          </w:p>
        </w:tc>
        <w:tc>
          <w:tcPr>
            <w:tcW w:type="dxa" w:w="1036"/>
            <w:vAlign w:val="top"/>
          </w:tcPr>
          <w:p>
            <w:pPr>
              <w:spacing w:after="40" w:before="0" w:line="259" w:lineRule="auto"/>
            </w:pPr>
            <w:r>
              <w:rPr>
                <w:rFonts w:ascii="Calibri" w:hAnsi="Calibri"/>
                <w:b w:val="0"/>
                <w:i w:val="0"/>
                <w:color w:val="212121"/>
                <w:sz w:val="16"/>
              </w:rPr>
              <w:t>All at-risk feet</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Core exam</w:t>
            </w:r>
          </w:p>
        </w:tc>
        <w:tc>
          <w:tcPr>
            <w:tcW w:type="dxa" w:w="720"/>
            <w:vAlign w:val="top"/>
          </w:tcPr>
          <w:p>
            <w:pPr>
              <w:spacing w:after="40" w:before="0" w:line="259" w:lineRule="auto"/>
            </w:pPr>
            <w:r>
              <w:rPr>
                <w:rFonts w:ascii="Calibri" w:hAnsi="Calibri"/>
                <w:b w:val="0"/>
                <w:i w:val="0"/>
                <w:color w:val="212121"/>
                <w:sz w:val="16"/>
              </w:rPr>
              <w:t>Inspect between toes and heels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Probe</w:t>
            </w:r>
          </w:p>
        </w:tc>
        <w:tc>
          <w:tcPr>
            <w:tcW w:type="dxa" w:w="950"/>
            <w:vAlign w:val="top"/>
          </w:tcPr>
          <w:p>
            <w:pPr>
              <w:spacing w:after="40" w:before="0" w:line="259" w:lineRule="auto"/>
            </w:pPr>
            <w:r>
              <w:rPr>
                <w:rFonts w:ascii="Calibri" w:hAnsi="Calibri"/>
                <w:b w:val="0"/>
                <w:i w:val="0"/>
                <w:color w:val="212121"/>
                <w:sz w:val="16"/>
              </w:rPr>
              <w:t>Probe-to-bone test</w:t>
            </w:r>
          </w:p>
        </w:tc>
        <w:tc>
          <w:tcPr>
            <w:tcW w:type="dxa" w:w="979"/>
            <w:vAlign w:val="top"/>
          </w:tcPr>
          <w:p>
            <w:pPr>
              <w:spacing w:after="40" w:before="0" w:line="259" w:lineRule="auto"/>
            </w:pPr>
            <w:r>
              <w:rPr>
                <w:rFonts w:ascii="Calibri" w:hAnsi="Calibri"/>
                <w:b w:val="0"/>
                <w:i w:val="0"/>
                <w:color w:val="212121"/>
                <w:sz w:val="16"/>
              </w:rPr>
              <w:t>Sterile probe to ulcer base</w:t>
            </w:r>
          </w:p>
        </w:tc>
        <w:tc>
          <w:tcPr>
            <w:tcW w:type="dxa" w:w="950"/>
            <w:vAlign w:val="top"/>
          </w:tcPr>
          <w:p>
            <w:pPr>
              <w:spacing w:after="40" w:before="0" w:line="259" w:lineRule="auto"/>
            </w:pPr>
            <w:r>
              <w:rPr>
                <w:rFonts w:ascii="Calibri" w:hAnsi="Calibri"/>
                <w:b w:val="0"/>
                <w:i w:val="0"/>
                <w:color w:val="212121"/>
                <w:sz w:val="16"/>
              </w:rPr>
              <w:t>No bone contact</w:t>
            </w:r>
          </w:p>
        </w:tc>
        <w:tc>
          <w:tcPr>
            <w:tcW w:type="dxa" w:w="950"/>
            <w:vAlign w:val="top"/>
          </w:tcPr>
          <w:p>
            <w:pPr>
              <w:spacing w:after="40" w:before="0" w:line="259" w:lineRule="auto"/>
            </w:pPr>
            <w:r>
              <w:rPr>
                <w:rFonts w:ascii="Calibri" w:hAnsi="Calibri"/>
                <w:b w:val="0"/>
                <w:i w:val="0"/>
                <w:color w:val="212121"/>
                <w:sz w:val="16"/>
              </w:rPr>
              <w:t>Palpable bone</w:t>
            </w:r>
          </w:p>
        </w:tc>
        <w:tc>
          <w:tcPr>
            <w:tcW w:type="dxa" w:w="1036"/>
            <w:vAlign w:val="top"/>
          </w:tcPr>
          <w:p>
            <w:pPr>
              <w:spacing w:after="40" w:before="0" w:line="259" w:lineRule="auto"/>
            </w:pPr>
            <w:r>
              <w:rPr>
                <w:rFonts w:ascii="Calibri" w:hAnsi="Calibri"/>
                <w:b w:val="0"/>
                <w:i w:val="0"/>
                <w:color w:val="212121"/>
                <w:sz w:val="16"/>
              </w:rPr>
              <w:t>Positive test raises probability of osteomyelitis</w:t>
            </w:r>
          </w:p>
        </w:tc>
        <w:tc>
          <w:tcPr>
            <w:tcW w:type="dxa" w:w="1036"/>
            <w:vAlign w:val="top"/>
          </w:tcPr>
          <w:p>
            <w:pPr>
              <w:spacing w:after="40" w:before="0" w:line="259" w:lineRule="auto"/>
            </w:pPr>
            <w:r>
              <w:rPr>
                <w:rFonts w:ascii="Calibri" w:hAnsi="Calibri"/>
                <w:b w:val="0"/>
                <w:i w:val="0"/>
                <w:color w:val="212121"/>
                <w:sz w:val="16"/>
              </w:rPr>
              <w:t>Deep/infected ulcers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Bedside adjunct</w:t>
            </w:r>
          </w:p>
        </w:tc>
        <w:tc>
          <w:tcPr>
            <w:tcW w:type="dxa" w:w="720"/>
            <w:vAlign w:val="top"/>
          </w:tcPr>
          <w:p>
            <w:pPr>
              <w:spacing w:after="40" w:before="0" w:line="259" w:lineRule="auto"/>
            </w:pPr>
            <w:r>
              <w:rPr>
                <w:rFonts w:ascii="Calibri" w:hAnsi="Calibri"/>
                <w:b w:val="0"/>
                <w:i w:val="0"/>
                <w:color w:val="212121"/>
                <w:sz w:val="16"/>
              </w:rPr>
              <w:t>Combine with X-ray/MRI and inflammatory markers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Infection assessment</w:t>
            </w:r>
          </w:p>
        </w:tc>
        <w:tc>
          <w:tcPr>
            <w:tcW w:type="dxa" w:w="950"/>
            <w:vAlign w:val="top"/>
          </w:tcPr>
          <w:p>
            <w:pPr>
              <w:spacing w:after="40" w:before="0" w:line="259" w:lineRule="auto"/>
            </w:pPr>
            <w:r>
              <w:rPr>
                <w:rFonts w:ascii="Calibri" w:hAnsi="Calibri"/>
                <w:b w:val="0"/>
                <w:i w:val="0"/>
                <w:color w:val="212121"/>
                <w:sz w:val="16"/>
              </w:rPr>
              <w:t>IWGDF/IDSA infection grading</w:t>
            </w:r>
          </w:p>
        </w:tc>
        <w:tc>
          <w:tcPr>
            <w:tcW w:type="dxa" w:w="979"/>
            <w:vAlign w:val="top"/>
          </w:tcPr>
          <w:p>
            <w:pPr>
              <w:spacing w:after="40" w:before="0" w:line="259" w:lineRule="auto"/>
            </w:pPr>
            <w:r>
              <w:rPr>
                <w:rFonts w:ascii="Calibri" w:hAnsi="Calibri"/>
                <w:b w:val="0"/>
                <w:i w:val="0"/>
                <w:color w:val="212121"/>
                <w:sz w:val="16"/>
              </w:rPr>
              <w:t>Erythema, warmth, swelling, purulence, systemic signs</w:t>
            </w:r>
          </w:p>
        </w:tc>
        <w:tc>
          <w:tcPr>
            <w:tcW w:type="dxa" w:w="950"/>
            <w:vAlign w:val="top"/>
          </w:tcPr>
          <w:p>
            <w:pPr>
              <w:spacing w:after="40" w:before="0" w:line="259" w:lineRule="auto"/>
            </w:pPr>
            <w:r>
              <w:rPr>
                <w:rFonts w:ascii="Calibri" w:hAnsi="Calibri"/>
                <w:b w:val="0"/>
                <w:i w:val="0"/>
                <w:color w:val="212121"/>
                <w:sz w:val="16"/>
              </w:rPr>
              <w:t>Uninfected wound</w:t>
            </w:r>
          </w:p>
        </w:tc>
        <w:tc>
          <w:tcPr>
            <w:tcW w:type="dxa" w:w="950"/>
            <w:vAlign w:val="top"/>
          </w:tcPr>
          <w:p>
            <w:pPr>
              <w:spacing w:after="40" w:before="0" w:line="259" w:lineRule="auto"/>
            </w:pPr>
            <w:r>
              <w:rPr>
                <w:rFonts w:ascii="Calibri" w:hAnsi="Calibri"/>
                <w:b w:val="0"/>
                <w:i w:val="0"/>
                <w:color w:val="212121"/>
                <w:sz w:val="16"/>
              </w:rPr>
              <w:t>Mild / moderate / severe infection</w:t>
            </w:r>
          </w:p>
        </w:tc>
        <w:tc>
          <w:tcPr>
            <w:tcW w:type="dxa" w:w="1036"/>
            <w:vAlign w:val="top"/>
          </w:tcPr>
          <w:p>
            <w:pPr>
              <w:spacing w:after="40" w:before="0" w:line="259" w:lineRule="auto"/>
            </w:pPr>
            <w:r>
              <w:rPr>
                <w:rFonts w:ascii="Calibri" w:hAnsi="Calibri"/>
                <w:b w:val="0"/>
                <w:i w:val="0"/>
                <w:color w:val="212121"/>
                <w:sz w:val="16"/>
              </w:rPr>
              <w:t>Grades infection to guide antibiotics and admission</w:t>
            </w:r>
          </w:p>
        </w:tc>
        <w:tc>
          <w:tcPr>
            <w:tcW w:type="dxa" w:w="1036"/>
            <w:vAlign w:val="top"/>
          </w:tcPr>
          <w:p>
            <w:pPr>
              <w:spacing w:after="40" w:before="0" w:line="259" w:lineRule="auto"/>
            </w:pPr>
            <w:r>
              <w:rPr>
                <w:rFonts w:ascii="Calibri" w:hAnsi="Calibri"/>
                <w:b w:val="0"/>
                <w:i w:val="0"/>
                <w:color w:val="212121"/>
                <w:sz w:val="16"/>
              </w:rPr>
              <w:t>Infected ulcers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Management-defining</w:t>
            </w:r>
          </w:p>
        </w:tc>
        <w:tc>
          <w:tcPr>
            <w:tcW w:type="dxa" w:w="720"/>
            <w:vAlign w:val="top"/>
          </w:tcPr>
          <w:p>
            <w:pPr>
              <w:spacing w:after="40" w:before="0" w:line="259" w:lineRule="auto"/>
            </w:pPr>
            <w:r>
              <w:rPr>
                <w:rFonts w:ascii="Calibri" w:hAnsi="Calibri"/>
                <w:b w:val="0"/>
                <w:i w:val="0"/>
                <w:color w:val="212121"/>
                <w:sz w:val="16"/>
              </w:rPr>
              <w:t>Fever may be absent in diabetes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Numbness / loss of sensation in the feet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Peripheral neuropathy removes protective sensation, so injury and pressure go unnoticed.</w:t>
            </w:r>
          </w:p>
        </w:tc>
      </w:tr>
      <w:tr>
        <w:trPr>
          <w:cantSplit/>
        </w:trPr>
        <w:tc>
          <w:tcPr>
            <w:tcW w:type="dxa" w:w="2304"/>
            <w:vAlign w:val="top"/>
          </w:tcPr>
          <w:p>
            <w:pPr>
              <w:spacing w:after="40" w:before="0" w:line="259" w:lineRule="auto"/>
            </w:pPr>
            <w:r>
              <w:rPr>
                <w:rFonts w:ascii="Calibri" w:hAnsi="Calibri"/>
                <w:b/>
                <w:i w:val="0"/>
                <w:color w:val="212121"/>
                <w:sz w:val="19"/>
              </w:rPr>
              <w:t>Tingling, burning or 'pins-and-needles'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Positive neuropathic symptoms, often worse at night, reflecting small- and large-fibre nerve damage.</w:t>
            </w:r>
          </w:p>
        </w:tc>
      </w:tr>
      <w:tr>
        <w:trPr>
          <w:cantSplit/>
        </w:trPr>
        <w:tc>
          <w:tcPr>
            <w:tcW w:type="dxa" w:w="2304"/>
            <w:vAlign w:val="top"/>
          </w:tcPr>
          <w:p>
            <w:pPr>
              <w:spacing w:after="40" w:before="0" w:line="259" w:lineRule="auto"/>
            </w:pPr>
            <w:r>
              <w:rPr>
                <w:rFonts w:ascii="Calibri" w:hAnsi="Calibri"/>
                <w:b/>
                <w:i w:val="0"/>
                <w:color w:val="212121"/>
                <w:sz w:val="19"/>
              </w:rPr>
              <w:t>A non-healing wound or sore on the foot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presentation — an ulcer at a pressure point or toe that fails to heal over weeks.</w:t>
            </w:r>
          </w:p>
        </w:tc>
      </w:tr>
      <w:tr>
        <w:trPr>
          <w:cantSplit/>
        </w:trPr>
        <w:tc>
          <w:tcPr>
            <w:tcW w:type="dxa" w:w="2304"/>
            <w:vAlign w:val="top"/>
          </w:tcPr>
          <w:p>
            <w:pPr>
              <w:spacing w:after="40" w:before="0" w:line="259" w:lineRule="auto"/>
            </w:pPr>
            <w:r>
              <w:rPr>
                <w:rFonts w:ascii="Calibri" w:hAnsi="Calibri"/>
                <w:b/>
                <w:i w:val="0"/>
                <w:color w:val="212121"/>
                <w:sz w:val="19"/>
              </w:rPr>
              <w:t>Painless ulcer (or, conversely, a painful one)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Neuropathic ulcers are typically painless; ischaemic or infected ulcers are painful.</w:t>
            </w:r>
          </w:p>
        </w:tc>
      </w:tr>
      <w:tr>
        <w:trPr>
          <w:cantSplit/>
        </w:trPr>
        <w:tc>
          <w:tcPr>
            <w:tcW w:type="dxa" w:w="2304"/>
            <w:vAlign w:val="top"/>
          </w:tcPr>
          <w:p>
            <w:pPr>
              <w:spacing w:after="40" w:before="0" w:line="259" w:lineRule="auto"/>
            </w:pPr>
            <w:r>
              <w:rPr>
                <w:rFonts w:ascii="Calibri" w:hAnsi="Calibri"/>
                <w:b/>
                <w:i w:val="0"/>
                <w:color w:val="212121"/>
                <w:sz w:val="19"/>
              </w:rPr>
              <w:t>Foot or ankle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Suggests infection, inflammation or, if warm and red, early Charcot neuroarthropathy.</w:t>
            </w:r>
          </w:p>
        </w:tc>
      </w:tr>
      <w:tr>
        <w:trPr>
          <w:cantSplit/>
        </w:trPr>
        <w:tc>
          <w:tcPr>
            <w:tcW w:type="dxa" w:w="2304"/>
            <w:vAlign w:val="top"/>
          </w:tcPr>
          <w:p>
            <w:pPr>
              <w:spacing w:after="40" w:before="0" w:line="259" w:lineRule="auto"/>
            </w:pPr>
            <w:r>
              <w:rPr>
                <w:rFonts w:ascii="Calibri" w:hAnsi="Calibri"/>
                <w:b/>
                <w:i w:val="0"/>
                <w:color w:val="212121"/>
                <w:sz w:val="19"/>
              </w:rPr>
              <w:t>Discharge, pus or foul smell from the wound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Indicates infection, often polymicrobial with anaerobes producing odour.</w:t>
            </w:r>
          </w:p>
        </w:tc>
      </w:tr>
      <w:tr>
        <w:trPr>
          <w:cantSplit/>
        </w:trPr>
        <w:tc>
          <w:tcPr>
            <w:tcW w:type="dxa" w:w="2304"/>
            <w:vAlign w:val="top"/>
          </w:tcPr>
          <w:p>
            <w:pPr>
              <w:spacing w:after="40" w:before="0" w:line="259" w:lineRule="auto"/>
            </w:pPr>
            <w:r>
              <w:rPr>
                <w:rFonts w:ascii="Calibri" w:hAnsi="Calibri"/>
                <w:b/>
                <w:i w:val="0"/>
                <w:color w:val="212121"/>
                <w:sz w:val="19"/>
              </w:rPr>
              <w:t>Skin discolouration or blackening of toes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Signals ischaemia, necrosis or impending/established gangrene.</w:t>
            </w:r>
          </w:p>
        </w:tc>
      </w:tr>
      <w:tr>
        <w:trPr>
          <w:cantSplit/>
        </w:trPr>
        <w:tc>
          <w:tcPr>
            <w:tcW w:type="dxa" w:w="2304"/>
            <w:vAlign w:val="top"/>
          </w:tcPr>
          <w:p>
            <w:pPr>
              <w:spacing w:after="40" w:before="0" w:line="259" w:lineRule="auto"/>
            </w:pPr>
            <w:r>
              <w:rPr>
                <w:rFonts w:ascii="Calibri" w:hAnsi="Calibri"/>
                <w:b/>
                <w:i w:val="0"/>
                <w:color w:val="212121"/>
                <w:sz w:val="19"/>
              </w:rPr>
              <w:t>Calf pain on walking (intermittent claudication)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symptom of peripheral arterial disease underlying ischaemic ulcers.</w:t>
            </w:r>
          </w:p>
        </w:tc>
      </w:tr>
      <w:tr>
        <w:trPr>
          <w:cantSplit/>
        </w:trPr>
        <w:tc>
          <w:tcPr>
            <w:tcW w:type="dxa" w:w="2304"/>
            <w:vAlign w:val="top"/>
          </w:tcPr>
          <w:p>
            <w:pPr>
              <w:spacing w:after="40" w:before="0" w:line="259" w:lineRule="auto"/>
            </w:pPr>
            <w:r>
              <w:rPr>
                <w:rFonts w:ascii="Calibri" w:hAnsi="Calibri"/>
                <w:b/>
                <w:i w:val="0"/>
                <w:color w:val="212121"/>
                <w:sz w:val="19"/>
              </w:rPr>
              <w:t>Fever, chills or feeling unwell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Systemic features of spreading infection or sepsis; may be blunted in diabetes.</w:t>
            </w:r>
          </w:p>
        </w:tc>
      </w:tr>
      <w:tr>
        <w:trPr>
          <w:cantSplit/>
        </w:trPr>
        <w:tc>
          <w:tcPr>
            <w:tcW w:type="dxa" w:w="2304"/>
            <w:vAlign w:val="top"/>
          </w:tcPr>
          <w:p>
            <w:pPr>
              <w:spacing w:after="40" w:before="0" w:line="259" w:lineRule="auto"/>
            </w:pPr>
            <w:r>
              <w:rPr>
                <w:rFonts w:ascii="Calibri" w:hAnsi="Calibri"/>
                <w:b/>
                <w:i w:val="0"/>
                <w:color w:val="212121"/>
                <w:sz w:val="19"/>
              </w:rPr>
              <w:t>Change in foot shape or a 'collapsed' arch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Charcot neuroarthropathy can deform the mid-foot into a rocker-bottom shape.</w:t>
            </w:r>
          </w:p>
        </w:tc>
      </w:tr>
      <w:tr>
        <w:trPr>
          <w:cantSplit/>
        </w:trPr>
        <w:tc>
          <w:tcPr>
            <w:tcW w:type="dxa" w:w="2304"/>
            <w:vAlign w:val="top"/>
          </w:tcPr>
          <w:p>
            <w:pPr>
              <w:spacing w:after="40" w:before="0" w:line="259" w:lineRule="auto"/>
            </w:pPr>
            <w:r>
              <w:rPr>
                <w:rFonts w:ascii="Calibri" w:hAnsi="Calibri"/>
                <w:b/>
                <w:i w:val="0"/>
                <w:color w:val="212121"/>
                <w:sz w:val="19"/>
              </w:rPr>
              <w:t>Rest pain in the foot at night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Ischaemic rest pain indicates critical limb ischaemia needing urgent vascular assessment.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Loss of protective sensation (monofilament negative)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Inability to feel a 10 g monofilament at plantar sites — the key sign of ulcer-predisposing neuropathy.</w:t>
            </w:r>
          </w:p>
        </w:tc>
      </w:tr>
      <w:tr>
        <w:trPr>
          <w:cantSplit/>
        </w:trPr>
        <w:tc>
          <w:tcPr>
            <w:tcW w:type="dxa" w:w="3456"/>
            <w:vAlign w:val="top"/>
          </w:tcPr>
          <w:p>
            <w:pPr>
              <w:spacing w:after="40" w:before="0" w:line="259" w:lineRule="auto"/>
            </w:pPr>
            <w:r>
              <w:rPr>
                <w:rFonts w:ascii="Calibri" w:hAnsi="Calibri"/>
                <w:b/>
                <w:i w:val="0"/>
                <w:color w:val="212121"/>
                <w:sz w:val="19"/>
              </w:rPr>
              <w:t>Reduced or absent vibration sense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Diminished perception with a 128 Hz tuning fork or biothesiometer (VPT &gt; 25 V).</w:t>
            </w:r>
          </w:p>
        </w:tc>
      </w:tr>
      <w:tr>
        <w:trPr>
          <w:cantSplit/>
        </w:trPr>
        <w:tc>
          <w:tcPr>
            <w:tcW w:type="dxa" w:w="3456"/>
            <w:vAlign w:val="top"/>
          </w:tcPr>
          <w:p>
            <w:pPr>
              <w:spacing w:after="40" w:before="0" w:line="259" w:lineRule="auto"/>
            </w:pPr>
            <w:r>
              <w:rPr>
                <w:rFonts w:ascii="Calibri" w:hAnsi="Calibri"/>
                <w:b/>
                <w:i w:val="0"/>
                <w:color w:val="212121"/>
                <w:sz w:val="19"/>
              </w:rPr>
              <w:t>Plantar callus / hyperkeratosis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Marks abnormally high pressure points and pre-ulcerative skin; may overlie a hidden ulcer.</w:t>
            </w:r>
          </w:p>
        </w:tc>
      </w:tr>
      <w:tr>
        <w:trPr>
          <w:cantSplit/>
        </w:trPr>
        <w:tc>
          <w:tcPr>
            <w:tcW w:type="dxa" w:w="3456"/>
            <w:vAlign w:val="top"/>
          </w:tcPr>
          <w:p>
            <w:pPr>
              <w:spacing w:after="40" w:before="0" w:line="259" w:lineRule="auto"/>
            </w:pPr>
            <w:r>
              <w:rPr>
                <w:rFonts w:ascii="Calibri" w:hAnsi="Calibri"/>
                <w:b/>
                <w:i w:val="0"/>
                <w:color w:val="212121"/>
                <w:sz w:val="19"/>
              </w:rPr>
              <w:t>Foot ulcer with 'punched-out' edges over a pressure point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neuropathic ulcer, typically over metatarsal heads or the heel, ringed by callus.</w:t>
            </w:r>
          </w:p>
        </w:tc>
      </w:tr>
      <w:tr>
        <w:trPr>
          <w:cantSplit/>
        </w:trPr>
        <w:tc>
          <w:tcPr>
            <w:tcW w:type="dxa" w:w="3456"/>
            <w:vAlign w:val="top"/>
          </w:tcPr>
          <w:p>
            <w:pPr>
              <w:spacing w:after="40" w:before="0" w:line="259" w:lineRule="auto"/>
            </w:pPr>
            <w:r>
              <w:rPr>
                <w:rFonts w:ascii="Calibri" w:hAnsi="Calibri"/>
                <w:b/>
                <w:i w:val="0"/>
                <w:color w:val="212121"/>
                <w:sz w:val="19"/>
              </w:rPr>
              <w:t>Absent or weak peripheral pulses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Impalpable dorsalis pedis/posterior tibial pulses indicate peripheral arterial disease.</w:t>
            </w:r>
          </w:p>
        </w:tc>
      </w:tr>
      <w:tr>
        <w:trPr>
          <w:cantSplit/>
        </w:trPr>
        <w:tc>
          <w:tcPr>
            <w:tcW w:type="dxa" w:w="3456"/>
            <w:vAlign w:val="top"/>
          </w:tcPr>
          <w:p>
            <w:pPr>
              <w:spacing w:after="40" w:before="0" w:line="259" w:lineRule="auto"/>
            </w:pPr>
            <w:r>
              <w:rPr>
                <w:rFonts w:ascii="Calibri" w:hAnsi="Calibri"/>
                <w:b/>
                <w:i w:val="0"/>
                <w:color w:val="212121"/>
                <w:sz w:val="19"/>
              </w:rPr>
              <w:t>Dry, cracked, fissured skin (anhidrosis)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Autonomic neuropathy reduces sweating, creating fissures that act as portals for infection.</w:t>
            </w:r>
          </w:p>
        </w:tc>
      </w:tr>
      <w:tr>
        <w:trPr>
          <w:cantSplit/>
        </w:trPr>
        <w:tc>
          <w:tcPr>
            <w:tcW w:type="dxa" w:w="3456"/>
            <w:vAlign w:val="top"/>
          </w:tcPr>
          <w:p>
            <w:pPr>
              <w:spacing w:after="40" w:before="0" w:line="259" w:lineRule="auto"/>
            </w:pPr>
            <w:r>
              <w:rPr>
                <w:rFonts w:ascii="Calibri" w:hAnsi="Calibri"/>
                <w:b/>
                <w:i w:val="0"/>
                <w:color w:val="212121"/>
                <w:sz w:val="19"/>
              </w:rPr>
              <w:t>Foot deformities (claw/hammer toes, prominent metatarsal heads, pes cavus)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Motor neuropathy alters foot architecture and concentrates pressure.</w:t>
            </w:r>
          </w:p>
        </w:tc>
      </w:tr>
      <w:tr>
        <w:trPr>
          <w:cantSplit/>
        </w:trPr>
        <w:tc>
          <w:tcPr>
            <w:tcW w:type="dxa" w:w="3456"/>
            <w:vAlign w:val="top"/>
          </w:tcPr>
          <w:p>
            <w:pPr>
              <w:spacing w:after="40" w:before="0" w:line="259" w:lineRule="auto"/>
            </w:pPr>
            <w:r>
              <w:rPr>
                <w:rFonts w:ascii="Calibri" w:hAnsi="Calibri"/>
                <w:b/>
                <w:i w:val="0"/>
                <w:color w:val="212121"/>
                <w:sz w:val="19"/>
              </w:rPr>
              <w:t>Local signs of infection (warmth, erythema, swelling, purulence)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Cellulitis or deeper infection; erythema &gt; 2 cm suggests moderate/severe infection.</w:t>
            </w:r>
          </w:p>
        </w:tc>
      </w:tr>
      <w:tr>
        <w:trPr>
          <w:cantSplit/>
        </w:trPr>
        <w:tc>
          <w:tcPr>
            <w:tcW w:type="dxa" w:w="3456"/>
            <w:vAlign w:val="top"/>
          </w:tcPr>
          <w:p>
            <w:pPr>
              <w:spacing w:after="40" w:before="0" w:line="259" w:lineRule="auto"/>
            </w:pPr>
            <w:r>
              <w:rPr>
                <w:rFonts w:ascii="Calibri" w:hAnsi="Calibri"/>
                <w:b/>
                <w:i w:val="0"/>
                <w:color w:val="212121"/>
                <w:sz w:val="19"/>
              </w:rPr>
              <w:t>Gangrene or tissue necrosis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Black, devitalised tissue from severe ischaemia and/or infection.</w:t>
            </w:r>
          </w:p>
        </w:tc>
      </w:tr>
      <w:tr>
        <w:trPr>
          <w:cantSplit/>
        </w:trPr>
        <w:tc>
          <w:tcPr>
            <w:tcW w:type="dxa" w:w="3456"/>
            <w:vAlign w:val="top"/>
          </w:tcPr>
          <w:p>
            <w:pPr>
              <w:spacing w:after="40" w:before="0" w:line="259" w:lineRule="auto"/>
            </w:pPr>
            <w:r>
              <w:rPr>
                <w:rFonts w:ascii="Calibri" w:hAnsi="Calibri"/>
                <w:b/>
                <w:i w:val="0"/>
                <w:color w:val="212121"/>
                <w:sz w:val="19"/>
              </w:rPr>
              <w:t>Positive probe-to-bone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Palpable bone at the ulcer base raises the probability of osteomyelitis.</w:t>
            </w:r>
          </w:p>
        </w:tc>
      </w:tr>
      <w:tr>
        <w:trPr>
          <w:cantSplit/>
        </w:trPr>
        <w:tc>
          <w:tcPr>
            <w:tcW w:type="dxa" w:w="3456"/>
            <w:vAlign w:val="top"/>
          </w:tcPr>
          <w:p>
            <w:pPr>
              <w:spacing w:after="40" w:before="0" w:line="259" w:lineRule="auto"/>
            </w:pPr>
            <w:r>
              <w:rPr>
                <w:rFonts w:ascii="Calibri" w:hAnsi="Calibri"/>
                <w:b/>
                <w:i w:val="0"/>
                <w:color w:val="212121"/>
                <w:sz w:val="19"/>
              </w:rPr>
              <w:t>Charcot deformity (warm, swollen, rocker-bottom foot)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Neuro-osteoarthropathy with midfoot collapse; often mistaken for infection.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 wound infection and cellulitis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Deep-space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Osteomyelitis (bone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Wet or dry gangrene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Necrotising soft-tissue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Sepsis</w:t>
            </w:r>
          </w:p>
        </w:tc>
        <w:tc>
          <w:tcPr>
            <w:tcW w:type="dxa" w:w="2980"/>
            <w:vAlign w:val="top"/>
          </w:tcPr>
          <w:p>
            <w:pPr>
              <w:spacing w:after="40" w:before="0" w:line="259" w:lineRule="auto"/>
            </w:pPr>
            <w:r>
              <w:rPr>
                <w:rFonts w:ascii="Calibri" w:hAnsi="Calibri"/>
                <w:b w:val="0"/>
                <w:i w:val="0"/>
                <w:color w:val="212121"/>
                <w:sz w:val="19"/>
              </w:rPr>
              <w:t>Direct infective and ischaemic consequences of the ulcer, often polymicrobial and rapidly progressive in diabetes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Spreading/ascending infection of the limb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non-healing wound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ulceration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Charcot neuroarthropathy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Contralateral-foot overload and ulceration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Anaemia and hypoalbuminaemia of chronic disease</w:t>
            </w:r>
          </w:p>
        </w:tc>
        <w:tc>
          <w:tcPr>
            <w:tcW w:type="dxa" w:w="2980"/>
            <w:vAlign w:val="top"/>
          </w:tcPr>
          <w:p>
            <w:pPr>
              <w:spacing w:after="40" w:before="0" w:line="259" w:lineRule="auto"/>
            </w:pPr>
            <w:r>
              <w:rPr>
                <w:rFonts w:ascii="Calibri" w:hAnsi="Calibri"/>
                <w:b w:val="0"/>
                <w:i w:val="0"/>
                <w:color w:val="212121"/>
                <w:sz w:val="19"/>
              </w:rPr>
              <w:t>Result from persistent infection, ischaemia and altered biomechanics when the ulcer fails to heal</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Minor amputation (toe/ray/forefoot)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Major lower-limb amputation (below- or above-knee)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mobility and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Contralateral limb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w:t>
            </w:r>
          </w:p>
        </w:tc>
        <w:tc>
          <w:tcPr>
            <w:tcW w:type="dxa" w:w="2980"/>
            <w:vAlign w:val="top"/>
          </w:tcPr>
          <w:p>
            <w:pPr>
              <w:spacing w:after="40" w:before="0" w:line="259" w:lineRule="auto"/>
            </w:pPr>
            <w:r>
              <w:rPr>
                <w:rFonts w:ascii="Calibri" w:hAnsi="Calibri"/>
                <w:b w:val="0"/>
                <w:i w:val="0"/>
                <w:color w:val="212121"/>
                <w:sz w:val="19"/>
              </w:rPr>
              <w:t>Irreversible, disabling outcomes; DFU is the leading cause of non-traumatic amputation and carries high 5-year mortality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 (poor glycaemic control)</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underlying disease; sustained hyperglycaemia drives the neuropathy, vascular disease and impaired healing that cause and perpetuate the ulcer.</w:t>
            </w:r>
          </w:p>
        </w:tc>
      </w:tr>
      <w:tr>
        <w:trPr>
          <w:cantSplit/>
        </w:trPr>
        <w:tc>
          <w:tcPr>
            <w:tcW w:type="dxa" w:w="2232"/>
            <w:vAlign w:val="top"/>
          </w:tcPr>
          <w:p>
            <w:pPr>
              <w:spacing w:after="40" w:before="0" w:line="259" w:lineRule="auto"/>
            </w:pPr>
            <w:r>
              <w:rPr>
                <w:rFonts w:ascii="Calibri" w:hAnsi="Calibri"/>
                <w:b/>
                <w:i w:val="0"/>
                <w:color w:val="212121"/>
                <w:sz w:val="19"/>
              </w:rPr>
              <w:t>Diabetic peripheral neuropathy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Loss of protective sensation is the central causal pathway; present in the majority of ulcers and confers ~7-fold risk.</w:t>
            </w:r>
          </w:p>
          <w:p>
            <w:pPr>
              <w:spacing w:after="40" w:before="0" w:line="259" w:lineRule="auto"/>
            </w:pPr>
            <w:r>
              <w:rPr>
                <w:rFonts w:ascii="Calibri" w:hAnsi="Calibri"/>
                <w:b/>
                <w:i w:val="0"/>
                <w:color w:val="212121"/>
                <w:sz w:val="19"/>
              </w:rPr>
              <w:t>~60–70% of ulcers</w:t>
            </w:r>
          </w:p>
        </w:tc>
      </w:tr>
      <w:tr>
        <w:trPr>
          <w:cantSplit/>
        </w:trPr>
        <w:tc>
          <w:tcPr>
            <w:tcW w:type="dxa" w:w="2232"/>
            <w:vAlign w:val="top"/>
          </w:tcPr>
          <w:p>
            <w:pPr>
              <w:spacing w:after="40" w:before="0" w:line="259" w:lineRule="auto"/>
            </w:pPr>
            <w:r>
              <w:rPr>
                <w:rFonts w:ascii="Calibri" w:hAnsi="Calibri"/>
                <w:b/>
                <w:i w:val="0"/>
                <w:color w:val="212121"/>
                <w:sz w:val="19"/>
              </w:rPr>
              <w:t>Peripheral arterial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Ischaemia impairs healing and antibiotic delivery, causing ischaemic ulcers, gangrene and amputation; dictates need for revascularisation.</w:t>
            </w:r>
          </w:p>
          <w:p>
            <w:pPr>
              <w:spacing w:after="40" w:before="0" w:line="259" w:lineRule="auto"/>
            </w:pPr>
            <w:r>
              <w:rPr>
                <w:rFonts w:ascii="Calibri" w:hAnsi="Calibri"/>
                <w:b/>
                <w:i w:val="0"/>
                <w:color w:val="212121"/>
                <w:sz w:val="19"/>
              </w:rPr>
              <w:t>~50%</w:t>
            </w:r>
          </w:p>
        </w:tc>
      </w:tr>
      <w:tr>
        <w:trPr>
          <w:cantSplit/>
        </w:trPr>
        <w:tc>
          <w:tcPr>
            <w:tcW w:type="dxa" w:w="2232"/>
            <w:vAlign w:val="top"/>
          </w:tcPr>
          <w:p>
            <w:pPr>
              <w:spacing w:after="40" w:before="0" w:line="259" w:lineRule="auto"/>
            </w:pPr>
            <w:r>
              <w:rPr>
                <w:rFonts w:ascii="Calibri" w:hAnsi="Calibri"/>
                <w:b/>
                <w:i w:val="0"/>
                <w:color w:val="212121"/>
                <w:sz w:val="19"/>
              </w:rPr>
              <w:t>Osteomyelitis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Deep infection extends to bone, prolonging treatment and frequently necessitating surgery or amputation.</w:t>
            </w:r>
          </w:p>
          <w:p>
            <w:pPr>
              <w:spacing w:after="40" w:before="0" w:line="259" w:lineRule="auto"/>
            </w:pPr>
            <w:r>
              <w:rPr>
                <w:rFonts w:ascii="Calibri" w:hAnsi="Calibri"/>
                <w:b/>
                <w:i w:val="0"/>
                <w:color w:val="212121"/>
                <w:sz w:val="19"/>
              </w:rPr>
              <w:t>Up to 50% of infected ulcers</w:t>
            </w:r>
          </w:p>
        </w:tc>
      </w:tr>
      <w:tr>
        <w:trPr>
          <w:cantSplit/>
        </w:trPr>
        <w:tc>
          <w:tcPr>
            <w:tcW w:type="dxa" w:w="2232"/>
            <w:vAlign w:val="top"/>
          </w:tcPr>
          <w:p>
            <w:pPr>
              <w:spacing w:after="40" w:before="0" w:line="259" w:lineRule="auto"/>
            </w:pPr>
            <w:r>
              <w:rPr>
                <w:rFonts w:ascii="Calibri" w:hAnsi="Calibri"/>
                <w:b/>
                <w:i w:val="0"/>
                <w:color w:val="212121"/>
                <w:sz w:val="19"/>
              </w:rPr>
              <w:t>Diabetic retinopathy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marker of established microvascular disease that clusters strongly with DFU and reflects long, poorly controlled diabetes.</w:t>
            </w:r>
          </w:p>
          <w:p>
            <w:pPr>
              <w:spacing w:after="40" w:before="0" w:line="259" w:lineRule="auto"/>
            </w:pPr>
            <w:r>
              <w:rPr>
                <w:rFonts w:ascii="Calibri" w:hAnsi="Calibri"/>
                <w:b/>
                <w:i w:val="0"/>
                <w:color w:val="212121"/>
                <w:sz w:val="19"/>
              </w:rPr>
              <w:t>~90% of DFU patients</w:t>
            </w:r>
          </w:p>
        </w:tc>
      </w:tr>
      <w:tr>
        <w:trPr>
          <w:cantSplit/>
        </w:trPr>
        <w:tc>
          <w:tcPr>
            <w:tcW w:type="dxa" w:w="2232"/>
            <w:vAlign w:val="top"/>
          </w:tcPr>
          <w:p>
            <w:pPr>
              <w:spacing w:after="40" w:before="0" w:line="259" w:lineRule="auto"/>
            </w:pPr>
            <w:r>
              <w:rPr>
                <w:rFonts w:ascii="Calibri" w:hAnsi="Calibri"/>
                <w:b/>
                <w:i w:val="0"/>
                <w:color w:val="212121"/>
                <w:sz w:val="19"/>
              </w:rPr>
              <w:t>Diabetic nephropathy / chronic kidney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Advanced microvascular disease and dialysis sharply raise ulcer and amputation risk and impair healing.</w:t>
            </w:r>
          </w:p>
          <w:p>
            <w:pPr>
              <w:spacing w:after="40" w:before="0" w:line="259" w:lineRule="auto"/>
            </w:pPr>
            <w:r>
              <w:rPr>
                <w:rFonts w:ascii="Calibri" w:hAnsi="Calibri"/>
                <w:b/>
                <w:i w:val="0"/>
                <w:color w:val="212121"/>
                <w:sz w:val="19"/>
              </w:rPr>
              <w:t>~46% ulceration in dialysis patients</w:t>
            </w:r>
          </w:p>
        </w:tc>
      </w:tr>
      <w:tr>
        <w:trPr>
          <w:cantSplit/>
        </w:trPr>
        <w:tc>
          <w:tcPr>
            <w:tcW w:type="dxa" w:w="2232"/>
            <w:vAlign w:val="top"/>
          </w:tcPr>
          <w:p>
            <w:pPr>
              <w:spacing w:after="40" w:before="0" w:line="259" w:lineRule="auto"/>
            </w:pPr>
            <w:r>
              <w:rPr>
                <w:rFonts w:ascii="Calibri" w:hAnsi="Calibri"/>
                <w:b/>
                <w:i w:val="0"/>
                <w:color w:val="212121"/>
                <w:sz w:val="19"/>
              </w:rPr>
              <w:t>Charcot neuroarthropathy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Neuropathy-driven bone and joint destruction deforms the foot, creating new pressure points and ulceration.</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Coexists as part of the cardiometabolic cluster and accelerates the vascular disease underlying ischaemic ulcers.</w:t>
            </w:r>
          </w:p>
          <w:p>
            <w:pPr>
              <w:spacing w:after="40" w:before="0" w:line="259" w:lineRule="auto"/>
            </w:pPr>
            <w:r>
              <w:rPr>
                <w:rFonts w:ascii="Calibri" w:hAnsi="Calibri"/>
                <w:b/>
                <w:i w:val="0"/>
                <w:color w:val="212121"/>
                <w:sz w:val="19"/>
              </w:rPr>
              <w:t>Common (up to ~78% uncontrolled in some Indian cohorts)</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Promotes atherosclerosis and peripheral arterial disease, contributing to ischaemia and poor healing.</w:t>
            </w:r>
          </w:p>
          <w:p>
            <w:pPr>
              <w:spacing w:after="40" w:before="0" w:line="259" w:lineRule="auto"/>
            </w:pPr>
            <w:r>
              <w:rPr>
                <w:rFonts w:ascii="Calibri" w:hAnsi="Calibri"/>
                <w:b/>
                <w:i w:val="0"/>
                <w:color w:val="212121"/>
                <w:sz w:val="19"/>
              </w:rPr>
              <w:t>~56% in an Indian diabetes cohort</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in people living with a chronic, disfiguring wound; worsens self-care, healing, recurrence and mortality in a bidirectional loop.</w:t>
            </w:r>
          </w:p>
        </w:tc>
      </w:tr>
      <w:tr>
        <w:trPr>
          <w:cantSplit/>
        </w:trPr>
        <w:tc>
          <w:tcPr>
            <w:tcW w:type="dxa" w:w="2232"/>
            <w:vAlign w:val="top"/>
          </w:tcPr>
          <w:p>
            <w:pPr>
              <w:spacing w:after="40" w:before="0" w:line="259" w:lineRule="auto"/>
            </w:pPr>
            <w:r>
              <w:rPr>
                <w:rFonts w:ascii="Calibri" w:hAnsi="Calibri"/>
                <w:b/>
                <w:i w:val="0"/>
                <w:color w:val="212121"/>
                <w:sz w:val="19"/>
              </w:rPr>
              <w:t>Cardiovascular disease (CAD, stroke)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Shares the atherosclerotic substrate of PAD; DFU marks a high-risk vascular patient with elevated cardiovascular mortality.</w:t>
            </w:r>
          </w:p>
        </w:tc>
      </w:tr>
      <w:tr>
        <w:trPr>
          <w:cantSplit/>
        </w:trPr>
        <w:tc>
          <w:tcPr>
            <w:tcW w:type="dxa" w:w="2232"/>
            <w:vAlign w:val="top"/>
          </w:tcPr>
          <w:p>
            <w:pPr>
              <w:spacing w:after="40" w:before="0" w:line="259" w:lineRule="auto"/>
            </w:pPr>
            <w:r>
              <w:rPr>
                <w:rFonts w:ascii="Calibri" w:hAnsi="Calibri"/>
                <w:b/>
                <w:i w:val="0"/>
                <w:color w:val="212121"/>
                <w:sz w:val="19"/>
              </w:rPr>
              <w:t>Anaemia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Reduces oxygen delivery to the wound and independently impairs ulcer healing.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diabetic foot ulcers are largely preventable and usually painless — daily foot checks matter even when the foot feels normal.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Inspect both feet every day (use a mirror or ask a family member) for cuts, blisters, redness, swelling, colour change or discharge, especially between the toes and on the soles.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walk barefoot indoors or outdoors; always wear well-fitting, closed, cushioned footwear and check inside shoes for stones or rough seams before wearing.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toe-grip sandals with thin soles and hard straps, hot surfaces, hot-water bottles and open fires, which cause unnoticed burns on insensate feet.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annual foot screening (monofilament, pulses) and seek same-day care for any new ulcer, colour change, swelling or foul smell — 'time is tissue'.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blood glucose, blood pressure and cholesterol at target and stop smoking to protect nerves and circulation.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Neuropathy/high-risk feet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barefoot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Prior-ulcer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an existing ulcer, follow the offloading plan exactly (total-contact cast or prescribed device) and keep weight off the wound — this is as important as any dressing.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wound-clinic reviews for debridement and dressing changes; do not self-treat with unproven topical remedies.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signs (spreading redness, swelling, foul discharge, fever, black tissue) and present to hospital urgently.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recurrence is common after healing — continue protective footwear, custom insoles and daily inspection for life ('remission', not cure').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 active ulcer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Post-healing (remission)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Post-amputation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 active plantar ulcer, avoid weight-bearing on the wound and use the prescribed offloading device; favour seated or upper-body and non-weight-bearing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healed, resume regular low-impact activity (walking in protective footwear, cycling, swimming) to improve glycaemic control and circulation.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supervised exercise/graded walking for peripheral arterial disease to improve claudication distance, alongside vascular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daily ankle and toe range-of-motion and calf stretches to reduce plantar pressure and maintain mobility.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 plantar ulcer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PAD/claudication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Post-healing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diabetics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fibre-rich, low-glycaemic diet (whole grains, millets, pulses, non-starchy vegetables) to keep HbA1c below target and protect nerves and vessels.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intake to support skin integrity and wound repair, and correct deficiencies of vitamin C, zinc and vitamin 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refined carbohydrates, sugar-sweetened drinks, deep-fried and ultra-processed foods that cause glucose spikes.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anaemia and hypoalbuminaemia, which impair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High-risk/prediabetic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Poorly controlled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Malnourished/elderly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Tighten glycaemic control (individualised HbA1c target, usually &lt; 7%) to speed wound healing and reduce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high-protein, calorie-adequate nutrition during active ulceration/infection to meet increased metabolic demand.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Supplement specific deficiencies (zinc, vitamin C, vitamin D, iron) guided by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nutrition with renal needs in patients with chronic kidney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 active/infected ulcer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Poorly controlled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glycaemic control and tissue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common in obese diabetics, as it worsens metabolic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neuropathic foot pain that disturbs sleep with appropriate agents (e.g., gabapentinoids, duloxetine) under medical guidance.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painful neuropathy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(cigarettes, bidis, smokeless) — smoking accelerates the arterial disease that causes ischaemic ulcers and amputation.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bupropion, varenicline) and quitlines to sustain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impairs microcirculation.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diabetics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PAD/ischaemic-ulcer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Pre-operative/revascularisation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strictly limit alcohol, which worsens peripheral neuropathy and impairs balance, self-care and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that heavy drinking is linked to delayed presentation and poorer foot-care behaviours.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alcohol-use disorder and offer support where dependence is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with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poor self-care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and anxiety, which are common with chronic foot wounds and predict poorer healing, recurrence and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support, counselling and, where indicated, antidepressant therapy alongside wound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family and community health workers to sustain daily foot care, offloading adherence and clinic attendance.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distress of possible or actual amputation with structured support and peer/rehabilitation programmes.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 chronic/recurrent ulcer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Post-amputation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or elderly diabetics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007/s13410-024-01400-x" TargetMode="External"/><Relationship Id="rId10" Type="http://schemas.openxmlformats.org/officeDocument/2006/relationships/hyperlink" Target="https://diabetesjournals.org/care/article/46/1/209/148198/Etiology-Epidemiology-and-Disparities-in-the" TargetMode="External"/><Relationship Id="rId11" Type="http://schemas.openxmlformats.org/officeDocument/2006/relationships/hyperlink" Target="https://www.ncbi.nlm.nih.gov/books/NBK409609/" TargetMode="External"/><Relationship Id="rId12" Type="http://schemas.openxmlformats.org/officeDocument/2006/relationships/hyperlink" Target="https://www.redalyc.org/journal/6920/692072541005/html/" TargetMode="External"/><Relationship Id="rId13" Type="http://schemas.openxmlformats.org/officeDocument/2006/relationships/hyperlink" Target="https://nmji.in/footwear-in-the-causation-and-prevention-of-foot-ulcers-in-diabetes-mellitus/" TargetMode="External"/><Relationship Id="rId14" Type="http://schemas.openxmlformats.org/officeDocument/2006/relationships/hyperlink" Target="https://pmc.ncbi.nlm.nih.gov/articles/PMC5774386/" TargetMode="External"/><Relationship Id="rId15" Type="http://schemas.openxmlformats.org/officeDocument/2006/relationships/hyperlink" Target="https://www.ncbi.nlm.nih.gov/books/NBK499887/" TargetMode="External"/><Relationship Id="rId16" Type="http://schemas.openxmlformats.org/officeDocument/2006/relationships/hyperlink" Target="https://journals.plos.org/plosone/article/file?id=10.1371/journal.pone.0175270&amp;type=prin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