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Coronary Heart Disease</w:t>
      </w:r>
    </w:p>
    <w:p>
      <w:pPr>
        <w:spacing w:before="0" w:after="160"/>
      </w:pPr>
      <w:r>
        <w:rPr>
          <w:rFonts w:ascii="Calibri" w:hAnsi="Calibri"/>
          <w:b/>
          <w:i w:val="0"/>
          <w:color w:val="212121"/>
          <w:sz w:val="22"/>
        </w:rPr>
        <w:t xml:space="preserve">AKA </w:t>
      </w:r>
      <w:r>
        <w:rPr>
          <w:rFonts w:ascii="Calibri" w:hAnsi="Calibri"/>
          <w:b w:val="0"/>
          <w:i w:val="0"/>
          <w:color w:val="212121"/>
          <w:sz w:val="22"/>
        </w:rPr>
        <w:t>i.e., Coronary Artery Disease (CAD), Ischemic Heart Disease (IHD), Atherosclerotic Heart Disease, Heart Blockage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Coronary heart disease (CHD) is a chronic, progressive disorder in which the coronary arteries that supply oxygen-rich blood to the heart muscle become narrowed or blocked by atherosclerotic plaque (fatty deposits), reducing myocardial blood flow. The resulting mismatch between oxygen supply and demand causes angina (chest pain), and rupture of an unstable plaque with clot formation can precipitate acute myocardial infarction (heart attack), dangerous rhythm disturbances, heart failure or sudden cardiac death. CHD is the most common form of heart disease and the single largest cause of death in India and worldwide.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Coronary heart disease is the leading cause of death in India. Under stringent (clinical/ECG) criteria prevalence is roughly 2-4% in urban and 1-2% in rural adults, rising to about 8-10% (urban) and 4-6% (rural) by broader survey criteria - consistently higher in cities but climbing rapidly in rural areas. Indians tend to develop CHD 5-10 years earlier than Western populations, and cardiovascular disease accounted for about 27% of all deaths in India (2016), including nearly 45% of deaths in the productive 40-69 year age group.</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Coronary heart disease is diagnosed by integrating typical symptoms and cardiovascular risk factors with objective evidence of myocardial ischaemia or coronary atherosclerosis, using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resting 12-lead ECG showing ischaemic changes - ST-segment depression or elevation, T-wave inversion, or pathological Q waves;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elevated cardiac biomarkers (high-sensitivity troponin I or T above the 99th percentile) indicating acute myocardial injury or infarction;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inducible ischaemia on stress testing - treadmill/exercise ECG, stress echocardiography, or myocardial perfusion imaging;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obstructive coronary stenosis on CT coronary angiography or invasive coronary angiography (generally &gt;= 70% narrowing of an epicardial artery, or &gt;= 50% of the left main);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coronary artery calcium (CAC) score on CT quantifying subclinical atherosclerosis (score &gt; 0 confirms plaque; &gt;= 100 denotes elevated risk).</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Coronary heart disease is classified along a clinical spectrum from stable disease to life-threatening acute events:</w:t>
      </w:r>
    </w:p>
    <w:p>
      <w:pPr>
        <w:spacing w:before="0" w:after="80"/>
      </w:pPr>
      <w:r>
        <w:rPr>
          <w:rFonts w:ascii="Calibri" w:hAnsi="Calibri"/>
          <w:b w:val="0"/>
          <w:i w:val="0"/>
          <w:color w:val="212121"/>
          <w:sz w:val="21"/>
        </w:rPr>
        <w:t>(1) Chronic coronary syndrome (stable ischaemic heart disease) - fixed atherosclerotic narrowing producing predictable, exertional angina relieved by rest or nitrates, without acute plaque instability;</w:t>
      </w:r>
    </w:p>
    <w:p>
      <w:pPr>
        <w:spacing w:before="0" w:after="80"/>
      </w:pPr>
      <w:r>
        <w:rPr>
          <w:rFonts w:ascii="Calibri" w:hAnsi="Calibri"/>
          <w:b w:val="0"/>
          <w:i w:val="0"/>
          <w:color w:val="212121"/>
          <w:sz w:val="21"/>
        </w:rPr>
        <w:t>(2) Acute coronary syndromes (ACS) - caused by plaque rupture/erosion with thrombosis, subdivided into unstable angina (ischaemic symptoms without troponin rise), non-ST-elevation myocardial infarction (NSTEMI, troponin rise without persistent ST elevation), and ST-elevation myocardial infarction (STEMI, full-thickness ischaemia requiring emergency reperfusion);</w:t>
      </w:r>
    </w:p>
    <w:p>
      <w:pPr>
        <w:spacing w:before="0" w:after="80"/>
      </w:pPr>
      <w:r>
        <w:rPr>
          <w:rFonts w:ascii="Calibri" w:hAnsi="Calibri"/>
          <w:b w:val="0"/>
          <w:i w:val="0"/>
          <w:color w:val="212121"/>
          <w:sz w:val="21"/>
        </w:rPr>
        <w:t>(3) Silent (asymptomatic) myocardial ischaemia - objective ischaemia or infarction without chest pain, common in people with diabetes and the elderly; and</w:t>
      </w:r>
    </w:p>
    <w:p>
      <w:pPr>
        <w:spacing w:before="0" w:after="80"/>
      </w:pPr>
      <w:r>
        <w:rPr>
          <w:rFonts w:ascii="Calibri" w:hAnsi="Calibri"/>
          <w:b w:val="0"/>
          <w:i w:val="0"/>
          <w:color w:val="212121"/>
          <w:sz w:val="21"/>
        </w:rPr>
        <w:t>(4) Non-obstructive coronary disease - ischaemia or infarction with non-obstructive coronary arteries (INOCA/MINOCA), including coronary microvascular dysfunction and vasospasm, increasingly recognised particularly in women.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Atherosclerosis: Progressive sub-endothelial accumulation of cholesterol-rich, inflamed plaque underlies nearly all CHD; plaque rupture and thrombosis produce acute events.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Dyslipidaemia: High LDL-cholesterol and lipoprotein(a) with low HDL and high triglycerides drive plaque formation; the atherogenic high-triglyceride/low-HDL/small-dense-LDL pattern is especially common in Indians.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Hypertension: Chronically raised arterial pressure injures the endothelium and accelerates atherosclerosis and left-ventricular strain.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Diabetes and insulin resistance: Hyperglycaemia and the metabolic syndrome promote endothelial dysfunction, inflammation and accelerated, diffuse coronary disease.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Tobacco use: Smoking, bidis and smokeless tobacco cause endothelial injury, thrombogenicity and vasoconstriction, and are among the strongest modifiable risks in South Asians.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Genetic predisposition: A family history of premature CHD and South Asian ancestry (including high lipoprotein(a) and abdominal thin-fat phenotype) markedly increase susceptibility.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w:t>
            </w:r>
          </w:p>
        </w:tc>
        <w:tc>
          <w:tcPr>
            <w:tcW w:type="dxa" w:w="4276"/>
            <w:vAlign w:val="top"/>
          </w:tcPr>
          <w:p>
            <w:pPr>
              <w:spacing w:after="60" w:line="259" w:lineRule="auto"/>
            </w:pPr>
            <w:r>
              <w:rPr>
                <w:rFonts w:ascii="Calibri" w:hAnsi="Calibri"/>
                <w:b w:val="0"/>
                <w:i w:val="0"/>
                <w:color w:val="212121"/>
                <w:sz w:val="19"/>
              </w:rPr>
              <w:t>Atherosclerosis builds silently over years, so risk rises through middle age as cumulative exposure to lipids, blood pressure, smoking and insulin resistance damages the coronary endothelium. In Indians the disease strikes a decade earlier than in the West, so working-age adults in their 30s-50s form a large share of heart-attack patients.</w:t>
            </w:r>
          </w:p>
          <w:p>
            <w:pPr>
              <w:spacing w:after="40" w:before="60" w:line="259" w:lineRule="auto"/>
            </w:pPr>
            <w:r>
              <w:rPr>
                <w:rFonts w:ascii="Calibri" w:hAnsi="Calibri"/>
                <w:b w:val="0"/>
                <w:i w:val="0"/>
                <w:color w:val="212121"/>
                <w:sz w:val="19"/>
              </w:rPr>
              <w:t>In Indian acute coronary syndrome registries (CREATE) the mean age of presentation is about 58 years - roughly a decade younger than in high-income countries.</w:t>
            </w:r>
          </w:p>
          <w:p>
            <w:pPr>
              <w:spacing w:after="40" w:line="252" w:lineRule="auto"/>
            </w:pPr>
            <w:hyperlink r:id="rId9">
              <w:r>
                <w:rPr>
                  <w:rFonts w:ascii="Calibri" w:hAnsi="Calibri" w:cs="Calibri"/>
                  <w:sz w:val="18"/>
                  <w:color w:val="1155CC"/>
                  <w:u w:val="single"/>
                </w:rPr>
                <w:t xml:space="preserve">cadiresearch.org - acute coronary syndrome in India (CREATE)</w:t>
              </w:r>
            </w:hyperlink>
          </w:p>
          <w:p>
            <w:pPr>
              <w:spacing w:before="60" w:after="40"/>
            </w:pPr>
            <w:r>
              <w:rPr>
                <w:rFonts w:ascii="Calibri" w:hAnsi="Calibri"/>
                <w:b w:val="0"/>
                <w:i w:val="0"/>
                <w:color w:val="5A5A5A"/>
                <w:sz w:val="18"/>
              </w:rPr>
              <w:t>#prematureCAD  #atherosclerosis  #workingage  #southasian  #earlyonset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Cumulative plaque burden, arterial stiffening, hypertension and declining renal function make the elderly the group with the highest absolute prevalence and case-fatality; their presentations are frequently atypical or silent.</w:t>
            </w:r>
          </w:p>
          <w:p>
            <w:pPr>
              <w:spacing w:after="40" w:before="60" w:line="259" w:lineRule="auto"/>
            </w:pPr>
            <w:r>
              <w:rPr>
                <w:rFonts w:ascii="Calibri" w:hAnsi="Calibri"/>
                <w:b w:val="0"/>
                <w:i w:val="0"/>
                <w:color w:val="212121"/>
                <w:sz w:val="19"/>
              </w:rPr>
              <w:t>Cardiovascular disease accounts for roughly 45% of deaths in the 40-69 year age band in India, with the burden concentrating in older adults.</w:t>
            </w:r>
          </w:p>
          <w:p>
            <w:pPr>
              <w:spacing w:after="40" w:line="252" w:lineRule="auto"/>
            </w:pPr>
            <w:hyperlink r:id="rId10">
              <w:r>
                <w:rPr>
                  <w:rFonts w:ascii="Calibri" w:hAnsi="Calibri" w:cs="Calibri"/>
                  <w:sz w:val="18"/>
                  <w:color w:val="1155CC"/>
                  <w:u w:val="single"/>
                </w:rPr>
                <w:t xml:space="preserve">who.int - cardiovascular diseases (India)</w:t>
              </w:r>
            </w:hyperlink>
          </w:p>
          <w:p>
            <w:pPr>
              <w:spacing w:before="60" w:after="40"/>
            </w:pPr>
            <w:r>
              <w:rPr>
                <w:rFonts w:ascii="Calibri" w:hAnsi="Calibri"/>
                <w:b w:val="0"/>
                <w:i w:val="0"/>
                <w:color w:val="5A5A5A"/>
                <w:sz w:val="18"/>
              </w:rPr>
              <w:t>#ageing  #silentischaemia  #arterialstiffness  #comorbidity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develop CHD earlier and more often than pre-menopausal women, owing to greater visceral/abdominal fat, higher smoking rates and the absence of oestrogen's vascular protection.</w:t>
            </w:r>
          </w:p>
          <w:p>
            <w:pPr>
              <w:spacing w:after="40" w:before="60" w:line="259" w:lineRule="auto"/>
            </w:pPr>
            <w:r>
              <w:rPr>
                <w:rFonts w:ascii="Calibri" w:hAnsi="Calibri"/>
                <w:b w:val="0"/>
                <w:i w:val="0"/>
                <w:color w:val="212121"/>
                <w:sz w:val="19"/>
              </w:rPr>
              <w:t>Indian ACS registries are strongly male-predominant; population smoking prevalence is far higher in men (about 22.8%) than women (about 2.4%), amplifying male risk.</w:t>
            </w:r>
          </w:p>
          <w:p>
            <w:pPr>
              <w:spacing w:after="40" w:line="252" w:lineRule="auto"/>
            </w:pPr>
            <w:hyperlink r:id="rId11">
              <w:r>
                <w:rPr>
                  <w:rFonts w:ascii="Calibri" w:hAnsi="Calibri" w:cs="Calibri"/>
                  <w:sz w:val="18"/>
                  <w:color w:val="1155CC"/>
                  <w:u w:val="single"/>
                </w:rPr>
                <w:t xml:space="preserve">annalsofglobalhealth.org - trends in CHD epidemiology in India</w:t>
              </w:r>
            </w:hyperlink>
          </w:p>
          <w:p>
            <w:pPr>
              <w:spacing w:before="60" w:after="40"/>
            </w:pPr>
            <w:r>
              <w:rPr>
                <w:rFonts w:ascii="Calibri" w:hAnsi="Calibri"/>
                <w:b w:val="0"/>
                <w:i w:val="0"/>
                <w:color w:val="5A5A5A"/>
                <w:sz w:val="18"/>
              </w:rPr>
              <w:t>#malesex  #visceralfat  #smoking  #testosterone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(post-menopausal)</w:t>
            </w:r>
          </w:p>
        </w:tc>
        <w:tc>
          <w:tcPr>
            <w:tcW w:type="dxa" w:w="4276"/>
            <w:vAlign w:val="top"/>
          </w:tcPr>
          <w:p>
            <w:pPr>
              <w:spacing w:after="60" w:line="259" w:lineRule="auto"/>
            </w:pPr>
            <w:r>
              <w:rPr>
                <w:rFonts w:ascii="Calibri" w:hAnsi="Calibri"/>
                <w:b w:val="0"/>
                <w:i w:val="0"/>
                <w:color w:val="212121"/>
                <w:sz w:val="19"/>
              </w:rPr>
              <w:t>After menopause the loss of oestrogen removes vascular protection and lipids worsen, so women's CHD risk rises sharply and catches up to men; women also present atypically, have more non-obstructive disease and higher post-MI mortality.</w:t>
            </w:r>
          </w:p>
          <w:p>
            <w:pPr>
              <w:spacing w:after="40" w:before="60" w:line="259" w:lineRule="auto"/>
            </w:pPr>
            <w:r>
              <w:rPr>
                <w:rFonts w:ascii="Calibri" w:hAnsi="Calibri"/>
                <w:b w:val="0"/>
                <w:i w:val="0"/>
                <w:color w:val="212121"/>
                <w:sz w:val="19"/>
              </w:rPr>
              <w:t>Female smokers have about a 25% higher relative risk of CHD than male smokers with the same tobacco exposure.</w:t>
            </w:r>
          </w:p>
          <w:p>
            <w:pPr>
              <w:spacing w:after="40" w:line="252" w:lineRule="auto"/>
            </w:pPr>
            <w:hyperlink r:id="rId12">
              <w:r>
                <w:rPr>
                  <w:rFonts w:ascii="Calibri" w:hAnsi="Calibri" w:cs="Calibri"/>
                  <w:sz w:val="18"/>
                  <w:color w:val="1155CC"/>
                  <w:u w:val="single"/>
                </w:rPr>
                <w:t xml:space="preserve">jtd.amegroups.org - cardiovascular risk of smoking</w:t>
              </w:r>
            </w:hyperlink>
          </w:p>
          <w:p>
            <w:pPr>
              <w:spacing w:before="60" w:after="40"/>
            </w:pPr>
            <w:r>
              <w:rPr>
                <w:rFonts w:ascii="Calibri" w:hAnsi="Calibri"/>
                <w:b w:val="0"/>
                <w:i w:val="0"/>
                <w:color w:val="5A5A5A"/>
                <w:sz w:val="18"/>
              </w:rPr>
              <w:t>#postmenopausal  #atypical  #INOCA  #womenheart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 and transitioning socioeconomic groups</w:t>
            </w:r>
          </w:p>
        </w:tc>
        <w:tc>
          <w:tcPr>
            <w:tcW w:type="dxa" w:w="4276"/>
            <w:vAlign w:val="top"/>
          </w:tcPr>
          <w:p>
            <w:pPr>
              <w:spacing w:after="60" w:line="259" w:lineRule="auto"/>
            </w:pPr>
            <w:r>
              <w:rPr>
                <w:rFonts w:ascii="Calibri" w:hAnsi="Calibri"/>
                <w:b w:val="0"/>
                <w:i w:val="0"/>
                <w:color w:val="212121"/>
                <w:sz w:val="19"/>
              </w:rPr>
              <w:t>CHD in India has shifted down the social gradient: once a disease of the affluent, the burden now falls increasingly on lower-middle and poor groups who face tobacco use, cheap energy-dense food, chronic stress and limited access to preventive care.</w:t>
            </w:r>
          </w:p>
          <w:p>
            <w:pPr>
              <w:spacing w:after="40" w:before="60" w:line="259" w:lineRule="auto"/>
            </w:pPr>
            <w:r>
              <w:rPr>
                <w:rFonts w:ascii="Calibri" w:hAnsi="Calibri"/>
                <w:b w:val="0"/>
                <w:i w:val="0"/>
                <w:color w:val="212121"/>
                <w:sz w:val="19"/>
              </w:rPr>
              <w:t>In the CREATE registry of Indian ACS patients, about 53% were from the lower-middle class and around 20% from poor socioeconomic groups.</w:t>
            </w:r>
          </w:p>
          <w:p>
            <w:pPr>
              <w:spacing w:after="40" w:line="252" w:lineRule="auto"/>
            </w:pPr>
            <w:hyperlink r:id="rId9">
              <w:r>
                <w:rPr>
                  <w:rFonts w:ascii="Calibri" w:hAnsi="Calibri" w:cs="Calibri"/>
                  <w:sz w:val="18"/>
                  <w:color w:val="1155CC"/>
                  <w:u w:val="single"/>
                </w:rPr>
                <w:t xml:space="preserve">cadiresearch.org - acute coronary syndrome in India (CREATE)</w:t>
              </w:r>
            </w:hyperlink>
          </w:p>
          <w:p>
            <w:pPr>
              <w:spacing w:before="60" w:after="40"/>
            </w:pPr>
            <w:r>
              <w:rPr>
                <w:rFonts w:ascii="Calibri" w:hAnsi="Calibri"/>
                <w:b w:val="0"/>
                <w:i w:val="0"/>
                <w:color w:val="5A5A5A"/>
                <w:sz w:val="18"/>
              </w:rPr>
              <w:t>#socialgradient  #epidemiologicaltransition  #accesstocare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Asian Indian (South Asian)</w:t>
            </w:r>
          </w:p>
        </w:tc>
        <w:tc>
          <w:tcPr>
            <w:tcW w:type="dxa" w:w="4276"/>
            <w:vAlign w:val="top"/>
          </w:tcPr>
          <w:p>
            <w:pPr>
              <w:spacing w:after="60" w:line="259" w:lineRule="auto"/>
            </w:pPr>
            <w:r>
              <w:rPr>
                <w:rFonts w:ascii="Calibri" w:hAnsi="Calibri"/>
                <w:b w:val="0"/>
                <w:i w:val="0"/>
                <w:color w:val="212121"/>
                <w:sz w:val="19"/>
              </w:rPr>
              <w:t>South Asians carry an intrinsically higher CHD risk from a characteristic dyslipidaemia (high triglycerides, low HDL, small dense LDL, high lipoprotein(a)), abdominal thin-fat obesity and insulin resistance - driving earlier and more diffuse disease.</w:t>
            </w:r>
          </w:p>
          <w:p>
            <w:pPr>
              <w:spacing w:after="40" w:before="60" w:line="259" w:lineRule="auto"/>
            </w:pPr>
            <w:r>
              <w:rPr>
                <w:rFonts w:ascii="Calibri" w:hAnsi="Calibri"/>
                <w:b w:val="0"/>
                <w:i w:val="0"/>
                <w:color w:val="212121"/>
                <w:sz w:val="19"/>
              </w:rPr>
              <w:t>The INTERHEART study found nine modifiable factors explain about 86% of myocardial infarction risk in South Asians, with abnormal ApoB/ApoA1 ratio and smoking alone accounting for roughly two-thirds of the risk.</w:t>
            </w:r>
          </w:p>
          <w:p>
            <w:pPr>
              <w:spacing w:after="40" w:line="252" w:lineRule="auto"/>
            </w:pPr>
            <w:hyperlink r:id="rId13">
              <w:r>
                <w:rPr>
                  <w:rFonts w:ascii="Calibri" w:hAnsi="Calibri" w:cs="Calibri"/>
                  <w:sz w:val="18"/>
                  <w:color w:val="1155CC"/>
                  <w:u w:val="single"/>
                </w:rPr>
                <w:t xml:space="preserve">ijmr.org.in - CHD in Indians: INTERHEART</w:t>
              </w:r>
            </w:hyperlink>
          </w:p>
          <w:p>
            <w:pPr>
              <w:spacing w:before="60" w:after="40"/>
            </w:pPr>
            <w:r>
              <w:rPr>
                <w:rFonts w:ascii="Calibri" w:hAnsi="Calibri"/>
                <w:b w:val="0"/>
                <w:i w:val="0"/>
                <w:color w:val="5A5A5A"/>
                <w:sz w:val="18"/>
              </w:rPr>
              <w:t>#southasian  #thinfat  #lipoproteinA  #insulinresistance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Urban residents</w:t>
            </w:r>
          </w:p>
        </w:tc>
        <w:tc>
          <w:tcPr>
            <w:tcW w:type="dxa" w:w="4276"/>
            <w:vAlign w:val="top"/>
          </w:tcPr>
          <w:p>
            <w:pPr>
              <w:spacing w:after="60" w:line="259" w:lineRule="auto"/>
            </w:pPr>
            <w:r>
              <w:rPr>
                <w:rFonts w:ascii="Calibri" w:hAnsi="Calibri"/>
                <w:b w:val="0"/>
                <w:i w:val="0"/>
                <w:color w:val="212121"/>
                <w:sz w:val="19"/>
              </w:rPr>
              <w:t>Urbanisation brings sedentary work, energy-dense processed diets, higher obesity and stress, so CHD prevalence is consistently higher in cities than villages - though rural rates are now rising fast.</w:t>
            </w:r>
          </w:p>
          <w:p>
            <w:pPr>
              <w:spacing w:after="40" w:before="60" w:line="259" w:lineRule="auto"/>
            </w:pPr>
            <w:r>
              <w:rPr>
                <w:rFonts w:ascii="Calibri" w:hAnsi="Calibri"/>
                <w:b w:val="0"/>
                <w:i w:val="0"/>
                <w:color w:val="212121"/>
                <w:sz w:val="19"/>
              </w:rPr>
              <w:t>By survey criteria urban CHD prevalence (~8-10%) is roughly double rural prevalence (~4-6%); under stringent criteria the figures are about 2-4% urban versus 1-2% rural.</w:t>
            </w:r>
          </w:p>
          <w:p>
            <w:pPr>
              <w:spacing w:after="40" w:line="252" w:lineRule="auto"/>
            </w:pPr>
            <w:hyperlink r:id="rId11">
              <w:r>
                <w:rPr>
                  <w:rFonts w:ascii="Calibri" w:hAnsi="Calibri" w:cs="Calibri"/>
                  <w:sz w:val="18"/>
                  <w:color w:val="1155CC"/>
                  <w:u w:val="single"/>
                </w:rPr>
                <w:t xml:space="preserve">annalsofglobalhealth.org - trends in CHD epidemiology in India</w:t>
              </w:r>
            </w:hyperlink>
          </w:p>
          <w:p>
            <w:pPr>
              <w:spacing w:before="60" w:after="40"/>
            </w:pPr>
            <w:r>
              <w:rPr>
                <w:rFonts w:ascii="Calibri" w:hAnsi="Calibri"/>
                <w:b w:val="0"/>
                <w:i w:val="0"/>
                <w:color w:val="5A5A5A"/>
                <w:sz w:val="18"/>
              </w:rPr>
              <w:t>#urbanisation  #processedfood  #sedentary  #urbanrural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Office workers, urban adults, homemakers</w:t>
            </w:r>
          </w:p>
        </w:tc>
        <w:tc>
          <w:tcPr>
            <w:tcW w:type="dxa" w:w="4276"/>
            <w:vAlign w:val="top"/>
          </w:tcPr>
          <w:p>
            <w:pPr>
              <w:spacing w:after="60" w:line="259" w:lineRule="auto"/>
            </w:pPr>
            <w:r>
              <w:rPr>
                <w:rFonts w:ascii="Calibri" w:hAnsi="Calibri"/>
                <w:b w:val="0"/>
                <w:i w:val="0"/>
                <w:color w:val="212121"/>
                <w:sz w:val="19"/>
              </w:rPr>
              <w:t>Physical inactivity worsens lipids, blood pressure, weight and insulin resistance and removes the heart's protective conditioning, directly promoting atherosclerosis; women and city-dwellers are the most inactive in India.</w:t>
            </w:r>
          </w:p>
          <w:p>
            <w:pPr>
              <w:spacing w:after="40" w:before="60" w:line="259" w:lineRule="auto"/>
            </w:pPr>
            <w:r>
              <w:rPr>
                <w:rFonts w:ascii="Calibri" w:hAnsi="Calibri"/>
                <w:b w:val="0"/>
                <w:i w:val="0"/>
                <w:color w:val="212121"/>
                <w:sz w:val="19"/>
              </w:rPr>
              <w:t>About 41.3% of Indian adults are insufficiently physically active - women 52.4% versus men 30.9%, and urban 51.7% versus rural 36.1%.</w:t>
            </w:r>
          </w:p>
          <w:p>
            <w:pPr>
              <w:spacing w:after="40" w:line="252" w:lineRule="auto"/>
            </w:pPr>
            <w:hyperlink r:id="rId14">
              <w:r>
                <w:rPr>
                  <w:rFonts w:ascii="Calibri" w:hAnsi="Calibri" w:cs="Calibri"/>
                  <w:sz w:val="18"/>
                  <w:color w:val="1155CC"/>
                  <w:u w:val="single"/>
                </w:rPr>
                <w:t xml:space="preserve">journals.humankinetics.com - insufficient physical activity in India (NNMS)</w:t>
              </w:r>
            </w:hyperlink>
          </w:p>
          <w:p>
            <w:pPr>
              <w:spacing w:before="60" w:after="40"/>
            </w:pPr>
            <w:r>
              <w:rPr>
                <w:rFonts w:ascii="Calibri" w:hAnsi="Calibri"/>
                <w:b w:val="0"/>
                <w:i w:val="0"/>
                <w:color w:val="5A5A5A"/>
                <w:sz w:val="18"/>
              </w:rPr>
              <w:t>#sedentary  #inactivity  #urbanlifestyle  #deconditioning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and tobacco</w:t>
            </w:r>
          </w:p>
        </w:tc>
        <w:tc>
          <w:tcPr>
            <w:tcW w:type="dxa" w:w="2160"/>
            <w:vAlign w:val="top"/>
          </w:tcPr>
          <w:p>
            <w:pPr>
              <w:spacing w:after="40" w:before="0" w:line="259" w:lineRule="auto"/>
            </w:pPr>
            <w:r>
              <w:rPr>
                <w:rFonts w:ascii="Calibri" w:hAnsi="Calibri"/>
                <w:b w:val="0"/>
                <w:i w:val="0"/>
                <w:color w:val="212121"/>
                <w:sz w:val="19"/>
              </w:rPr>
              <w:t>Smokers, bidi and smokeless-tobacco users</w:t>
            </w:r>
          </w:p>
        </w:tc>
        <w:tc>
          <w:tcPr>
            <w:tcW w:type="dxa" w:w="4276"/>
            <w:vAlign w:val="top"/>
          </w:tcPr>
          <w:p>
            <w:pPr>
              <w:spacing w:after="60" w:line="259" w:lineRule="auto"/>
            </w:pPr>
            <w:r>
              <w:rPr>
                <w:rFonts w:ascii="Calibri" w:hAnsi="Calibri"/>
                <w:b w:val="0"/>
                <w:i w:val="0"/>
                <w:color w:val="212121"/>
                <w:sz w:val="19"/>
              </w:rPr>
              <w:t>Tobacco injures the endothelium, promotes clotting and vasoconstriction and lowers HDL; it is one of the two strongest modifiable risks for MI in Indians and includes bidis and widely used smokeless forms (gutkha, khaini).</w:t>
            </w:r>
          </w:p>
          <w:p>
            <w:pPr>
              <w:spacing w:after="40" w:before="60" w:line="259" w:lineRule="auto"/>
            </w:pPr>
            <w:r>
              <w:rPr>
                <w:rFonts w:ascii="Calibri" w:hAnsi="Calibri"/>
                <w:b w:val="0"/>
                <w:i w:val="0"/>
                <w:color w:val="212121"/>
                <w:sz w:val="19"/>
              </w:rPr>
              <w:t>Active smoking roughly doubles the 10-year risk of fatal coronary events and raises atherosclerotic CVD risk by about 80%; quitting by age 40 removes about 90% of the excess risk of death.</w:t>
            </w:r>
          </w:p>
          <w:p>
            <w:pPr>
              <w:spacing w:after="40" w:line="252" w:lineRule="auto"/>
            </w:pPr>
            <w:hyperlink r:id="rId12">
              <w:r>
                <w:rPr>
                  <w:rFonts w:ascii="Calibri" w:hAnsi="Calibri" w:cs="Calibri"/>
                  <w:sz w:val="18"/>
                  <w:color w:val="1155CC"/>
                  <w:u w:val="single"/>
                </w:rPr>
                <w:t xml:space="preserve">jtd.amegroups.org - cardiovascular risk of smoking</w:t>
              </w:r>
            </w:hyperlink>
          </w:p>
          <w:p>
            <w:pPr>
              <w:spacing w:before="60" w:after="40"/>
            </w:pPr>
            <w:r>
              <w:rPr>
                <w:rFonts w:ascii="Calibri" w:hAnsi="Calibri"/>
                <w:b w:val="0"/>
                <w:i w:val="0"/>
                <w:color w:val="5A5A5A"/>
                <w:sz w:val="18"/>
              </w:rPr>
              <w:t>#smoking  #tobacco  #bidi  #smokeless  #endothelium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and regular drinkers</w:t>
            </w:r>
          </w:p>
        </w:tc>
        <w:tc>
          <w:tcPr>
            <w:tcW w:type="dxa" w:w="4276"/>
            <w:vAlign w:val="top"/>
          </w:tcPr>
          <w:p>
            <w:pPr>
              <w:spacing w:after="60" w:line="259" w:lineRule="auto"/>
            </w:pPr>
            <w:r>
              <w:rPr>
                <w:rFonts w:ascii="Calibri" w:hAnsi="Calibri"/>
                <w:b w:val="0"/>
                <w:i w:val="0"/>
                <w:color w:val="212121"/>
                <w:sz w:val="19"/>
              </w:rPr>
              <w:t>Heavy drinking raises blood pressure, triglycerides and the risk of arrhythmia and cardiomyopathy; importantly the modest protection reported in some Western studies does not apply to South Asians.</w:t>
            </w:r>
          </w:p>
          <w:p>
            <w:pPr>
              <w:spacing w:after="40" w:before="60" w:line="259" w:lineRule="auto"/>
            </w:pPr>
            <w:r>
              <w:rPr>
                <w:rFonts w:ascii="Calibri" w:hAnsi="Calibri"/>
                <w:b w:val="0"/>
                <w:i w:val="0"/>
                <w:color w:val="212121"/>
                <w:sz w:val="19"/>
              </w:rPr>
              <w:t>In INTERHEART, regular alcohol use was not protective against myocardial infarction in South Asians (odds ratio about 1.06).</w:t>
            </w:r>
          </w:p>
          <w:p>
            <w:pPr>
              <w:spacing w:after="40" w:line="252" w:lineRule="auto"/>
            </w:pPr>
            <w:hyperlink r:id="rId13">
              <w:r>
                <w:rPr>
                  <w:rFonts w:ascii="Calibri" w:hAnsi="Calibri" w:cs="Calibri"/>
                  <w:sz w:val="18"/>
                  <w:color w:val="1155CC"/>
                  <w:u w:val="single"/>
                </w:rPr>
                <w:t xml:space="preserve">ijmr.org.in - CHD in Indians: INTERHEART</w:t>
              </w:r>
            </w:hyperlink>
          </w:p>
          <w:p>
            <w:pPr>
              <w:spacing w:before="60" w:after="40"/>
            </w:pPr>
            <w:r>
              <w:rPr>
                <w:rFonts w:ascii="Calibri" w:hAnsi="Calibri"/>
                <w:b w:val="0"/>
                <w:i w:val="0"/>
                <w:color w:val="5A5A5A"/>
                <w:sz w:val="18"/>
              </w:rPr>
              <w:t>#alcohol  #hypertension  #triglycerides  #arrhythmia</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refined-carb, fried and trans-fat diets</w:t>
            </w:r>
          </w:p>
        </w:tc>
        <w:tc>
          <w:tcPr>
            <w:tcW w:type="dxa" w:w="4276"/>
            <w:vAlign w:val="top"/>
          </w:tcPr>
          <w:p>
            <w:pPr>
              <w:spacing w:after="60" w:line="259" w:lineRule="auto"/>
            </w:pPr>
            <w:r>
              <w:rPr>
                <w:rFonts w:ascii="Calibri" w:hAnsi="Calibri"/>
                <w:b w:val="0"/>
                <w:i w:val="0"/>
                <w:color w:val="212121"/>
                <w:sz w:val="19"/>
              </w:rPr>
              <w:t>Diets rich in refined carbohydrate (white rice, maida), deep-fried foods and reused or partially-hydrogenated oils (vanaspati) raise LDL, triglycerides and inflammation while lowering HDL, accelerating atherosclerosis.</w:t>
            </w:r>
          </w:p>
          <w:p>
            <w:pPr>
              <w:spacing w:after="40" w:before="60" w:line="259" w:lineRule="auto"/>
            </w:pPr>
            <w:r>
              <w:rPr>
                <w:rFonts w:ascii="Calibri" w:hAnsi="Calibri"/>
                <w:b w:val="0"/>
                <w:i w:val="0"/>
                <w:color w:val="212121"/>
                <w:sz w:val="19"/>
              </w:rPr>
              <w:t>Diets high in refined carbohydrate and trans fat, combined with low fruit and vegetable intake, are established contributors to the high MI burden in South Asians identified by INTERHEART.</w:t>
            </w:r>
          </w:p>
          <w:p>
            <w:pPr>
              <w:spacing w:after="40" w:line="252" w:lineRule="auto"/>
            </w:pPr>
            <w:hyperlink r:id="rId13">
              <w:r>
                <w:rPr>
                  <w:rFonts w:ascii="Calibri" w:hAnsi="Calibri" w:cs="Calibri"/>
                  <w:sz w:val="18"/>
                  <w:color w:val="1155CC"/>
                  <w:u w:val="single"/>
                </w:rPr>
                <w:t xml:space="preserve">ijmr.org.in - CHD in Indians: INTERHEART</w:t>
              </w:r>
            </w:hyperlink>
          </w:p>
          <w:p>
            <w:pPr>
              <w:spacing w:before="60" w:after="40"/>
            </w:pPr>
            <w:r>
              <w:rPr>
                <w:rFonts w:ascii="Calibri" w:hAnsi="Calibri"/>
                <w:b w:val="0"/>
                <w:i w:val="0"/>
                <w:color w:val="5A5A5A"/>
                <w:sz w:val="18"/>
              </w:rPr>
              <w:t>#refinedcarbs  #transfat  #vanaspati  #friedfood  #glycemicload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fruit and vegetable intake</w:t>
            </w:r>
          </w:p>
        </w:tc>
        <w:tc>
          <w:tcPr>
            <w:tcW w:type="dxa" w:w="2160"/>
            <w:vAlign w:val="top"/>
          </w:tcPr>
          <w:p>
            <w:pPr>
              <w:spacing w:after="40" w:before="0" w:line="259" w:lineRule="auto"/>
            </w:pPr>
            <w:r>
              <w:rPr>
                <w:rFonts w:ascii="Calibri" w:hAnsi="Calibri"/>
                <w:b w:val="0"/>
                <w:i w:val="0"/>
                <w:color w:val="212121"/>
                <w:sz w:val="19"/>
              </w:rPr>
              <w:t>Diets low in fruits, vegetables and fibre</w:t>
            </w:r>
          </w:p>
        </w:tc>
        <w:tc>
          <w:tcPr>
            <w:tcW w:type="dxa" w:w="4276"/>
            <w:vAlign w:val="top"/>
          </w:tcPr>
          <w:p>
            <w:pPr>
              <w:spacing w:after="60" w:line="259" w:lineRule="auto"/>
            </w:pPr>
            <w:r>
              <w:rPr>
                <w:rFonts w:ascii="Calibri" w:hAnsi="Calibri"/>
                <w:b w:val="0"/>
                <w:i w:val="0"/>
                <w:color w:val="212121"/>
                <w:sz w:val="19"/>
              </w:rPr>
              <w:t>Fruits, vegetables and whole grains supply fibre, potassium and antioxidants that lower LDL and blood pressure; their low intake removes this protection and is markedly lower among South Asians.</w:t>
            </w:r>
          </w:p>
          <w:p>
            <w:pPr>
              <w:spacing w:after="40" w:before="60" w:line="259" w:lineRule="auto"/>
            </w:pPr>
            <w:r>
              <w:rPr>
                <w:rFonts w:ascii="Calibri" w:hAnsi="Calibri"/>
                <w:b w:val="0"/>
                <w:i w:val="0"/>
                <w:color w:val="212121"/>
                <w:sz w:val="19"/>
              </w:rPr>
              <w:t>INTERHEART found that regular fruit and vegetable intake and leisure-time physical activity - both protective - are markedly lower among South Asians than in other populations.</w:t>
            </w:r>
          </w:p>
          <w:p>
            <w:pPr>
              <w:spacing w:after="40" w:line="252" w:lineRule="auto"/>
            </w:pPr>
            <w:hyperlink r:id="rId13">
              <w:r>
                <w:rPr>
                  <w:rFonts w:ascii="Calibri" w:hAnsi="Calibri" w:cs="Calibri"/>
                  <w:sz w:val="18"/>
                  <w:color w:val="1155CC"/>
                  <w:u w:val="single"/>
                </w:rPr>
                <w:t xml:space="preserve">ijmr.org.in - CHD in Indians: INTERHEART</w:t>
              </w:r>
            </w:hyperlink>
          </w:p>
          <w:p>
            <w:pPr>
              <w:spacing w:before="60" w:after="40"/>
            </w:pPr>
            <w:r>
              <w:rPr>
                <w:rFonts w:ascii="Calibri" w:hAnsi="Calibri"/>
                <w:b w:val="0"/>
                <w:i w:val="0"/>
                <w:color w:val="5A5A5A"/>
                <w:sz w:val="18"/>
              </w:rPr>
              <w:t>#lowfibre  #fruitsveg  #antioxidants  #diet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premature CHD</w:t>
            </w:r>
          </w:p>
        </w:tc>
        <w:tc>
          <w:tcPr>
            <w:tcW w:type="dxa" w:w="4276"/>
            <w:vAlign w:val="top"/>
          </w:tcPr>
          <w:p>
            <w:pPr>
              <w:spacing w:after="60" w:line="259" w:lineRule="auto"/>
            </w:pPr>
            <w:r>
              <w:rPr>
                <w:rFonts w:ascii="Calibri" w:hAnsi="Calibri"/>
                <w:b w:val="0"/>
                <w:i w:val="0"/>
                <w:color w:val="212121"/>
                <w:sz w:val="19"/>
              </w:rPr>
              <w:t>A parent or sibling with early CHD signals shared genetic and lifestyle risk, roughly doubling an individual's risk and shifting onset earlier; such family clustering is prominent in Indian families.</w:t>
            </w:r>
          </w:p>
          <w:p>
            <w:pPr>
              <w:spacing w:after="40" w:before="60" w:line="259" w:lineRule="auto"/>
            </w:pPr>
            <w:r>
              <w:rPr>
                <w:rFonts w:ascii="Calibri" w:hAnsi="Calibri"/>
                <w:b w:val="0"/>
                <w:i w:val="0"/>
                <w:color w:val="212121"/>
                <w:sz w:val="19"/>
              </w:rPr>
              <w:t>A positive family history of premature coronary disease is a well-established independent risk factor, and premature/young-onset CAD is disproportionately common in Indians.</w:t>
            </w:r>
          </w:p>
          <w:p>
            <w:pPr>
              <w:spacing w:before="60" w:after="40"/>
            </w:pPr>
            <w:r>
              <w:rPr>
                <w:rFonts w:ascii="Calibri" w:hAnsi="Calibri"/>
                <w:b w:val="0"/>
                <w:i w:val="0"/>
                <w:color w:val="5A5A5A"/>
                <w:sz w:val="18"/>
              </w:rPr>
              <w:t>#familyhistory  #genetics  #prematureCAD  #inherited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Lipoprotein(a)</w:t>
            </w:r>
          </w:p>
        </w:tc>
        <w:tc>
          <w:tcPr>
            <w:tcW w:type="dxa" w:w="2160"/>
            <w:vAlign w:val="top"/>
          </w:tcPr>
          <w:p>
            <w:pPr>
              <w:spacing w:after="40" w:before="0" w:line="259" w:lineRule="auto"/>
            </w:pPr>
            <w:r>
              <w:rPr>
                <w:rFonts w:ascii="Calibri" w:hAnsi="Calibri"/>
                <w:b w:val="0"/>
                <w:i w:val="0"/>
                <w:color w:val="212121"/>
                <w:sz w:val="19"/>
              </w:rPr>
              <w:t>People with elevated Lp(a)</w:t>
            </w:r>
          </w:p>
        </w:tc>
        <w:tc>
          <w:tcPr>
            <w:tcW w:type="dxa" w:w="4276"/>
            <w:vAlign w:val="top"/>
          </w:tcPr>
          <w:p>
            <w:pPr>
              <w:spacing w:after="60" w:line="259" w:lineRule="auto"/>
            </w:pPr>
            <w:r>
              <w:rPr>
                <w:rFonts w:ascii="Calibri" w:hAnsi="Calibri"/>
                <w:b w:val="0"/>
                <w:i w:val="0"/>
                <w:color w:val="212121"/>
                <w:sz w:val="19"/>
              </w:rPr>
              <w:t>Lipoprotein(a) is a genetically determined, pro-atherogenic and pro-thrombotic lipoprotein that is not lowered by lifestyle; South Asians commonly have high levels, driving early and aggressive coronary disease.</w:t>
            </w:r>
          </w:p>
          <w:p>
            <w:pPr>
              <w:spacing w:after="40" w:before="60" w:line="259" w:lineRule="auto"/>
            </w:pPr>
            <w:r>
              <w:rPr>
                <w:rFonts w:ascii="Calibri" w:hAnsi="Calibri"/>
                <w:b w:val="0"/>
                <w:i w:val="0"/>
                <w:color w:val="212121"/>
                <w:sz w:val="19"/>
              </w:rPr>
              <w:t>Among Indian CAD patients under 50 years, elevated Lp(a) (over 50 mg/dL) was present in 39.3% of cases versus 19.0% of controls (odds ratio 3.52).</w:t>
            </w:r>
          </w:p>
          <w:p>
            <w:pPr>
              <w:spacing w:after="40" w:line="252" w:lineRule="auto"/>
            </w:pPr>
            <w:hyperlink r:id="rId15">
              <w:r>
                <w:rPr>
                  <w:rFonts w:ascii="Calibri" w:hAnsi="Calibri" w:cs="Calibri"/>
                  <w:sz w:val="18"/>
                  <w:color w:val="1155CC"/>
                  <w:u w:val="single"/>
                </w:rPr>
                <w:t xml:space="preserve">journals.plos.org - Lp(a) and CAD in South Asians</w:t>
              </w:r>
            </w:hyperlink>
          </w:p>
          <w:p>
            <w:pPr>
              <w:spacing w:before="60" w:after="40"/>
            </w:pPr>
            <w:r>
              <w:rPr>
                <w:rFonts w:ascii="Calibri" w:hAnsi="Calibri"/>
                <w:b w:val="0"/>
                <w:i w:val="0"/>
                <w:color w:val="5A5A5A"/>
                <w:sz w:val="18"/>
              </w:rPr>
              <w:t>#lipoproteinA  #genetic  #youngCAD  #thrombosis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type 2 diabetes/prediabetes</w:t>
            </w:r>
          </w:p>
        </w:tc>
        <w:tc>
          <w:tcPr>
            <w:tcW w:type="dxa" w:w="4276"/>
            <w:vAlign w:val="top"/>
          </w:tcPr>
          <w:p>
            <w:pPr>
              <w:spacing w:after="60" w:line="259" w:lineRule="auto"/>
            </w:pPr>
            <w:r>
              <w:rPr>
                <w:rFonts w:ascii="Calibri" w:hAnsi="Calibri"/>
                <w:b w:val="0"/>
                <w:i w:val="0"/>
                <w:color w:val="212121"/>
                <w:sz w:val="19"/>
              </w:rPr>
              <w:t>Diabetes causes endothelial dysfunction, dyslipidaemia and a pro-thrombotic, inflammatory state that produces accelerated, diffuse and often silent coronary disease; it is regarded as a CHD risk equivalent.</w:t>
            </w:r>
          </w:p>
          <w:p>
            <w:pPr>
              <w:spacing w:after="40" w:before="60" w:line="259" w:lineRule="auto"/>
            </w:pPr>
            <w:r>
              <w:rPr>
                <w:rFonts w:ascii="Calibri" w:hAnsi="Calibri"/>
                <w:b w:val="0"/>
                <w:i w:val="0"/>
                <w:color w:val="212121"/>
                <w:sz w:val="19"/>
              </w:rPr>
              <w:t>Diabetes raises CHD risk 2-4 fold, and India stands out with 30.4% (national registries) to 39.1% (international registries) of CHD patients reporting known diabetes.</w:t>
            </w:r>
          </w:p>
          <w:p>
            <w:pPr>
              <w:spacing w:after="40" w:line="252" w:lineRule="auto"/>
            </w:pPr>
            <w:hyperlink r:id="rId16">
              <w:r>
                <w:rPr>
                  <w:rFonts w:ascii="Calibri" w:hAnsi="Calibri" w:cs="Calibri"/>
                  <w:sz w:val="18"/>
                  <w:color w:val="1155CC"/>
                  <w:u w:val="single"/>
                </w:rPr>
                <w:t xml:space="preserve">pmc.ncbi.nlm.nih.gov - diabetes and coronary heart disease</w:t>
              </w:r>
            </w:hyperlink>
          </w:p>
          <w:p>
            <w:pPr>
              <w:spacing w:before="60" w:after="40"/>
            </w:pPr>
            <w:r>
              <w:rPr>
                <w:rFonts w:ascii="Calibri" w:hAnsi="Calibri"/>
                <w:b w:val="0"/>
                <w:i w:val="0"/>
                <w:color w:val="5A5A5A"/>
                <w:sz w:val="18"/>
              </w:rPr>
              <w:t>#diabetes  #insulinresistance  #silentischaemia  #riskequivalent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Patients with high blood pressure</w:t>
            </w:r>
          </w:p>
        </w:tc>
        <w:tc>
          <w:tcPr>
            <w:tcW w:type="dxa" w:w="4276"/>
            <w:vAlign w:val="top"/>
          </w:tcPr>
          <w:p>
            <w:pPr>
              <w:spacing w:after="60" w:line="259" w:lineRule="auto"/>
            </w:pPr>
            <w:r>
              <w:rPr>
                <w:rFonts w:ascii="Calibri" w:hAnsi="Calibri"/>
                <w:b w:val="0"/>
                <w:i w:val="0"/>
                <w:color w:val="212121"/>
                <w:sz w:val="19"/>
              </w:rPr>
              <w:t>Raised pressure mechanically injures the arterial wall, accelerates atherosclerosis and increases myocardial oxygen demand and left-ventricular hypertrophy, multiplying CHD and MI risk.</w:t>
            </w:r>
          </w:p>
          <w:p>
            <w:pPr>
              <w:spacing w:after="40" w:before="60" w:line="259" w:lineRule="auto"/>
            </w:pPr>
            <w:r>
              <w:rPr>
                <w:rFonts w:ascii="Calibri" w:hAnsi="Calibri"/>
                <w:b w:val="0"/>
                <w:i w:val="0"/>
                <w:color w:val="212121"/>
                <w:sz w:val="19"/>
              </w:rPr>
              <w:t>About 38% of Indian acute coronary syndrome patients in the CREATE registry had hypertension.</w:t>
            </w:r>
          </w:p>
          <w:p>
            <w:pPr>
              <w:spacing w:after="40" w:line="252" w:lineRule="auto"/>
            </w:pPr>
            <w:hyperlink r:id="rId9">
              <w:r>
                <w:rPr>
                  <w:rFonts w:ascii="Calibri" w:hAnsi="Calibri" w:cs="Calibri"/>
                  <w:sz w:val="18"/>
                  <w:color w:val="1155CC"/>
                  <w:u w:val="single"/>
                </w:rPr>
                <w:t xml:space="preserve">cadiresearch.org - acute coronary syndrome in India (CREATE)</w:t>
              </w:r>
            </w:hyperlink>
          </w:p>
          <w:p>
            <w:pPr>
              <w:spacing w:before="60" w:after="40"/>
            </w:pPr>
            <w:r>
              <w:rPr>
                <w:rFonts w:ascii="Calibri" w:hAnsi="Calibri"/>
                <w:b w:val="0"/>
                <w:i w:val="0"/>
                <w:color w:val="5A5A5A"/>
                <w:sz w:val="18"/>
              </w:rPr>
              <w:t>#hypertension  #afterload  #LVH  #endothelialinjury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Dyslipidaemia</w:t>
            </w:r>
          </w:p>
        </w:tc>
        <w:tc>
          <w:tcPr>
            <w:tcW w:type="dxa" w:w="2160"/>
            <w:vAlign w:val="top"/>
          </w:tcPr>
          <w:p>
            <w:pPr>
              <w:spacing w:after="40" w:before="0" w:line="259" w:lineRule="auto"/>
            </w:pPr>
            <w:r>
              <w:rPr>
                <w:rFonts w:ascii="Calibri" w:hAnsi="Calibri"/>
                <w:b w:val="0"/>
                <w:i w:val="0"/>
                <w:color w:val="212121"/>
                <w:sz w:val="19"/>
              </w:rPr>
              <w:t>Patients with abnormal lipids</w:t>
            </w:r>
          </w:p>
        </w:tc>
        <w:tc>
          <w:tcPr>
            <w:tcW w:type="dxa" w:w="4276"/>
            <w:vAlign w:val="top"/>
          </w:tcPr>
          <w:p>
            <w:pPr>
              <w:spacing w:after="60" w:line="259" w:lineRule="auto"/>
            </w:pPr>
            <w:r>
              <w:rPr>
                <w:rFonts w:ascii="Calibri" w:hAnsi="Calibri"/>
                <w:b w:val="0"/>
                <w:i w:val="0"/>
                <w:color w:val="212121"/>
                <w:sz w:val="19"/>
              </w:rPr>
              <w:t>High LDL and lipoprotein(a) supply the cholesterol that builds plaque, while low HDL and high triglycerides - the typical Indian pattern - impair reverse cholesterol transport and add residual risk.</w:t>
            </w:r>
          </w:p>
          <w:p>
            <w:pPr>
              <w:spacing w:after="40" w:before="60" w:line="259" w:lineRule="auto"/>
            </w:pPr>
            <w:r>
              <w:rPr>
                <w:rFonts w:ascii="Calibri" w:hAnsi="Calibri"/>
                <w:b w:val="0"/>
                <w:i w:val="0"/>
                <w:color w:val="212121"/>
                <w:sz w:val="19"/>
              </w:rPr>
              <w:t>Abnormal ApoB/ApoA1 ratio was, together with smoking, one of the two dominant risk factors for MI in South Asians in INTERHEART, the pair explaining about two-thirds of risk.</w:t>
            </w:r>
          </w:p>
          <w:p>
            <w:pPr>
              <w:spacing w:after="40" w:line="252" w:lineRule="auto"/>
            </w:pPr>
            <w:hyperlink r:id="rId13">
              <w:r>
                <w:rPr>
                  <w:rFonts w:ascii="Calibri" w:hAnsi="Calibri" w:cs="Calibri"/>
                  <w:sz w:val="18"/>
                  <w:color w:val="1155CC"/>
                  <w:u w:val="single"/>
                </w:rPr>
                <w:t xml:space="preserve">ijmr.org.in - CHD in Indians: INTERHEART</w:t>
              </w:r>
            </w:hyperlink>
          </w:p>
          <w:p>
            <w:pPr>
              <w:spacing w:before="60" w:after="40"/>
            </w:pPr>
            <w:r>
              <w:rPr>
                <w:rFonts w:ascii="Calibri" w:hAnsi="Calibri"/>
                <w:b w:val="0"/>
                <w:i w:val="0"/>
                <w:color w:val="5A5A5A"/>
                <w:sz w:val="18"/>
              </w:rPr>
              <w:t>#dyslipidaemia  #LDL  #lowHDL  #triglycerides  #ApoB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 and metabolic syndrome</w:t>
            </w:r>
          </w:p>
        </w:tc>
        <w:tc>
          <w:tcPr>
            <w:tcW w:type="dxa" w:w="2160"/>
            <w:vAlign w:val="top"/>
          </w:tcPr>
          <w:p>
            <w:pPr>
              <w:spacing w:after="40" w:before="0" w:line="259" w:lineRule="auto"/>
            </w:pPr>
            <w:r>
              <w:rPr>
                <w:rFonts w:ascii="Calibri" w:hAnsi="Calibri"/>
                <w:b w:val="0"/>
                <w:i w:val="0"/>
                <w:color w:val="212121"/>
                <w:sz w:val="19"/>
              </w:rPr>
              <w:t>Central/abdominal obesity</w:t>
            </w:r>
          </w:p>
        </w:tc>
        <w:tc>
          <w:tcPr>
            <w:tcW w:type="dxa" w:w="4276"/>
            <w:vAlign w:val="top"/>
          </w:tcPr>
          <w:p>
            <w:pPr>
              <w:spacing w:after="60" w:line="259" w:lineRule="auto"/>
            </w:pPr>
            <w:r>
              <w:rPr>
                <w:rFonts w:ascii="Calibri" w:hAnsi="Calibri"/>
                <w:b w:val="0"/>
                <w:i w:val="0"/>
                <w:color w:val="212121"/>
                <w:sz w:val="19"/>
              </w:rPr>
              <w:t>Abdominal (visceral) fat drives insulin resistance, atherogenic dyslipidaemia, hypertension and inflammation; South Asians accumulate harmful visceral fat at lower BMI - the thin-fat phenotype.</w:t>
            </w:r>
          </w:p>
          <w:p>
            <w:pPr>
              <w:spacing w:after="40" w:before="60" w:line="259" w:lineRule="auto"/>
            </w:pPr>
            <w:r>
              <w:rPr>
                <w:rFonts w:ascii="Calibri" w:hAnsi="Calibri"/>
                <w:b w:val="0"/>
                <w:i w:val="0"/>
                <w:color w:val="212121"/>
                <w:sz w:val="19"/>
              </w:rPr>
              <w:t>South Asians show a significantly higher population-attributable risk from waist-hip ratio than other groups in INTERHEART, underscoring abdominal obesity as a key driver.</w:t>
            </w:r>
          </w:p>
          <w:p>
            <w:pPr>
              <w:spacing w:after="40" w:line="252" w:lineRule="auto"/>
            </w:pPr>
            <w:hyperlink r:id="rId13">
              <w:r>
                <w:rPr>
                  <w:rFonts w:ascii="Calibri" w:hAnsi="Calibri" w:cs="Calibri"/>
                  <w:sz w:val="18"/>
                  <w:color w:val="1155CC"/>
                  <w:u w:val="single"/>
                </w:rPr>
                <w:t xml:space="preserve">ijmr.org.in - CHD in Indians: INTERHEART</w:t>
              </w:r>
            </w:hyperlink>
          </w:p>
          <w:p>
            <w:pPr>
              <w:spacing w:before="60" w:after="40"/>
            </w:pPr>
            <w:r>
              <w:rPr>
                <w:rFonts w:ascii="Calibri" w:hAnsi="Calibri"/>
                <w:b w:val="0"/>
                <w:i w:val="0"/>
                <w:color w:val="5A5A5A"/>
                <w:sz w:val="18"/>
              </w:rPr>
              <w:t>#abdominalobesity  #metabolicsyndrome  #visceralfat  #waisthip</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Regular activity improves lipids, blood pressure, weight and endothelial function; 150 min/week of moderate activity lowers CHD risk by about 14% and 300 min/week by about 20%, while inactivity (about 41% of Indian adults) is a major driver.</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Diets high in refined carbohydrate, trans fat and salt and low in fruit, vegetables and fibre raise LDL, triglycerides and blood pressure; low fruit/vegetable intake is an established INTERHEART risk factor in South Asians.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Following a U-shaped relationship, CHD risk rises about 11% per hour of sleep below 7 hours and about 7% per hour above; sleep loss worsens blood pressure, glucose and inflammation.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and smokeless tobacco roughly double fatal coronary risk and raise ASCVD risk by about 80%; it is one of the two strongest modifiable risks for MI in Indians.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intake raises blood pressure, triglycerides and arrhythmia risk; unlike some Western data, regular alcohol was not protective against MI in South Asians (odds ratio about 1.06).</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stress, depression and anxiety raise sympathetic tone, blood pressure and platelet activity; depression independently increases CHD risk by about 30% and psychosocial stress is a recognised INTERHEART factor.</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circulation and may modestly reduce blood viscosity and thrombotic tendency, but direct evidence for CHD prevention is weak.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Moderate coffee or tea intake is broadly neutral for CHD; very high or unfiltered intake can transiently raise blood pressure and lipids in susceptible people.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oral hygiene and chronic periodontal infection are linked to systemic inflammation and a modest increase in CHD risk; good hygiene lowers the inflammatory burden.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Acute triggers - sudden heavy exertion, intense emotional stress or anger, heavy meals, cold exposure and early-morning surges - can precipitate plaque rupture and myocardial infarction in vulnerable individuals.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 (Asian Indian)</w:t>
            </w:r>
          </w:p>
        </w:tc>
        <w:tc>
          <w:tcPr>
            <w:tcW w:type="dxa" w:w="1512"/>
            <w:vAlign w:val="top"/>
          </w:tcPr>
          <w:p>
            <w:pPr>
              <w:spacing w:after="40" w:before="0" w:line="259" w:lineRule="auto"/>
            </w:pPr>
            <w:r>
              <w:rPr>
                <w:rFonts w:ascii="Calibri" w:hAnsi="Calibri"/>
                <w:b w:val="0"/>
                <w:i w:val="0"/>
                <w:color w:val="212121"/>
                <w:sz w:val="19"/>
              </w:rPr>
              <w:t>18.0-22.9 kg/m2 (Asian cut-off)</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40" w:before="0" w:line="259" w:lineRule="auto"/>
            </w:pPr>
            <w:r>
              <w:rPr>
                <w:rFonts w:ascii="Calibri" w:hAnsi="Calibri"/>
                <w:b w:val="0"/>
                <w:i w:val="0"/>
                <w:color w:val="212121"/>
                <w:sz w:val="19"/>
              </w:rPr>
              <w:t>Asian Indians face cardiometabolic risk at a lower BMI</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(cm)</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&gt;= 90 cm; F &gt;= 80 cm</w:t>
            </w:r>
          </w:p>
        </w:tc>
        <w:tc>
          <w:tcPr>
            <w:tcW w:type="dxa" w:w="1468"/>
            <w:vAlign w:val="top"/>
          </w:tcPr>
          <w:p>
            <w:pPr>
              <w:spacing w:after="40" w:before="0" w:line="259" w:lineRule="auto"/>
            </w:pPr>
            <w:r>
              <w:rPr>
                <w:rFonts w:ascii="Calibri" w:hAnsi="Calibri"/>
                <w:b w:val="0"/>
                <w:i w:val="0"/>
                <w:color w:val="212121"/>
                <w:sz w:val="19"/>
              </w:rPr>
              <w:t>Abdominal obesity is a strong CHD driver in Indians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activity (min/week)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&gt;=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150 min/week lowers CHD risk ~14%, 300 min/week ~20%</w:t>
            </w:r>
          </w:p>
          <w:p>
            <w:pPr>
              <w:spacing w:after="40" w:line="252" w:lineRule="auto"/>
            </w:pPr>
            <w:hyperlink r:id="rId17">
              <w:r>
                <w:rPr>
                  <w:rFonts w:ascii="Calibri" w:hAnsi="Calibri" w:cs="Calibri"/>
                  <w:sz w:val="18"/>
                  <w:color w:val="1155CC"/>
                  <w:u w:val="single"/>
                </w:rPr>
                <w:t xml:space="preserve">https://pubmed.ncbi.nlm.nih.gov/21810663/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 pressure (mmHg)</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120/80 mmHg</w:t>
            </w:r>
          </w:p>
        </w:tc>
        <w:tc>
          <w:tcPr>
            <w:tcW w:type="dxa" w:w="1512"/>
            <w:vAlign w:val="top"/>
          </w:tcPr>
          <w:p>
            <w:pPr>
              <w:spacing w:after="40" w:before="0" w:line="259" w:lineRule="auto"/>
            </w:pPr>
            <w:r>
              <w:rPr>
                <w:rFonts w:ascii="Calibri" w:hAnsi="Calibri"/>
                <w:b w:val="0"/>
                <w:i w:val="0"/>
                <w:color w:val="212121"/>
                <w:sz w:val="19"/>
              </w:rPr>
              <w:t>&gt;= 140/90 (&gt;= 130/80 if high risk)</w:t>
            </w:r>
          </w:p>
        </w:tc>
        <w:tc>
          <w:tcPr>
            <w:tcW w:type="dxa" w:w="1468"/>
            <w:vAlign w:val="top"/>
          </w:tcPr>
          <w:p>
            <w:pPr>
              <w:spacing w:after="40" w:before="0" w:line="259" w:lineRule="auto"/>
            </w:pPr>
            <w:r>
              <w:rPr>
                <w:rFonts w:ascii="Calibri" w:hAnsi="Calibri"/>
                <w:b w:val="0"/>
                <w:i w:val="0"/>
                <w:color w:val="212121"/>
                <w:sz w:val="19"/>
              </w:rPr>
              <w:t>Hypertension accelerates coronary atherosclerosis</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7-8 hours/night</w:t>
            </w:r>
          </w:p>
        </w:tc>
        <w:tc>
          <w:tcPr>
            <w:tcW w:type="dxa" w:w="1512"/>
            <w:vAlign w:val="top"/>
          </w:tcPr>
          <w:p>
            <w:pPr>
              <w:spacing w:after="40" w:before="0" w:line="259" w:lineRule="auto"/>
            </w:pPr>
            <w:r>
              <w:rPr>
                <w:rFonts w:ascii="Calibri" w:hAnsi="Calibri"/>
                <w:b w:val="0"/>
                <w:i w:val="0"/>
                <w:color w:val="212121"/>
                <w:sz w:val="19"/>
              </w:rPr>
              <w:t>&lt; 6 h or &gt; 9 h/night</w:t>
            </w:r>
          </w:p>
        </w:tc>
        <w:tc>
          <w:tcPr>
            <w:tcW w:type="dxa" w:w="1468"/>
            <w:vAlign w:val="top"/>
          </w:tcPr>
          <w:p>
            <w:pPr>
              <w:spacing w:after="60" w:line="259" w:lineRule="auto"/>
            </w:pPr>
            <w:r>
              <w:rPr>
                <w:rFonts w:ascii="Calibri" w:hAnsi="Calibri"/>
                <w:b w:val="0"/>
                <w:i w:val="0"/>
                <w:color w:val="212121"/>
                <w:sz w:val="19"/>
              </w:rPr>
              <w:t>Both short and long sleep raise CHD risk (U-shaped)</w:t>
            </w:r>
          </w:p>
          <w:p>
            <w:pPr>
              <w:spacing w:after="40" w:line="252" w:lineRule="auto"/>
            </w:pPr>
            <w:hyperlink r:id="rId18">
              <w:r>
                <w:rPr>
                  <w:rFonts w:ascii="Calibri" w:hAnsi="Calibri" w:cs="Calibri"/>
                  <w:sz w:val="18"/>
                  <w:color w:val="1155CC"/>
                  <w:u w:val="single"/>
                </w:rPr>
                <w:t xml:space="preserve">https://pubmed.ncbi.nlm.nih.gov/27336192/</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per day</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60" w:line="259" w:lineRule="auto"/>
            </w:pPr>
            <w:r>
              <w:rPr>
                <w:rFonts w:ascii="Calibri" w:hAnsi="Calibri"/>
                <w:b w:val="0"/>
                <w:i w:val="0"/>
                <w:color w:val="212121"/>
                <w:sz w:val="19"/>
              </w:rPr>
              <w:t>Any tobacco use accelerates atherosclerosis and doubles fatal risk</w:t>
            </w:r>
          </w:p>
          <w:p>
            <w:pPr>
              <w:spacing w:after="40" w:line="252" w:lineRule="auto"/>
            </w:pPr>
            <w:hyperlink r:id="rId12">
              <w:r>
                <w:rPr>
                  <w:rFonts w:ascii="Calibri" w:hAnsi="Calibri" w:cs="Calibri"/>
                  <w:sz w:val="18"/>
                  <w:color w:val="1155CC"/>
                  <w:u w:val="single"/>
                </w:rPr>
                <w:t xml:space="preserve">https://jtd.amegroups.org/article/view/37685/html</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None advised</w:t>
            </w:r>
          </w:p>
        </w:tc>
        <w:tc>
          <w:tcPr>
            <w:tcW w:type="dxa" w:w="1512"/>
            <w:vAlign w:val="top"/>
          </w:tcPr>
          <w:p>
            <w:pPr>
              <w:spacing w:after="40" w:before="0" w:line="259" w:lineRule="auto"/>
            </w:pPr>
            <w:r>
              <w:rPr>
                <w:rFonts w:ascii="Calibri" w:hAnsi="Calibri"/>
                <w:b w:val="0"/>
                <w:i w:val="0"/>
                <w:color w:val="212121"/>
                <w:sz w:val="19"/>
              </w:rPr>
              <w:t>Any regular or heavy use</w:t>
            </w:r>
          </w:p>
        </w:tc>
        <w:tc>
          <w:tcPr>
            <w:tcW w:type="dxa" w:w="1468"/>
            <w:vAlign w:val="top"/>
          </w:tcPr>
          <w:p>
            <w:pPr>
              <w:spacing w:after="60" w:line="259" w:lineRule="auto"/>
            </w:pPr>
            <w:r>
              <w:rPr>
                <w:rFonts w:ascii="Calibri" w:hAnsi="Calibri"/>
                <w:b w:val="0"/>
                <w:i w:val="0"/>
                <w:color w:val="212121"/>
                <w:sz w:val="19"/>
              </w:rPr>
              <w:t>Not cardioprotective in South Asians; raises BP and triglycerides</w:t>
            </w:r>
          </w:p>
          <w:p>
            <w:pPr>
              <w:spacing w:after="40" w:line="252" w:lineRule="auto"/>
            </w:pPr>
            <w:hyperlink r:id="rId13">
              <w:r>
                <w:rPr>
                  <w:rFonts w:ascii="Calibri" w:hAnsi="Calibri" w:cs="Calibri"/>
                  <w:sz w:val="18"/>
                  <w:color w:val="1155CC"/>
                  <w:u w:val="single"/>
                </w:rPr>
                <w:t xml:space="preserve">https://ijmr.org.in/coronary-heart-disease-in-indians-implications-of-the-interheart-study/</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LDL-cholesterol (mg/dL)</w:t>
            </w:r>
          </w:p>
        </w:tc>
        <w:tc>
          <w:tcPr>
            <w:tcW w:type="dxa" w:w="1655"/>
            <w:vAlign w:val="top"/>
          </w:tcPr>
          <w:p>
            <w:pPr>
              <w:spacing w:after="40" w:before="0" w:line="259" w:lineRule="auto"/>
            </w:pPr>
            <w:r>
              <w:rPr>
                <w:rFonts w:ascii="Calibri" w:hAnsi="Calibri"/>
                <w:b w:val="0"/>
                <w:i w:val="0"/>
                <w:color w:val="212121"/>
                <w:sz w:val="19"/>
              </w:rPr>
              <w:t>Adults; high-risk</w:t>
            </w:r>
          </w:p>
        </w:tc>
        <w:tc>
          <w:tcPr>
            <w:tcW w:type="dxa" w:w="1512"/>
            <w:vAlign w:val="top"/>
          </w:tcPr>
          <w:p>
            <w:pPr>
              <w:spacing w:after="40" w:before="0" w:line="259" w:lineRule="auto"/>
            </w:pPr>
            <w:r>
              <w:rPr>
                <w:rFonts w:ascii="Calibri" w:hAnsi="Calibri"/>
                <w:b w:val="0"/>
                <w:i w:val="0"/>
                <w:color w:val="212121"/>
                <w:sz w:val="19"/>
              </w:rPr>
              <w:t>&lt; 100 (general); &lt; 70 high-risk; &lt; 55 very-high-risk</w:t>
            </w:r>
          </w:p>
        </w:tc>
        <w:tc>
          <w:tcPr>
            <w:tcW w:type="dxa" w:w="1512"/>
            <w:vAlign w:val="top"/>
          </w:tcPr>
          <w:p>
            <w:pPr>
              <w:spacing w:after="40" w:before="0" w:line="259" w:lineRule="auto"/>
            </w:pPr>
            <w:r>
              <w:rPr>
                <w:rFonts w:ascii="Calibri" w:hAnsi="Calibri"/>
                <w:b w:val="0"/>
                <w:i w:val="0"/>
                <w:color w:val="212121"/>
                <w:sz w:val="19"/>
              </w:rPr>
              <w:t>&gt;= 100 mg/dL</w:t>
            </w:r>
          </w:p>
        </w:tc>
        <w:tc>
          <w:tcPr>
            <w:tcW w:type="dxa" w:w="1468"/>
            <w:vAlign w:val="top"/>
          </w:tcPr>
          <w:p>
            <w:pPr>
              <w:spacing w:after="40" w:before="0" w:line="259" w:lineRule="auto"/>
            </w:pPr>
            <w:r>
              <w:rPr>
                <w:rFonts w:ascii="Calibri" w:hAnsi="Calibri"/>
                <w:b w:val="0"/>
                <w:i w:val="0"/>
                <w:color w:val="212121"/>
                <w:sz w:val="19"/>
              </w:rPr>
              <w:t>Primary modifiable lipid target for CHD prevention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HDL-cholesterol (mg/dL)</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&gt; 40; F &gt; 50</w:t>
            </w:r>
          </w:p>
        </w:tc>
        <w:tc>
          <w:tcPr>
            <w:tcW w:type="dxa" w:w="1512"/>
            <w:vAlign w:val="top"/>
          </w:tcPr>
          <w:p>
            <w:pPr>
              <w:spacing w:after="40" w:before="0" w:line="259" w:lineRule="auto"/>
            </w:pPr>
            <w:r>
              <w:rPr>
                <w:rFonts w:ascii="Calibri" w:hAnsi="Calibri"/>
                <w:b w:val="0"/>
                <w:i w:val="0"/>
                <w:color w:val="212121"/>
                <w:sz w:val="19"/>
              </w:rPr>
              <w:t>M &lt; 40; F &lt; 50</w:t>
            </w:r>
          </w:p>
        </w:tc>
        <w:tc>
          <w:tcPr>
            <w:tcW w:type="dxa" w:w="1468"/>
            <w:vAlign w:val="top"/>
          </w:tcPr>
          <w:p>
            <w:pPr>
              <w:spacing w:after="40" w:before="0" w:line="259" w:lineRule="auto"/>
            </w:pPr>
            <w:r>
              <w:rPr>
                <w:rFonts w:ascii="Calibri" w:hAnsi="Calibri"/>
                <w:b w:val="0"/>
                <w:i w:val="0"/>
                <w:color w:val="212121"/>
                <w:sz w:val="19"/>
              </w:rPr>
              <w:t>Low HDL is common in Indians and adds residual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Triglycerides (mg/dL)</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150 mg/dL</w:t>
            </w:r>
          </w:p>
        </w:tc>
        <w:tc>
          <w:tcPr>
            <w:tcW w:type="dxa" w:w="1512"/>
            <w:vAlign w:val="top"/>
          </w:tcPr>
          <w:p>
            <w:pPr>
              <w:spacing w:after="40" w:before="0" w:line="259" w:lineRule="auto"/>
            </w:pPr>
            <w:r>
              <w:rPr>
                <w:rFonts w:ascii="Calibri" w:hAnsi="Calibri"/>
                <w:b w:val="0"/>
                <w:i w:val="0"/>
                <w:color w:val="212121"/>
                <w:sz w:val="19"/>
              </w:rPr>
              <w:t>&gt;= 150 mg/dL</w:t>
            </w:r>
          </w:p>
        </w:tc>
        <w:tc>
          <w:tcPr>
            <w:tcW w:type="dxa" w:w="1468"/>
            <w:vAlign w:val="top"/>
          </w:tcPr>
          <w:p>
            <w:pPr>
              <w:spacing w:after="40" w:before="0" w:line="259" w:lineRule="auto"/>
            </w:pPr>
            <w:r>
              <w:rPr>
                <w:rFonts w:ascii="Calibri" w:hAnsi="Calibri"/>
                <w:b w:val="0"/>
                <w:i w:val="0"/>
                <w:color w:val="212121"/>
                <w:sz w:val="19"/>
              </w:rPr>
              <w:t>High triglycerides are typical of Indian dyslipidaemia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Lipoprotein(a) (mg/dL)</w:t>
            </w:r>
          </w:p>
        </w:tc>
        <w:tc>
          <w:tcPr>
            <w:tcW w:type="dxa" w:w="1655"/>
            <w:vAlign w:val="top"/>
          </w:tcPr>
          <w:p>
            <w:pPr>
              <w:spacing w:after="40" w:before="0" w:line="259" w:lineRule="auto"/>
            </w:pPr>
            <w:r>
              <w:rPr>
                <w:rFonts w:ascii="Calibri" w:hAnsi="Calibri"/>
                <w:b w:val="0"/>
                <w:i w:val="0"/>
                <w:color w:val="212121"/>
                <w:sz w:val="19"/>
              </w:rPr>
              <w:t>Adults; family history</w:t>
            </w:r>
          </w:p>
        </w:tc>
        <w:tc>
          <w:tcPr>
            <w:tcW w:type="dxa" w:w="1512"/>
            <w:vAlign w:val="top"/>
          </w:tcPr>
          <w:p>
            <w:pPr>
              <w:spacing w:after="40" w:before="0" w:line="259" w:lineRule="auto"/>
            </w:pPr>
            <w:r>
              <w:rPr>
                <w:rFonts w:ascii="Calibri" w:hAnsi="Calibri"/>
                <w:b w:val="0"/>
                <w:i w:val="0"/>
                <w:color w:val="212121"/>
                <w:sz w:val="19"/>
              </w:rPr>
              <w:t>&lt; 30 mg/dL</w:t>
            </w:r>
          </w:p>
        </w:tc>
        <w:tc>
          <w:tcPr>
            <w:tcW w:type="dxa" w:w="1512"/>
            <w:vAlign w:val="top"/>
          </w:tcPr>
          <w:p>
            <w:pPr>
              <w:spacing w:after="40" w:before="0" w:line="259" w:lineRule="auto"/>
            </w:pPr>
            <w:r>
              <w:rPr>
                <w:rFonts w:ascii="Calibri" w:hAnsi="Calibri"/>
                <w:b w:val="0"/>
                <w:i w:val="0"/>
                <w:color w:val="212121"/>
                <w:sz w:val="19"/>
              </w:rPr>
              <w:t>&gt; 50 mg/dL</w:t>
            </w:r>
          </w:p>
        </w:tc>
        <w:tc>
          <w:tcPr>
            <w:tcW w:type="dxa" w:w="1468"/>
            <w:vAlign w:val="top"/>
          </w:tcPr>
          <w:p>
            <w:pPr>
              <w:spacing w:after="60" w:line="259" w:lineRule="auto"/>
            </w:pPr>
            <w:r>
              <w:rPr>
                <w:rFonts w:ascii="Calibri" w:hAnsi="Calibri"/>
                <w:b w:val="0"/>
                <w:i w:val="0"/>
                <w:color w:val="212121"/>
                <w:sz w:val="19"/>
              </w:rPr>
              <w:t>Genetically high in South Asians; elevated Lp(a) tripled young-CAD odds</w:t>
            </w:r>
          </w:p>
          <w:p>
            <w:pPr>
              <w:spacing w:after="40" w:line="252" w:lineRule="auto"/>
            </w:pPr>
            <w:hyperlink r:id="rId15">
              <w:r>
                <w:rPr>
                  <w:rFonts w:ascii="Calibri" w:hAnsi="Calibri" w:cs="Calibri"/>
                  <w:sz w:val="18"/>
                  <w:color w:val="1155CC"/>
                  <w:u w:val="single"/>
                </w:rPr>
                <w:t xml:space="preserve">https://journals.plos.org/plosone/article?id=10.1371/journal.pone.0267807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Adults; diabetics</w:t>
            </w:r>
          </w:p>
        </w:tc>
        <w:tc>
          <w:tcPr>
            <w:tcW w:type="dxa" w:w="1512"/>
            <w:vAlign w:val="top"/>
          </w:tcPr>
          <w:p>
            <w:pPr>
              <w:spacing w:after="40" w:before="0" w:line="259" w:lineRule="auto"/>
            </w:pPr>
            <w:r>
              <w:rPr>
                <w:rFonts w:ascii="Calibri" w:hAnsi="Calibri"/>
                <w:b w:val="0"/>
                <w:i w:val="0"/>
                <w:color w:val="212121"/>
                <w:sz w:val="19"/>
              </w:rPr>
              <w:t>&lt; 5.7%</w:t>
            </w:r>
          </w:p>
        </w:tc>
        <w:tc>
          <w:tcPr>
            <w:tcW w:type="dxa" w:w="1512"/>
            <w:vAlign w:val="top"/>
          </w:tcPr>
          <w:p>
            <w:pPr>
              <w:spacing w:after="40" w:before="0" w:line="259" w:lineRule="auto"/>
            </w:pPr>
            <w:r>
              <w:rPr>
                <w:rFonts w:ascii="Calibri" w:hAnsi="Calibri"/>
                <w:b w:val="0"/>
                <w:i w:val="0"/>
                <w:color w:val="212121"/>
                <w:sz w:val="19"/>
              </w:rPr>
              <w:t>&gt;= 6.5%</w:t>
            </w:r>
          </w:p>
        </w:tc>
        <w:tc>
          <w:tcPr>
            <w:tcW w:type="dxa" w:w="1468"/>
            <w:vAlign w:val="top"/>
          </w:tcPr>
          <w:p>
            <w:pPr>
              <w:spacing w:after="60" w:line="259" w:lineRule="auto"/>
            </w:pPr>
            <w:r>
              <w:rPr>
                <w:rFonts w:ascii="Calibri" w:hAnsi="Calibri"/>
                <w:b w:val="0"/>
                <w:i w:val="0"/>
                <w:color w:val="212121"/>
                <w:sz w:val="19"/>
              </w:rPr>
              <w:t>Diabetes is a CHD risk equivalent (2-4x risk)</w:t>
            </w:r>
          </w:p>
          <w:p>
            <w:pPr>
              <w:spacing w:after="40" w:line="252" w:lineRule="auto"/>
            </w:pPr>
            <w:hyperlink r:id="rId16">
              <w:r>
                <w:rPr>
                  <w:rFonts w:ascii="Calibri" w:hAnsi="Calibri" w:cs="Calibri"/>
                  <w:sz w:val="18"/>
                  <w:color w:val="1155CC"/>
                  <w:u w:val="single"/>
                </w:rPr>
                <w:t xml:space="preserve">https://pmc.ncbi.nlm.nih.gov/articles/PMC3028955/</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(PHQ-9)</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PHQ-9 &lt; 5; low perceived stress</w:t>
            </w:r>
          </w:p>
        </w:tc>
        <w:tc>
          <w:tcPr>
            <w:tcW w:type="dxa" w:w="1512"/>
            <w:vAlign w:val="top"/>
          </w:tcPr>
          <w:p>
            <w:pPr>
              <w:spacing w:after="40" w:before="0" w:line="259" w:lineRule="auto"/>
            </w:pPr>
            <w:r>
              <w:rPr>
                <w:rFonts w:ascii="Calibri" w:hAnsi="Calibri"/>
                <w:b w:val="0"/>
                <w:i w:val="0"/>
                <w:color w:val="212121"/>
                <w:sz w:val="19"/>
              </w:rPr>
              <w:t>PHQ-9 &gt;= 10; high chronic stress</w:t>
            </w:r>
          </w:p>
        </w:tc>
        <w:tc>
          <w:tcPr>
            <w:tcW w:type="dxa" w:w="1468"/>
            <w:vAlign w:val="top"/>
          </w:tcPr>
          <w:p>
            <w:pPr>
              <w:spacing w:after="60" w:line="259" w:lineRule="auto"/>
            </w:pPr>
            <w:r>
              <w:rPr>
                <w:rFonts w:ascii="Calibri" w:hAnsi="Calibri"/>
                <w:b w:val="0"/>
                <w:i w:val="0"/>
                <w:color w:val="212121"/>
                <w:sz w:val="19"/>
              </w:rPr>
              <w:t>Depression raises CHD risk by about 30%</w:t>
            </w:r>
          </w:p>
          <w:p>
            <w:pPr>
              <w:spacing w:after="40" w:line="252" w:lineRule="auto"/>
            </w:pPr>
            <w:hyperlink r:id="rId19">
              <w:r>
                <w:rPr>
                  <w:rFonts w:ascii="Calibri" w:hAnsi="Calibri" w:cs="Calibri"/>
                  <w:sz w:val="18"/>
                  <w:color w:val="1155CC"/>
                  <w:u w:val="single"/>
                </w:rPr>
                <w:t xml:space="preserve">https://bmcpsychiatry.biomedcentral.com/articles/10.1186/s12888-014-0371-z</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 (LDL-C)</w:t>
            </w:r>
          </w:p>
        </w:tc>
        <w:tc>
          <w:tcPr>
            <w:tcW w:type="dxa" w:w="892"/>
            <w:vAlign w:val="top"/>
          </w:tcPr>
          <w:p>
            <w:pPr>
              <w:spacing w:after="40" w:before="0" w:line="259" w:lineRule="auto"/>
            </w:pPr>
            <w:r>
              <w:rPr>
                <w:rFonts w:ascii="Calibri" w:hAnsi="Calibri"/>
                <w:b w:val="0"/>
                <w:i w:val="0"/>
                <w:color w:val="212121"/>
                <w:sz w:val="16"/>
              </w:rPr>
              <w:t>Lipid panel</w:t>
            </w:r>
          </w:p>
        </w:tc>
        <w:tc>
          <w:tcPr>
            <w:tcW w:type="dxa" w:w="950"/>
            <w:vAlign w:val="top"/>
          </w:tcPr>
          <w:p>
            <w:pPr>
              <w:spacing w:after="40" w:before="0" w:line="259" w:lineRule="auto"/>
            </w:pPr>
            <w:r>
              <w:rPr>
                <w:rFonts w:ascii="Calibri" w:hAnsi="Calibri"/>
                <w:b w:val="0"/>
                <w:i w:val="0"/>
                <w:color w:val="212121"/>
                <w:sz w:val="16"/>
              </w:rPr>
              <w:t>LDL &lt; 100 mg/dL</w:t>
            </w:r>
          </w:p>
        </w:tc>
        <w:tc>
          <w:tcPr>
            <w:tcW w:type="dxa" w:w="950"/>
            <w:vAlign w:val="top"/>
          </w:tcPr>
          <w:p>
            <w:pPr>
              <w:spacing w:after="40" w:before="0" w:line="259" w:lineRule="auto"/>
            </w:pPr>
            <w:r>
              <w:rPr>
                <w:rFonts w:ascii="Calibri" w:hAnsi="Calibri"/>
                <w:b w:val="0"/>
                <w:i w:val="0"/>
                <w:color w:val="212121"/>
                <w:sz w:val="16"/>
              </w:rPr>
              <w:t>LDL &gt;= 100 mg/dL (goal &lt; 70 if high-risk)</w:t>
            </w:r>
          </w:p>
        </w:tc>
        <w:tc>
          <w:tcPr>
            <w:tcW w:type="dxa" w:w="1036"/>
            <w:vAlign w:val="top"/>
          </w:tcPr>
          <w:p>
            <w:pPr>
              <w:spacing w:after="40" w:before="0" w:line="259" w:lineRule="auto"/>
            </w:pPr>
            <w:r>
              <w:rPr>
                <w:rFonts w:ascii="Calibri" w:hAnsi="Calibri"/>
                <w:b w:val="0"/>
                <w:i w:val="0"/>
                <w:color w:val="212121"/>
                <w:sz w:val="16"/>
              </w:rPr>
              <w:t>Quantifies atherogenic burden and the primary treatment target</w:t>
            </w:r>
          </w:p>
        </w:tc>
        <w:tc>
          <w:tcPr>
            <w:tcW w:type="dxa" w:w="1036"/>
            <w:vAlign w:val="top"/>
          </w:tcPr>
          <w:p>
            <w:pPr>
              <w:spacing w:after="40" w:before="0" w:line="259" w:lineRule="auto"/>
            </w:pPr>
            <w:r>
              <w:rPr>
                <w:rFonts w:ascii="Calibri" w:hAnsi="Calibri"/>
                <w:b w:val="0"/>
                <w:i w:val="0"/>
                <w:color w:val="212121"/>
                <w:sz w:val="16"/>
              </w:rPr>
              <w:t>At-risk adults, family history, diabetics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12-hour fast preferred; ApoB is a useful adjunct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Lipoprotein(a)</w:t>
            </w:r>
          </w:p>
        </w:tc>
        <w:tc>
          <w:tcPr>
            <w:tcW w:type="dxa" w:w="892"/>
            <w:vAlign w:val="top"/>
          </w:tcPr>
          <w:p>
            <w:pPr>
              <w:spacing w:after="40" w:before="0" w:line="259" w:lineRule="auto"/>
            </w:pPr>
            <w:r>
              <w:rPr>
                <w:rFonts w:ascii="Calibri" w:hAnsi="Calibri"/>
                <w:b w:val="0"/>
                <w:i w:val="0"/>
                <w:color w:val="212121"/>
                <w:sz w:val="16"/>
              </w:rPr>
              <w:t>Lp(a) assay</w:t>
            </w:r>
          </w:p>
        </w:tc>
        <w:tc>
          <w:tcPr>
            <w:tcW w:type="dxa" w:w="950"/>
            <w:vAlign w:val="top"/>
          </w:tcPr>
          <w:p>
            <w:pPr>
              <w:spacing w:after="40" w:before="0" w:line="259" w:lineRule="auto"/>
            </w:pPr>
            <w:r>
              <w:rPr>
                <w:rFonts w:ascii="Calibri" w:hAnsi="Calibri"/>
                <w:b w:val="0"/>
                <w:i w:val="0"/>
                <w:color w:val="212121"/>
                <w:sz w:val="16"/>
              </w:rPr>
              <w:t>&lt; 30 mg/dL</w:t>
            </w:r>
          </w:p>
        </w:tc>
        <w:tc>
          <w:tcPr>
            <w:tcW w:type="dxa" w:w="950"/>
            <w:vAlign w:val="top"/>
          </w:tcPr>
          <w:p>
            <w:pPr>
              <w:spacing w:after="40" w:before="0" w:line="259" w:lineRule="auto"/>
            </w:pPr>
            <w:r>
              <w:rPr>
                <w:rFonts w:ascii="Calibri" w:hAnsi="Calibri"/>
                <w:b w:val="0"/>
                <w:i w:val="0"/>
                <w:color w:val="212121"/>
                <w:sz w:val="16"/>
              </w:rPr>
              <w:t>&gt; 50 mg/dL</w:t>
            </w:r>
          </w:p>
        </w:tc>
        <w:tc>
          <w:tcPr>
            <w:tcW w:type="dxa" w:w="1036"/>
            <w:vAlign w:val="top"/>
          </w:tcPr>
          <w:p>
            <w:pPr>
              <w:spacing w:after="40" w:before="0" w:line="259" w:lineRule="auto"/>
            </w:pPr>
            <w:r>
              <w:rPr>
                <w:rFonts w:ascii="Calibri" w:hAnsi="Calibri"/>
                <w:b w:val="0"/>
                <w:i w:val="0"/>
                <w:color w:val="212121"/>
                <w:sz w:val="16"/>
              </w:rPr>
              <w:t>Genetic residual risk; a once-in-lifetime test is advised in South Asians</w:t>
            </w:r>
          </w:p>
        </w:tc>
        <w:tc>
          <w:tcPr>
            <w:tcW w:type="dxa" w:w="1036"/>
            <w:vAlign w:val="top"/>
          </w:tcPr>
          <w:p>
            <w:pPr>
              <w:spacing w:after="40" w:before="0" w:line="259" w:lineRule="auto"/>
            </w:pPr>
            <w:r>
              <w:rPr>
                <w:rFonts w:ascii="Calibri" w:hAnsi="Calibri"/>
                <w:b w:val="0"/>
                <w:i w:val="0"/>
                <w:color w:val="212121"/>
                <w:sz w:val="16"/>
              </w:rPr>
              <w:t>Young CAD, family history, South Asians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Not modified by diet or exercise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High-sensitivity cardiac troponin</w:t>
            </w:r>
          </w:p>
        </w:tc>
        <w:tc>
          <w:tcPr>
            <w:tcW w:type="dxa" w:w="892"/>
            <w:vAlign w:val="top"/>
          </w:tcPr>
          <w:p>
            <w:pPr>
              <w:spacing w:after="40" w:before="0" w:line="259" w:lineRule="auto"/>
            </w:pPr>
            <w:r>
              <w:rPr>
                <w:rFonts w:ascii="Calibri" w:hAnsi="Calibri"/>
                <w:b w:val="0"/>
                <w:i w:val="0"/>
                <w:color w:val="212121"/>
                <w:sz w:val="16"/>
              </w:rPr>
              <w:t>Troponin I/T</w:t>
            </w:r>
          </w:p>
        </w:tc>
        <w:tc>
          <w:tcPr>
            <w:tcW w:type="dxa" w:w="950"/>
            <w:vAlign w:val="top"/>
          </w:tcPr>
          <w:p>
            <w:pPr>
              <w:spacing w:after="40" w:before="0" w:line="259" w:lineRule="auto"/>
            </w:pPr>
            <w:r>
              <w:rPr>
                <w:rFonts w:ascii="Calibri" w:hAnsi="Calibri"/>
                <w:b w:val="0"/>
                <w:i w:val="0"/>
                <w:color w:val="212121"/>
                <w:sz w:val="16"/>
              </w:rPr>
              <w:t>&lt; 99th percentile</w:t>
            </w:r>
          </w:p>
        </w:tc>
        <w:tc>
          <w:tcPr>
            <w:tcW w:type="dxa" w:w="950"/>
            <w:vAlign w:val="top"/>
          </w:tcPr>
          <w:p>
            <w:pPr>
              <w:spacing w:after="40" w:before="0" w:line="259" w:lineRule="auto"/>
            </w:pPr>
            <w:r>
              <w:rPr>
                <w:rFonts w:ascii="Calibri" w:hAnsi="Calibri"/>
                <w:b w:val="0"/>
                <w:i w:val="0"/>
                <w:color w:val="212121"/>
                <w:sz w:val="16"/>
              </w:rPr>
              <w:t>&gt; 99th percentile (rising/falling)</w:t>
            </w:r>
          </w:p>
        </w:tc>
        <w:tc>
          <w:tcPr>
            <w:tcW w:type="dxa" w:w="1036"/>
            <w:vAlign w:val="top"/>
          </w:tcPr>
          <w:p>
            <w:pPr>
              <w:spacing w:after="40" w:before="0" w:line="259" w:lineRule="auto"/>
            </w:pPr>
            <w:r>
              <w:rPr>
                <w:rFonts w:ascii="Calibri" w:hAnsi="Calibri"/>
                <w:b w:val="0"/>
                <w:i w:val="0"/>
                <w:color w:val="212121"/>
                <w:sz w:val="16"/>
              </w:rPr>
              <w:t>Confirms acute myocardial injury or infarction</w:t>
            </w:r>
          </w:p>
        </w:tc>
        <w:tc>
          <w:tcPr>
            <w:tcW w:type="dxa" w:w="1036"/>
            <w:vAlign w:val="top"/>
          </w:tcPr>
          <w:p>
            <w:pPr>
              <w:spacing w:after="40" w:before="0" w:line="259" w:lineRule="auto"/>
            </w:pPr>
            <w:r>
              <w:rPr>
                <w:rFonts w:ascii="Calibri" w:hAnsi="Calibri"/>
                <w:b w:val="0"/>
                <w:i w:val="0"/>
                <w:color w:val="212121"/>
                <w:sz w:val="16"/>
              </w:rPr>
              <w:t>Suspected ACS, acute chest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Serial testing at 0 and 1-3 hours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HbA1c</w:t>
            </w:r>
          </w:p>
        </w:tc>
        <w:tc>
          <w:tcPr>
            <w:tcW w:type="dxa" w:w="892"/>
            <w:vAlign w:val="top"/>
          </w:tcPr>
          <w:p>
            <w:pPr>
              <w:spacing w:after="40" w:before="0" w:line="259" w:lineRule="auto"/>
            </w:pPr>
            <w:r>
              <w:rPr>
                <w:rFonts w:ascii="Calibri" w:hAnsi="Calibri"/>
                <w:b w:val="0"/>
                <w:i w:val="0"/>
                <w:color w:val="212121"/>
                <w:sz w:val="16"/>
              </w:rPr>
              <w:t>Glycated haemoglobin</w:t>
            </w:r>
          </w:p>
        </w:tc>
        <w:tc>
          <w:tcPr>
            <w:tcW w:type="dxa" w:w="950"/>
            <w:vAlign w:val="top"/>
          </w:tcPr>
          <w:p>
            <w:pPr>
              <w:spacing w:after="40" w:before="0" w:line="259" w:lineRule="auto"/>
            </w:pPr>
            <w:r>
              <w:rPr>
                <w:rFonts w:ascii="Calibri" w:hAnsi="Calibri"/>
                <w:b w:val="0"/>
                <w:i w:val="0"/>
                <w:color w:val="212121"/>
                <w:sz w:val="16"/>
              </w:rPr>
              <w:t>&lt; 5.7%</w:t>
            </w:r>
          </w:p>
        </w:tc>
        <w:tc>
          <w:tcPr>
            <w:tcW w:type="dxa" w:w="950"/>
            <w:vAlign w:val="top"/>
          </w:tcPr>
          <w:p>
            <w:pPr>
              <w:spacing w:after="40" w:before="0" w:line="259" w:lineRule="auto"/>
            </w:pPr>
            <w:r>
              <w:rPr>
                <w:rFonts w:ascii="Calibri" w:hAnsi="Calibri"/>
                <w:b w:val="0"/>
                <w:i w:val="0"/>
                <w:color w:val="212121"/>
                <w:sz w:val="16"/>
              </w:rPr>
              <w:t>&gt;= 6.5%</w:t>
            </w:r>
          </w:p>
        </w:tc>
        <w:tc>
          <w:tcPr>
            <w:tcW w:type="dxa" w:w="1036"/>
            <w:vAlign w:val="top"/>
          </w:tcPr>
          <w:p>
            <w:pPr>
              <w:spacing w:after="40" w:before="0" w:line="259" w:lineRule="auto"/>
            </w:pPr>
            <w:r>
              <w:rPr>
                <w:rFonts w:ascii="Calibri" w:hAnsi="Calibri"/>
                <w:b w:val="0"/>
                <w:i w:val="0"/>
                <w:color w:val="212121"/>
                <w:sz w:val="16"/>
              </w:rPr>
              <w:t>Detects diabetes/prediabetes, a CHD risk equivalent</w:t>
            </w:r>
          </w:p>
        </w:tc>
        <w:tc>
          <w:tcPr>
            <w:tcW w:type="dxa" w:w="1036"/>
            <w:vAlign w:val="top"/>
          </w:tcPr>
          <w:p>
            <w:pPr>
              <w:spacing w:after="40" w:before="0" w:line="259" w:lineRule="auto"/>
            </w:pPr>
            <w:r>
              <w:rPr>
                <w:rFonts w:ascii="Calibri" w:hAnsi="Calibri"/>
                <w:b w:val="0"/>
                <w:i w:val="0"/>
                <w:color w:val="212121"/>
                <w:sz w:val="16"/>
              </w:rPr>
              <w:t>All CHD and at-risk adults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Screen all CHD patients for dysglycaemia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High-sensitivity CRP</w:t>
            </w:r>
          </w:p>
        </w:tc>
        <w:tc>
          <w:tcPr>
            <w:tcW w:type="dxa" w:w="892"/>
            <w:vAlign w:val="top"/>
          </w:tcPr>
          <w:p>
            <w:pPr>
              <w:spacing w:after="40" w:before="0" w:line="259" w:lineRule="auto"/>
            </w:pPr>
            <w:r>
              <w:rPr>
                <w:rFonts w:ascii="Calibri" w:hAnsi="Calibri"/>
                <w:b w:val="0"/>
                <w:i w:val="0"/>
                <w:color w:val="212121"/>
                <w:sz w:val="16"/>
              </w:rPr>
              <w:t>hs-CRP</w:t>
            </w:r>
          </w:p>
        </w:tc>
        <w:tc>
          <w:tcPr>
            <w:tcW w:type="dxa" w:w="950"/>
            <w:vAlign w:val="top"/>
          </w:tcPr>
          <w:p>
            <w:pPr>
              <w:spacing w:after="40" w:before="0" w:line="259" w:lineRule="auto"/>
            </w:pPr>
            <w:r>
              <w:rPr>
                <w:rFonts w:ascii="Calibri" w:hAnsi="Calibri"/>
                <w:b w:val="0"/>
                <w:i w:val="0"/>
                <w:color w:val="212121"/>
                <w:sz w:val="16"/>
              </w:rPr>
              <w:t>&lt; 1 mg/L</w:t>
            </w:r>
          </w:p>
        </w:tc>
        <w:tc>
          <w:tcPr>
            <w:tcW w:type="dxa" w:w="950"/>
            <w:vAlign w:val="top"/>
          </w:tcPr>
          <w:p>
            <w:pPr>
              <w:spacing w:after="40" w:before="0" w:line="259" w:lineRule="auto"/>
            </w:pPr>
            <w:r>
              <w:rPr>
                <w:rFonts w:ascii="Calibri" w:hAnsi="Calibri"/>
                <w:b w:val="0"/>
                <w:i w:val="0"/>
                <w:color w:val="212121"/>
                <w:sz w:val="16"/>
              </w:rPr>
              <w:t>&gt; 3 mg/L</w:t>
            </w:r>
          </w:p>
        </w:tc>
        <w:tc>
          <w:tcPr>
            <w:tcW w:type="dxa" w:w="1036"/>
            <w:vAlign w:val="top"/>
          </w:tcPr>
          <w:p>
            <w:pPr>
              <w:spacing w:after="40" w:before="0" w:line="259" w:lineRule="auto"/>
            </w:pPr>
            <w:r>
              <w:rPr>
                <w:rFonts w:ascii="Calibri" w:hAnsi="Calibri"/>
                <w:b w:val="0"/>
                <w:i w:val="0"/>
                <w:color w:val="212121"/>
                <w:sz w:val="16"/>
              </w:rPr>
              <w:t>Marker of vascular inflammation and residual risk</w:t>
            </w:r>
          </w:p>
        </w:tc>
        <w:tc>
          <w:tcPr>
            <w:tcW w:type="dxa" w:w="1036"/>
            <w:vAlign w:val="top"/>
          </w:tcPr>
          <w:p>
            <w:pPr>
              <w:spacing w:after="40" w:before="0" w:line="259" w:lineRule="auto"/>
            </w:pPr>
            <w:r>
              <w:rPr>
                <w:rFonts w:ascii="Calibri" w:hAnsi="Calibri"/>
                <w:b w:val="0"/>
                <w:i w:val="0"/>
                <w:color w:val="212121"/>
                <w:sz w:val="16"/>
              </w:rPr>
              <w:t>Intermediate-risk adults</w:t>
            </w:r>
          </w:p>
        </w:tc>
        <w:tc>
          <w:tcPr>
            <w:tcW w:type="dxa" w:w="720"/>
            <w:vAlign w:val="top"/>
          </w:tcPr>
          <w:p>
            <w:pPr>
              <w:spacing w:after="40" w:before="0" w:line="259" w:lineRule="auto"/>
            </w:pPr>
            <w:r>
              <w:rPr>
                <w:rFonts w:ascii="Calibri" w:hAnsi="Calibri"/>
                <w:b w:val="0"/>
                <w:i w:val="0"/>
                <w:color w:val="212121"/>
                <w:sz w:val="16"/>
              </w:rPr>
              <w:t>Food; Mental health</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Interpret only in the absence of acute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Electrophysiological</w:t>
            </w:r>
          </w:p>
        </w:tc>
        <w:tc>
          <w:tcPr>
            <w:tcW w:type="dxa" w:w="1036"/>
            <w:vAlign w:val="top"/>
          </w:tcPr>
          <w:p>
            <w:pPr>
              <w:spacing w:after="40" w:before="0" w:line="259" w:lineRule="auto"/>
            </w:pPr>
            <w:r>
              <w:rPr>
                <w:rFonts w:ascii="Calibri" w:hAnsi="Calibri"/>
                <w:b w:val="0"/>
                <w:i w:val="0"/>
                <w:color w:val="212121"/>
                <w:sz w:val="16"/>
              </w:rPr>
              <w:t>Resting 12-lead ECG</w:t>
            </w:r>
          </w:p>
        </w:tc>
        <w:tc>
          <w:tcPr>
            <w:tcW w:type="dxa" w:w="892"/>
            <w:vAlign w:val="top"/>
          </w:tcPr>
          <w:p>
            <w:pPr>
              <w:spacing w:after="40" w:before="0" w:line="259" w:lineRule="auto"/>
            </w:pPr>
            <w:r>
              <w:rPr>
                <w:rFonts w:ascii="Calibri" w:hAnsi="Calibri"/>
                <w:b w:val="0"/>
                <w:i w:val="0"/>
                <w:color w:val="212121"/>
                <w:sz w:val="16"/>
              </w:rPr>
              <w:t>ECG</w:t>
            </w:r>
          </w:p>
        </w:tc>
        <w:tc>
          <w:tcPr>
            <w:tcW w:type="dxa" w:w="950"/>
            <w:vAlign w:val="top"/>
          </w:tcPr>
          <w:p>
            <w:pPr>
              <w:spacing w:after="40" w:before="0" w:line="259" w:lineRule="auto"/>
            </w:pPr>
            <w:r>
              <w:rPr>
                <w:rFonts w:ascii="Calibri" w:hAnsi="Calibri"/>
                <w:b w:val="0"/>
                <w:i w:val="0"/>
                <w:color w:val="212121"/>
                <w:sz w:val="16"/>
              </w:rPr>
              <w:t>Normal sinus rhythm, no ischaemic change</w:t>
            </w:r>
          </w:p>
        </w:tc>
        <w:tc>
          <w:tcPr>
            <w:tcW w:type="dxa" w:w="950"/>
            <w:vAlign w:val="top"/>
          </w:tcPr>
          <w:p>
            <w:pPr>
              <w:spacing w:after="40" w:before="0" w:line="259" w:lineRule="auto"/>
            </w:pPr>
            <w:r>
              <w:rPr>
                <w:rFonts w:ascii="Calibri" w:hAnsi="Calibri"/>
                <w:b w:val="0"/>
                <w:i w:val="0"/>
                <w:color w:val="212121"/>
                <w:sz w:val="16"/>
              </w:rPr>
              <w:t>ST-T changes, Q waves, LBBB</w:t>
            </w:r>
          </w:p>
        </w:tc>
        <w:tc>
          <w:tcPr>
            <w:tcW w:type="dxa" w:w="1036"/>
            <w:vAlign w:val="top"/>
          </w:tcPr>
          <w:p>
            <w:pPr>
              <w:spacing w:after="40" w:before="0" w:line="259" w:lineRule="auto"/>
            </w:pPr>
            <w:r>
              <w:rPr>
                <w:rFonts w:ascii="Calibri" w:hAnsi="Calibri"/>
                <w:b w:val="0"/>
                <w:i w:val="0"/>
                <w:color w:val="212121"/>
                <w:sz w:val="16"/>
              </w:rPr>
              <w:t>First-line test for ischaemia, infarction and arrhythmia</w:t>
            </w:r>
          </w:p>
        </w:tc>
        <w:tc>
          <w:tcPr>
            <w:tcW w:type="dxa" w:w="1036"/>
            <w:vAlign w:val="top"/>
          </w:tcPr>
          <w:p>
            <w:pPr>
              <w:spacing w:after="40" w:before="0" w:line="259" w:lineRule="auto"/>
            </w:pPr>
            <w:r>
              <w:rPr>
                <w:rFonts w:ascii="Calibri" w:hAnsi="Calibri"/>
                <w:b w:val="0"/>
                <w:i w:val="0"/>
                <w:color w:val="212121"/>
                <w:sz w:val="16"/>
              </w:rPr>
              <w:t>All with chest pain or risk factors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Screening/Diagnostic</w:t>
            </w:r>
          </w:p>
        </w:tc>
        <w:tc>
          <w:tcPr>
            <w:tcW w:type="dxa" w:w="720"/>
            <w:vAlign w:val="top"/>
          </w:tcPr>
          <w:p>
            <w:pPr>
              <w:spacing w:after="40" w:before="0" w:line="259" w:lineRule="auto"/>
            </w:pPr>
            <w:r>
              <w:rPr>
                <w:rFonts w:ascii="Calibri" w:hAnsi="Calibri"/>
                <w:b w:val="0"/>
                <w:i w:val="0"/>
                <w:color w:val="212121"/>
                <w:sz w:val="16"/>
              </w:rPr>
              <w:t>May be normal between ischaemic episodes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1036"/>
            <w:vAlign w:val="top"/>
          </w:tcPr>
          <w:p>
            <w:pPr>
              <w:spacing w:after="40" w:before="0" w:line="259" w:lineRule="auto"/>
            </w:pPr>
            <w:r>
              <w:rPr>
                <w:rFonts w:ascii="Calibri" w:hAnsi="Calibri"/>
                <w:b w:val="0"/>
                <w:i w:val="0"/>
                <w:color w:val="212121"/>
                <w:sz w:val="16"/>
              </w:rPr>
              <w:t>Stress test (treadmill/stress echo/MPI)</w:t>
            </w:r>
          </w:p>
        </w:tc>
        <w:tc>
          <w:tcPr>
            <w:tcW w:type="dxa" w:w="892"/>
            <w:vAlign w:val="top"/>
          </w:tcPr>
          <w:p>
            <w:pPr>
              <w:spacing w:after="40" w:before="0" w:line="259" w:lineRule="auto"/>
            </w:pPr>
            <w:r>
              <w:rPr>
                <w:rFonts w:ascii="Calibri" w:hAnsi="Calibri"/>
                <w:b w:val="0"/>
                <w:i w:val="0"/>
                <w:color w:val="212121"/>
                <w:sz w:val="16"/>
              </w:rPr>
              <w:t>Inducible-ischaemia testing</w:t>
            </w:r>
          </w:p>
        </w:tc>
        <w:tc>
          <w:tcPr>
            <w:tcW w:type="dxa" w:w="950"/>
            <w:vAlign w:val="top"/>
          </w:tcPr>
          <w:p>
            <w:pPr>
              <w:spacing w:after="40" w:before="0" w:line="259" w:lineRule="auto"/>
            </w:pPr>
            <w:r>
              <w:rPr>
                <w:rFonts w:ascii="Calibri" w:hAnsi="Calibri"/>
                <w:b w:val="0"/>
                <w:i w:val="0"/>
                <w:color w:val="212121"/>
                <w:sz w:val="16"/>
              </w:rPr>
              <w:t>No inducible ischaemia</w:t>
            </w:r>
          </w:p>
        </w:tc>
        <w:tc>
          <w:tcPr>
            <w:tcW w:type="dxa" w:w="950"/>
            <w:vAlign w:val="top"/>
          </w:tcPr>
          <w:p>
            <w:pPr>
              <w:spacing w:after="40" w:before="0" w:line="259" w:lineRule="auto"/>
            </w:pPr>
            <w:r>
              <w:rPr>
                <w:rFonts w:ascii="Calibri" w:hAnsi="Calibri"/>
                <w:b w:val="0"/>
                <w:i w:val="0"/>
                <w:color w:val="212121"/>
                <w:sz w:val="16"/>
              </w:rPr>
              <w:t>Inducible ST depression or perfusion defect</w:t>
            </w:r>
          </w:p>
        </w:tc>
        <w:tc>
          <w:tcPr>
            <w:tcW w:type="dxa" w:w="1036"/>
            <w:vAlign w:val="top"/>
          </w:tcPr>
          <w:p>
            <w:pPr>
              <w:spacing w:after="40" w:before="0" w:line="259" w:lineRule="auto"/>
            </w:pPr>
            <w:r>
              <w:rPr>
                <w:rFonts w:ascii="Calibri" w:hAnsi="Calibri"/>
                <w:b w:val="0"/>
                <w:i w:val="0"/>
                <w:color w:val="212121"/>
                <w:sz w:val="16"/>
              </w:rPr>
              <w:t>Detects flow-limiting stenosis and risk-stratifies</w:t>
            </w:r>
          </w:p>
        </w:tc>
        <w:tc>
          <w:tcPr>
            <w:tcW w:type="dxa" w:w="1036"/>
            <w:vAlign w:val="top"/>
          </w:tcPr>
          <w:p>
            <w:pPr>
              <w:spacing w:after="40" w:before="0" w:line="259" w:lineRule="auto"/>
            </w:pPr>
            <w:r>
              <w:rPr>
                <w:rFonts w:ascii="Calibri" w:hAnsi="Calibri"/>
                <w:b w:val="0"/>
                <w:i w:val="0"/>
                <w:color w:val="212121"/>
                <w:sz w:val="16"/>
              </w:rPr>
              <w:t>Stable chest pain, intermediate risk</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Choose modality by baseline ECG and ability to exercise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CT coronary angiography / CAC score</w:t>
            </w:r>
          </w:p>
        </w:tc>
        <w:tc>
          <w:tcPr>
            <w:tcW w:type="dxa" w:w="892"/>
            <w:vAlign w:val="top"/>
          </w:tcPr>
          <w:p>
            <w:pPr>
              <w:spacing w:after="40" w:before="0" w:line="259" w:lineRule="auto"/>
            </w:pPr>
            <w:r>
              <w:rPr>
                <w:rFonts w:ascii="Calibri" w:hAnsi="Calibri"/>
                <w:b w:val="0"/>
                <w:i w:val="0"/>
                <w:color w:val="212121"/>
                <w:sz w:val="16"/>
              </w:rPr>
              <w:t>CTCA</w:t>
            </w:r>
          </w:p>
        </w:tc>
        <w:tc>
          <w:tcPr>
            <w:tcW w:type="dxa" w:w="950"/>
            <w:vAlign w:val="top"/>
          </w:tcPr>
          <w:p>
            <w:pPr>
              <w:spacing w:after="40" w:before="0" w:line="259" w:lineRule="auto"/>
            </w:pPr>
            <w:r>
              <w:rPr>
                <w:rFonts w:ascii="Calibri" w:hAnsi="Calibri"/>
                <w:b w:val="0"/>
                <w:i w:val="0"/>
                <w:color w:val="212121"/>
                <w:sz w:val="16"/>
              </w:rPr>
              <w:t>CAC = 0; no stenosis</w:t>
            </w:r>
          </w:p>
        </w:tc>
        <w:tc>
          <w:tcPr>
            <w:tcW w:type="dxa" w:w="950"/>
            <w:vAlign w:val="top"/>
          </w:tcPr>
          <w:p>
            <w:pPr>
              <w:spacing w:after="40" w:before="0" w:line="259" w:lineRule="auto"/>
            </w:pPr>
            <w:r>
              <w:rPr>
                <w:rFonts w:ascii="Calibri" w:hAnsi="Calibri"/>
                <w:b w:val="0"/>
                <w:i w:val="0"/>
                <w:color w:val="212121"/>
                <w:sz w:val="16"/>
              </w:rPr>
              <w:t>CAC &gt; 0; stenosis &gt;= 50-70%</w:t>
            </w:r>
          </w:p>
        </w:tc>
        <w:tc>
          <w:tcPr>
            <w:tcW w:type="dxa" w:w="1036"/>
            <w:vAlign w:val="top"/>
          </w:tcPr>
          <w:p>
            <w:pPr>
              <w:spacing w:after="40" w:before="0" w:line="259" w:lineRule="auto"/>
            </w:pPr>
            <w:r>
              <w:rPr>
                <w:rFonts w:ascii="Calibri" w:hAnsi="Calibri"/>
                <w:b w:val="0"/>
                <w:i w:val="0"/>
                <w:color w:val="212121"/>
                <w:sz w:val="16"/>
              </w:rPr>
              <w:t>Non-invasive coronary anatomy and plaque/calcium burden</w:t>
            </w:r>
          </w:p>
        </w:tc>
        <w:tc>
          <w:tcPr>
            <w:tcW w:type="dxa" w:w="1036"/>
            <w:vAlign w:val="top"/>
          </w:tcPr>
          <w:p>
            <w:pPr>
              <w:spacing w:after="40" w:before="0" w:line="259" w:lineRule="auto"/>
            </w:pPr>
            <w:r>
              <w:rPr>
                <w:rFonts w:ascii="Calibri" w:hAnsi="Calibri"/>
                <w:b w:val="0"/>
                <w:i w:val="0"/>
                <w:color w:val="212121"/>
                <w:sz w:val="16"/>
              </w:rPr>
              <w:t>Low-to-intermediate risk, atypical symptoms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Excellent negative predictive value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Invasive coronary angiography</w:t>
            </w:r>
          </w:p>
        </w:tc>
        <w:tc>
          <w:tcPr>
            <w:tcW w:type="dxa" w:w="892"/>
            <w:vAlign w:val="top"/>
          </w:tcPr>
          <w:p>
            <w:pPr>
              <w:spacing w:after="40" w:before="0" w:line="259" w:lineRule="auto"/>
            </w:pPr>
            <w:r>
              <w:rPr>
                <w:rFonts w:ascii="Calibri" w:hAnsi="Calibri"/>
                <w:b w:val="0"/>
                <w:i w:val="0"/>
                <w:color w:val="212121"/>
                <w:sz w:val="16"/>
              </w:rPr>
              <w:t>Coronary angiogram</w:t>
            </w:r>
          </w:p>
        </w:tc>
        <w:tc>
          <w:tcPr>
            <w:tcW w:type="dxa" w:w="950"/>
            <w:vAlign w:val="top"/>
          </w:tcPr>
          <w:p>
            <w:pPr>
              <w:spacing w:after="40" w:before="0" w:line="259" w:lineRule="auto"/>
            </w:pPr>
            <w:r>
              <w:rPr>
                <w:rFonts w:ascii="Calibri" w:hAnsi="Calibri"/>
                <w:b w:val="0"/>
                <w:i w:val="0"/>
                <w:color w:val="212121"/>
                <w:sz w:val="16"/>
              </w:rPr>
              <w:t>No obstructive disease</w:t>
            </w:r>
          </w:p>
        </w:tc>
        <w:tc>
          <w:tcPr>
            <w:tcW w:type="dxa" w:w="950"/>
            <w:vAlign w:val="top"/>
          </w:tcPr>
          <w:p>
            <w:pPr>
              <w:spacing w:after="40" w:before="0" w:line="259" w:lineRule="auto"/>
            </w:pPr>
            <w:r>
              <w:rPr>
                <w:rFonts w:ascii="Calibri" w:hAnsi="Calibri"/>
                <w:b w:val="0"/>
                <w:i w:val="0"/>
                <w:color w:val="212121"/>
                <w:sz w:val="16"/>
              </w:rPr>
              <w:t>&gt;= 70% epicardial or &gt;= 50% left-main stenosis</w:t>
            </w:r>
          </w:p>
        </w:tc>
        <w:tc>
          <w:tcPr>
            <w:tcW w:type="dxa" w:w="1036"/>
            <w:vAlign w:val="top"/>
          </w:tcPr>
          <w:p>
            <w:pPr>
              <w:spacing w:after="40" w:before="0" w:line="259" w:lineRule="auto"/>
            </w:pPr>
            <w:r>
              <w:rPr>
                <w:rFonts w:ascii="Calibri" w:hAnsi="Calibri"/>
                <w:b w:val="0"/>
                <w:i w:val="0"/>
                <w:color w:val="212121"/>
                <w:sz w:val="16"/>
              </w:rPr>
              <w:t>Definitive anatomy; enables PCI in the same sitting</w:t>
            </w:r>
          </w:p>
        </w:tc>
        <w:tc>
          <w:tcPr>
            <w:tcW w:type="dxa" w:w="1036"/>
            <w:vAlign w:val="top"/>
          </w:tcPr>
          <w:p>
            <w:pPr>
              <w:spacing w:after="40" w:before="0" w:line="259" w:lineRule="auto"/>
            </w:pPr>
            <w:r>
              <w:rPr>
                <w:rFonts w:ascii="Calibri" w:hAnsi="Calibri"/>
                <w:b w:val="0"/>
                <w:i w:val="0"/>
                <w:color w:val="212121"/>
                <w:sz w:val="16"/>
              </w:rPr>
              <w:t>ACS, high-risk or positive stress test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Invasive; guides revascularisation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Transthoracic echocardiography</w:t>
            </w:r>
          </w:p>
        </w:tc>
        <w:tc>
          <w:tcPr>
            <w:tcW w:type="dxa" w:w="892"/>
            <w:vAlign w:val="top"/>
          </w:tcPr>
          <w:p>
            <w:pPr>
              <w:spacing w:after="40" w:before="0" w:line="259" w:lineRule="auto"/>
            </w:pPr>
            <w:r>
              <w:rPr>
                <w:rFonts w:ascii="Calibri" w:hAnsi="Calibri"/>
                <w:b w:val="0"/>
                <w:i w:val="0"/>
                <w:color w:val="212121"/>
                <w:sz w:val="16"/>
              </w:rPr>
              <w:t>Echo</w:t>
            </w:r>
          </w:p>
        </w:tc>
        <w:tc>
          <w:tcPr>
            <w:tcW w:type="dxa" w:w="950"/>
            <w:vAlign w:val="top"/>
          </w:tcPr>
          <w:p>
            <w:pPr>
              <w:spacing w:after="40" w:before="0" w:line="259" w:lineRule="auto"/>
            </w:pPr>
            <w:r>
              <w:rPr>
                <w:rFonts w:ascii="Calibri" w:hAnsi="Calibri"/>
                <w:b w:val="0"/>
                <w:i w:val="0"/>
                <w:color w:val="212121"/>
                <w:sz w:val="16"/>
              </w:rPr>
              <w:t>Normal LV function (EF &gt;= 55%)</w:t>
            </w:r>
          </w:p>
        </w:tc>
        <w:tc>
          <w:tcPr>
            <w:tcW w:type="dxa" w:w="950"/>
            <w:vAlign w:val="top"/>
          </w:tcPr>
          <w:p>
            <w:pPr>
              <w:spacing w:after="40" w:before="0" w:line="259" w:lineRule="auto"/>
            </w:pPr>
            <w:r>
              <w:rPr>
                <w:rFonts w:ascii="Calibri" w:hAnsi="Calibri"/>
                <w:b w:val="0"/>
                <w:i w:val="0"/>
                <w:color w:val="212121"/>
                <w:sz w:val="16"/>
              </w:rPr>
              <w:t>Regional wall-motion abnormality; reduced EF</w:t>
            </w:r>
          </w:p>
        </w:tc>
        <w:tc>
          <w:tcPr>
            <w:tcW w:type="dxa" w:w="1036"/>
            <w:vAlign w:val="top"/>
          </w:tcPr>
          <w:p>
            <w:pPr>
              <w:spacing w:after="40" w:before="0" w:line="259" w:lineRule="auto"/>
            </w:pPr>
            <w:r>
              <w:rPr>
                <w:rFonts w:ascii="Calibri" w:hAnsi="Calibri"/>
                <w:b w:val="0"/>
                <w:i w:val="0"/>
                <w:color w:val="212121"/>
                <w:sz w:val="16"/>
              </w:rPr>
              <w:t>Assesses LV function and ischaemic damage</w:t>
            </w:r>
          </w:p>
        </w:tc>
        <w:tc>
          <w:tcPr>
            <w:tcW w:type="dxa" w:w="1036"/>
            <w:vAlign w:val="top"/>
          </w:tcPr>
          <w:p>
            <w:pPr>
              <w:spacing w:after="40" w:before="0" w:line="259" w:lineRule="auto"/>
            </w:pPr>
            <w:r>
              <w:rPr>
                <w:rFonts w:ascii="Calibri" w:hAnsi="Calibri"/>
                <w:b w:val="0"/>
                <w:i w:val="0"/>
                <w:color w:val="212121"/>
                <w:sz w:val="16"/>
              </w:rPr>
              <w:t>Post-MI, heart-failure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Bedside and radiation-free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Chest pain/pressure, exertional dyspnoea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Exertional or rest angina, radiation to arm/jaw</w:t>
            </w:r>
          </w:p>
        </w:tc>
        <w:tc>
          <w:tcPr>
            <w:tcW w:type="dxa" w:w="1036"/>
            <w:vAlign w:val="top"/>
          </w:tcPr>
          <w:p>
            <w:pPr>
              <w:spacing w:after="40" w:before="0" w:line="259" w:lineRule="auto"/>
            </w:pPr>
            <w:r>
              <w:rPr>
                <w:rFonts w:ascii="Calibri" w:hAnsi="Calibri"/>
                <w:b w:val="0"/>
                <w:i w:val="0"/>
                <w:color w:val="212121"/>
                <w:sz w:val="16"/>
              </w:rPr>
              <w:t>Cardinal ischaemic symptom; characterise timing and triggers</w:t>
            </w:r>
          </w:p>
        </w:tc>
        <w:tc>
          <w:tcPr>
            <w:tcW w:type="dxa" w:w="1036"/>
            <w:vAlign w:val="top"/>
          </w:tcPr>
          <w:p>
            <w:pPr>
              <w:spacing w:after="40" w:before="0" w:line="259" w:lineRule="auto"/>
            </w:pPr>
            <w:r>
              <w:rPr>
                <w:rFonts w:ascii="Calibri" w:hAnsi="Calibri"/>
                <w:b w:val="0"/>
                <w:i w:val="0"/>
                <w:color w:val="212121"/>
                <w:sz w:val="16"/>
              </w:rPr>
              <w:t>Adults with risk factors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Atypical or silent in women, diabetics and the elderly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and family history</w:t>
            </w:r>
          </w:p>
        </w:tc>
        <w:tc>
          <w:tcPr>
            <w:tcW w:type="dxa" w:w="979"/>
            <w:vAlign w:val="top"/>
          </w:tcPr>
          <w:p>
            <w:pPr>
              <w:spacing w:after="40" w:before="0" w:line="259" w:lineRule="auto"/>
            </w:pPr>
            <w:r>
              <w:rPr>
                <w:rFonts w:ascii="Calibri" w:hAnsi="Calibri"/>
                <w:b w:val="0"/>
                <w:i w:val="0"/>
                <w:color w:val="212121"/>
                <w:sz w:val="16"/>
              </w:rPr>
              <w:t>Smoking, diabetes, hypertension, premature CHD in family</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Establishes pre-test probability of CHD</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Smoking;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at onset in affected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Blood pressure and anthropometry</w:t>
            </w:r>
          </w:p>
        </w:tc>
        <w:tc>
          <w:tcPr>
            <w:tcW w:type="dxa" w:w="979"/>
            <w:vAlign w:val="top"/>
          </w:tcPr>
          <w:p>
            <w:pPr>
              <w:spacing w:after="40" w:before="0" w:line="259" w:lineRule="auto"/>
            </w:pPr>
            <w:r>
              <w:rPr>
                <w:rFonts w:ascii="Calibri" w:hAnsi="Calibri"/>
                <w:b w:val="0"/>
                <w:i w:val="0"/>
                <w:color w:val="212121"/>
                <w:sz w:val="16"/>
              </w:rPr>
              <w:t>BP, BMI, waist circumference</w:t>
            </w:r>
          </w:p>
        </w:tc>
        <w:tc>
          <w:tcPr>
            <w:tcW w:type="dxa" w:w="950"/>
            <w:vAlign w:val="top"/>
          </w:tcPr>
          <w:p>
            <w:pPr>
              <w:spacing w:after="40" w:before="0" w:line="259" w:lineRule="auto"/>
            </w:pPr>
            <w:r>
              <w:rPr>
                <w:rFonts w:ascii="Calibri" w:hAnsi="Calibri"/>
                <w:b w:val="0"/>
                <w:i w:val="0"/>
                <w:color w:val="212121"/>
                <w:sz w:val="16"/>
              </w:rPr>
              <w:t>BP &lt; 120/80; normal waist</w:t>
            </w:r>
          </w:p>
        </w:tc>
        <w:tc>
          <w:tcPr>
            <w:tcW w:type="dxa" w:w="950"/>
            <w:vAlign w:val="top"/>
          </w:tcPr>
          <w:p>
            <w:pPr>
              <w:spacing w:after="40" w:before="0" w:line="259" w:lineRule="auto"/>
            </w:pPr>
            <w:r>
              <w:rPr>
                <w:rFonts w:ascii="Calibri" w:hAnsi="Calibri"/>
                <w:b w:val="0"/>
                <w:i w:val="0"/>
                <w:color w:val="212121"/>
                <w:sz w:val="16"/>
              </w:rPr>
              <w:t>BP &gt;= 140/90; central obesity</w:t>
            </w:r>
          </w:p>
        </w:tc>
        <w:tc>
          <w:tcPr>
            <w:tcW w:type="dxa" w:w="1036"/>
            <w:vAlign w:val="top"/>
          </w:tcPr>
          <w:p>
            <w:pPr>
              <w:spacing w:after="40" w:before="0" w:line="259" w:lineRule="auto"/>
            </w:pPr>
            <w:r>
              <w:rPr>
                <w:rFonts w:ascii="Calibri" w:hAnsi="Calibri"/>
                <w:b w:val="0"/>
                <w:i w:val="0"/>
                <w:color w:val="212121"/>
                <w:sz w:val="16"/>
              </w:rPr>
              <w:t>Detects modifiable haemodynamic and metabolic drivers</w:t>
            </w:r>
          </w:p>
        </w:tc>
        <w:tc>
          <w:tcPr>
            <w:tcW w:type="dxa" w:w="1036"/>
            <w:vAlign w:val="top"/>
          </w:tcPr>
          <w:p>
            <w:pPr>
              <w:spacing w:after="40" w:before="0" w:line="259" w:lineRule="auto"/>
            </w:pPr>
            <w:r>
              <w:rPr>
                <w:rFonts w:ascii="Calibri" w:hAnsi="Calibri"/>
                <w:b w:val="0"/>
                <w:i w:val="0"/>
                <w:color w:val="212121"/>
                <w:sz w:val="16"/>
              </w:rPr>
              <w:t>All adults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 Asian-Indian anthropometric cut-offs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Cardiovascular examination</w:t>
            </w:r>
          </w:p>
        </w:tc>
        <w:tc>
          <w:tcPr>
            <w:tcW w:type="dxa" w:w="950"/>
            <w:vAlign w:val="top"/>
          </w:tcPr>
          <w:p>
            <w:pPr>
              <w:spacing w:after="40" w:before="0" w:line="259" w:lineRule="auto"/>
            </w:pPr>
            <w:r>
              <w:rPr>
                <w:rFonts w:ascii="Calibri" w:hAnsi="Calibri"/>
                <w:b w:val="0"/>
                <w:i w:val="0"/>
                <w:color w:val="212121"/>
                <w:sz w:val="16"/>
              </w:rPr>
              <w:t>Auscultation and pulses</w:t>
            </w:r>
          </w:p>
        </w:tc>
        <w:tc>
          <w:tcPr>
            <w:tcW w:type="dxa" w:w="979"/>
            <w:vAlign w:val="top"/>
          </w:tcPr>
          <w:p>
            <w:pPr>
              <w:spacing w:after="40" w:before="0" w:line="259" w:lineRule="auto"/>
            </w:pPr>
            <w:r>
              <w:rPr>
                <w:rFonts w:ascii="Calibri" w:hAnsi="Calibri"/>
                <w:b w:val="0"/>
                <w:i w:val="0"/>
                <w:color w:val="212121"/>
                <w:sz w:val="16"/>
              </w:rPr>
              <w:t>Heart sounds, murmurs, carotid/peripheral pulses</w:t>
            </w:r>
          </w:p>
        </w:tc>
        <w:tc>
          <w:tcPr>
            <w:tcW w:type="dxa" w:w="950"/>
            <w:vAlign w:val="top"/>
          </w:tcPr>
          <w:p>
            <w:pPr>
              <w:spacing w:after="40" w:before="0" w:line="259" w:lineRule="auto"/>
            </w:pPr>
            <w:r>
              <w:rPr>
                <w:rFonts w:ascii="Calibri" w:hAnsi="Calibri"/>
                <w:b w:val="0"/>
                <w:i w:val="0"/>
                <w:color w:val="212121"/>
                <w:sz w:val="16"/>
              </w:rPr>
              <w:t>Normal S1-S2, no bruit, normal pulses</w:t>
            </w:r>
          </w:p>
        </w:tc>
        <w:tc>
          <w:tcPr>
            <w:tcW w:type="dxa" w:w="950"/>
            <w:vAlign w:val="top"/>
          </w:tcPr>
          <w:p>
            <w:pPr>
              <w:spacing w:after="40" w:before="0" w:line="259" w:lineRule="auto"/>
            </w:pPr>
            <w:r>
              <w:rPr>
                <w:rFonts w:ascii="Calibri" w:hAnsi="Calibri"/>
                <w:b w:val="0"/>
                <w:i w:val="0"/>
                <w:color w:val="212121"/>
                <w:sz w:val="16"/>
              </w:rPr>
              <w:t>S4/S3, mitral murmur, carotid bruit, reduced pulses</w:t>
            </w:r>
          </w:p>
        </w:tc>
        <w:tc>
          <w:tcPr>
            <w:tcW w:type="dxa" w:w="1036"/>
            <w:vAlign w:val="top"/>
          </w:tcPr>
          <w:p>
            <w:pPr>
              <w:spacing w:after="40" w:before="0" w:line="259" w:lineRule="auto"/>
            </w:pPr>
            <w:r>
              <w:rPr>
                <w:rFonts w:ascii="Calibri" w:hAnsi="Calibri"/>
                <w:b w:val="0"/>
                <w:i w:val="0"/>
                <w:color w:val="212121"/>
                <w:sz w:val="16"/>
              </w:rPr>
              <w:t>Signs of ischaemic dysfunction and widespread atherosclerosis</w:t>
            </w:r>
          </w:p>
        </w:tc>
        <w:tc>
          <w:tcPr>
            <w:tcW w:type="dxa" w:w="1036"/>
            <w:vAlign w:val="top"/>
          </w:tcPr>
          <w:p>
            <w:pPr>
              <w:spacing w:after="40" w:before="0" w:line="259" w:lineRule="auto"/>
            </w:pPr>
            <w:r>
              <w:rPr>
                <w:rFonts w:ascii="Calibri" w:hAnsi="Calibri"/>
                <w:b w:val="0"/>
                <w:i w:val="0"/>
                <w:color w:val="212121"/>
                <w:sz w:val="16"/>
              </w:rPr>
              <w:t>Suspected CHD/PAD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carotid bruit signals systemic vascular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Signs of dyslipidaemia</w:t>
            </w:r>
          </w:p>
        </w:tc>
        <w:tc>
          <w:tcPr>
            <w:tcW w:type="dxa" w:w="979"/>
            <w:vAlign w:val="top"/>
          </w:tcPr>
          <w:p>
            <w:pPr>
              <w:spacing w:after="40" w:before="0" w:line="259" w:lineRule="auto"/>
            </w:pPr>
            <w:r>
              <w:rPr>
                <w:rFonts w:ascii="Calibri" w:hAnsi="Calibri"/>
                <w:b w:val="0"/>
                <w:i w:val="0"/>
                <w:color w:val="212121"/>
                <w:sz w:val="16"/>
              </w:rPr>
              <w:t>Xanthelasma, corneal arcus, tendon xanthomas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Point to an underlying lipid disorder, often familial</w:t>
            </w:r>
          </w:p>
        </w:tc>
        <w:tc>
          <w:tcPr>
            <w:tcW w:type="dxa" w:w="1036"/>
            <w:vAlign w:val="top"/>
          </w:tcPr>
          <w:p>
            <w:pPr>
              <w:spacing w:after="40" w:before="0" w:line="259" w:lineRule="auto"/>
            </w:pPr>
            <w:r>
              <w:rPr>
                <w:rFonts w:ascii="Calibri" w:hAnsi="Calibri"/>
                <w:b w:val="0"/>
                <w:i w:val="0"/>
                <w:color w:val="212121"/>
                <w:sz w:val="16"/>
              </w:rPr>
              <w:t>Young CAD, family history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Prompt lipid and Lp(a) workup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Cardiovascular examination</w:t>
            </w:r>
          </w:p>
        </w:tc>
        <w:tc>
          <w:tcPr>
            <w:tcW w:type="dxa" w:w="950"/>
            <w:vAlign w:val="top"/>
          </w:tcPr>
          <w:p>
            <w:pPr>
              <w:spacing w:after="40" w:before="0" w:line="259" w:lineRule="auto"/>
            </w:pPr>
            <w:r>
              <w:rPr>
                <w:rFonts w:ascii="Calibri" w:hAnsi="Calibri"/>
                <w:b w:val="0"/>
                <w:i w:val="0"/>
                <w:color w:val="212121"/>
                <w:sz w:val="16"/>
              </w:rPr>
              <w:t>Signs of heart failure</w:t>
            </w:r>
          </w:p>
        </w:tc>
        <w:tc>
          <w:tcPr>
            <w:tcW w:type="dxa" w:w="979"/>
            <w:vAlign w:val="top"/>
          </w:tcPr>
          <w:p>
            <w:pPr>
              <w:spacing w:after="40" w:before="0" w:line="259" w:lineRule="auto"/>
            </w:pPr>
            <w:r>
              <w:rPr>
                <w:rFonts w:ascii="Calibri" w:hAnsi="Calibri"/>
                <w:b w:val="0"/>
                <w:i w:val="0"/>
                <w:color w:val="212121"/>
                <w:sz w:val="16"/>
              </w:rPr>
              <w:t>JVP, lung crepitations, pedal oedema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Raised JVP, basal crepitations, pedal oedema</w:t>
            </w:r>
          </w:p>
        </w:tc>
        <w:tc>
          <w:tcPr>
            <w:tcW w:type="dxa" w:w="1036"/>
            <w:vAlign w:val="top"/>
          </w:tcPr>
          <w:p>
            <w:pPr>
              <w:spacing w:after="40" w:before="0" w:line="259" w:lineRule="auto"/>
            </w:pPr>
            <w:r>
              <w:rPr>
                <w:rFonts w:ascii="Calibri" w:hAnsi="Calibri"/>
                <w:b w:val="0"/>
                <w:i w:val="0"/>
                <w:color w:val="212121"/>
                <w:sz w:val="16"/>
              </w:rPr>
              <w:t>Indicate ischaemic LV dysfunction or complication</w:t>
            </w:r>
          </w:p>
        </w:tc>
        <w:tc>
          <w:tcPr>
            <w:tcW w:type="dxa" w:w="1036"/>
            <w:vAlign w:val="top"/>
          </w:tcPr>
          <w:p>
            <w:pPr>
              <w:spacing w:after="40" w:before="0" w:line="259" w:lineRule="auto"/>
            </w:pPr>
            <w:r>
              <w:rPr>
                <w:rFonts w:ascii="Calibri" w:hAnsi="Calibri"/>
                <w:b w:val="0"/>
                <w:i w:val="0"/>
                <w:color w:val="212121"/>
                <w:sz w:val="16"/>
              </w:rPr>
              <w:t>Post-MI, advanced CHD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intensity of management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Angina (chest pain/pressure/tightness)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Central or left-sided pressure, heaviness or squeezing, typically brought on by exertion or stress and relieved by rest - the hallmark of myocardial ischaemia.</w:t>
            </w:r>
          </w:p>
        </w:tc>
      </w:tr>
      <w:tr>
        <w:trPr>
          <w:cantSplit/>
        </w:trPr>
        <w:tc>
          <w:tcPr>
            <w:tcW w:type="dxa" w:w="2304"/>
            <w:vAlign w:val="top"/>
          </w:tcPr>
          <w:p>
            <w:pPr>
              <w:spacing w:after="40" w:before="0" w:line="259" w:lineRule="auto"/>
            </w:pPr>
            <w:r>
              <w:rPr>
                <w:rFonts w:ascii="Calibri" w:hAnsi="Calibri"/>
                <w:b/>
                <w:i w:val="0"/>
                <w:color w:val="212121"/>
                <w:sz w:val="19"/>
              </w:rPr>
              <w:t>Pain radiating to arm, jaw, neck or back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Ischaemic pain often spreads to the left arm, jaw, neck, shoulder or upper back.</w:t>
            </w:r>
          </w:p>
        </w:tc>
      </w:tr>
      <w:tr>
        <w:trPr>
          <w:cantSplit/>
        </w:trPr>
        <w:tc>
          <w:tcPr>
            <w:tcW w:type="dxa" w:w="2304"/>
            <w:vAlign w:val="top"/>
          </w:tcPr>
          <w:p>
            <w:pPr>
              <w:spacing w:after="40" w:before="0" w:line="259" w:lineRule="auto"/>
            </w:pPr>
            <w:r>
              <w:rPr>
                <w:rFonts w:ascii="Calibri" w:hAnsi="Calibri"/>
                <w:b/>
                <w:i w:val="0"/>
                <w:color w:val="212121"/>
                <w:sz w:val="19"/>
              </w:rPr>
              <w:t>Exertional breathlessness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Shortness of breath on exertion may be the main symptom, especially in women, diabetics and the elderly (an anginal equivalent).</w:t>
            </w:r>
          </w:p>
        </w:tc>
      </w:tr>
      <w:tr>
        <w:trPr>
          <w:cantSplit/>
        </w:trPr>
        <w:tc>
          <w:tcPr>
            <w:tcW w:type="dxa" w:w="2304"/>
            <w:vAlign w:val="top"/>
          </w:tcPr>
          <w:p>
            <w:pPr>
              <w:spacing w:after="40" w:before="0" w:line="259" w:lineRule="auto"/>
            </w:pPr>
            <w:r>
              <w:rPr>
                <w:rFonts w:ascii="Calibri" w:hAnsi="Calibri"/>
                <w:b/>
                <w:i w:val="0"/>
                <w:color w:val="212121"/>
                <w:sz w:val="19"/>
              </w:rPr>
              <w:t>Fatigue and reduced exercise 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Unusual tiredness and declining stamina reflect impaired cardiac output.</w:t>
            </w:r>
          </w:p>
        </w:tc>
      </w:tr>
      <w:tr>
        <w:trPr>
          <w:cantSplit/>
        </w:trPr>
        <w:tc>
          <w:tcPr>
            <w:tcW w:type="dxa" w:w="2304"/>
            <w:vAlign w:val="top"/>
          </w:tcPr>
          <w:p>
            <w:pPr>
              <w:spacing w:after="40" w:before="0" w:line="259" w:lineRule="auto"/>
            </w:pPr>
            <w:r>
              <w:rPr>
                <w:rFonts w:ascii="Calibri" w:hAnsi="Calibri"/>
                <w:b/>
                <w:i w:val="0"/>
                <w:color w:val="212121"/>
                <w:sz w:val="19"/>
              </w:rPr>
              <w:t>Diaphoresis (cold sweating)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Profuse cold sweating commonly accompanies acute ischaemia or infarction.</w:t>
            </w:r>
          </w:p>
        </w:tc>
      </w:tr>
      <w:tr>
        <w:trPr>
          <w:cantSplit/>
        </w:trPr>
        <w:tc>
          <w:tcPr>
            <w:tcW w:type="dxa" w:w="2304"/>
            <w:vAlign w:val="top"/>
          </w:tcPr>
          <w:p>
            <w:pPr>
              <w:spacing w:after="40" w:before="0" w:line="259" w:lineRule="auto"/>
            </w:pPr>
            <w:r>
              <w:rPr>
                <w:rFonts w:ascii="Calibri" w:hAnsi="Calibri"/>
                <w:b/>
                <w:i w:val="0"/>
                <w:color w:val="212121"/>
                <w:sz w:val="19"/>
              </w:rPr>
              <w:t>Silent or atypical presentation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Many Indians - particularly people with diabetes, women and the elderly - have minimal or no chest pain despite significant ischaemia.</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Awareness of a rapid or irregular heartbeat from ischaemia-related arrhythmia.</w:t>
            </w:r>
          </w:p>
        </w:tc>
      </w:tr>
      <w:tr>
        <w:trPr>
          <w:cantSplit/>
        </w:trPr>
        <w:tc>
          <w:tcPr>
            <w:tcW w:type="dxa" w:w="2304"/>
            <w:vAlign w:val="top"/>
          </w:tcPr>
          <w:p>
            <w:pPr>
              <w:spacing w:after="40" w:before="0" w:line="259" w:lineRule="auto"/>
            </w:pPr>
            <w:r>
              <w:rPr>
                <w:rFonts w:ascii="Calibri" w:hAnsi="Calibri"/>
                <w:b/>
                <w:i w:val="0"/>
                <w:color w:val="212121"/>
                <w:sz w:val="19"/>
              </w:rPr>
              <w:t>Nausea, indigestion or epigastric discomfort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Ischaemia, particularly inferior MI, can mimic indigestion and is a frequent cause of missed diagnosis.</w:t>
            </w:r>
          </w:p>
        </w:tc>
      </w:tr>
      <w:tr>
        <w:trPr>
          <w:cantSplit/>
        </w:trPr>
        <w:tc>
          <w:tcPr>
            <w:tcW w:type="dxa" w:w="2304"/>
            <w:vAlign w:val="top"/>
          </w:tcPr>
          <w:p>
            <w:pPr>
              <w:spacing w:after="40" w:before="0" w:line="259" w:lineRule="auto"/>
            </w:pPr>
            <w:r>
              <w:rPr>
                <w:rFonts w:ascii="Calibri" w:hAnsi="Calibri"/>
                <w:b/>
                <w:i w:val="0"/>
                <w:color w:val="212121"/>
                <w:sz w:val="19"/>
              </w:rPr>
              <w:t>Dizziness or light-headedness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reflect reduced cardiac output or an arrhythmia.</w:t>
            </w:r>
          </w:p>
        </w:tc>
      </w:tr>
      <w:tr>
        <w:trPr>
          <w:cantSplit/>
        </w:trPr>
        <w:tc>
          <w:tcPr>
            <w:tcW w:type="dxa" w:w="2304"/>
            <w:vAlign w:val="top"/>
          </w:tcPr>
          <w:p>
            <w:pPr>
              <w:spacing w:after="40" w:before="0" w:line="259" w:lineRule="auto"/>
            </w:pPr>
            <w:r>
              <w:rPr>
                <w:rFonts w:ascii="Calibri" w:hAnsi="Calibri"/>
                <w:b/>
                <w:i w:val="0"/>
                <w:color w:val="212121"/>
                <w:sz w:val="19"/>
              </w:rPr>
              <w:t>Severe, prolonged rest chest pain with a sense of doom</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acute myocardial infarction and is a medical emergency.</w:t>
            </w:r>
          </w:p>
        </w:tc>
      </w:tr>
      <w:tr>
        <w:trPr>
          <w:cantSplit/>
        </w:trPr>
        <w:tc>
          <w:tcPr>
            <w:tcW w:type="dxa" w:w="2304"/>
            <w:vAlign w:val="top"/>
          </w:tcPr>
          <w:p>
            <w:pPr>
              <w:spacing w:after="40" w:before="0" w:line="259" w:lineRule="auto"/>
            </w:pPr>
            <w:r>
              <w:rPr>
                <w:rFonts w:ascii="Calibri" w:hAnsi="Calibri"/>
                <w:b/>
                <w:i w:val="0"/>
                <w:color w:val="212121"/>
                <w:sz w:val="19"/>
              </w:rPr>
              <w:t>Syncope (fainting)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Loss of consciousness may indicate severe ischaemia, arrhythmia or critical stenosis.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Elevated blood pressure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Hypertension frequently coexists and both drives and complicates CHD.</w:t>
            </w:r>
          </w:p>
        </w:tc>
      </w:tr>
      <w:tr>
        <w:trPr>
          <w:cantSplit/>
        </w:trPr>
        <w:tc>
          <w:tcPr>
            <w:tcW w:type="dxa" w:w="3456"/>
            <w:vAlign w:val="top"/>
          </w:tcPr>
          <w:p>
            <w:pPr>
              <w:spacing w:after="40" w:before="0" w:line="259" w:lineRule="auto"/>
            </w:pPr>
            <w:r>
              <w:rPr>
                <w:rFonts w:ascii="Calibri" w:hAnsi="Calibri"/>
                <w:b/>
                <w:i w:val="0"/>
                <w:color w:val="212121"/>
                <w:sz w:val="19"/>
              </w:rPr>
              <w:t>Fourth heart sound (S4)</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a stiff, ischaemic left ventricle.</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Compensatory or arrhythmia-related fast heart rate during ischaemia.</w:t>
            </w:r>
          </w:p>
        </w:tc>
      </w:tr>
      <w:tr>
        <w:trPr>
          <w:cantSplit/>
        </w:trPr>
        <w:tc>
          <w:tcPr>
            <w:tcW w:type="dxa" w:w="3456"/>
            <w:vAlign w:val="top"/>
          </w:tcPr>
          <w:p>
            <w:pPr>
              <w:spacing w:after="40" w:before="0" w:line="259" w:lineRule="auto"/>
            </w:pPr>
            <w:r>
              <w:rPr>
                <w:rFonts w:ascii="Calibri" w:hAnsi="Calibri"/>
                <w:b/>
                <w:i w:val="0"/>
                <w:color w:val="212121"/>
                <w:sz w:val="19"/>
              </w:rPr>
              <w:t>Diaphoresis, pallor and anxiety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Autonomic activation typical of an acute coronary event.</w:t>
            </w:r>
          </w:p>
        </w:tc>
      </w:tr>
      <w:tr>
        <w:trPr>
          <w:cantSplit/>
        </w:trPr>
        <w:tc>
          <w:tcPr>
            <w:tcW w:type="dxa" w:w="3456"/>
            <w:vAlign w:val="top"/>
          </w:tcPr>
          <w:p>
            <w:pPr>
              <w:spacing w:after="40" w:before="0" w:line="259" w:lineRule="auto"/>
            </w:pPr>
            <w:r>
              <w:rPr>
                <w:rFonts w:ascii="Calibri" w:hAnsi="Calibri"/>
                <w:b/>
                <w:i w:val="0"/>
                <w:color w:val="212121"/>
                <w:sz w:val="19"/>
              </w:rPr>
              <w:t>Carotid or peripheral bruit / diminished pulses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 systemic atherosclerosis accompanying CHD.</w:t>
            </w:r>
          </w:p>
        </w:tc>
      </w:tr>
      <w:tr>
        <w:trPr>
          <w:cantSplit/>
        </w:trPr>
        <w:tc>
          <w:tcPr>
            <w:tcW w:type="dxa" w:w="3456"/>
            <w:vAlign w:val="top"/>
          </w:tcPr>
          <w:p>
            <w:pPr>
              <w:spacing w:after="40" w:before="0" w:line="259" w:lineRule="auto"/>
            </w:pPr>
            <w:r>
              <w:rPr>
                <w:rFonts w:ascii="Calibri" w:hAnsi="Calibri"/>
                <w:b/>
                <w:i w:val="0"/>
                <w:color w:val="212121"/>
                <w:sz w:val="19"/>
              </w:rPr>
              <w:t>Xanthelasma, corneal arcus or tendon xanthomas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External markers of underlying dyslipidaemia, especially in younger patients.</w:t>
            </w:r>
          </w:p>
        </w:tc>
      </w:tr>
      <w:tr>
        <w:trPr>
          <w:cantSplit/>
        </w:trPr>
        <w:tc>
          <w:tcPr>
            <w:tcW w:type="dxa" w:w="3456"/>
            <w:vAlign w:val="top"/>
          </w:tcPr>
          <w:p>
            <w:pPr>
              <w:spacing w:after="40" w:before="0" w:line="259" w:lineRule="auto"/>
            </w:pPr>
            <w:r>
              <w:rPr>
                <w:rFonts w:ascii="Calibri" w:hAnsi="Calibri"/>
                <w:b/>
                <w:i w:val="0"/>
                <w:color w:val="212121"/>
                <w:sz w:val="19"/>
              </w:rPr>
              <w:t>Signs of heart failure (raised JVP, basal crepitations, pedal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Indicate ischaemic left-ventricular dysfunction.</w:t>
            </w:r>
          </w:p>
        </w:tc>
      </w:tr>
      <w:tr>
        <w:trPr>
          <w:cantSplit/>
        </w:trPr>
        <w:tc>
          <w:tcPr>
            <w:tcW w:type="dxa" w:w="3456"/>
            <w:vAlign w:val="top"/>
          </w:tcPr>
          <w:p>
            <w:pPr>
              <w:spacing w:after="40" w:before="0" w:line="259" w:lineRule="auto"/>
            </w:pPr>
            <w:r>
              <w:rPr>
                <w:rFonts w:ascii="Calibri" w:hAnsi="Calibri"/>
                <w:b/>
                <w:i w:val="0"/>
                <w:color w:val="212121"/>
                <w:sz w:val="19"/>
              </w:rPr>
              <w:t>Third heart sound (S3)</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systolic dysfunction or heart failure after significant ischaemic damage.</w:t>
            </w:r>
          </w:p>
        </w:tc>
      </w:tr>
      <w:tr>
        <w:trPr>
          <w:cantSplit/>
        </w:trPr>
        <w:tc>
          <w:tcPr>
            <w:tcW w:type="dxa" w:w="3456"/>
            <w:vAlign w:val="top"/>
          </w:tcPr>
          <w:p>
            <w:pPr>
              <w:spacing w:after="40" w:before="0" w:line="259" w:lineRule="auto"/>
            </w:pPr>
            <w:r>
              <w:rPr>
                <w:rFonts w:ascii="Calibri" w:hAnsi="Calibri"/>
                <w:b/>
                <w:i w:val="0"/>
                <w:color w:val="212121"/>
                <w:sz w:val="19"/>
              </w:rPr>
              <w:t>New systolic murmur of mitral regurgitation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Ischaemic papillary-muscle dysfunction can produce acute mitral regurgitation.</w:t>
            </w:r>
          </w:p>
        </w:tc>
      </w:tr>
      <w:tr>
        <w:trPr>
          <w:cantSplit/>
        </w:trPr>
        <w:tc>
          <w:tcPr>
            <w:tcW w:type="dxa" w:w="3456"/>
            <w:vAlign w:val="top"/>
          </w:tcPr>
          <w:p>
            <w:pPr>
              <w:spacing w:after="40" w:before="0" w:line="259" w:lineRule="auto"/>
            </w:pPr>
            <w:r>
              <w:rPr>
                <w:rFonts w:ascii="Calibri" w:hAnsi="Calibri"/>
                <w:b/>
                <w:i w:val="0"/>
                <w:color w:val="212121"/>
                <w:sz w:val="19"/>
              </w:rPr>
              <w:t>Hypotension with cool, clammy periphery (cardiogenic shock)</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Signals extensive infarction and haemodynamic collapse - a medical emergency.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Stable and unstable angina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myocardial infarction (STEMI/NSTEMI)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Cardiac arrhythmias including ventricular tachycardia/fibrillation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Sudden cardiac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heart failure and cardiogenic shock</w:t>
            </w:r>
          </w:p>
        </w:tc>
        <w:tc>
          <w:tcPr>
            <w:tcW w:type="dxa" w:w="2980"/>
            <w:vAlign w:val="top"/>
          </w:tcPr>
          <w:p>
            <w:pPr>
              <w:spacing w:after="40" w:before="0" w:line="259" w:lineRule="auto"/>
            </w:pPr>
            <w:r>
              <w:rPr>
                <w:rFonts w:ascii="Calibri" w:hAnsi="Calibri"/>
                <w:b w:val="0"/>
                <w:i w:val="0"/>
                <w:color w:val="212121"/>
                <w:sz w:val="19"/>
              </w:rPr>
              <w:t>Direct, often acute, consequences of myocardial ischaemia and plaque rupture.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ischaemic heart failure and left-ventricular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Post-MI mechanical complications (ventricular aneurysm, mitral regurgitation, septal or free-wall rupture)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myocardial infarction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Mural thrombus with systemic or cerebral embolism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Atrial fibrillation and other chronic arrhythmias</w:t>
            </w:r>
          </w:p>
        </w:tc>
        <w:tc>
          <w:tcPr>
            <w:tcW w:type="dxa" w:w="2980"/>
            <w:vAlign w:val="top"/>
          </w:tcPr>
          <w:p>
            <w:pPr>
              <w:spacing w:after="40" w:before="0" w:line="259" w:lineRule="auto"/>
            </w:pPr>
            <w:r>
              <w:rPr>
                <w:rFonts w:ascii="Calibri" w:hAnsi="Calibri"/>
                <w:b w:val="0"/>
                <w:i w:val="0"/>
                <w:color w:val="212121"/>
                <w:sz w:val="19"/>
              </w:rPr>
              <w:t>Result from myocardial damage and ongoing atherosclerosis over weeks to years.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or refractory heart failure requiring device therapy or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Disabling chronic angina limiting daily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Cognitive impairment and disability after cardioembolic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Repeated hospitalisation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cardiovascular death</w:t>
            </w:r>
          </w:p>
        </w:tc>
        <w:tc>
          <w:tcPr>
            <w:tcW w:type="dxa" w:w="2980"/>
            <w:vAlign w:val="top"/>
          </w:tcPr>
          <w:p>
            <w:pPr>
              <w:spacing w:after="40" w:before="0" w:line="259" w:lineRule="auto"/>
            </w:pPr>
            <w:r>
              <w:rPr>
                <w:rFonts w:ascii="Calibri" w:hAnsi="Calibri"/>
                <w:b w:val="0"/>
                <w:i w:val="0"/>
                <w:color w:val="212121"/>
                <w:sz w:val="19"/>
              </w:rPr>
              <w:t>Irreversible, disabling outcomes of longstanding coronary disease and its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Raises afterload and injures the arterial wall, accelerating atherosclerosis; the two share insulin-resistance and endothelial-dysfunction pathways, and coexistence intensifies treatment.</w:t>
            </w:r>
          </w:p>
          <w:p>
            <w:pPr>
              <w:spacing w:after="40" w:before="0" w:line="259" w:lineRule="auto"/>
            </w:pPr>
            <w:r>
              <w:rPr>
                <w:rFonts w:ascii="Calibri" w:hAnsi="Calibri"/>
                <w:b/>
                <w:i w:val="0"/>
                <w:color w:val="212121"/>
                <w:sz w:val="19"/>
              </w:rPr>
              <w:t>~38%</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Produces accelerated, diffuse and often silent coronary disease and is treated as a CHD risk equivalent; its presence tightens lipid and glucose targets.</w:t>
            </w:r>
          </w:p>
          <w:p>
            <w:pPr>
              <w:spacing w:after="40" w:before="0" w:line="259" w:lineRule="auto"/>
            </w:pPr>
            <w:r>
              <w:rPr>
                <w:rFonts w:ascii="Calibri" w:hAnsi="Calibri"/>
                <w:b/>
                <w:i w:val="0"/>
                <w:color w:val="212121"/>
                <w:sz w:val="19"/>
              </w:rPr>
              <w:t>~30%</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High LDL and lipoprotein(a) with low HDL directly build and destabilise plaque; it is a core shared mechanism and the primary treatment target.</w:t>
            </w:r>
          </w:p>
        </w:tc>
      </w:tr>
      <w:tr>
        <w:trPr>
          <w:cantSplit/>
        </w:trPr>
        <w:tc>
          <w:tcPr>
            <w:tcW w:type="dxa" w:w="2232"/>
            <w:vAlign w:val="top"/>
          </w:tcPr>
          <w:p>
            <w:pPr>
              <w:spacing w:after="40" w:before="0" w:line="259" w:lineRule="auto"/>
            </w:pPr>
            <w:r>
              <w:rPr>
                <w:rFonts w:ascii="Calibri" w:hAnsi="Calibri"/>
                <w:b/>
                <w:i w:val="0"/>
                <w:color w:val="212121"/>
                <w:sz w:val="19"/>
              </w:rPr>
              <w:t>Abdominal obesity and metabolic syndrome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Visceral fat drives the insulin-resistance, dyslipidaemia and hypertension cluster underlying CHD, especially in the South Asian thin-fat phenotype.</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CKD accelerates vascular calcification and is itself a CHD risk equivalent; the two worsen each other, and CKD constrains contrast use and drug dosing.</w:t>
            </w:r>
          </w:p>
        </w:tc>
      </w:tr>
      <w:tr>
        <w:trPr>
          <w:cantSplit/>
        </w:trPr>
        <w:tc>
          <w:tcPr>
            <w:tcW w:type="dxa" w:w="2232"/>
            <w:vAlign w:val="top"/>
          </w:tcPr>
          <w:p>
            <w:pPr>
              <w:spacing w:after="40" w:before="0" w:line="259" w:lineRule="auto"/>
            </w:pPr>
            <w:r>
              <w:rPr>
                <w:rFonts w:ascii="Calibri" w:hAnsi="Calibri"/>
                <w:b/>
                <w:i w:val="0"/>
                <w:color w:val="212121"/>
                <w:sz w:val="19"/>
              </w:rPr>
              <w:t>Heart failure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Ischaemic damage is the leading cause of heart failure; its development markedly alters prognosis and management.</w:t>
            </w:r>
          </w:p>
        </w:tc>
      </w:tr>
      <w:tr>
        <w:trPr>
          <w:cantSplit/>
        </w:trPr>
        <w:tc>
          <w:tcPr>
            <w:tcW w:type="dxa" w:w="2232"/>
            <w:vAlign w:val="top"/>
          </w:tcPr>
          <w:p>
            <w:pPr>
              <w:spacing w:after="40" w:before="0" w:line="259" w:lineRule="auto"/>
            </w:pPr>
            <w:r>
              <w:rPr>
                <w:rFonts w:ascii="Calibri" w:hAnsi="Calibri"/>
                <w:b/>
                <w:i w:val="0"/>
                <w:color w:val="212121"/>
                <w:sz w:val="19"/>
              </w:rPr>
              <w:t>Atrial fibrillation and arrhythmias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Ischaemia and post-MI scarring predispose to atrial and ventricular arrhythmias, which in turn worsen ischaemia and force anticoagulation decisions.</w:t>
            </w:r>
          </w:p>
        </w:tc>
      </w:tr>
      <w:tr>
        <w:trPr>
          <w:cantSplit/>
        </w:trPr>
        <w:tc>
          <w:tcPr>
            <w:tcW w:type="dxa" w:w="2232"/>
            <w:vAlign w:val="top"/>
          </w:tcPr>
          <w:p>
            <w:pPr>
              <w:spacing w:after="40" w:before="0" w:line="259" w:lineRule="auto"/>
            </w:pPr>
            <w:r>
              <w:rPr>
                <w:rFonts w:ascii="Calibri" w:hAnsi="Calibri"/>
                <w:b/>
                <w:i w:val="0"/>
                <w:color w:val="212121"/>
                <w:sz w:val="19"/>
              </w:rPr>
              <w:t>Ischaemic stroke / cerebrovascular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Shares the atherosclerotic and thromboembolic mechanisms of CHD; each raises the risk of the other.</w:t>
            </w:r>
          </w:p>
        </w:tc>
      </w:tr>
      <w:tr>
        <w:trPr>
          <w:cantSplit/>
        </w:trPr>
        <w:tc>
          <w:tcPr>
            <w:tcW w:type="dxa" w:w="2232"/>
            <w:vAlign w:val="top"/>
          </w:tcPr>
          <w:p>
            <w:pPr>
              <w:spacing w:after="40" w:before="0" w:line="259" w:lineRule="auto"/>
            </w:pPr>
            <w:r>
              <w:rPr>
                <w:rFonts w:ascii="Calibri" w:hAnsi="Calibri"/>
                <w:b/>
                <w:i w:val="0"/>
                <w:color w:val="212121"/>
                <w:sz w:val="19"/>
              </w:rPr>
              <w:t>Peripheral artery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 parallel manifestation of systemic atherosclerosis; its presence signals higher coronary risk and vice versa.</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Depression independently raises CHD risk by about 30% and frequently follows myocardial infarction, worsening adherence, recovery and prognosis.</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Intermittent nocturnal hypoxia raises blood pressure, sympathetic tone and inflammation, promoting and worsening CHD; treating it aids control.</w:t>
            </w:r>
          </w:p>
        </w:tc>
      </w:tr>
      <w:tr>
        <w:trPr>
          <w:cantSplit/>
        </w:trPr>
        <w:tc>
          <w:tcPr>
            <w:tcW w:type="dxa" w:w="2232"/>
            <w:vAlign w:val="top"/>
          </w:tcPr>
          <w:p>
            <w:pPr>
              <w:spacing w:after="40" w:before="0" w:line="259" w:lineRule="auto"/>
            </w:pPr>
            <w:r>
              <w:rPr>
                <w:rFonts w:ascii="Calibri" w:hAnsi="Calibri"/>
                <w:b/>
                <w:i w:val="0"/>
                <w:color w:val="212121"/>
                <w:sz w:val="19"/>
              </w:rPr>
              <w:t>Erectile dysfunction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Shares endothelial-dysfunction pathophysiology and often precedes CHD by 2-3 years, serving as an early warning marker in men.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your numbers - have blood pressure, fasting lipids (including LDL and at least one lifetime lipoprotein(a)), blood sugar/HbA1c and waist circumference checked from your 20s-30s, earlier with a 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symptoms - exertional chest pressure, breathlessness, unusual fatigue, jaw or arm pain, or cold sweating - and seek emergency care immediately.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Indians develop heart disease 5-10 years earlier, so start prevention early rather than waiting for midlife.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in every form (cigarettes, bidis, hookah, gutkha) and avoid second-hand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follow-up and take prescribed statins, antiplatelets and blood-pressure or sugar medicines consistently.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 of premature CHD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South Asians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 hypertension or high cholesterol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(brisk walking, cycling, swimming) or 75 minutes of vigorous activity, building towards 300 minutes for greater benefit.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muscle-strengthening exercise on 2 or more days per week.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with a few minutes of movement every 30-60 minutes.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daily walking into your routine - take the stairs and stay active as a family.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Homemakers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risk factors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in a supervised cardiac-rehabilitation programme after a heart attack, angioplasty (PCI) or bypass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an individualised, gradually progressive exercise prescription guided by symptoms and stress-test capacity.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regular aerobic activity most days as tolerated to improve survival and reduce re-admission.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exercise with 5-10% weight loss where overweight, focusing on reducing waist size.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and seek help for chest pain, marked breathlessness or dizziness during activity.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after MI/PCI/CABG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Stable angina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 patients (tailored)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CHD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 heart-healthy pattern rich in vegetables, fruits, whole grains and millets (ragi, jowar, bajra), pulses, nuts and legumes.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trans fats - avoid vanaspati, reused frying oil and bakery/deep-fried snacks - and limit saturated fat (ghee, fatty meat, full-fat dairy).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healthier oils (mustard, groundnut, rice-bran, olive) in moderation and prefer grilling or steaming over deep-frying.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salt to under 5 g/day to help control blood pressure; limit pickles, papads and processed/packaged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refined carbohydrates (white rice, maida, sweets) and sugar-sweetened beverages; include oily fish or plant omega-3 sources.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dyslipidaemia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abdominal obesity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structured lipid-lowering, low-salt diet alongside statin therapy to reach LDL targets (&lt; 70 mg/dL, or &lt; 55 mg/dL if very high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Emphasise soluble fibre (oats, legumes, fruit) and plant sterols to further lower LDL.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portion sizes and total calories to achieve and maintain a healthy waist and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Coordinate diet with diabetes and blood-pressure management (consistent carbohydrate intake, DASH-style eating).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CHD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Post-MI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Diabetic/hypertensive CHD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7-8 hours of good-quality sleep per night; both short and long sleep raise heart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a dark, quiet, screen-free bedroom.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if you snore, gasp at night or feel very sleepy by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evening caffeine and heavy late meals that disturb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hypertension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 all forms of tobacco completely - quitting by 40 removes about 90% of the excess risk of death, and benefits begin within weeks.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behavioural counselling with pharmacotherapy (nicotine replacement, bupropion or varenicline) to improve success.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at home and at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national quit-lines and structured follow-up support to prevent relapse.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Bidi/hookah/smokeless-tobacco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Post-MI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members exposed to smoke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start drinking for any supposed heart benefit - alcohol is not cardioprotective in South Asians.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drink, keep it minimal and avoid heavy or binge drinking, which raises blood pressure, triglycerides and arrhythmia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if you have hypertension, high triglycerides, heart failure or an arrhythmia.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Heavy/regular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arrhythmia or heart failure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anxiety and chronic stress, which independently raise CHD risk by about 30% and worsen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 yoga, meditation, breathing exercises, regular activity and social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psychological therapy and, where indicated, safe antidepressant treatment, especially after a heart attack.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work, sleep and financial stressors as part of holistic cardiac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Post-MI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high stress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High-pressure occupations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diresearch.org/topic/asian-indian-heart-disease/cadi-india/acute-coronary-syndrome-india" TargetMode="External"/><Relationship Id="rId10" Type="http://schemas.openxmlformats.org/officeDocument/2006/relationships/hyperlink" Target="https://www.who.int/india/health-topics/cardiovascular-diseases" TargetMode="External"/><Relationship Id="rId11" Type="http://schemas.openxmlformats.org/officeDocument/2006/relationships/hyperlink" Target="https://annalsofglobalhealth.org/articles/748/files/submission/proof/748-1-1579-1-10-20180604.pdf" TargetMode="External"/><Relationship Id="rId12" Type="http://schemas.openxmlformats.org/officeDocument/2006/relationships/hyperlink" Target="https://jtd.amegroups.org/article/view/37685/html" TargetMode="External"/><Relationship Id="rId13" Type="http://schemas.openxmlformats.org/officeDocument/2006/relationships/hyperlink" Target="https://ijmr.org.in/coronary-heart-disease-in-indians-implications-of-the-interheart-study/" TargetMode="External"/><Relationship Id="rId14" Type="http://schemas.openxmlformats.org/officeDocument/2006/relationships/hyperlink" Target="https://journals.humankinetics.com/view/journals/jpah/19/3/article-p150.xml" TargetMode="External"/><Relationship Id="rId15" Type="http://schemas.openxmlformats.org/officeDocument/2006/relationships/hyperlink" Target="https://journals.plos.org/plosone/article?id=10.1371/journal.pone.0267807" TargetMode="External"/><Relationship Id="rId16" Type="http://schemas.openxmlformats.org/officeDocument/2006/relationships/hyperlink" Target="https://pmc.ncbi.nlm.nih.gov/articles/PMC3028955/" TargetMode="External"/><Relationship Id="rId17" Type="http://schemas.openxmlformats.org/officeDocument/2006/relationships/hyperlink" Target="https://pubmed.ncbi.nlm.nih.gov/21810663/" TargetMode="External"/><Relationship Id="rId18" Type="http://schemas.openxmlformats.org/officeDocument/2006/relationships/hyperlink" Target="https://pubmed.ncbi.nlm.nih.gov/27336192/" TargetMode="External"/><Relationship Id="rId19" Type="http://schemas.openxmlformats.org/officeDocument/2006/relationships/hyperlink" Target="https://bmcpsychiatry.biomedcentral.com/articles/10.1186/s12888-014-0371-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