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Heart Failure (HFrEF / HFpEF)</w:t>
      </w:r>
    </w:p>
    <w:p>
      <w:pPr>
        <w:spacing w:before="0" w:after="160"/>
      </w:pPr>
      <w:r>
        <w:rPr>
          <w:rFonts w:ascii="Calibri" w:hAnsi="Calibri"/>
          <w:b/>
          <w:i w:val="0"/>
          <w:color w:val="212121"/>
          <w:sz w:val="22"/>
        </w:rPr>
        <w:t xml:space="preserve">AKA </w:t>
      </w:r>
      <w:r>
        <w:rPr>
          <w:rFonts w:ascii="Calibri" w:hAnsi="Calibri"/>
          <w:b w:val="0"/>
          <w:i w:val="0"/>
          <w:color w:val="212121"/>
          <w:sz w:val="22"/>
        </w:rPr>
        <w:t>i.e., Congestive heart failure (CHF), Congestive cardiac failure (CCF), Cardiac failure, Cardiac insufficiency, “Weak heart”, Dropsy (historical); systolic HF = HFrEF, diastolic HF = HFpEF</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Heart failure (HF) is a complex clinical syndrome in which structural or functional impairment of ventricular filling or ejection of blood leaves the heart unable to pump sufficient blood to meet the body’s metabolic demands at normal filling pressures. It is defined by symptoms (breathlessness, ankle swelling, fatigue) and signs (raised jugular venous pressure, pulmonary crackles, peripheral oedema) caused by cardiac dysfunction, and is categorised by left-ventricular ejection fraction (LVEF) into HF with reduced EF (HFrEF, LVEF ≤ 40%), mildly reduced EF (HFmrEF, 41–49%) and preserved EF (HFpEF, ≥ 50%). It is the common end-stage of most cardiac diseases — chiefly coronary artery disease, hypertension, cardiomyopathy and valvular/rheumatic heart disease.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Heart failure affects an estimated 1.3–4.6 million adults in India, and Indians develop HF roughly a decade earlier than Western populations — mean age was about 59 years in the National Heart Failure Registry of India and 61 years in the Trivandrum Heart Failure Registry, versus roughly 72 years in Western cohorts. Roughly two-thirds of Indian HF patients are male and about 65% have HFrEF, with in-hospital mortality (≈8%) and one-year mortality (up to ~22%) markedly higher than in high-income countries. Globally about 64 million people live with heart failure.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Heart failure is a clinical diagnosis (there is no single confirmatory test) supported by natriuretic peptides, echocardiography and objective evidence of cardiac dysfunction. The ESC diagnostic pathway and the Framingham criteria require compatible symptoms and signs plus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compatible symptoms (exertional dyspnoea, orthopnoea, paroxysmal nocturnal dyspnoea, fatigue) and signs (raised JVP, bibasal crackles, third heart sound, peripheral oedema);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elevated natriuretic peptides — in the non-acute setting HF is unlikely if BNP &lt; 35 pg/mL or NT-proBNP &lt; 125 pg/mL; in acute dyspnoea HF is unlikely if BNP &lt; 100 pg/mL or NT-proBNP &lt; 300 pg/mL;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objective cardiac dysfunction on echocardiography — reduced LVEF (≤ 40%) for HFrEF, or preserved LVEF (≥ 50%) with structural change (LV hypertrophy, left-atrial enlargement) and/or diastolic dysfunction plus raised natriuretic peptides for HFpEF;</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evidence on 12-lead ECG (a completely normal ECG makes HF unlikely) and chest X-ray (cardiomegaly, pulmonary venous congestion, Kerley B lines, pleural effusions);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Framingham criteria met (2 major, or 1 major plus 2 minor criteria).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Heart failure is classified along several complementary axes — by ejection fraction, by time course, by the side of the heart involved, and by functional/stage severity:</w:t>
      </w:r>
    </w:p>
    <w:p>
      <w:pPr>
        <w:spacing w:before="0" w:after="80"/>
      </w:pPr>
      <w:r>
        <w:rPr>
          <w:rFonts w:ascii="Calibri" w:hAnsi="Calibri"/>
          <w:b w:val="0"/>
          <w:i w:val="0"/>
          <w:color w:val="212121"/>
          <w:sz w:val="21"/>
        </w:rPr>
        <w:t>(1) By left-ventricular ejection fraction: HFrEF (LVEF ≤ 40%, “systolic” HF); HFmrEF (mildly reduced, LVEF 41–49%); HFpEF (preserved, LVEF ≥ 50% with evidence of diastolic dysfunction/raised filling pressures); and HFimpEF (improved — baseline LVEF ≤ 40% that recovers to &gt; 40% on treatment);</w:t>
      </w:r>
    </w:p>
    <w:p>
      <w:pPr>
        <w:spacing w:before="0" w:after="80"/>
      </w:pPr>
      <w:r>
        <w:rPr>
          <w:rFonts w:ascii="Calibri" w:hAnsi="Calibri"/>
          <w:b w:val="0"/>
          <w:i w:val="0"/>
          <w:color w:val="212121"/>
          <w:sz w:val="21"/>
        </w:rPr>
        <w:t>(2) By time course: acute HF (new-onset ‘de novo’ or acute decompensation of chronic HF, often needing hospitalisation) versus chronic (stable) HF;</w:t>
      </w:r>
    </w:p>
    <w:p>
      <w:pPr>
        <w:spacing w:before="0" w:after="80"/>
      </w:pPr>
      <w:r>
        <w:rPr>
          <w:rFonts w:ascii="Calibri" w:hAnsi="Calibri"/>
          <w:b w:val="0"/>
          <w:i w:val="0"/>
          <w:color w:val="212121"/>
          <w:sz w:val="21"/>
        </w:rPr>
        <w:t>(3) By side/anatomy: left-sided HF (pulmonary congestion — dyspnoea, orthopnoea), right-sided HF (systemic congestion — raised JVP, hepatomegaly, oedema, ascites) and biventricular (congestive) HF;</w:t>
      </w:r>
    </w:p>
    <w:p>
      <w:pPr>
        <w:spacing w:before="0" w:after="80"/>
      </w:pPr>
      <w:r>
        <w:rPr>
          <w:rFonts w:ascii="Calibri" w:hAnsi="Calibri"/>
          <w:b w:val="0"/>
          <w:i w:val="0"/>
          <w:color w:val="212121"/>
          <w:sz w:val="21"/>
        </w:rPr>
        <w:t>(4) By functional severity — NYHA class I (no limitation), II (slight limitation, symptoms on ordinary activity), III (marked limitation, symptoms on less-than-ordinary activity) and IV (symptoms at rest); and by ACC/AHA/HFSA stage — A (at risk, no structural disease or symptoms), B (pre-HF: structural change without symptoms), C (symptomatic HF) and D (advanced/refractory HF).</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Coronary artery / ischaemic heart disease: The single leading cause of HF in India, driving ~72% of registry cases; myocardial infarction and chronic ischaemia cause loss and remodelling of contractile muscle (ischaemic HFrEF). Premature, aggressive atherosclerosis in South Asians brings HF forward by a decade.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Hypertension: Chronic pressure overload produces left-ventricular hypertrophy, stiffening and diastolic dysfunction, the dominant substrate for HFpEF, and can progress to dilated, poorly-contracting failure.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Cardiomyopathies: Dilated cardiomyopathy accounts for ~17% of Indian HF (idiopathic, alcoholic, peripartum, diabetic, viral myocarditis, tachycardia-induced); hypertrophic and restrictive/infiltrative forms and tropical endomyocardial fibrosis also contribute.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Rheumatic and other valvular heart disease: Still a major and often younger cause in India (~5–6% of registry HF) — mitral/aortic valve disease imposes pressure or volume overload leading to ventricular failure.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Diabetes mellitus and metabolic disease: Diabetic cardiomyopathy plus accelerated coronary disease; diabetes is present in ~42–49% of Indian HF patients and worsens prognosis.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High-output and reversible drivers: Severe anaemia, thyrotoxicosis/hypothyroidism, arrhythmias (especially atrial fibrillation), nutritional deficiency (thiamine — beriberi) and congenital heart disease can precipitate or perpetuate failure.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Middle-aged adults (41–64 yr)</w:t>
            </w:r>
          </w:p>
        </w:tc>
        <w:tc>
          <w:tcPr>
            <w:tcW w:type="dxa" w:w="4276"/>
            <w:vAlign w:val="top"/>
          </w:tcPr>
          <w:p>
            <w:pPr>
              <w:spacing w:after="60" w:line="259" w:lineRule="auto"/>
            </w:pPr>
            <w:r>
              <w:rPr>
                <w:rFonts w:ascii="Calibri" w:hAnsi="Calibri"/>
                <w:b w:val="0"/>
                <w:i w:val="0"/>
                <w:color w:val="212121"/>
                <w:sz w:val="19"/>
              </w:rPr>
              <w:t>Cumulative exposure to hypertension, diabetes and premature coronary disease means Indians present with HF in mid-life, roughly a decade before Western patients, reducing peak earning-years productivity.</w:t>
            </w:r>
          </w:p>
          <w:p>
            <w:pPr>
              <w:spacing w:after="40" w:before="60" w:line="259" w:lineRule="auto"/>
            </w:pPr>
            <w:r>
              <w:rPr>
                <w:rFonts w:ascii="Calibri" w:hAnsi="Calibri"/>
                <w:b w:val="0"/>
                <w:i w:val="0"/>
                <w:color w:val="212121"/>
                <w:sz w:val="19"/>
              </w:rPr>
              <w:t>Mean age of Indian HF patients was ~59.9 years in the National Heart Failure Registry of India (10,850 patients), versus ~72 years in Western cohorts.</w:t>
            </w:r>
          </w:p>
          <w:p>
            <w:pPr>
              <w:spacing w:after="40" w:line="252" w:lineRule="auto"/>
            </w:pPr>
            <w:hyperlink r:id="rId9">
              <w:r>
                <w:rPr>
                  <w:rFonts w:ascii="Calibri" w:hAnsi="Calibri" w:cs="Calibri"/>
                  <w:sz w:val="18"/>
                  <w:color w:val="1155CC"/>
                  <w:u w:val="single"/>
                </w:rPr>
                <w:t xml:space="preserve">nature.com — National Heart Failure Registry of India</w:t>
              </w:r>
            </w:hyperlink>
          </w:p>
          <w:p>
            <w:pPr>
              <w:spacing w:before="60" w:after="40"/>
            </w:pPr>
            <w:r>
              <w:rPr>
                <w:rFonts w:ascii="Calibri" w:hAnsi="Calibri"/>
                <w:b w:val="0"/>
                <w:i w:val="0"/>
                <w:color w:val="5A5A5A"/>
                <w:sz w:val="18"/>
              </w:rPr>
              <w:t>#heartfailure  #prematureCAD  #southasian  #midlife  #productivity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65 yr)</w:t>
            </w:r>
          </w:p>
        </w:tc>
        <w:tc>
          <w:tcPr>
            <w:tcW w:type="dxa" w:w="4276"/>
            <w:vAlign w:val="top"/>
          </w:tcPr>
          <w:p>
            <w:pPr>
              <w:spacing w:after="60" w:line="259" w:lineRule="auto"/>
            </w:pPr>
            <w:r>
              <w:rPr>
                <w:rFonts w:ascii="Calibri" w:hAnsi="Calibri"/>
                <w:b w:val="0"/>
                <w:i w:val="0"/>
                <w:color w:val="212121"/>
                <w:sz w:val="19"/>
              </w:rPr>
              <w:t>Age-related myocardial stiffening, hypertension and multimorbidity drive rising incidence; HFpEF predominates in the elderly and often coexists with renal impairment and frailty.</w:t>
            </w:r>
          </w:p>
          <w:p>
            <w:pPr>
              <w:spacing w:after="40" w:before="60" w:line="259" w:lineRule="auto"/>
            </w:pPr>
            <w:r>
              <w:rPr>
                <w:rFonts w:ascii="Calibri" w:hAnsi="Calibri"/>
                <w:b w:val="0"/>
                <w:i w:val="0"/>
                <w:color w:val="212121"/>
                <w:sz w:val="19"/>
              </w:rPr>
              <w:t>HF incidence and hospitalisation rise steeply with age; the elderly carry the highest short-term mortality across Indian registry age-strata.</w:t>
            </w:r>
          </w:p>
          <w:p>
            <w:pPr>
              <w:spacing w:after="40" w:line="252" w:lineRule="auto"/>
            </w:pPr>
            <w:hyperlink r:id="rId10">
              <w:r>
                <w:rPr>
                  <w:rFonts w:ascii="Calibri" w:hAnsi="Calibri" w:cs="Calibri"/>
                  <w:sz w:val="18"/>
                  <w:color w:val="1155CC"/>
                  <w:u w:val="single"/>
                </w:rPr>
                <w:t xml:space="preserve">ijmr.org.in — HF registry across age groups</w:t>
              </w:r>
            </w:hyperlink>
          </w:p>
          <w:p>
            <w:pPr>
              <w:spacing w:before="60" w:after="40"/>
            </w:pPr>
            <w:r>
              <w:rPr>
                <w:rFonts w:ascii="Calibri" w:hAnsi="Calibri"/>
                <w:b w:val="0"/>
                <w:i w:val="0"/>
                <w:color w:val="5A5A5A"/>
                <w:sz w:val="18"/>
              </w:rPr>
              <w:t>#elderly  #HFpEF  #diastolic  #frailty  #multimorbidity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Earlier and heavier burden of smoking and coronary disease makes men the majority of ischaemic HFrEF cases in India.</w:t>
            </w:r>
          </w:p>
          <w:p>
            <w:pPr>
              <w:spacing w:after="40" w:before="60" w:line="259" w:lineRule="auto"/>
            </w:pPr>
            <w:r>
              <w:rPr>
                <w:rFonts w:ascii="Calibri" w:hAnsi="Calibri"/>
                <w:b w:val="0"/>
                <w:i w:val="0"/>
                <w:color w:val="212121"/>
                <w:sz w:val="19"/>
              </w:rPr>
              <w:t>About 68.9% of patients in the National Heart Failure Registry of India were male.</w:t>
            </w:r>
          </w:p>
          <w:p>
            <w:pPr>
              <w:spacing w:after="40" w:line="252" w:lineRule="auto"/>
            </w:pPr>
            <w:hyperlink r:id="rId9">
              <w:r>
                <w:rPr>
                  <w:rFonts w:ascii="Calibri" w:hAnsi="Calibri" w:cs="Calibri"/>
                  <w:sz w:val="18"/>
                  <w:color w:val="1155CC"/>
                  <w:u w:val="single"/>
                </w:rPr>
                <w:t xml:space="preserve">nature.com — National Heart Failure Registry of India</w:t>
              </w:r>
            </w:hyperlink>
          </w:p>
          <w:p>
            <w:pPr>
              <w:spacing w:before="60" w:after="40"/>
            </w:pPr>
            <w:r>
              <w:rPr>
                <w:rFonts w:ascii="Calibri" w:hAnsi="Calibri"/>
                <w:b w:val="0"/>
                <w:i w:val="0"/>
                <w:color w:val="5A5A5A"/>
                <w:sz w:val="18"/>
              </w:rPr>
              <w:t>#male  #ischaemic  #HFrEF  #smoking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 (incl. peripartum)</w:t>
            </w:r>
          </w:p>
        </w:tc>
        <w:tc>
          <w:tcPr>
            <w:tcW w:type="dxa" w:w="4276"/>
            <w:vAlign w:val="top"/>
          </w:tcPr>
          <w:p>
            <w:pPr>
              <w:spacing w:after="60" w:line="259" w:lineRule="auto"/>
            </w:pPr>
            <w:r>
              <w:rPr>
                <w:rFonts w:ascii="Calibri" w:hAnsi="Calibri"/>
                <w:b w:val="0"/>
                <w:i w:val="0"/>
                <w:color w:val="212121"/>
                <w:sz w:val="19"/>
              </w:rPr>
              <w:t>Women more often develop HFpEF and have HF related to rheumatic valve disease and peripartum cardiomyopathy; they receive guideline-directed therapy less often and report worse quality of life.</w:t>
            </w:r>
          </w:p>
          <w:p>
            <w:pPr>
              <w:spacing w:after="40" w:before="60" w:line="259" w:lineRule="auto"/>
            </w:pPr>
            <w:r>
              <w:rPr>
                <w:rFonts w:ascii="Calibri" w:hAnsi="Calibri"/>
                <w:b w:val="0"/>
                <w:i w:val="0"/>
                <w:color w:val="212121"/>
                <w:sz w:val="19"/>
              </w:rPr>
              <w:t>Women accounted for ~31% of Indian registry HF patients; one-year mortality was high in both sexes (26.3 vs 28.9 per 100 person-years, men vs women).</w:t>
            </w:r>
          </w:p>
          <w:p>
            <w:pPr>
              <w:spacing w:after="40" w:line="252" w:lineRule="auto"/>
            </w:pPr>
            <w:hyperlink r:id="rId9">
              <w:r>
                <w:rPr>
                  <w:rFonts w:ascii="Calibri" w:hAnsi="Calibri" w:cs="Calibri"/>
                  <w:sz w:val="18"/>
                  <w:color w:val="1155CC"/>
                  <w:u w:val="single"/>
                </w:rPr>
                <w:t xml:space="preserve">nature.com — National Heart Failure Registry of India</w:t>
              </w:r>
            </w:hyperlink>
          </w:p>
          <w:p>
            <w:pPr>
              <w:spacing w:before="60" w:after="40"/>
            </w:pPr>
            <w:r>
              <w:rPr>
                <w:rFonts w:ascii="Calibri" w:hAnsi="Calibri"/>
                <w:b w:val="0"/>
                <w:i w:val="0"/>
                <w:color w:val="5A5A5A"/>
                <w:sz w:val="18"/>
              </w:rPr>
              <w:t>#female  #HFpEF  #peripartum  #rheumatic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rural populations</w:t>
            </w:r>
          </w:p>
        </w:tc>
        <w:tc>
          <w:tcPr>
            <w:tcW w:type="dxa" w:w="4276"/>
            <w:vAlign w:val="top"/>
          </w:tcPr>
          <w:p>
            <w:pPr>
              <w:spacing w:after="60" w:line="259" w:lineRule="auto"/>
            </w:pPr>
            <w:r>
              <w:rPr>
                <w:rFonts w:ascii="Calibri" w:hAnsi="Calibri"/>
                <w:b w:val="0"/>
                <w:i w:val="0"/>
                <w:color w:val="212121"/>
                <w:sz w:val="19"/>
              </w:rPr>
              <w:t>Poverty, low health literacy and poor access delay diagnosis, leave hypertension and rheumatic disease untreated, and limit uptake of guideline-directed medical therapy, worsening outcomes.</w:t>
            </w:r>
          </w:p>
          <w:p>
            <w:pPr>
              <w:spacing w:after="40" w:before="60" w:line="259" w:lineRule="auto"/>
            </w:pPr>
            <w:r>
              <w:rPr>
                <w:rFonts w:ascii="Calibri" w:hAnsi="Calibri"/>
                <w:b w:val="0"/>
                <w:i w:val="0"/>
                <w:color w:val="212121"/>
                <w:sz w:val="19"/>
              </w:rPr>
              <w:t>Untreated rheumatic heart disease still causes ~5–6% of HF in Indian registries, disproportionately in disadvantaged and rural groups.</w:t>
            </w:r>
          </w:p>
          <w:p>
            <w:pPr>
              <w:spacing w:after="40" w:line="252" w:lineRule="auto"/>
            </w:pPr>
            <w:hyperlink r:id="rId9">
              <w:r>
                <w:rPr>
                  <w:rFonts w:ascii="Calibri" w:hAnsi="Calibri" w:cs="Calibri"/>
                  <w:sz w:val="18"/>
                  <w:color w:val="1155CC"/>
                  <w:u w:val="single"/>
                </w:rPr>
                <w:t xml:space="preserve">nature.com — National Heart Failure Registry of India</w:t>
              </w:r>
            </w:hyperlink>
          </w:p>
          <w:p>
            <w:pPr>
              <w:spacing w:before="60" w:after="40"/>
            </w:pPr>
            <w:r>
              <w:rPr>
                <w:rFonts w:ascii="Calibri" w:hAnsi="Calibri"/>
                <w:b w:val="0"/>
                <w:i w:val="0"/>
                <w:color w:val="5A5A5A"/>
                <w:sz w:val="18"/>
              </w:rPr>
              <w:t>#poverty  #access  #rheumatic  #latepresentation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Asian / Indian</w:t>
            </w:r>
          </w:p>
        </w:tc>
        <w:tc>
          <w:tcPr>
            <w:tcW w:type="dxa" w:w="4276"/>
            <w:vAlign w:val="top"/>
          </w:tcPr>
          <w:p>
            <w:pPr>
              <w:spacing w:after="60" w:line="259" w:lineRule="auto"/>
            </w:pPr>
            <w:r>
              <w:rPr>
                <w:rFonts w:ascii="Calibri" w:hAnsi="Calibri"/>
                <w:b w:val="0"/>
                <w:i w:val="0"/>
                <w:color w:val="212121"/>
                <w:sz w:val="19"/>
              </w:rPr>
              <w:t>South Asians have premature, diffuse coronary disease, high diabetes prevalence and a ‘thin-fat’ metabolic phenotype, producing HF about a decade earlier than other ethnicities.</w:t>
            </w:r>
          </w:p>
          <w:p>
            <w:pPr>
              <w:spacing w:after="40" w:before="60" w:line="259" w:lineRule="auto"/>
            </w:pPr>
            <w:r>
              <w:rPr>
                <w:rFonts w:ascii="Calibri" w:hAnsi="Calibri"/>
                <w:b w:val="0"/>
                <w:i w:val="0"/>
                <w:color w:val="212121"/>
                <w:sz w:val="19"/>
              </w:rPr>
              <w:t>HF presents almost 10 years earlier in Indians (mean ~61 yr; INTER-CHF mean 56 yr) than in Western counterparts.</w:t>
            </w:r>
          </w:p>
          <w:p>
            <w:pPr>
              <w:spacing w:after="40" w:line="252" w:lineRule="auto"/>
            </w:pPr>
            <w:hyperlink r:id="rId11">
              <w:r>
                <w:rPr>
                  <w:rFonts w:ascii="Calibri" w:hAnsi="Calibri" w:cs="Calibri"/>
                  <w:sz w:val="18"/>
                  <w:color w:val="1155CC"/>
                  <w:u w:val="single"/>
                </w:rPr>
                <w:t xml:space="preserve">cfrjournal.com — South Asian heart failure epidemic</w:t>
              </w:r>
            </w:hyperlink>
          </w:p>
          <w:p>
            <w:pPr>
              <w:spacing w:before="60" w:after="40"/>
            </w:pPr>
            <w:r>
              <w:rPr>
                <w:rFonts w:ascii="Calibri" w:hAnsi="Calibri"/>
                <w:b w:val="0"/>
                <w:i w:val="0"/>
                <w:color w:val="5A5A5A"/>
                <w:sz w:val="18"/>
              </w:rPr>
              <w:t>#southasian  #prematureCAD  #thinfat  #diabetes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Environment / region</w:t>
            </w:r>
          </w:p>
        </w:tc>
        <w:tc>
          <w:tcPr>
            <w:tcW w:type="dxa" w:w="2160"/>
            <w:vAlign w:val="top"/>
          </w:tcPr>
          <w:p>
            <w:pPr>
              <w:spacing w:after="40" w:before="0" w:line="259" w:lineRule="auto"/>
            </w:pPr>
            <w:r>
              <w:rPr>
                <w:rFonts w:ascii="Calibri" w:hAnsi="Calibri"/>
                <w:b w:val="0"/>
                <w:i w:val="0"/>
                <w:color w:val="212121"/>
                <w:sz w:val="19"/>
              </w:rPr>
              <w:t>Residents of high air-pollution cities (Indo-Gangetic plain)</w:t>
            </w:r>
          </w:p>
        </w:tc>
        <w:tc>
          <w:tcPr>
            <w:tcW w:type="dxa" w:w="4276"/>
            <w:vAlign w:val="top"/>
          </w:tcPr>
          <w:p>
            <w:pPr>
              <w:spacing w:after="60" w:line="259" w:lineRule="auto"/>
            </w:pPr>
            <w:r>
              <w:rPr>
                <w:rFonts w:ascii="Calibri" w:hAnsi="Calibri"/>
                <w:b w:val="0"/>
                <w:i w:val="0"/>
                <w:color w:val="212121"/>
                <w:sz w:val="19"/>
              </w:rPr>
              <w:t>Chronic fine-particulate (PM2.5) exposure promotes systemic inflammation, endothelial dysfunction and myocardial injury, precipitating HF hospitalisation and decompensation.</w:t>
            </w:r>
          </w:p>
          <w:p>
            <w:pPr>
              <w:spacing w:after="40" w:before="60" w:line="259" w:lineRule="auto"/>
            </w:pPr>
            <w:r>
              <w:rPr>
                <w:rFonts w:ascii="Calibri" w:hAnsi="Calibri"/>
                <w:b w:val="0"/>
                <w:i w:val="0"/>
                <w:color w:val="212121"/>
                <w:sz w:val="19"/>
              </w:rPr>
              <w:t>Each 10 µg/m³ rise in PM2.5 was associated with a 2.12% increase in HF hospitalisation or death (95% CI 1.42–2.82) in a global meta-analysis.</w:t>
            </w:r>
          </w:p>
          <w:p>
            <w:pPr>
              <w:spacing w:after="40" w:line="252" w:lineRule="auto"/>
            </w:pPr>
            <w:hyperlink r:id="rId12">
              <w:r>
                <w:rPr>
                  <w:rFonts w:ascii="Calibri" w:hAnsi="Calibri" w:cs="Calibri"/>
                  <w:sz w:val="18"/>
                  <w:color w:val="1155CC"/>
                  <w:u w:val="single"/>
                </w:rPr>
                <w:t xml:space="preserve">acc.org — air pollution &amp; heart failure meta-analysis</w:t>
              </w:r>
            </w:hyperlink>
          </w:p>
          <w:p>
            <w:pPr>
              <w:spacing w:before="60" w:after="40"/>
            </w:pPr>
            <w:r>
              <w:rPr>
                <w:rFonts w:ascii="Calibri" w:hAnsi="Calibri"/>
                <w:b w:val="0"/>
                <w:i w:val="0"/>
                <w:color w:val="5A5A5A"/>
                <w:sz w:val="18"/>
              </w:rPr>
              <w:t>#airpollution  #PM25  #hospitalisation  #urban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Office workers, urban adults, the elderly</w:t>
            </w:r>
          </w:p>
        </w:tc>
        <w:tc>
          <w:tcPr>
            <w:tcW w:type="dxa" w:w="4276"/>
            <w:vAlign w:val="top"/>
          </w:tcPr>
          <w:p>
            <w:pPr>
              <w:spacing w:after="60" w:line="259" w:lineRule="auto"/>
            </w:pPr>
            <w:r>
              <w:rPr>
                <w:rFonts w:ascii="Calibri" w:hAnsi="Calibri"/>
                <w:b w:val="0"/>
                <w:i w:val="0"/>
                <w:color w:val="212121"/>
                <w:sz w:val="19"/>
              </w:rPr>
              <w:t>Physical inactivity promotes obesity, hypertension, diabetes and deconditioning, all of which raise HF risk; in established HF it accelerates functional decline.</w:t>
            </w:r>
          </w:p>
          <w:p>
            <w:pPr>
              <w:spacing w:after="40" w:before="60" w:line="259" w:lineRule="auto"/>
            </w:pPr>
            <w:r>
              <w:rPr>
                <w:rFonts w:ascii="Calibri" w:hAnsi="Calibri"/>
                <w:b w:val="0"/>
                <w:i w:val="0"/>
                <w:color w:val="212121"/>
                <w:sz w:val="19"/>
              </w:rPr>
              <w:t>Exercise-based cardiac rehabilitation reduces HF-related hospitalisation and improves health-related quality of life in patients with heart failure.</w:t>
            </w:r>
          </w:p>
          <w:p>
            <w:pPr>
              <w:spacing w:after="40" w:line="252" w:lineRule="auto"/>
            </w:pPr>
            <w:hyperlink r:id="rId13">
              <w:r>
                <w:rPr>
                  <w:rFonts w:ascii="Calibri" w:hAnsi="Calibri" w:cs="Calibri"/>
                  <w:sz w:val="18"/>
                  <w:color w:val="1155CC"/>
                  <w:u w:val="single"/>
                </w:rPr>
                <w:t xml:space="preserve">cochranelibrary.com — exercise CR for heart failure</w:t>
              </w:r>
            </w:hyperlink>
          </w:p>
          <w:p>
            <w:pPr>
              <w:spacing w:before="60" w:after="40"/>
            </w:pPr>
            <w:r>
              <w:rPr>
                <w:rFonts w:ascii="Calibri" w:hAnsi="Calibri"/>
                <w:b w:val="0"/>
                <w:i w:val="0"/>
                <w:color w:val="5A5A5A"/>
                <w:sz w:val="18"/>
              </w:rPr>
              <w:t>#sedentary  #deconditioning  #cardiacrehab  #inactivity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 tobacco</w:t>
            </w:r>
          </w:p>
        </w:tc>
        <w:tc>
          <w:tcPr>
            <w:tcW w:type="dxa" w:w="2160"/>
            <w:vAlign w:val="top"/>
          </w:tcPr>
          <w:p>
            <w:pPr>
              <w:spacing w:after="40" w:before="0" w:line="259" w:lineRule="auto"/>
            </w:pPr>
            <w:r>
              <w:rPr>
                <w:rFonts w:ascii="Calibri" w:hAnsi="Calibri"/>
                <w:b w:val="0"/>
                <w:i w:val="0"/>
                <w:color w:val="212121"/>
                <w:sz w:val="19"/>
              </w:rPr>
              <w:t>Smokers, bidi &amp; smokeless-tobacco users</w:t>
            </w:r>
          </w:p>
        </w:tc>
        <w:tc>
          <w:tcPr>
            <w:tcW w:type="dxa" w:w="4276"/>
            <w:vAlign w:val="top"/>
          </w:tcPr>
          <w:p>
            <w:pPr>
              <w:spacing w:after="60" w:line="259" w:lineRule="auto"/>
            </w:pPr>
            <w:r>
              <w:rPr>
                <w:rFonts w:ascii="Calibri" w:hAnsi="Calibri"/>
                <w:b w:val="0"/>
                <w:i w:val="0"/>
                <w:color w:val="212121"/>
                <w:sz w:val="19"/>
              </w:rPr>
              <w:t>Tobacco accelerates atherosclerosis and myocardial infarction — the dominant route to ischaemic HFrEF — and directly impairs myocardial and endothelial function.</w:t>
            </w:r>
          </w:p>
          <w:p>
            <w:pPr>
              <w:spacing w:after="40" w:before="60" w:line="259" w:lineRule="auto"/>
            </w:pPr>
            <w:r>
              <w:rPr>
                <w:rFonts w:ascii="Calibri" w:hAnsi="Calibri"/>
                <w:b w:val="0"/>
                <w:i w:val="0"/>
                <w:color w:val="212121"/>
                <w:sz w:val="19"/>
              </w:rPr>
              <w:t>Ischaemic heart disease, strongly driven by smoking, causes ~72% of HF in Indian registries.</w:t>
            </w:r>
          </w:p>
          <w:p>
            <w:pPr>
              <w:spacing w:after="40" w:line="252" w:lineRule="auto"/>
            </w:pPr>
            <w:hyperlink r:id="rId9">
              <w:r>
                <w:rPr>
                  <w:rFonts w:ascii="Calibri" w:hAnsi="Calibri" w:cs="Calibri"/>
                  <w:sz w:val="18"/>
                  <w:color w:val="1155CC"/>
                  <w:u w:val="single"/>
                </w:rPr>
                <w:t xml:space="preserve">nature.com — National Heart Failure Registry of India</w:t>
              </w:r>
            </w:hyperlink>
          </w:p>
          <w:p>
            <w:pPr>
              <w:spacing w:before="60" w:after="40"/>
            </w:pPr>
            <w:r>
              <w:rPr>
                <w:rFonts w:ascii="Calibri" w:hAnsi="Calibri"/>
                <w:b w:val="0"/>
                <w:i w:val="0"/>
                <w:color w:val="5A5A5A"/>
                <w:sz w:val="18"/>
              </w:rPr>
              <w:t>#smoking  #bidi  #tobacco  #ischaemicHF</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Sustained excess alcohol is directly cardiotoxic, causing dilated (alcoholic) cardiomyopathy and arrhythmia, and adds to hypertension and volume overload.</w:t>
            </w:r>
          </w:p>
          <w:p>
            <w:pPr>
              <w:spacing w:after="40" w:before="60" w:line="259" w:lineRule="auto"/>
            </w:pPr>
            <w:r>
              <w:rPr>
                <w:rFonts w:ascii="Calibri" w:hAnsi="Calibri"/>
                <w:b w:val="0"/>
                <w:i w:val="0"/>
                <w:color w:val="212121"/>
                <w:sz w:val="19"/>
              </w:rPr>
              <w:t>Alcoholic cardiomyopathy is a recognised contributor within the ~17% of Indian HF attributed to dilated cardiomyopathy.</w:t>
            </w:r>
          </w:p>
          <w:p>
            <w:pPr>
              <w:spacing w:after="40" w:line="252" w:lineRule="auto"/>
            </w:pPr>
            <w:hyperlink r:id="rId9">
              <w:r>
                <w:rPr>
                  <w:rFonts w:ascii="Calibri" w:hAnsi="Calibri" w:cs="Calibri"/>
                  <w:sz w:val="18"/>
                  <w:color w:val="1155CC"/>
                  <w:u w:val="single"/>
                </w:rPr>
                <w:t xml:space="preserve">nature.com — National Heart Failure Registry of India</w:t>
              </w:r>
            </w:hyperlink>
          </w:p>
          <w:p>
            <w:pPr>
              <w:spacing w:before="60" w:after="40"/>
            </w:pPr>
            <w:r>
              <w:rPr>
                <w:rFonts w:ascii="Calibri" w:hAnsi="Calibri"/>
                <w:b w:val="0"/>
                <w:i w:val="0"/>
                <w:color w:val="5A5A5A"/>
                <w:sz w:val="18"/>
              </w:rPr>
              <w:t>#alcohol  #dilatedCMP  #cardiotoxic  #arrhythmia</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High-salt diet</w:t>
            </w:r>
          </w:p>
        </w:tc>
        <w:tc>
          <w:tcPr>
            <w:tcW w:type="dxa" w:w="2160"/>
            <w:vAlign w:val="top"/>
          </w:tcPr>
          <w:p>
            <w:pPr>
              <w:spacing w:after="40" w:before="0" w:line="259" w:lineRule="auto"/>
            </w:pPr>
            <w:r>
              <w:rPr>
                <w:rFonts w:ascii="Calibri" w:hAnsi="Calibri"/>
                <w:b w:val="0"/>
                <w:i w:val="0"/>
                <w:color w:val="212121"/>
                <w:sz w:val="19"/>
              </w:rPr>
              <w:t>High-sodium (pickles, papad, processed/namkeen) consumers</w:t>
            </w:r>
          </w:p>
        </w:tc>
        <w:tc>
          <w:tcPr>
            <w:tcW w:type="dxa" w:w="4276"/>
            <w:vAlign w:val="top"/>
          </w:tcPr>
          <w:p>
            <w:pPr>
              <w:spacing w:after="60" w:line="259" w:lineRule="auto"/>
            </w:pPr>
            <w:r>
              <w:rPr>
                <w:rFonts w:ascii="Calibri" w:hAnsi="Calibri"/>
                <w:b w:val="0"/>
                <w:i w:val="0"/>
                <w:color w:val="212121"/>
                <w:sz w:val="19"/>
              </w:rPr>
              <w:t>Excess dietary sodium expands plasma volume and raises blood pressure, precipitating congestion and acute decompensation in vulnerable myocardium.</w:t>
            </w:r>
          </w:p>
          <w:p>
            <w:pPr>
              <w:spacing w:after="40" w:before="60" w:line="259" w:lineRule="auto"/>
            </w:pPr>
            <w:r>
              <w:rPr>
                <w:rFonts w:ascii="Calibri" w:hAnsi="Calibri"/>
                <w:b w:val="0"/>
                <w:i w:val="0"/>
                <w:color w:val="212121"/>
                <w:sz w:val="19"/>
              </w:rPr>
              <w:t>Dietary indiscretion (salt/fluid excess) is a leading precipitant of acute HF hospitalisation; very low sodium (&lt;1500 mg/day) did not cut CV events but modestly improved symptoms and NYHA class in SODIUM-HF.</w:t>
            </w:r>
          </w:p>
          <w:p>
            <w:pPr>
              <w:spacing w:after="40" w:line="252" w:lineRule="auto"/>
            </w:pPr>
            <w:hyperlink r:id="rId14">
              <w:r>
                <w:rPr>
                  <w:rFonts w:ascii="Calibri" w:hAnsi="Calibri" w:cs="Calibri"/>
                  <w:sz w:val="18"/>
                  <w:color w:val="1155CC"/>
                  <w:u w:val="single"/>
                </w:rPr>
                <w:t xml:space="preserve">acc.org — dietary sodium restriction in HF (SODIUM-HF)</w:t>
              </w:r>
            </w:hyperlink>
          </w:p>
          <w:p>
            <w:pPr>
              <w:spacing w:before="60" w:after="40"/>
            </w:pPr>
            <w:r>
              <w:rPr>
                <w:rFonts w:ascii="Calibri" w:hAnsi="Calibri"/>
                <w:b w:val="0"/>
                <w:i w:val="0"/>
                <w:color w:val="5A5A5A"/>
                <w:sz w:val="18"/>
              </w:rPr>
              <w:t>#salt  #sodium  #congestion  #decompensation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obesity</w:t>
            </w:r>
          </w:p>
        </w:tc>
        <w:tc>
          <w:tcPr>
            <w:tcW w:type="dxa" w:w="2160"/>
            <w:vAlign w:val="top"/>
          </w:tcPr>
          <w:p>
            <w:pPr>
              <w:spacing w:after="40" w:before="0" w:line="259" w:lineRule="auto"/>
            </w:pPr>
            <w:r>
              <w:rPr>
                <w:rFonts w:ascii="Calibri" w:hAnsi="Calibri"/>
                <w:b w:val="0"/>
                <w:i w:val="0"/>
                <w:color w:val="212121"/>
                <w:sz w:val="19"/>
              </w:rPr>
              <w:t>Central obesity, high-calorie diets</w:t>
            </w:r>
          </w:p>
        </w:tc>
        <w:tc>
          <w:tcPr>
            <w:tcW w:type="dxa" w:w="4276"/>
            <w:vAlign w:val="top"/>
          </w:tcPr>
          <w:p>
            <w:pPr>
              <w:spacing w:after="60" w:line="259" w:lineRule="auto"/>
            </w:pPr>
            <w:r>
              <w:rPr>
                <w:rFonts w:ascii="Calibri" w:hAnsi="Calibri"/>
                <w:b w:val="0"/>
                <w:i w:val="0"/>
                <w:color w:val="212121"/>
                <w:sz w:val="19"/>
              </w:rPr>
              <w:t>Obesity raises blood pressure, insulin resistance and plasma volume and drives a distinct obesity-related HFpEF phenotype through inflammation and epicardial fat.</w:t>
            </w:r>
          </w:p>
          <w:p>
            <w:pPr>
              <w:spacing w:after="40" w:before="60" w:line="259" w:lineRule="auto"/>
            </w:pPr>
            <w:r>
              <w:rPr>
                <w:rFonts w:ascii="Calibri" w:hAnsi="Calibri"/>
                <w:b w:val="0"/>
                <w:i w:val="0"/>
                <w:color w:val="212121"/>
                <w:sz w:val="19"/>
              </w:rPr>
              <w:t>Obesity and diabetes cluster in HFpEF; diabetes is present in ~42–49% of Indian HF patients.</w:t>
            </w:r>
          </w:p>
          <w:p>
            <w:pPr>
              <w:spacing w:after="40" w:line="252" w:lineRule="auto"/>
            </w:pPr>
            <w:hyperlink r:id="rId9">
              <w:r>
                <w:rPr>
                  <w:rFonts w:ascii="Calibri" w:hAnsi="Calibri" w:cs="Calibri"/>
                  <w:sz w:val="18"/>
                  <w:color w:val="1155CC"/>
                  <w:u w:val="single"/>
                </w:rPr>
                <w:t xml:space="preserve">nature.com — National Heart Failure Registry of India</w:t>
              </w:r>
            </w:hyperlink>
          </w:p>
          <w:p>
            <w:pPr>
              <w:spacing w:before="60" w:after="40"/>
            </w:pPr>
            <w:r>
              <w:rPr>
                <w:rFonts w:ascii="Calibri" w:hAnsi="Calibri"/>
                <w:b w:val="0"/>
                <w:i w:val="0"/>
                <w:color w:val="5A5A5A"/>
                <w:sz w:val="18"/>
              </w:rPr>
              <w:t>#obesity  #HFpEF  #visceralfat  #insulinresistance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Relatives with cardiomyopathy or premature CAD</w:t>
            </w:r>
          </w:p>
        </w:tc>
        <w:tc>
          <w:tcPr>
            <w:tcW w:type="dxa" w:w="4276"/>
            <w:vAlign w:val="top"/>
          </w:tcPr>
          <w:p>
            <w:pPr>
              <w:spacing w:after="60" w:line="259" w:lineRule="auto"/>
            </w:pPr>
            <w:r>
              <w:rPr>
                <w:rFonts w:ascii="Calibri" w:hAnsi="Calibri"/>
                <w:b w:val="0"/>
                <w:i w:val="0"/>
                <w:color w:val="212121"/>
                <w:sz w:val="19"/>
              </w:rPr>
              <w:t>Inherited (often autosomal-dominant) dilated, hypertrophic and arrhythmogenic cardiomyopathies, plus familial premature coronary disease and dyslipidaemia, raise HF risk.</w:t>
            </w:r>
          </w:p>
          <w:p>
            <w:pPr>
              <w:spacing w:after="40" w:before="60" w:line="259" w:lineRule="auto"/>
            </w:pPr>
            <w:r>
              <w:rPr>
                <w:rFonts w:ascii="Calibri" w:hAnsi="Calibri"/>
                <w:b w:val="0"/>
                <w:i w:val="0"/>
                <w:color w:val="212121"/>
                <w:sz w:val="19"/>
              </w:rPr>
              <w:t>Dilated cardiomyopathy (a substantial share of which is familial/genetic) accounts for ~17% of HF in the National Heart Failure Registry of India.</w:t>
            </w:r>
          </w:p>
          <w:p>
            <w:pPr>
              <w:spacing w:after="40" w:line="252" w:lineRule="auto"/>
            </w:pPr>
            <w:hyperlink r:id="rId9">
              <w:r>
                <w:rPr>
                  <w:rFonts w:ascii="Calibri" w:hAnsi="Calibri" w:cs="Calibri"/>
                  <w:sz w:val="18"/>
                  <w:color w:val="1155CC"/>
                  <w:u w:val="single"/>
                </w:rPr>
                <w:t xml:space="preserve">nature.com — National Heart Failure Registry of India</w:t>
              </w:r>
            </w:hyperlink>
          </w:p>
          <w:p>
            <w:pPr>
              <w:spacing w:before="60" w:after="40"/>
            </w:pPr>
            <w:r>
              <w:rPr>
                <w:rFonts w:ascii="Calibri" w:hAnsi="Calibri"/>
                <w:b w:val="0"/>
                <w:i w:val="0"/>
                <w:color w:val="5A5A5A"/>
                <w:sz w:val="18"/>
              </w:rPr>
              <w:t>#familial  #cardiomyopathy  #DCM  #genetic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Coronary artery disease</w:t>
            </w:r>
          </w:p>
        </w:tc>
        <w:tc>
          <w:tcPr>
            <w:tcW w:type="dxa" w:w="2160"/>
            <w:vAlign w:val="top"/>
          </w:tcPr>
          <w:p>
            <w:pPr>
              <w:spacing w:after="40" w:before="0" w:line="259" w:lineRule="auto"/>
            </w:pPr>
            <w:r>
              <w:rPr>
                <w:rFonts w:ascii="Calibri" w:hAnsi="Calibri"/>
                <w:b w:val="0"/>
                <w:i w:val="0"/>
                <w:color w:val="212121"/>
                <w:sz w:val="19"/>
              </w:rPr>
              <w:t>Patients with prior MI / ischaemic heart disease</w:t>
            </w:r>
          </w:p>
        </w:tc>
        <w:tc>
          <w:tcPr>
            <w:tcW w:type="dxa" w:w="4276"/>
            <w:vAlign w:val="top"/>
          </w:tcPr>
          <w:p>
            <w:pPr>
              <w:spacing w:after="60" w:line="259" w:lineRule="auto"/>
            </w:pPr>
            <w:r>
              <w:rPr>
                <w:rFonts w:ascii="Calibri" w:hAnsi="Calibri"/>
                <w:b w:val="0"/>
                <w:i w:val="0"/>
                <w:color w:val="212121"/>
                <w:sz w:val="19"/>
              </w:rPr>
              <w:t>Loss of contractile myocardium and adverse remodelling after infarction is the commonest pathway to HFrEF.</w:t>
            </w:r>
          </w:p>
          <w:p>
            <w:pPr>
              <w:spacing w:after="40" w:before="60" w:line="259" w:lineRule="auto"/>
            </w:pPr>
            <w:r>
              <w:rPr>
                <w:rFonts w:ascii="Calibri" w:hAnsi="Calibri"/>
                <w:b w:val="0"/>
                <w:i w:val="0"/>
                <w:color w:val="212121"/>
                <w:sz w:val="19"/>
              </w:rPr>
              <w:t>Ischaemic heart disease was the underlying cause in ~71.9% of patients in the National Heart Failure Registry of India.</w:t>
            </w:r>
          </w:p>
          <w:p>
            <w:pPr>
              <w:spacing w:after="40" w:line="252" w:lineRule="auto"/>
            </w:pPr>
            <w:hyperlink r:id="rId9">
              <w:r>
                <w:rPr>
                  <w:rFonts w:ascii="Calibri" w:hAnsi="Calibri" w:cs="Calibri"/>
                  <w:sz w:val="18"/>
                  <w:color w:val="1155CC"/>
                  <w:u w:val="single"/>
                </w:rPr>
                <w:t xml:space="preserve">nature.com — National Heart Failure Registry of India</w:t>
              </w:r>
            </w:hyperlink>
          </w:p>
          <w:p>
            <w:pPr>
              <w:spacing w:before="60" w:after="40"/>
            </w:pPr>
            <w:r>
              <w:rPr>
                <w:rFonts w:ascii="Calibri" w:hAnsi="Calibri"/>
                <w:b w:val="0"/>
                <w:i w:val="0"/>
                <w:color w:val="5A5A5A"/>
                <w:sz w:val="18"/>
              </w:rPr>
              <w:t>#CAD  #postMI  #remodelling  #ischaemicHF</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Long-standing / uncontrolled hypertensives</w:t>
            </w:r>
          </w:p>
        </w:tc>
        <w:tc>
          <w:tcPr>
            <w:tcW w:type="dxa" w:w="4276"/>
            <w:vAlign w:val="top"/>
          </w:tcPr>
          <w:p>
            <w:pPr>
              <w:spacing w:after="60" w:line="259" w:lineRule="auto"/>
            </w:pPr>
            <w:r>
              <w:rPr>
                <w:rFonts w:ascii="Calibri" w:hAnsi="Calibri"/>
                <w:b w:val="0"/>
                <w:i w:val="0"/>
                <w:color w:val="212121"/>
                <w:sz w:val="19"/>
              </w:rPr>
              <w:t>Pressure overload causes LV hypertrophy and diastolic dysfunction (HFpEF) and can decompensate to systolic failure.</w:t>
            </w:r>
          </w:p>
          <w:p>
            <w:pPr>
              <w:spacing w:after="40" w:before="60" w:line="259" w:lineRule="auto"/>
            </w:pPr>
            <w:r>
              <w:rPr>
                <w:rFonts w:ascii="Calibri" w:hAnsi="Calibri"/>
                <w:b w:val="0"/>
                <w:i w:val="0"/>
                <w:color w:val="212121"/>
                <w:sz w:val="19"/>
              </w:rPr>
              <w:t>Hypertension was present in roughly half of Indian HF registry patients (~49%).</w:t>
            </w:r>
          </w:p>
          <w:p>
            <w:pPr>
              <w:spacing w:after="40" w:line="252" w:lineRule="auto"/>
            </w:pPr>
            <w:hyperlink r:id="rId10">
              <w:r>
                <w:rPr>
                  <w:rFonts w:ascii="Calibri" w:hAnsi="Calibri" w:cs="Calibri"/>
                  <w:sz w:val="18"/>
                  <w:color w:val="1155CC"/>
                  <w:u w:val="single"/>
                </w:rPr>
                <w:t xml:space="preserve">ijmr.org.in — HF registry across age groups</w:t>
              </w:r>
            </w:hyperlink>
          </w:p>
          <w:p>
            <w:pPr>
              <w:spacing w:before="60" w:after="40"/>
            </w:pPr>
            <w:r>
              <w:rPr>
                <w:rFonts w:ascii="Calibri" w:hAnsi="Calibri"/>
                <w:b w:val="0"/>
                <w:i w:val="0"/>
                <w:color w:val="5A5A5A"/>
                <w:sz w:val="18"/>
              </w:rPr>
              <w:t>#hypertension  #LVH  #HFpEF  #pressureoverload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Type 2 diabetics</w:t>
            </w:r>
          </w:p>
        </w:tc>
        <w:tc>
          <w:tcPr>
            <w:tcW w:type="dxa" w:w="4276"/>
            <w:vAlign w:val="top"/>
          </w:tcPr>
          <w:p>
            <w:pPr>
              <w:spacing w:after="60" w:line="259" w:lineRule="auto"/>
            </w:pPr>
            <w:r>
              <w:rPr>
                <w:rFonts w:ascii="Calibri" w:hAnsi="Calibri"/>
                <w:b w:val="0"/>
                <w:i w:val="0"/>
                <w:color w:val="212121"/>
                <w:sz w:val="19"/>
              </w:rPr>
              <w:t>Diabetes causes a specific cardiomyopathy and accelerates coronary disease; it raises HF incidence and worsens survival, and shares SGLT2-inhibitor therapy with HF.</w:t>
            </w:r>
          </w:p>
          <w:p>
            <w:pPr>
              <w:spacing w:after="40" w:before="60" w:line="259" w:lineRule="auto"/>
            </w:pPr>
            <w:r>
              <w:rPr>
                <w:rFonts w:ascii="Calibri" w:hAnsi="Calibri"/>
                <w:b w:val="0"/>
                <w:i w:val="0"/>
                <w:color w:val="212121"/>
                <w:sz w:val="19"/>
              </w:rPr>
              <w:t>Diabetes was present in ~42.4% of patients in an Indian multicentre HF registry (n=6,018).</w:t>
            </w:r>
          </w:p>
          <w:p>
            <w:pPr>
              <w:spacing w:after="40" w:line="252" w:lineRule="auto"/>
            </w:pPr>
            <w:hyperlink r:id="rId10">
              <w:r>
                <w:rPr>
                  <w:rFonts w:ascii="Calibri" w:hAnsi="Calibri" w:cs="Calibri"/>
                  <w:sz w:val="18"/>
                  <w:color w:val="1155CC"/>
                  <w:u w:val="single"/>
                </w:rPr>
                <w:t xml:space="preserve">ijmr.org.in — HF registry across age groups</w:t>
              </w:r>
            </w:hyperlink>
          </w:p>
          <w:p>
            <w:pPr>
              <w:spacing w:before="60" w:after="40"/>
            </w:pPr>
            <w:r>
              <w:rPr>
                <w:rFonts w:ascii="Calibri" w:hAnsi="Calibri"/>
                <w:b w:val="0"/>
                <w:i w:val="0"/>
                <w:color w:val="5A5A5A"/>
                <w:sz w:val="18"/>
              </w:rPr>
              <w:t>#diabetes  #diabeticcardiomyopathy  #SGLT2i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Rheumatic / valvular heart disease</w:t>
            </w:r>
          </w:p>
        </w:tc>
        <w:tc>
          <w:tcPr>
            <w:tcW w:type="dxa" w:w="2160"/>
            <w:vAlign w:val="top"/>
          </w:tcPr>
          <w:p>
            <w:pPr>
              <w:spacing w:after="40" w:before="0" w:line="259" w:lineRule="auto"/>
            </w:pPr>
            <w:r>
              <w:rPr>
                <w:rFonts w:ascii="Calibri" w:hAnsi="Calibri"/>
                <w:b w:val="0"/>
                <w:i w:val="0"/>
                <w:color w:val="212121"/>
                <w:sz w:val="19"/>
              </w:rPr>
              <w:t>Younger patients with mitral/aortic valve disease</w:t>
            </w:r>
          </w:p>
        </w:tc>
        <w:tc>
          <w:tcPr>
            <w:tcW w:type="dxa" w:w="4276"/>
            <w:vAlign w:val="top"/>
          </w:tcPr>
          <w:p>
            <w:pPr>
              <w:spacing w:after="60" w:line="259" w:lineRule="auto"/>
            </w:pPr>
            <w:r>
              <w:rPr>
                <w:rFonts w:ascii="Calibri" w:hAnsi="Calibri"/>
                <w:b w:val="0"/>
                <w:i w:val="0"/>
                <w:color w:val="212121"/>
                <w:sz w:val="19"/>
              </w:rPr>
              <w:t>Rheumatic valve disease imposes chronic pressure/volume overload, a distinctively Indian and often younger cause of HF.</w:t>
            </w:r>
          </w:p>
          <w:p>
            <w:pPr>
              <w:spacing w:after="40" w:before="60" w:line="259" w:lineRule="auto"/>
            </w:pPr>
            <w:r>
              <w:rPr>
                <w:rFonts w:ascii="Calibri" w:hAnsi="Calibri"/>
                <w:b w:val="0"/>
                <w:i w:val="0"/>
                <w:color w:val="212121"/>
                <w:sz w:val="19"/>
              </w:rPr>
              <w:t>Rheumatic heart disease caused ~5.4% (and non-rheumatic valve disease ~1.9%) of HF in the National Heart Failure Registry of India.</w:t>
            </w:r>
          </w:p>
          <w:p>
            <w:pPr>
              <w:spacing w:after="40" w:line="252" w:lineRule="auto"/>
            </w:pPr>
            <w:hyperlink r:id="rId9">
              <w:r>
                <w:rPr>
                  <w:rFonts w:ascii="Calibri" w:hAnsi="Calibri" w:cs="Calibri"/>
                  <w:sz w:val="18"/>
                  <w:color w:val="1155CC"/>
                  <w:u w:val="single"/>
                </w:rPr>
                <w:t xml:space="preserve">nature.com — National Heart Failure Registry of India</w:t>
              </w:r>
            </w:hyperlink>
          </w:p>
          <w:p>
            <w:pPr>
              <w:spacing w:before="60" w:after="40"/>
            </w:pPr>
            <w:r>
              <w:rPr>
                <w:rFonts w:ascii="Calibri" w:hAnsi="Calibri"/>
                <w:b w:val="0"/>
                <w:i w:val="0"/>
                <w:color w:val="5A5A5A"/>
                <w:sz w:val="18"/>
              </w:rPr>
              <w:t>#rheumatic  #valvular  #mitralstenosis  #young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Patients with cardiorenal syndrome</w:t>
            </w:r>
          </w:p>
        </w:tc>
        <w:tc>
          <w:tcPr>
            <w:tcW w:type="dxa" w:w="4276"/>
            <w:vAlign w:val="top"/>
          </w:tcPr>
          <w:p>
            <w:pPr>
              <w:spacing w:after="60" w:line="259" w:lineRule="auto"/>
            </w:pPr>
            <w:r>
              <w:rPr>
                <w:rFonts w:ascii="Calibri" w:hAnsi="Calibri"/>
                <w:b w:val="0"/>
                <w:i w:val="0"/>
                <w:color w:val="212121"/>
                <w:sz w:val="19"/>
              </w:rPr>
              <w:t>Kidney and heart dysfunction are mutually reinforcing (cardiorenal syndrome): fluid retention, neurohormonal activation and anaemia worsen both and complicate diuretic/GDMT dosing.</w:t>
            </w:r>
          </w:p>
          <w:p>
            <w:pPr>
              <w:spacing w:after="40" w:before="60" w:line="259" w:lineRule="auto"/>
            </w:pPr>
            <w:r>
              <w:rPr>
                <w:rFonts w:ascii="Calibri" w:hAnsi="Calibri"/>
                <w:b w:val="0"/>
                <w:i w:val="0"/>
                <w:color w:val="212121"/>
                <w:sz w:val="19"/>
              </w:rPr>
              <w:t>Chronic kidney disease was documented in ~8.5% of an Indian HF registry cohort at baseline and is far commoner as cardiorenal syndrome evolves.</w:t>
            </w:r>
          </w:p>
          <w:p>
            <w:pPr>
              <w:spacing w:after="40" w:line="252" w:lineRule="auto"/>
            </w:pPr>
            <w:hyperlink r:id="rId10">
              <w:r>
                <w:rPr>
                  <w:rFonts w:ascii="Calibri" w:hAnsi="Calibri" w:cs="Calibri"/>
                  <w:sz w:val="18"/>
                  <w:color w:val="1155CC"/>
                  <w:u w:val="single"/>
                </w:rPr>
                <w:t xml:space="preserve">ijmr.org.in — HF registry across age groups</w:t>
              </w:r>
            </w:hyperlink>
          </w:p>
          <w:p>
            <w:pPr>
              <w:spacing w:before="60" w:after="40"/>
            </w:pPr>
            <w:r>
              <w:rPr>
                <w:rFonts w:ascii="Calibri" w:hAnsi="Calibri"/>
                <w:b w:val="0"/>
                <w:i w:val="0"/>
                <w:color w:val="5A5A5A"/>
                <w:sz w:val="18"/>
              </w:rPr>
              <w:t>#CKD  #cardiorenal  #anaemia  #diuretics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inactivity and deconditioning worsen functional capacity and prognosis, while exercise-based cardiac rehabilitation reduces HF-related hospitalisation and improves health-related quality of life in patients with heart failure.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 dietary sodium and fluid load precipitate congestion and are leading causes of acute decompensation; poor diet quality drives the hypertension, obesity and diabetes underlying most HF.</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Sleep-disordered breathing (obstructive and central sleep apnoea) is highly prevalent in HF, and intermittent hypoxia and sympathetic surges worsen ventricular function and arrhythmia risk.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accelerates coronary atherosclerosis and myocardial infarction — the dominant cause of HFrEF in India — and independently impairs myocardial and endothelial function.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Chronic heavy alcohol use is directly cardiotoxic, causing dilated (alcoholic) cardiomyopathy and arrhythmia; abstinence can partially reverse early alcoholic cardiomyopathy.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is very common in HF — a pooled prevalence of about 51.5% in low- and middle-income countries — and is linked to poorer self-care, more readmissions and higher mortality.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Excess fluid intake aggravates congestion; individualised fluid restriction (often 1.5–2 L/day) is used in advanced or hyponatraemic HF, though routine strict restriction has limited evidence.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Moderate caffeine appears safe in stable HF; very high intake may provoke palpitations or arrhythmia in susceptible patients.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Good oral and general hygiene and vaccination reduce infective triggers (dental sepsis, respiratory infection, infective endocarditis) that commonly precipitate acute decompensation.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decompensation is frequently precipitated by identifiable triggers — medication non-adherence, dietary salt/fluid excess, infection, arrhythmia (especially atrial fibrillation), acute ischaemia, uncontrolled BP, anaemia, thyroid dysfunction and NSAIDs.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Posture does not cause HF, but positional breathlessness (orthopnoea, paroxysmal nocturnal dyspnoea) is a hallmark of pulmonary congestion; upright/propped positioning relieves acute symptoms.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(Asian-Indian cut-offs)</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(obesity)</w:t>
            </w:r>
          </w:p>
        </w:tc>
        <w:tc>
          <w:tcPr>
            <w:tcW w:type="dxa" w:w="1468"/>
            <w:vAlign w:val="top"/>
          </w:tcPr>
          <w:p>
            <w:pPr>
              <w:spacing w:after="40" w:before="0" w:line="259" w:lineRule="auto"/>
            </w:pPr>
            <w:r>
              <w:rPr>
                <w:rFonts w:ascii="Calibri" w:hAnsi="Calibri"/>
                <w:b w:val="0"/>
                <w:i w:val="0"/>
                <w:color w:val="212121"/>
                <w:sz w:val="19"/>
              </w:rPr>
              <w:t>Obesity drives hypertension, diabetes and an HFpEF phenotype; extreme low BMI signals cardiac cachexia and poor prognosis.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6-minute walk distance</w:t>
            </w:r>
          </w:p>
        </w:tc>
        <w:tc>
          <w:tcPr>
            <w:tcW w:type="dxa" w:w="1655"/>
            <w:vAlign w:val="top"/>
          </w:tcPr>
          <w:p>
            <w:pPr>
              <w:spacing w:after="40" w:before="0" w:line="259" w:lineRule="auto"/>
            </w:pPr>
            <w:r>
              <w:rPr>
                <w:rFonts w:ascii="Calibri" w:hAnsi="Calibri"/>
                <w:b w:val="0"/>
                <w:i w:val="0"/>
                <w:color w:val="212121"/>
                <w:sz w:val="19"/>
              </w:rPr>
              <w:t>Chronic HF patients</w:t>
            </w:r>
          </w:p>
        </w:tc>
        <w:tc>
          <w:tcPr>
            <w:tcW w:type="dxa" w:w="1512"/>
            <w:vAlign w:val="top"/>
          </w:tcPr>
          <w:p>
            <w:pPr>
              <w:spacing w:after="40" w:before="0" w:line="259" w:lineRule="auto"/>
            </w:pPr>
            <w:r>
              <w:rPr>
                <w:rFonts w:ascii="Calibri" w:hAnsi="Calibri"/>
                <w:b w:val="0"/>
                <w:i w:val="0"/>
                <w:color w:val="212121"/>
                <w:sz w:val="19"/>
              </w:rPr>
              <w:t>&gt; 450 m</w:t>
            </w:r>
          </w:p>
        </w:tc>
        <w:tc>
          <w:tcPr>
            <w:tcW w:type="dxa" w:w="1512"/>
            <w:vAlign w:val="top"/>
          </w:tcPr>
          <w:p>
            <w:pPr>
              <w:spacing w:after="40" w:before="0" w:line="259" w:lineRule="auto"/>
            </w:pPr>
            <w:r>
              <w:rPr>
                <w:rFonts w:ascii="Calibri" w:hAnsi="Calibri"/>
                <w:b w:val="0"/>
                <w:i w:val="0"/>
                <w:color w:val="212121"/>
                <w:sz w:val="19"/>
              </w:rPr>
              <w:t>&lt; 300 m (marked functional limitation)</w:t>
            </w:r>
          </w:p>
        </w:tc>
        <w:tc>
          <w:tcPr>
            <w:tcW w:type="dxa" w:w="1468"/>
            <w:vAlign w:val="top"/>
          </w:tcPr>
          <w:p>
            <w:pPr>
              <w:spacing w:after="60" w:line="259" w:lineRule="auto"/>
            </w:pPr>
            <w:r>
              <w:rPr>
                <w:rFonts w:ascii="Calibri" w:hAnsi="Calibri"/>
                <w:b w:val="0"/>
                <w:i w:val="0"/>
                <w:color w:val="212121"/>
                <w:sz w:val="19"/>
              </w:rPr>
              <w:t>Objective measure of functional capacity and rehabilitation response; short distance predicts worse outcomes.</w:t>
            </w:r>
          </w:p>
          <w:p>
            <w:pPr>
              <w:spacing w:after="40" w:line="252" w:lineRule="auto"/>
            </w:pPr>
            <w:hyperlink r:id="rId13">
              <w:r>
                <w:rPr>
                  <w:rFonts w:ascii="Calibri" w:hAnsi="Calibri" w:cs="Calibri"/>
                  <w:sz w:val="18"/>
                  <w:color w:val="1155CC"/>
                  <w:u w:val="single"/>
                </w:rPr>
                <w:t xml:space="preserve">https://www.cochranelibrary.com/cdsr/doi/10.1002/14651858.CD003331.pub6/full</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sodium intake</w:t>
            </w:r>
          </w:p>
        </w:tc>
        <w:tc>
          <w:tcPr>
            <w:tcW w:type="dxa" w:w="1655"/>
            <w:vAlign w:val="top"/>
          </w:tcPr>
          <w:p>
            <w:pPr>
              <w:spacing w:after="40" w:before="0" w:line="259" w:lineRule="auto"/>
            </w:pPr>
            <w:r>
              <w:rPr>
                <w:rFonts w:ascii="Calibri" w:hAnsi="Calibri"/>
                <w:b w:val="0"/>
                <w:i w:val="0"/>
                <w:color w:val="212121"/>
                <w:sz w:val="19"/>
              </w:rPr>
              <w:t>All HF patients</w:t>
            </w:r>
          </w:p>
        </w:tc>
        <w:tc>
          <w:tcPr>
            <w:tcW w:type="dxa" w:w="1512"/>
            <w:vAlign w:val="top"/>
          </w:tcPr>
          <w:p>
            <w:pPr>
              <w:spacing w:after="40" w:before="0" w:line="259" w:lineRule="auto"/>
            </w:pPr>
            <w:r>
              <w:rPr>
                <w:rFonts w:ascii="Calibri" w:hAnsi="Calibri"/>
                <w:b w:val="0"/>
                <w:i w:val="0"/>
                <w:color w:val="212121"/>
                <w:sz w:val="19"/>
              </w:rPr>
              <w:t>Moderate; avoid &gt; 5 g salt/day</w:t>
            </w:r>
          </w:p>
        </w:tc>
        <w:tc>
          <w:tcPr>
            <w:tcW w:type="dxa" w:w="1512"/>
            <w:vAlign w:val="top"/>
          </w:tcPr>
          <w:p>
            <w:pPr>
              <w:spacing w:after="40" w:before="0" w:line="259" w:lineRule="auto"/>
            </w:pPr>
            <w:r>
              <w:rPr>
                <w:rFonts w:ascii="Calibri" w:hAnsi="Calibri"/>
                <w:b w:val="0"/>
                <w:i w:val="0"/>
                <w:color w:val="212121"/>
                <w:sz w:val="19"/>
              </w:rPr>
              <w:t>High-salt (pickles, papad, namkeen, processed foods)</w:t>
            </w:r>
          </w:p>
        </w:tc>
        <w:tc>
          <w:tcPr>
            <w:tcW w:type="dxa" w:w="1468"/>
            <w:vAlign w:val="top"/>
          </w:tcPr>
          <w:p>
            <w:pPr>
              <w:spacing w:after="60" w:line="259" w:lineRule="auto"/>
            </w:pPr>
            <w:r>
              <w:rPr>
                <w:rFonts w:ascii="Calibri" w:hAnsi="Calibri"/>
                <w:b w:val="0"/>
                <w:i w:val="0"/>
                <w:color w:val="212121"/>
                <w:sz w:val="19"/>
              </w:rPr>
              <w:t>Excess sodium precipitates congestion; very strict (&lt;1.5 g/day) restriction did not reduce CV events but modestly improved symptoms in SODIUM-HF.</w:t>
            </w:r>
          </w:p>
          <w:p>
            <w:pPr>
              <w:spacing w:after="40" w:line="252" w:lineRule="auto"/>
            </w:pPr>
            <w:hyperlink r:id="rId14">
              <w:r>
                <w:rPr>
                  <w:rFonts w:ascii="Calibri" w:hAnsi="Calibri" w:cs="Calibri"/>
                  <w:sz w:val="18"/>
                  <w:color w:val="1155CC"/>
                  <w:u w:val="single"/>
                </w:rPr>
                <w:t xml:space="preserve">https://www.acc.org/Latest-in-Cardiology/Articles/2022/07/15/12/15/Efficacy-of-Dietary-Sodium-Restriction-in-Heart-Failure</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 (advanced/hyponatraemic HF)</w:t>
            </w:r>
          </w:p>
        </w:tc>
        <w:tc>
          <w:tcPr>
            <w:tcW w:type="dxa" w:w="1655"/>
            <w:vAlign w:val="top"/>
          </w:tcPr>
          <w:p>
            <w:pPr>
              <w:spacing w:after="40" w:before="0" w:line="259" w:lineRule="auto"/>
            </w:pPr>
            <w:r>
              <w:rPr>
                <w:rFonts w:ascii="Calibri" w:hAnsi="Calibri"/>
                <w:b w:val="0"/>
                <w:i w:val="0"/>
                <w:color w:val="212121"/>
                <w:sz w:val="19"/>
              </w:rPr>
              <w:t>Congested or hyponatraemic HF</w:t>
            </w:r>
          </w:p>
        </w:tc>
        <w:tc>
          <w:tcPr>
            <w:tcW w:type="dxa" w:w="1512"/>
            <w:vAlign w:val="top"/>
          </w:tcPr>
          <w:p>
            <w:pPr>
              <w:spacing w:after="40" w:before="0" w:line="259" w:lineRule="auto"/>
            </w:pPr>
            <w:r>
              <w:rPr>
                <w:rFonts w:ascii="Calibri" w:hAnsi="Calibri"/>
                <w:b w:val="0"/>
                <w:i w:val="0"/>
                <w:color w:val="212121"/>
                <w:sz w:val="19"/>
              </w:rPr>
              <w:t>Individualised, often 1.5–2 L/day</w:t>
            </w:r>
          </w:p>
        </w:tc>
        <w:tc>
          <w:tcPr>
            <w:tcW w:type="dxa" w:w="1512"/>
            <w:vAlign w:val="top"/>
          </w:tcPr>
          <w:p>
            <w:pPr>
              <w:spacing w:after="40" w:before="0" w:line="259" w:lineRule="auto"/>
            </w:pPr>
            <w:r>
              <w:rPr>
                <w:rFonts w:ascii="Calibri" w:hAnsi="Calibri"/>
                <w:b w:val="0"/>
                <w:i w:val="0"/>
                <w:color w:val="212121"/>
                <w:sz w:val="19"/>
              </w:rPr>
              <w:t>Excess free-water intake with hyponatraemia/oedema</w:t>
            </w:r>
          </w:p>
        </w:tc>
        <w:tc>
          <w:tcPr>
            <w:tcW w:type="dxa" w:w="1468"/>
            <w:vAlign w:val="top"/>
          </w:tcPr>
          <w:p>
            <w:pPr>
              <w:spacing w:after="40" w:before="0" w:line="259" w:lineRule="auto"/>
            </w:pPr>
            <w:r>
              <w:rPr>
                <w:rFonts w:ascii="Calibri" w:hAnsi="Calibri"/>
                <w:b w:val="0"/>
                <w:i w:val="0"/>
                <w:color w:val="212121"/>
                <w:sz w:val="19"/>
              </w:rPr>
              <w:t>Fluid restriction is individualised to congestion and serum sodium, not applied routinely to all patients.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Daily morning weight (self-monitoring)</w:t>
            </w:r>
          </w:p>
        </w:tc>
        <w:tc>
          <w:tcPr>
            <w:tcW w:type="dxa" w:w="1655"/>
            <w:vAlign w:val="top"/>
          </w:tcPr>
          <w:p>
            <w:pPr>
              <w:spacing w:after="40" w:before="0" w:line="259" w:lineRule="auto"/>
            </w:pPr>
            <w:r>
              <w:rPr>
                <w:rFonts w:ascii="Calibri" w:hAnsi="Calibri"/>
                <w:b w:val="0"/>
                <w:i w:val="0"/>
                <w:color w:val="212121"/>
                <w:sz w:val="19"/>
              </w:rPr>
              <w:t>Chronic HF on diuretics</w:t>
            </w:r>
          </w:p>
        </w:tc>
        <w:tc>
          <w:tcPr>
            <w:tcW w:type="dxa" w:w="1512"/>
            <w:vAlign w:val="top"/>
          </w:tcPr>
          <w:p>
            <w:pPr>
              <w:spacing w:after="40" w:before="0" w:line="259" w:lineRule="auto"/>
            </w:pPr>
            <w:r>
              <w:rPr>
                <w:rFonts w:ascii="Calibri" w:hAnsi="Calibri"/>
                <w:b w:val="0"/>
                <w:i w:val="0"/>
                <w:color w:val="212121"/>
                <w:sz w:val="19"/>
              </w:rPr>
              <w:t>Stable weight</w:t>
            </w:r>
          </w:p>
        </w:tc>
        <w:tc>
          <w:tcPr>
            <w:tcW w:type="dxa" w:w="1512"/>
            <w:vAlign w:val="top"/>
          </w:tcPr>
          <w:p>
            <w:pPr>
              <w:spacing w:after="40" w:before="0" w:line="259" w:lineRule="auto"/>
            </w:pPr>
            <w:r>
              <w:rPr>
                <w:rFonts w:ascii="Calibri" w:hAnsi="Calibri"/>
                <w:b w:val="0"/>
                <w:i w:val="0"/>
                <w:color w:val="212121"/>
                <w:sz w:val="19"/>
              </w:rPr>
              <w:t>Gain &gt; 2 kg over 3 days</w:t>
            </w:r>
          </w:p>
        </w:tc>
        <w:tc>
          <w:tcPr>
            <w:tcW w:type="dxa" w:w="1468"/>
            <w:vAlign w:val="top"/>
          </w:tcPr>
          <w:p>
            <w:pPr>
              <w:spacing w:after="40" w:before="0" w:line="259" w:lineRule="auto"/>
            </w:pPr>
            <w:r>
              <w:rPr>
                <w:rFonts w:ascii="Calibri" w:hAnsi="Calibri"/>
                <w:b w:val="0"/>
                <w:i w:val="0"/>
                <w:color w:val="212121"/>
                <w:sz w:val="19"/>
              </w:rPr>
              <w:t>Rapid weight gain signals fluid retention and impending decompensation — a cue to seek care or adjust diuretics.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Adults with or at risk of HF</w:t>
            </w:r>
          </w:p>
        </w:tc>
        <w:tc>
          <w:tcPr>
            <w:tcW w:type="dxa" w:w="1512"/>
            <w:vAlign w:val="top"/>
          </w:tcPr>
          <w:p>
            <w:pPr>
              <w:spacing w:after="40" w:before="0" w:line="259" w:lineRule="auto"/>
            </w:pPr>
            <w:r>
              <w:rPr>
                <w:rFonts w:ascii="Calibri" w:hAnsi="Calibri"/>
                <w:b w:val="0"/>
                <w:i w:val="0"/>
                <w:color w:val="212121"/>
                <w:sz w:val="19"/>
              </w:rPr>
              <w:t>0 (complete cessation)</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40" w:before="0" w:line="259" w:lineRule="auto"/>
            </w:pPr>
            <w:r>
              <w:rPr>
                <w:rFonts w:ascii="Calibri" w:hAnsi="Calibri"/>
                <w:b w:val="0"/>
                <w:i w:val="0"/>
                <w:color w:val="212121"/>
                <w:sz w:val="19"/>
              </w:rPr>
              <w:t>Any tobacco accelerates coronary disease and worsens HF outcomes; cessation is strongly advised.</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dilated cardiomyopathy</w:t>
            </w:r>
          </w:p>
        </w:tc>
        <w:tc>
          <w:tcPr>
            <w:tcW w:type="dxa" w:w="1512"/>
            <w:vAlign w:val="top"/>
          </w:tcPr>
          <w:p>
            <w:pPr>
              <w:spacing w:after="40" w:before="0" w:line="259" w:lineRule="auto"/>
            </w:pPr>
            <w:r>
              <w:rPr>
                <w:rFonts w:ascii="Calibri" w:hAnsi="Calibri"/>
                <w:b w:val="0"/>
                <w:i w:val="0"/>
                <w:color w:val="212121"/>
                <w:sz w:val="19"/>
              </w:rPr>
              <w:t>Abstinence if alcohol-related; otherwise ≤ 1 unit/day</w:t>
            </w:r>
          </w:p>
        </w:tc>
        <w:tc>
          <w:tcPr>
            <w:tcW w:type="dxa" w:w="1512"/>
            <w:vAlign w:val="top"/>
          </w:tcPr>
          <w:p>
            <w:pPr>
              <w:spacing w:after="40" w:before="0" w:line="259" w:lineRule="auto"/>
            </w:pPr>
            <w:r>
              <w:rPr>
                <w:rFonts w:ascii="Calibri" w:hAnsi="Calibri"/>
                <w:b w:val="0"/>
                <w:i w:val="0"/>
                <w:color w:val="212121"/>
                <w:sz w:val="19"/>
              </w:rPr>
              <w:t>Heavy / chronic excess intake</w:t>
            </w:r>
          </w:p>
        </w:tc>
        <w:tc>
          <w:tcPr>
            <w:tcW w:type="dxa" w:w="1468"/>
            <w:vAlign w:val="top"/>
          </w:tcPr>
          <w:p>
            <w:pPr>
              <w:spacing w:after="40" w:before="0" w:line="259" w:lineRule="auto"/>
            </w:pPr>
            <w:r>
              <w:rPr>
                <w:rFonts w:ascii="Calibri" w:hAnsi="Calibri"/>
                <w:b w:val="0"/>
                <w:i w:val="0"/>
                <w:color w:val="212121"/>
                <w:sz w:val="19"/>
              </w:rPr>
              <w:t>Abstinence is essential in alcoholic cardiomyopathy and can partially reverse early dysfunction.</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Resting blood pressure</w:t>
            </w:r>
          </w:p>
        </w:tc>
        <w:tc>
          <w:tcPr>
            <w:tcW w:type="dxa" w:w="1655"/>
            <w:vAlign w:val="top"/>
          </w:tcPr>
          <w:p>
            <w:pPr>
              <w:spacing w:after="40" w:before="0" w:line="259" w:lineRule="auto"/>
            </w:pPr>
            <w:r>
              <w:rPr>
                <w:rFonts w:ascii="Calibri" w:hAnsi="Calibri"/>
                <w:b w:val="0"/>
                <w:i w:val="0"/>
                <w:color w:val="212121"/>
                <w:sz w:val="19"/>
              </w:rPr>
              <w:t>Hypertensive HF patients</w:t>
            </w:r>
          </w:p>
        </w:tc>
        <w:tc>
          <w:tcPr>
            <w:tcW w:type="dxa" w:w="1512"/>
            <w:vAlign w:val="top"/>
          </w:tcPr>
          <w:p>
            <w:pPr>
              <w:spacing w:after="40" w:before="0" w:line="259" w:lineRule="auto"/>
            </w:pPr>
            <w:r>
              <w:rPr>
                <w:rFonts w:ascii="Calibri" w:hAnsi="Calibri"/>
                <w:b w:val="0"/>
                <w:i w:val="0"/>
                <w:color w:val="212121"/>
                <w:sz w:val="19"/>
              </w:rPr>
              <w:t>&lt; 130/80 mmHg (individualised)</w:t>
            </w:r>
          </w:p>
        </w:tc>
        <w:tc>
          <w:tcPr>
            <w:tcW w:type="dxa" w:w="1512"/>
            <w:vAlign w:val="top"/>
          </w:tcPr>
          <w:p>
            <w:pPr>
              <w:spacing w:after="40" w:before="0" w:line="259" w:lineRule="auto"/>
            </w:pPr>
            <w:r>
              <w:rPr>
                <w:rFonts w:ascii="Calibri" w:hAnsi="Calibri"/>
                <w:b w:val="0"/>
                <w:i w:val="0"/>
                <w:color w:val="212121"/>
                <w:sz w:val="19"/>
              </w:rPr>
              <w:t>Persistently ≥ 140/90 mmHg</w:t>
            </w:r>
          </w:p>
        </w:tc>
        <w:tc>
          <w:tcPr>
            <w:tcW w:type="dxa" w:w="1468"/>
            <w:vAlign w:val="top"/>
          </w:tcPr>
          <w:p>
            <w:pPr>
              <w:spacing w:after="40" w:before="0" w:line="259" w:lineRule="auto"/>
            </w:pPr>
            <w:r>
              <w:rPr>
                <w:rFonts w:ascii="Calibri" w:hAnsi="Calibri"/>
                <w:b w:val="0"/>
                <w:i w:val="0"/>
                <w:color w:val="212121"/>
                <w:sz w:val="19"/>
              </w:rPr>
              <w:t>BP control prevents hypertensive HF/HFpEF and reduces decompensation; avoid over-treatment/hypotension in advanced HFrEF.</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NT-proBNP / BNP</w:t>
            </w:r>
          </w:p>
        </w:tc>
        <w:tc>
          <w:tcPr>
            <w:tcW w:type="dxa" w:w="1655"/>
            <w:vAlign w:val="top"/>
          </w:tcPr>
          <w:p>
            <w:pPr>
              <w:spacing w:after="40" w:before="0" w:line="259" w:lineRule="auto"/>
            </w:pPr>
            <w:r>
              <w:rPr>
                <w:rFonts w:ascii="Calibri" w:hAnsi="Calibri"/>
                <w:b w:val="0"/>
                <w:i w:val="0"/>
                <w:color w:val="212121"/>
                <w:sz w:val="19"/>
              </w:rPr>
              <w:t>Suspected or established HF</w:t>
            </w:r>
          </w:p>
        </w:tc>
        <w:tc>
          <w:tcPr>
            <w:tcW w:type="dxa" w:w="1512"/>
            <w:vAlign w:val="top"/>
          </w:tcPr>
          <w:p>
            <w:pPr>
              <w:spacing w:after="40" w:before="0" w:line="259" w:lineRule="auto"/>
            </w:pPr>
            <w:r>
              <w:rPr>
                <w:rFonts w:ascii="Calibri" w:hAnsi="Calibri"/>
                <w:b w:val="0"/>
                <w:i w:val="0"/>
                <w:color w:val="212121"/>
                <w:sz w:val="19"/>
              </w:rPr>
              <w:t>NT-proBNP &lt; 125 pg/mL (non-acute); &lt; 300 pg/mL (acute)</w:t>
            </w:r>
          </w:p>
        </w:tc>
        <w:tc>
          <w:tcPr>
            <w:tcW w:type="dxa" w:w="1512"/>
            <w:vAlign w:val="top"/>
          </w:tcPr>
          <w:p>
            <w:pPr>
              <w:spacing w:after="40" w:before="0" w:line="259" w:lineRule="auto"/>
            </w:pPr>
            <w:r>
              <w:rPr>
                <w:rFonts w:ascii="Calibri" w:hAnsi="Calibri"/>
                <w:b w:val="0"/>
                <w:i w:val="0"/>
                <w:color w:val="212121"/>
                <w:sz w:val="19"/>
              </w:rPr>
              <w:t>NT-proBNP ≥ 125 (chronic) or ≥ 300 pg/mL (acute)</w:t>
            </w:r>
          </w:p>
        </w:tc>
        <w:tc>
          <w:tcPr>
            <w:tcW w:type="dxa" w:w="1468"/>
            <w:vAlign w:val="top"/>
          </w:tcPr>
          <w:p>
            <w:pPr>
              <w:spacing w:after="40" w:before="0" w:line="259" w:lineRule="auto"/>
            </w:pPr>
            <w:r>
              <w:rPr>
                <w:rFonts w:ascii="Calibri" w:hAnsi="Calibri"/>
                <w:b w:val="0"/>
                <w:i w:val="0"/>
                <w:color w:val="212121"/>
                <w:sz w:val="19"/>
              </w:rPr>
              <w:t>Supports diagnosis and tracks congestion; rising values flag decompensation, falling values a treatment response.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Left-ventricular ejection fraction (echocardiography)</w:t>
            </w:r>
          </w:p>
        </w:tc>
        <w:tc>
          <w:tcPr>
            <w:tcW w:type="dxa" w:w="1655"/>
            <w:vAlign w:val="top"/>
          </w:tcPr>
          <w:p>
            <w:pPr>
              <w:spacing w:after="40" w:before="0" w:line="259" w:lineRule="auto"/>
            </w:pPr>
            <w:r>
              <w:rPr>
                <w:rFonts w:ascii="Calibri" w:hAnsi="Calibri"/>
                <w:b w:val="0"/>
                <w:i w:val="0"/>
                <w:color w:val="212121"/>
                <w:sz w:val="19"/>
              </w:rPr>
              <w:t>All HF phenotypes</w:t>
            </w:r>
          </w:p>
        </w:tc>
        <w:tc>
          <w:tcPr>
            <w:tcW w:type="dxa" w:w="1512"/>
            <w:vAlign w:val="top"/>
          </w:tcPr>
          <w:p>
            <w:pPr>
              <w:spacing w:after="40" w:before="0" w:line="259" w:lineRule="auto"/>
            </w:pPr>
            <w:r>
              <w:rPr>
                <w:rFonts w:ascii="Calibri" w:hAnsi="Calibri"/>
                <w:b w:val="0"/>
                <w:i w:val="0"/>
                <w:color w:val="212121"/>
                <w:sz w:val="19"/>
              </w:rPr>
              <w:t>≥ 50% (preserved)</w:t>
            </w:r>
          </w:p>
        </w:tc>
        <w:tc>
          <w:tcPr>
            <w:tcW w:type="dxa" w:w="1512"/>
            <w:vAlign w:val="top"/>
          </w:tcPr>
          <w:p>
            <w:pPr>
              <w:spacing w:after="40" w:before="0" w:line="259" w:lineRule="auto"/>
            </w:pPr>
            <w:r>
              <w:rPr>
                <w:rFonts w:ascii="Calibri" w:hAnsi="Calibri"/>
                <w:b w:val="0"/>
                <w:i w:val="0"/>
                <w:color w:val="212121"/>
                <w:sz w:val="19"/>
              </w:rPr>
              <w:t>≤ 40% (HFrEF); 41–49% (HFmrEF)</w:t>
            </w:r>
          </w:p>
        </w:tc>
        <w:tc>
          <w:tcPr>
            <w:tcW w:type="dxa" w:w="1468"/>
            <w:vAlign w:val="top"/>
          </w:tcPr>
          <w:p>
            <w:pPr>
              <w:spacing w:after="40" w:before="0" w:line="259" w:lineRule="auto"/>
            </w:pPr>
            <w:r>
              <w:rPr>
                <w:rFonts w:ascii="Calibri" w:hAnsi="Calibri"/>
                <w:b w:val="0"/>
                <w:i w:val="0"/>
                <w:color w:val="212121"/>
                <w:sz w:val="19"/>
              </w:rPr>
              <w:t>Defines the HF phenotype and guides device and drug therapy.</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(PHQ-9)</w:t>
            </w:r>
          </w:p>
        </w:tc>
        <w:tc>
          <w:tcPr>
            <w:tcW w:type="dxa" w:w="1655"/>
            <w:vAlign w:val="top"/>
          </w:tcPr>
          <w:p>
            <w:pPr>
              <w:spacing w:after="40" w:before="0" w:line="259" w:lineRule="auto"/>
            </w:pPr>
            <w:r>
              <w:rPr>
                <w:rFonts w:ascii="Calibri" w:hAnsi="Calibri"/>
                <w:b w:val="0"/>
                <w:i w:val="0"/>
                <w:color w:val="212121"/>
                <w:sz w:val="19"/>
              </w:rPr>
              <w:t>Chronic HF patients</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 10 (moderate depression)</w:t>
            </w:r>
          </w:p>
        </w:tc>
        <w:tc>
          <w:tcPr>
            <w:tcW w:type="dxa" w:w="1468"/>
            <w:vAlign w:val="top"/>
          </w:tcPr>
          <w:p>
            <w:pPr>
              <w:spacing w:after="60" w:line="259" w:lineRule="auto"/>
            </w:pPr>
            <w:r>
              <w:rPr>
                <w:rFonts w:ascii="Calibri" w:hAnsi="Calibri"/>
                <w:b w:val="0"/>
                <w:i w:val="0"/>
                <w:color w:val="212121"/>
                <w:sz w:val="19"/>
              </w:rPr>
              <w:t>Depression is highly prevalent in HF (~51.5% in LMICs) and worsens adherence, readmission and survival.</w:t>
            </w:r>
          </w:p>
          <w:p>
            <w:pPr>
              <w:spacing w:after="40" w:line="252" w:lineRule="auto"/>
            </w:pPr>
            <w:hyperlink r:id="rId15">
              <w:r>
                <w:rPr>
                  <w:rFonts w:ascii="Calibri" w:hAnsi="Calibri" w:cs="Calibri"/>
                  <w:sz w:val="18"/>
                  <w:color w:val="1155CC"/>
                  <w:u w:val="single"/>
                </w:rPr>
                <w:t xml:space="preserve">https://journals.plos.org/plosone/article?id=10.1371%2Fjournal.pone.0283146</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NT-proBNP / BNP</w:t>
            </w:r>
          </w:p>
        </w:tc>
        <w:tc>
          <w:tcPr>
            <w:tcW w:type="dxa" w:w="892"/>
            <w:vAlign w:val="top"/>
          </w:tcPr>
          <w:p>
            <w:pPr>
              <w:spacing w:after="40" w:before="0" w:line="259" w:lineRule="auto"/>
            </w:pPr>
            <w:r>
              <w:rPr>
                <w:rFonts w:ascii="Calibri" w:hAnsi="Calibri"/>
                <w:b w:val="0"/>
                <w:i w:val="0"/>
                <w:color w:val="212121"/>
                <w:sz w:val="16"/>
              </w:rPr>
              <w:t>Natriuretic peptide assay</w:t>
            </w:r>
          </w:p>
        </w:tc>
        <w:tc>
          <w:tcPr>
            <w:tcW w:type="dxa" w:w="950"/>
            <w:vAlign w:val="top"/>
          </w:tcPr>
          <w:p>
            <w:pPr>
              <w:spacing w:after="40" w:before="0" w:line="259" w:lineRule="auto"/>
            </w:pPr>
            <w:r>
              <w:rPr>
                <w:rFonts w:ascii="Calibri" w:hAnsi="Calibri"/>
                <w:b w:val="0"/>
                <w:i w:val="0"/>
                <w:color w:val="212121"/>
                <w:sz w:val="16"/>
              </w:rPr>
              <w:t>NT-proBNP &lt; 125 pg/mL (non-acute); &lt; 300 pg/mL (acute)</w:t>
            </w:r>
          </w:p>
        </w:tc>
        <w:tc>
          <w:tcPr>
            <w:tcW w:type="dxa" w:w="950"/>
            <w:vAlign w:val="top"/>
          </w:tcPr>
          <w:p>
            <w:pPr>
              <w:spacing w:after="40" w:before="0" w:line="259" w:lineRule="auto"/>
            </w:pPr>
            <w:r>
              <w:rPr>
                <w:rFonts w:ascii="Calibri" w:hAnsi="Calibri"/>
                <w:b w:val="0"/>
                <w:i w:val="0"/>
                <w:color w:val="212121"/>
                <w:sz w:val="16"/>
              </w:rPr>
              <w:t>NT-proBNP ≥ 125 (chronic) or ≥ 300 pg/mL (acute); BNP ≥ 35 / ≥ 100 pg/mL</w:t>
            </w:r>
          </w:p>
        </w:tc>
        <w:tc>
          <w:tcPr>
            <w:tcW w:type="dxa" w:w="1036"/>
            <w:vAlign w:val="top"/>
          </w:tcPr>
          <w:p>
            <w:pPr>
              <w:spacing w:after="40" w:before="0" w:line="259" w:lineRule="auto"/>
            </w:pPr>
            <w:r>
              <w:rPr>
                <w:rFonts w:ascii="Calibri" w:hAnsi="Calibri"/>
                <w:b w:val="0"/>
                <w:i w:val="0"/>
                <w:color w:val="212121"/>
                <w:sz w:val="16"/>
              </w:rPr>
              <w:t>Rules HF in/out and grades congestion; higher levels track severity and prognosis</w:t>
            </w:r>
          </w:p>
        </w:tc>
        <w:tc>
          <w:tcPr>
            <w:tcW w:type="dxa" w:w="1036"/>
            <w:vAlign w:val="top"/>
          </w:tcPr>
          <w:p>
            <w:pPr>
              <w:spacing w:after="40" w:before="0" w:line="259" w:lineRule="auto"/>
            </w:pPr>
            <w:r>
              <w:rPr>
                <w:rFonts w:ascii="Calibri" w:hAnsi="Calibri"/>
                <w:b w:val="0"/>
                <w:i w:val="0"/>
                <w:color w:val="212121"/>
                <w:sz w:val="16"/>
              </w:rPr>
              <w:t>Breathless patients, suspected/known HF, monitoring</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Gold-standard rule-out</w:t>
            </w:r>
          </w:p>
        </w:tc>
        <w:tc>
          <w:tcPr>
            <w:tcW w:type="dxa" w:w="720"/>
            <w:vAlign w:val="top"/>
          </w:tcPr>
          <w:p>
            <w:pPr>
              <w:spacing w:after="40" w:before="0" w:line="259" w:lineRule="auto"/>
            </w:pPr>
            <w:r>
              <w:rPr>
                <w:rFonts w:ascii="Calibri" w:hAnsi="Calibri"/>
                <w:b w:val="0"/>
                <w:i w:val="0"/>
                <w:color w:val="212121"/>
                <w:sz w:val="16"/>
              </w:rPr>
              <w:t>Raised by age, AF, renal failure; lowered by obesity and ARNi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Left-ventricular ejection fraction &amp; structure</w:t>
            </w:r>
          </w:p>
        </w:tc>
        <w:tc>
          <w:tcPr>
            <w:tcW w:type="dxa" w:w="892"/>
            <w:vAlign w:val="top"/>
          </w:tcPr>
          <w:p>
            <w:pPr>
              <w:spacing w:after="40" w:before="0" w:line="259" w:lineRule="auto"/>
            </w:pPr>
            <w:r>
              <w:rPr>
                <w:rFonts w:ascii="Calibri" w:hAnsi="Calibri"/>
                <w:b w:val="0"/>
                <w:i w:val="0"/>
                <w:color w:val="212121"/>
                <w:sz w:val="16"/>
              </w:rPr>
              <w:t>Transthoracic echocardiography</w:t>
            </w:r>
          </w:p>
        </w:tc>
        <w:tc>
          <w:tcPr>
            <w:tcW w:type="dxa" w:w="950"/>
            <w:vAlign w:val="top"/>
          </w:tcPr>
          <w:p>
            <w:pPr>
              <w:spacing w:after="40" w:before="0" w:line="259" w:lineRule="auto"/>
            </w:pPr>
            <w:r>
              <w:rPr>
                <w:rFonts w:ascii="Calibri" w:hAnsi="Calibri"/>
                <w:b w:val="0"/>
                <w:i w:val="0"/>
                <w:color w:val="212121"/>
                <w:sz w:val="16"/>
              </w:rPr>
              <w:t>LVEF ≥ 50%; normal chambers/valves</w:t>
            </w:r>
          </w:p>
        </w:tc>
        <w:tc>
          <w:tcPr>
            <w:tcW w:type="dxa" w:w="950"/>
            <w:vAlign w:val="top"/>
          </w:tcPr>
          <w:p>
            <w:pPr>
              <w:spacing w:after="40" w:before="0" w:line="259" w:lineRule="auto"/>
            </w:pPr>
            <w:r>
              <w:rPr>
                <w:rFonts w:ascii="Calibri" w:hAnsi="Calibri"/>
                <w:b w:val="0"/>
                <w:i w:val="0"/>
                <w:color w:val="212121"/>
                <w:sz w:val="16"/>
              </w:rPr>
              <w:t>LVEF ≤ 40% (HFrEF), 41–49% (HFmrEF); LVH, dilatation, valve disease, diastolic dysfunction</w:t>
            </w:r>
          </w:p>
        </w:tc>
        <w:tc>
          <w:tcPr>
            <w:tcW w:type="dxa" w:w="1036"/>
            <w:vAlign w:val="top"/>
          </w:tcPr>
          <w:p>
            <w:pPr>
              <w:spacing w:after="40" w:before="0" w:line="259" w:lineRule="auto"/>
            </w:pPr>
            <w:r>
              <w:rPr>
                <w:rFonts w:ascii="Calibri" w:hAnsi="Calibri"/>
                <w:b w:val="0"/>
                <w:i w:val="0"/>
                <w:color w:val="212121"/>
                <w:sz w:val="16"/>
              </w:rPr>
              <w:t>Defines HF phenotype, cause and severity; central to management</w:t>
            </w:r>
          </w:p>
        </w:tc>
        <w:tc>
          <w:tcPr>
            <w:tcW w:type="dxa" w:w="1036"/>
            <w:vAlign w:val="top"/>
          </w:tcPr>
          <w:p>
            <w:pPr>
              <w:spacing w:after="40" w:before="0" w:line="259" w:lineRule="auto"/>
            </w:pPr>
            <w:r>
              <w:rPr>
                <w:rFonts w:ascii="Calibri" w:hAnsi="Calibri"/>
                <w:b w:val="0"/>
                <w:i w:val="0"/>
                <w:color w:val="212121"/>
                <w:sz w:val="16"/>
              </w:rPr>
              <w:t>All patients with suspected/confirmed HF</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Also assesses valves (rheumatic disease) and RV/pulmonary pressures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12-lead ECG</w:t>
            </w:r>
          </w:p>
        </w:tc>
        <w:tc>
          <w:tcPr>
            <w:tcW w:type="dxa" w:w="892"/>
            <w:vAlign w:val="top"/>
          </w:tcPr>
          <w:p>
            <w:pPr>
              <w:spacing w:after="40" w:before="0" w:line="259" w:lineRule="auto"/>
            </w:pPr>
            <w:r>
              <w:rPr>
                <w:rFonts w:ascii="Calibri" w:hAnsi="Calibri"/>
                <w:b w:val="0"/>
                <w:i w:val="0"/>
                <w:color w:val="212121"/>
                <w:sz w:val="16"/>
              </w:rPr>
              <w:t>Electrocardiogram</w:t>
            </w:r>
          </w:p>
        </w:tc>
        <w:tc>
          <w:tcPr>
            <w:tcW w:type="dxa" w:w="950"/>
            <w:vAlign w:val="top"/>
          </w:tcPr>
          <w:p>
            <w:pPr>
              <w:spacing w:after="40" w:before="0" w:line="259" w:lineRule="auto"/>
            </w:pPr>
            <w:r>
              <w:rPr>
                <w:rFonts w:ascii="Calibri" w:hAnsi="Calibri"/>
                <w:b w:val="0"/>
                <w:i w:val="0"/>
                <w:color w:val="212121"/>
                <w:sz w:val="16"/>
              </w:rPr>
              <w:t>Normal sinus rhythm, no significant abnormality</w:t>
            </w:r>
          </w:p>
        </w:tc>
        <w:tc>
          <w:tcPr>
            <w:tcW w:type="dxa" w:w="950"/>
            <w:vAlign w:val="top"/>
          </w:tcPr>
          <w:p>
            <w:pPr>
              <w:spacing w:after="40" w:before="0" w:line="259" w:lineRule="auto"/>
            </w:pPr>
            <w:r>
              <w:rPr>
                <w:rFonts w:ascii="Calibri" w:hAnsi="Calibri"/>
                <w:b w:val="0"/>
                <w:i w:val="0"/>
                <w:color w:val="212121"/>
                <w:sz w:val="16"/>
              </w:rPr>
              <w:t>Q waves/ischaemia, LVH, LBBB, atrial fibrillation, tachyarrhythmia</w:t>
            </w:r>
          </w:p>
        </w:tc>
        <w:tc>
          <w:tcPr>
            <w:tcW w:type="dxa" w:w="1036"/>
            <w:vAlign w:val="top"/>
          </w:tcPr>
          <w:p>
            <w:pPr>
              <w:spacing w:after="40" w:before="0" w:line="259" w:lineRule="auto"/>
            </w:pPr>
            <w:r>
              <w:rPr>
                <w:rFonts w:ascii="Calibri" w:hAnsi="Calibri"/>
                <w:b w:val="0"/>
                <w:i w:val="0"/>
                <w:color w:val="212121"/>
                <w:sz w:val="16"/>
              </w:rPr>
              <w:t>Suggests aetiology (ischaemia) and triggers (AF); wide QRS/LBBB guides CRT eligibility</w:t>
            </w:r>
          </w:p>
        </w:tc>
        <w:tc>
          <w:tcPr>
            <w:tcW w:type="dxa" w:w="1036"/>
            <w:vAlign w:val="top"/>
          </w:tcPr>
          <w:p>
            <w:pPr>
              <w:spacing w:after="40" w:before="0" w:line="259" w:lineRule="auto"/>
            </w:pPr>
            <w:r>
              <w:rPr>
                <w:rFonts w:ascii="Calibri" w:hAnsi="Calibri"/>
                <w:b w:val="0"/>
                <w:i w:val="0"/>
                <w:color w:val="212121"/>
                <w:sz w:val="16"/>
              </w:rPr>
              <w:t>All HF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 completely normal ECG makes HF unlikely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Chest radiograph</w:t>
            </w:r>
          </w:p>
        </w:tc>
        <w:tc>
          <w:tcPr>
            <w:tcW w:type="dxa" w:w="892"/>
            <w:vAlign w:val="top"/>
          </w:tcPr>
          <w:p>
            <w:pPr>
              <w:spacing w:after="40" w:before="0" w:line="259" w:lineRule="auto"/>
            </w:pPr>
            <w:r>
              <w:rPr>
                <w:rFonts w:ascii="Calibri" w:hAnsi="Calibri"/>
                <w:b w:val="0"/>
                <w:i w:val="0"/>
                <w:color w:val="212121"/>
                <w:sz w:val="16"/>
              </w:rPr>
              <w:t>Chest X-ray</w:t>
            </w:r>
          </w:p>
        </w:tc>
        <w:tc>
          <w:tcPr>
            <w:tcW w:type="dxa" w:w="950"/>
            <w:vAlign w:val="top"/>
          </w:tcPr>
          <w:p>
            <w:pPr>
              <w:spacing w:after="40" w:before="0" w:line="259" w:lineRule="auto"/>
            </w:pPr>
            <w:r>
              <w:rPr>
                <w:rFonts w:ascii="Calibri" w:hAnsi="Calibri"/>
                <w:b w:val="0"/>
                <w:i w:val="0"/>
                <w:color w:val="212121"/>
                <w:sz w:val="16"/>
              </w:rPr>
              <w:t>Normal cardiac silhouette and clear lung fields</w:t>
            </w:r>
          </w:p>
        </w:tc>
        <w:tc>
          <w:tcPr>
            <w:tcW w:type="dxa" w:w="950"/>
            <w:vAlign w:val="top"/>
          </w:tcPr>
          <w:p>
            <w:pPr>
              <w:spacing w:after="40" w:before="0" w:line="259" w:lineRule="auto"/>
            </w:pPr>
            <w:r>
              <w:rPr>
                <w:rFonts w:ascii="Calibri" w:hAnsi="Calibri"/>
                <w:b w:val="0"/>
                <w:i w:val="0"/>
                <w:color w:val="212121"/>
                <w:sz w:val="16"/>
              </w:rPr>
              <w:t>Cardiomegaly, upper-lobe diversion, Kerley B lines, pleural effusion, pulmonary oedema</w:t>
            </w:r>
          </w:p>
        </w:tc>
        <w:tc>
          <w:tcPr>
            <w:tcW w:type="dxa" w:w="1036"/>
            <w:vAlign w:val="top"/>
          </w:tcPr>
          <w:p>
            <w:pPr>
              <w:spacing w:after="40" w:before="0" w:line="259" w:lineRule="auto"/>
            </w:pPr>
            <w:r>
              <w:rPr>
                <w:rFonts w:ascii="Calibri" w:hAnsi="Calibri"/>
                <w:b w:val="0"/>
                <w:i w:val="0"/>
                <w:color w:val="212121"/>
                <w:sz w:val="16"/>
              </w:rPr>
              <w:t>Confirms congestion and excludes pulmonary causes of dyspnoea</w:t>
            </w:r>
          </w:p>
        </w:tc>
        <w:tc>
          <w:tcPr>
            <w:tcW w:type="dxa" w:w="1036"/>
            <w:vAlign w:val="top"/>
          </w:tcPr>
          <w:p>
            <w:pPr>
              <w:spacing w:after="40" w:before="0" w:line="259" w:lineRule="auto"/>
            </w:pPr>
            <w:r>
              <w:rPr>
                <w:rFonts w:ascii="Calibri" w:hAnsi="Calibri"/>
                <w:b w:val="0"/>
                <w:i w:val="0"/>
                <w:color w:val="212121"/>
                <w:sz w:val="16"/>
              </w:rPr>
              <w:t>Acute breathlessness, decompensated HF</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Cardiothoracic ratio &gt; 0.5 suggests cardiomegaly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Renal function &amp; electrolytes (urea, creatinine, eGFR, Na⁺, K⁺)</w:t>
            </w:r>
          </w:p>
        </w:tc>
        <w:tc>
          <w:tcPr>
            <w:tcW w:type="dxa" w:w="892"/>
            <w:vAlign w:val="top"/>
          </w:tcPr>
          <w:p>
            <w:pPr>
              <w:spacing w:after="40" w:before="0" w:line="259" w:lineRule="auto"/>
            </w:pPr>
            <w:r>
              <w:rPr>
                <w:rFonts w:ascii="Calibri" w:hAnsi="Calibri"/>
                <w:b w:val="0"/>
                <w:i w:val="0"/>
                <w:color w:val="212121"/>
                <w:sz w:val="16"/>
              </w:rPr>
              <w:t>Renal panel / electrolytes</w:t>
            </w:r>
          </w:p>
        </w:tc>
        <w:tc>
          <w:tcPr>
            <w:tcW w:type="dxa" w:w="950"/>
            <w:vAlign w:val="top"/>
          </w:tcPr>
          <w:p>
            <w:pPr>
              <w:spacing w:after="40" w:before="0" w:line="259" w:lineRule="auto"/>
            </w:pPr>
            <w:r>
              <w:rPr>
                <w:rFonts w:ascii="Calibri" w:hAnsi="Calibri"/>
                <w:b w:val="0"/>
                <w:i w:val="0"/>
                <w:color w:val="212121"/>
                <w:sz w:val="16"/>
              </w:rPr>
              <w:t>Normal creatinine/eGFR; Na⁺ 135–145, K⁺ 3.5–5.0 mmol/L</w:t>
            </w:r>
          </w:p>
        </w:tc>
        <w:tc>
          <w:tcPr>
            <w:tcW w:type="dxa" w:w="950"/>
            <w:vAlign w:val="top"/>
          </w:tcPr>
          <w:p>
            <w:pPr>
              <w:spacing w:after="40" w:before="0" w:line="259" w:lineRule="auto"/>
            </w:pPr>
            <w:r>
              <w:rPr>
                <w:rFonts w:ascii="Calibri" w:hAnsi="Calibri"/>
                <w:b w:val="0"/>
                <w:i w:val="0"/>
                <w:color w:val="212121"/>
                <w:sz w:val="16"/>
              </w:rPr>
              <w:t>Raised creatinine/low eGFR (cardiorenal), hyponatraemia, hyper/hypokalaemia</w:t>
            </w:r>
          </w:p>
        </w:tc>
        <w:tc>
          <w:tcPr>
            <w:tcW w:type="dxa" w:w="1036"/>
            <w:vAlign w:val="top"/>
          </w:tcPr>
          <w:p>
            <w:pPr>
              <w:spacing w:after="40" w:before="0" w:line="259" w:lineRule="auto"/>
            </w:pPr>
            <w:r>
              <w:rPr>
                <w:rFonts w:ascii="Calibri" w:hAnsi="Calibri"/>
                <w:b w:val="0"/>
                <w:i w:val="0"/>
                <w:color w:val="212121"/>
                <w:sz w:val="16"/>
              </w:rPr>
              <w:t>Detects cardiorenal syndrome and guides safe diuretic/RAAS-inhibitor dosing</w:t>
            </w:r>
          </w:p>
        </w:tc>
        <w:tc>
          <w:tcPr>
            <w:tcW w:type="dxa" w:w="1036"/>
            <w:vAlign w:val="top"/>
          </w:tcPr>
          <w:p>
            <w:pPr>
              <w:spacing w:after="40" w:before="0" w:line="259" w:lineRule="auto"/>
            </w:pPr>
            <w:r>
              <w:rPr>
                <w:rFonts w:ascii="Calibri" w:hAnsi="Calibri"/>
                <w:b w:val="0"/>
                <w:i w:val="0"/>
                <w:color w:val="212121"/>
                <w:sz w:val="16"/>
              </w:rPr>
              <w:t>All HF patients, cardiorenal, on diuretics/GDMT</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Essential monitoring</w:t>
            </w:r>
          </w:p>
        </w:tc>
        <w:tc>
          <w:tcPr>
            <w:tcW w:type="dxa" w:w="720"/>
            <w:vAlign w:val="top"/>
          </w:tcPr>
          <w:p>
            <w:pPr>
              <w:spacing w:after="40" w:before="0" w:line="259" w:lineRule="auto"/>
            </w:pPr>
            <w:r>
              <w:rPr>
                <w:rFonts w:ascii="Calibri" w:hAnsi="Calibri"/>
                <w:b w:val="0"/>
                <w:i w:val="0"/>
                <w:color w:val="212121"/>
                <w:sz w:val="16"/>
              </w:rPr>
              <w:t>Hyponatraemia and worsening renal function are adverse prognostic markers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Full blood count &amp; iron studies (ferritin, TSAT)</w:t>
            </w:r>
          </w:p>
        </w:tc>
        <w:tc>
          <w:tcPr>
            <w:tcW w:type="dxa" w:w="892"/>
            <w:vAlign w:val="top"/>
          </w:tcPr>
          <w:p>
            <w:pPr>
              <w:spacing w:after="40" w:before="0" w:line="259" w:lineRule="auto"/>
            </w:pPr>
            <w:r>
              <w:rPr>
                <w:rFonts w:ascii="Calibri" w:hAnsi="Calibri"/>
                <w:b w:val="0"/>
                <w:i w:val="0"/>
                <w:color w:val="212121"/>
                <w:sz w:val="16"/>
              </w:rPr>
              <w:t>CBC + iron profile</w:t>
            </w:r>
          </w:p>
        </w:tc>
        <w:tc>
          <w:tcPr>
            <w:tcW w:type="dxa" w:w="950"/>
            <w:vAlign w:val="top"/>
          </w:tcPr>
          <w:p>
            <w:pPr>
              <w:spacing w:after="40" w:before="0" w:line="259" w:lineRule="auto"/>
            </w:pPr>
            <w:r>
              <w:rPr>
                <w:rFonts w:ascii="Calibri" w:hAnsi="Calibri"/>
                <w:b w:val="0"/>
                <w:i w:val="0"/>
                <w:color w:val="212121"/>
                <w:sz w:val="16"/>
              </w:rPr>
              <w:t>Hb normal; ferritin ≥ 100 ng/mL or 100–299 with TSAT ≥ 20%</w:t>
            </w:r>
          </w:p>
        </w:tc>
        <w:tc>
          <w:tcPr>
            <w:tcW w:type="dxa" w:w="950"/>
            <w:vAlign w:val="top"/>
          </w:tcPr>
          <w:p>
            <w:pPr>
              <w:spacing w:after="40" w:before="0" w:line="259" w:lineRule="auto"/>
            </w:pPr>
            <w:r>
              <w:rPr>
                <w:rFonts w:ascii="Calibri" w:hAnsi="Calibri"/>
                <w:b w:val="0"/>
                <w:i w:val="0"/>
                <w:color w:val="212121"/>
                <w:sz w:val="16"/>
              </w:rPr>
              <w:t>Anaemia; ferritin &lt; 100 ng/mL, or 100–299 with TSAT &lt; 20% (iron deficiency)</w:t>
            </w:r>
          </w:p>
        </w:tc>
        <w:tc>
          <w:tcPr>
            <w:tcW w:type="dxa" w:w="1036"/>
            <w:vAlign w:val="top"/>
          </w:tcPr>
          <w:p>
            <w:pPr>
              <w:spacing w:after="40" w:before="0" w:line="259" w:lineRule="auto"/>
            </w:pPr>
            <w:r>
              <w:rPr>
                <w:rFonts w:ascii="Calibri" w:hAnsi="Calibri"/>
                <w:b w:val="0"/>
                <w:i w:val="0"/>
                <w:color w:val="212121"/>
                <w:sz w:val="16"/>
              </w:rPr>
              <w:t>Anaemia and iron deficiency worsen symptoms and prognosis; IV iron improves HFrEF symptoms</w:t>
            </w:r>
          </w:p>
        </w:tc>
        <w:tc>
          <w:tcPr>
            <w:tcW w:type="dxa" w:w="1036"/>
            <w:vAlign w:val="top"/>
          </w:tcPr>
          <w:p>
            <w:pPr>
              <w:spacing w:after="40" w:before="0" w:line="259" w:lineRule="auto"/>
            </w:pPr>
            <w:r>
              <w:rPr>
                <w:rFonts w:ascii="Calibri" w:hAnsi="Calibri"/>
                <w:b w:val="0"/>
                <w:i w:val="0"/>
                <w:color w:val="212121"/>
                <w:sz w:val="16"/>
              </w:rPr>
              <w:t>HFrEF, fatigued/cachectic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Recommended</w:t>
            </w:r>
          </w:p>
        </w:tc>
        <w:tc>
          <w:tcPr>
            <w:tcW w:type="dxa" w:w="720"/>
            <w:vAlign w:val="top"/>
          </w:tcPr>
          <w:p>
            <w:pPr>
              <w:spacing w:after="40" w:before="0" w:line="259" w:lineRule="auto"/>
            </w:pPr>
            <w:r>
              <w:rPr>
                <w:rFonts w:ascii="Calibri" w:hAnsi="Calibri"/>
                <w:b w:val="0"/>
                <w:i w:val="0"/>
                <w:color w:val="212121"/>
                <w:sz w:val="16"/>
              </w:rPr>
              <w:t>Iron deficiency affects up to ~66% of HF patients even without anaemia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Metabolic screen (HbA1c/glucose, TSH, lipids)</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HbA1c &lt; 5.7%; normal TSH; optimal lipids</w:t>
            </w:r>
          </w:p>
        </w:tc>
        <w:tc>
          <w:tcPr>
            <w:tcW w:type="dxa" w:w="950"/>
            <w:vAlign w:val="top"/>
          </w:tcPr>
          <w:p>
            <w:pPr>
              <w:spacing w:after="40" w:before="0" w:line="259" w:lineRule="auto"/>
            </w:pPr>
            <w:r>
              <w:rPr>
                <w:rFonts w:ascii="Calibri" w:hAnsi="Calibri"/>
                <w:b w:val="0"/>
                <w:i w:val="0"/>
                <w:color w:val="212121"/>
                <w:sz w:val="16"/>
              </w:rPr>
              <w:t>HbA1c ≥ 6.5% (diabetes); abnormal TSH (thyroid HF); high LDL</w:t>
            </w:r>
          </w:p>
        </w:tc>
        <w:tc>
          <w:tcPr>
            <w:tcW w:type="dxa" w:w="1036"/>
            <w:vAlign w:val="top"/>
          </w:tcPr>
          <w:p>
            <w:pPr>
              <w:spacing w:after="40" w:before="0" w:line="259" w:lineRule="auto"/>
            </w:pPr>
            <w:r>
              <w:rPr>
                <w:rFonts w:ascii="Calibri" w:hAnsi="Calibri"/>
                <w:b w:val="0"/>
                <w:i w:val="0"/>
                <w:color w:val="212121"/>
                <w:sz w:val="16"/>
              </w:rPr>
              <w:t>Identifies reversible/contributory causes and comorbidities (diabetes, thyroid, dyslipidaemia)</w:t>
            </w:r>
          </w:p>
        </w:tc>
        <w:tc>
          <w:tcPr>
            <w:tcW w:type="dxa" w:w="1036"/>
            <w:vAlign w:val="top"/>
          </w:tcPr>
          <w:p>
            <w:pPr>
              <w:spacing w:after="40" w:before="0" w:line="259" w:lineRule="auto"/>
            </w:pPr>
            <w:r>
              <w:rPr>
                <w:rFonts w:ascii="Calibri" w:hAnsi="Calibri"/>
                <w:b w:val="0"/>
                <w:i w:val="0"/>
                <w:color w:val="212121"/>
                <w:sz w:val="16"/>
              </w:rPr>
              <w:t>Newly diagnosed HF, diabetics, high-output HF</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Recommended</w:t>
            </w:r>
          </w:p>
        </w:tc>
        <w:tc>
          <w:tcPr>
            <w:tcW w:type="dxa" w:w="720"/>
            <w:vAlign w:val="top"/>
          </w:tcPr>
          <w:p>
            <w:pPr>
              <w:spacing w:after="40" w:before="0" w:line="259" w:lineRule="auto"/>
            </w:pPr>
            <w:r>
              <w:rPr>
                <w:rFonts w:ascii="Calibri" w:hAnsi="Calibri"/>
                <w:b w:val="0"/>
                <w:i w:val="0"/>
                <w:color w:val="212121"/>
                <w:sz w:val="16"/>
              </w:rPr>
              <w:t>Both hypo- and hyperthyroidism can precipitate HF</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Cardiac troponin</w:t>
            </w:r>
          </w:p>
        </w:tc>
        <w:tc>
          <w:tcPr>
            <w:tcW w:type="dxa" w:w="892"/>
            <w:vAlign w:val="top"/>
          </w:tcPr>
          <w:p>
            <w:pPr>
              <w:spacing w:after="40" w:before="0" w:line="259" w:lineRule="auto"/>
            </w:pPr>
            <w:r>
              <w:rPr>
                <w:rFonts w:ascii="Calibri" w:hAnsi="Calibri"/>
                <w:b w:val="0"/>
                <w:i w:val="0"/>
                <w:color w:val="212121"/>
                <w:sz w:val="16"/>
              </w:rPr>
              <w:t>High-sensitivity troponin</w:t>
            </w:r>
          </w:p>
        </w:tc>
        <w:tc>
          <w:tcPr>
            <w:tcW w:type="dxa" w:w="950"/>
            <w:vAlign w:val="top"/>
          </w:tcPr>
          <w:p>
            <w:pPr>
              <w:spacing w:after="40" w:before="0" w:line="259" w:lineRule="auto"/>
            </w:pPr>
            <w:r>
              <w:rPr>
                <w:rFonts w:ascii="Calibri" w:hAnsi="Calibri"/>
                <w:b w:val="0"/>
                <w:i w:val="0"/>
                <w:color w:val="212121"/>
                <w:sz w:val="16"/>
              </w:rPr>
              <w:t>Below 99th-percentile reference</w:t>
            </w:r>
          </w:p>
        </w:tc>
        <w:tc>
          <w:tcPr>
            <w:tcW w:type="dxa" w:w="950"/>
            <w:vAlign w:val="top"/>
          </w:tcPr>
          <w:p>
            <w:pPr>
              <w:spacing w:after="40" w:before="0" w:line="259" w:lineRule="auto"/>
            </w:pPr>
            <w:r>
              <w:rPr>
                <w:rFonts w:ascii="Calibri" w:hAnsi="Calibri"/>
                <w:b w:val="0"/>
                <w:i w:val="0"/>
                <w:color w:val="212121"/>
                <w:sz w:val="16"/>
              </w:rPr>
              <w:t>Elevated troponin</w:t>
            </w:r>
          </w:p>
        </w:tc>
        <w:tc>
          <w:tcPr>
            <w:tcW w:type="dxa" w:w="1036"/>
            <w:vAlign w:val="top"/>
          </w:tcPr>
          <w:p>
            <w:pPr>
              <w:spacing w:after="40" w:before="0" w:line="259" w:lineRule="auto"/>
            </w:pPr>
            <w:r>
              <w:rPr>
                <w:rFonts w:ascii="Calibri" w:hAnsi="Calibri"/>
                <w:b w:val="0"/>
                <w:i w:val="0"/>
                <w:color w:val="212121"/>
                <w:sz w:val="16"/>
              </w:rPr>
              <w:t>Detects acute myocardial injury/ischaemia as cause or complication of decompensation</w:t>
            </w:r>
          </w:p>
        </w:tc>
        <w:tc>
          <w:tcPr>
            <w:tcW w:type="dxa" w:w="1036"/>
            <w:vAlign w:val="top"/>
          </w:tcPr>
          <w:p>
            <w:pPr>
              <w:spacing w:after="40" w:before="0" w:line="259" w:lineRule="auto"/>
            </w:pPr>
            <w:r>
              <w:rPr>
                <w:rFonts w:ascii="Calibri" w:hAnsi="Calibri"/>
                <w:b w:val="0"/>
                <w:i w:val="0"/>
                <w:color w:val="212121"/>
                <w:sz w:val="16"/>
              </w:rPr>
              <w:t>Acute HF, suspected ischaemic aetiology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Situational</w:t>
            </w:r>
          </w:p>
        </w:tc>
        <w:tc>
          <w:tcPr>
            <w:tcW w:type="dxa" w:w="720"/>
            <w:vAlign w:val="top"/>
          </w:tcPr>
          <w:p>
            <w:pPr>
              <w:spacing w:after="40" w:before="0" w:line="259" w:lineRule="auto"/>
            </w:pPr>
            <w:r>
              <w:rPr>
                <w:rFonts w:ascii="Calibri" w:hAnsi="Calibri"/>
                <w:b w:val="0"/>
                <w:i w:val="0"/>
                <w:color w:val="212121"/>
                <w:sz w:val="16"/>
              </w:rPr>
              <w:t>Mild chronic elevation is common in HF and carries prognostic weight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Exertional dyspnoea, orthopnoea, PND, fatigue, ankle swelling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 graded by NYHA class</w:t>
            </w:r>
          </w:p>
        </w:tc>
        <w:tc>
          <w:tcPr>
            <w:tcW w:type="dxa" w:w="1036"/>
            <w:vAlign w:val="top"/>
          </w:tcPr>
          <w:p>
            <w:pPr>
              <w:spacing w:after="40" w:before="0" w:line="259" w:lineRule="auto"/>
            </w:pPr>
            <w:r>
              <w:rPr>
                <w:rFonts w:ascii="Calibri" w:hAnsi="Calibri"/>
                <w:b w:val="0"/>
                <w:i w:val="0"/>
                <w:color w:val="212121"/>
                <w:sz w:val="16"/>
              </w:rPr>
              <w:t>Cardinal symptoms of congestion and low output</w:t>
            </w:r>
          </w:p>
        </w:tc>
        <w:tc>
          <w:tcPr>
            <w:tcW w:type="dxa" w:w="1036"/>
            <w:vAlign w:val="top"/>
          </w:tcPr>
          <w:p>
            <w:pPr>
              <w:spacing w:after="40" w:before="0" w:line="259" w:lineRule="auto"/>
            </w:pPr>
            <w:r>
              <w:rPr>
                <w:rFonts w:ascii="Calibri" w:hAnsi="Calibri"/>
                <w:b w:val="0"/>
                <w:i w:val="0"/>
                <w:color w:val="212121"/>
                <w:sz w:val="16"/>
              </w:rPr>
              <w:t>All suspected HF patients</w:t>
            </w:r>
          </w:p>
        </w:tc>
        <w:tc>
          <w:tcPr>
            <w:tcW w:type="dxa" w:w="720"/>
            <w:vAlign w:val="top"/>
          </w:tcPr>
          <w:p>
            <w:pPr>
              <w:spacing w:after="40" w:before="0" w:line="259" w:lineRule="auto"/>
            </w:pPr>
            <w:r>
              <w:rPr>
                <w:rFonts w:ascii="Calibri" w:hAnsi="Calibri"/>
                <w:b w:val="0"/>
                <w:i w:val="0"/>
                <w:color w:val="212121"/>
                <w:sz w:val="16"/>
              </w:rPr>
              <w:t>Physical activity; 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Quantify limitation with NYHA class I–IV</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&amp; aetiology history</w:t>
            </w:r>
          </w:p>
        </w:tc>
        <w:tc>
          <w:tcPr>
            <w:tcW w:type="dxa" w:w="979"/>
            <w:vAlign w:val="top"/>
          </w:tcPr>
          <w:p>
            <w:pPr>
              <w:spacing w:after="40" w:before="0" w:line="259" w:lineRule="auto"/>
            </w:pPr>
            <w:r>
              <w:rPr>
                <w:rFonts w:ascii="Calibri" w:hAnsi="Calibri"/>
                <w:b w:val="0"/>
                <w:i w:val="0"/>
                <w:color w:val="212121"/>
                <w:sz w:val="16"/>
              </w:rPr>
              <w:t>Prior MI/angina, hypertension, diabetes, rheumatic fever, alcohol, family history</w:t>
            </w:r>
          </w:p>
        </w:tc>
        <w:tc>
          <w:tcPr>
            <w:tcW w:type="dxa" w:w="950"/>
            <w:vAlign w:val="top"/>
          </w:tcPr>
          <w:p>
            <w:pPr>
              <w:spacing w:after="40" w:before="0" w:line="259" w:lineRule="auto"/>
            </w:pPr>
            <w:r>
              <w:rPr>
                <w:rFonts w:ascii="Calibri" w:hAnsi="Calibri"/>
                <w:b w:val="0"/>
                <w:i w:val="0"/>
                <w:color w:val="212121"/>
                <w:sz w:val="16"/>
              </w:rPr>
              <w:t>No risk factors</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Points to underlying cause and reversible drivers</w:t>
            </w:r>
          </w:p>
        </w:tc>
        <w:tc>
          <w:tcPr>
            <w:tcW w:type="dxa" w:w="1036"/>
            <w:vAlign w:val="top"/>
          </w:tcPr>
          <w:p>
            <w:pPr>
              <w:spacing w:after="40" w:before="0" w:line="259" w:lineRule="auto"/>
            </w:pPr>
            <w:r>
              <w:rPr>
                <w:rFonts w:ascii="Calibri" w:hAnsi="Calibri"/>
                <w:b w:val="0"/>
                <w:i w:val="0"/>
                <w:color w:val="212121"/>
                <w:sz w:val="16"/>
              </w:rPr>
              <w:t>All HF patients</w:t>
            </w:r>
          </w:p>
        </w:tc>
        <w:tc>
          <w:tcPr>
            <w:tcW w:type="dxa" w:w="720"/>
            <w:vAlign w:val="top"/>
          </w:tcPr>
          <w:p>
            <w:pPr>
              <w:spacing w:after="40" w:before="0" w:line="259" w:lineRule="auto"/>
            </w:pPr>
            <w:r>
              <w:rPr>
                <w:rFonts w:ascii="Calibri" w:hAnsi="Calibri"/>
                <w:b w:val="0"/>
                <w:i w:val="0"/>
                <w:color w:val="212121"/>
                <w:sz w:val="16"/>
              </w:rPr>
              <w:t>Smoking; Alcohol;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Rheumatic fever/valve history is important in the Indian context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Congestion assessment</w:t>
            </w:r>
          </w:p>
        </w:tc>
        <w:tc>
          <w:tcPr>
            <w:tcW w:type="dxa" w:w="979"/>
            <w:vAlign w:val="top"/>
          </w:tcPr>
          <w:p>
            <w:pPr>
              <w:spacing w:after="40" w:before="0" w:line="259" w:lineRule="auto"/>
            </w:pPr>
            <w:r>
              <w:rPr>
                <w:rFonts w:ascii="Calibri" w:hAnsi="Calibri"/>
                <w:b w:val="0"/>
                <w:i w:val="0"/>
                <w:color w:val="212121"/>
                <w:sz w:val="16"/>
              </w:rPr>
              <w:t>Jugular venous pressure, hepatojugular reflux, peripheral oedema, ascites</w:t>
            </w:r>
          </w:p>
        </w:tc>
        <w:tc>
          <w:tcPr>
            <w:tcW w:type="dxa" w:w="950"/>
            <w:vAlign w:val="top"/>
          </w:tcPr>
          <w:p>
            <w:pPr>
              <w:spacing w:after="40" w:before="0" w:line="259" w:lineRule="auto"/>
            </w:pPr>
            <w:r>
              <w:rPr>
                <w:rFonts w:ascii="Calibri" w:hAnsi="Calibri"/>
                <w:b w:val="0"/>
                <w:i w:val="0"/>
                <w:color w:val="212121"/>
                <w:sz w:val="16"/>
              </w:rPr>
              <w:t>JVP not raised, no oedema</w:t>
            </w:r>
          </w:p>
        </w:tc>
        <w:tc>
          <w:tcPr>
            <w:tcW w:type="dxa" w:w="950"/>
            <w:vAlign w:val="top"/>
          </w:tcPr>
          <w:p>
            <w:pPr>
              <w:spacing w:after="40" w:before="0" w:line="259" w:lineRule="auto"/>
            </w:pPr>
            <w:r>
              <w:rPr>
                <w:rFonts w:ascii="Calibri" w:hAnsi="Calibri"/>
                <w:b w:val="0"/>
                <w:i w:val="0"/>
                <w:color w:val="212121"/>
                <w:sz w:val="16"/>
              </w:rPr>
              <w:t>Raised JVP, positive hepatojugular reflux, pitting oedema, ascites</w:t>
            </w:r>
          </w:p>
        </w:tc>
        <w:tc>
          <w:tcPr>
            <w:tcW w:type="dxa" w:w="1036"/>
            <w:vAlign w:val="top"/>
          </w:tcPr>
          <w:p>
            <w:pPr>
              <w:spacing w:after="40" w:before="0" w:line="259" w:lineRule="auto"/>
            </w:pPr>
            <w:r>
              <w:rPr>
                <w:rFonts w:ascii="Calibri" w:hAnsi="Calibri"/>
                <w:b w:val="0"/>
                <w:i w:val="0"/>
                <w:color w:val="212121"/>
                <w:sz w:val="16"/>
              </w:rPr>
              <w:t>Detects systemic venous congestion (right-sided/biventricular HF)</w:t>
            </w:r>
          </w:p>
        </w:tc>
        <w:tc>
          <w:tcPr>
            <w:tcW w:type="dxa" w:w="1036"/>
            <w:vAlign w:val="top"/>
          </w:tcPr>
          <w:p>
            <w:pPr>
              <w:spacing w:after="40" w:before="0" w:line="259" w:lineRule="auto"/>
            </w:pPr>
            <w:r>
              <w:rPr>
                <w:rFonts w:ascii="Calibri" w:hAnsi="Calibri"/>
                <w:b w:val="0"/>
                <w:i w:val="0"/>
                <w:color w:val="212121"/>
                <w:sz w:val="16"/>
              </w:rPr>
              <w:t>Decompensated/right-sided HF</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Bedside diagnosis</w:t>
            </w:r>
          </w:p>
        </w:tc>
        <w:tc>
          <w:tcPr>
            <w:tcW w:type="dxa" w:w="720"/>
            <w:vAlign w:val="top"/>
          </w:tcPr>
          <w:p>
            <w:pPr>
              <w:spacing w:after="40" w:before="0" w:line="259" w:lineRule="auto"/>
            </w:pPr>
            <w:r>
              <w:rPr>
                <w:rFonts w:ascii="Calibri" w:hAnsi="Calibri"/>
                <w:b w:val="0"/>
                <w:i w:val="0"/>
                <w:color w:val="212121"/>
                <w:sz w:val="16"/>
              </w:rPr>
              <w:t>JVP is one of the most reliable bedside signs of volume status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Cardiac &amp; respiratory auscultation</w:t>
            </w:r>
          </w:p>
        </w:tc>
        <w:tc>
          <w:tcPr>
            <w:tcW w:type="dxa" w:w="979"/>
            <w:vAlign w:val="top"/>
          </w:tcPr>
          <w:p>
            <w:pPr>
              <w:spacing w:after="40" w:before="0" w:line="259" w:lineRule="auto"/>
            </w:pPr>
            <w:r>
              <w:rPr>
                <w:rFonts w:ascii="Calibri" w:hAnsi="Calibri"/>
                <w:b w:val="0"/>
                <w:i w:val="0"/>
                <w:color w:val="212121"/>
                <w:sz w:val="16"/>
              </w:rPr>
              <w:t>Third heart sound (S3), displaced apex, murmurs, bibasal crackles</w:t>
            </w:r>
          </w:p>
        </w:tc>
        <w:tc>
          <w:tcPr>
            <w:tcW w:type="dxa" w:w="950"/>
            <w:vAlign w:val="top"/>
          </w:tcPr>
          <w:p>
            <w:pPr>
              <w:spacing w:after="40" w:before="0" w:line="259" w:lineRule="auto"/>
            </w:pPr>
            <w:r>
              <w:rPr>
                <w:rFonts w:ascii="Calibri" w:hAnsi="Calibri"/>
                <w:b w:val="0"/>
                <w:i w:val="0"/>
                <w:color w:val="212121"/>
                <w:sz w:val="16"/>
              </w:rPr>
              <w:t>Normal heart sounds, clear chest</w:t>
            </w:r>
          </w:p>
        </w:tc>
        <w:tc>
          <w:tcPr>
            <w:tcW w:type="dxa" w:w="950"/>
            <w:vAlign w:val="top"/>
          </w:tcPr>
          <w:p>
            <w:pPr>
              <w:spacing w:after="40" w:before="0" w:line="259" w:lineRule="auto"/>
            </w:pPr>
            <w:r>
              <w:rPr>
                <w:rFonts w:ascii="Calibri" w:hAnsi="Calibri"/>
                <w:b w:val="0"/>
                <w:i w:val="0"/>
                <w:color w:val="212121"/>
                <w:sz w:val="16"/>
              </w:rPr>
              <w:t>S3 gallop, displaced apex, valvular murmur, bibasal crackles</w:t>
            </w:r>
          </w:p>
        </w:tc>
        <w:tc>
          <w:tcPr>
            <w:tcW w:type="dxa" w:w="1036"/>
            <w:vAlign w:val="top"/>
          </w:tcPr>
          <w:p>
            <w:pPr>
              <w:spacing w:after="40" w:before="0" w:line="259" w:lineRule="auto"/>
            </w:pPr>
            <w:r>
              <w:rPr>
                <w:rFonts w:ascii="Calibri" w:hAnsi="Calibri"/>
                <w:b w:val="0"/>
                <w:i w:val="0"/>
                <w:color w:val="212121"/>
                <w:sz w:val="16"/>
              </w:rPr>
              <w:t>Signs of ventricular dysfunction, valve disease and pulmonary congestion</w:t>
            </w:r>
          </w:p>
        </w:tc>
        <w:tc>
          <w:tcPr>
            <w:tcW w:type="dxa" w:w="1036"/>
            <w:vAlign w:val="top"/>
          </w:tcPr>
          <w:p>
            <w:pPr>
              <w:spacing w:after="40" w:before="0" w:line="259" w:lineRule="auto"/>
            </w:pPr>
            <w:r>
              <w:rPr>
                <w:rFonts w:ascii="Calibri" w:hAnsi="Calibri"/>
                <w:b w:val="0"/>
                <w:i w:val="0"/>
                <w:color w:val="212121"/>
                <w:sz w:val="16"/>
              </w:rPr>
              <w:t>All HF patients, valvular/rheumatic HF</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Bedside diagnosis</w:t>
            </w:r>
          </w:p>
        </w:tc>
        <w:tc>
          <w:tcPr>
            <w:tcW w:type="dxa" w:w="720"/>
            <w:vAlign w:val="top"/>
          </w:tcPr>
          <w:p>
            <w:pPr>
              <w:spacing w:after="40" w:before="0" w:line="259" w:lineRule="auto"/>
            </w:pPr>
            <w:r>
              <w:rPr>
                <w:rFonts w:ascii="Calibri" w:hAnsi="Calibri"/>
                <w:b w:val="0"/>
                <w:i w:val="0"/>
                <w:color w:val="212121"/>
                <w:sz w:val="16"/>
              </w:rPr>
              <w:t>An S3 gallop is fairly specific for raised filling pressures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Functional assessment</w:t>
            </w:r>
          </w:p>
        </w:tc>
        <w:tc>
          <w:tcPr>
            <w:tcW w:type="dxa" w:w="950"/>
            <w:vAlign w:val="top"/>
          </w:tcPr>
          <w:p>
            <w:pPr>
              <w:spacing w:after="40" w:before="0" w:line="259" w:lineRule="auto"/>
            </w:pPr>
            <w:r>
              <w:rPr>
                <w:rFonts w:ascii="Calibri" w:hAnsi="Calibri"/>
                <w:b w:val="0"/>
                <w:i w:val="0"/>
                <w:color w:val="212121"/>
                <w:sz w:val="16"/>
              </w:rPr>
              <w:t>Functional capacity &amp; vitals</w:t>
            </w:r>
          </w:p>
        </w:tc>
        <w:tc>
          <w:tcPr>
            <w:tcW w:type="dxa" w:w="979"/>
            <w:vAlign w:val="top"/>
          </w:tcPr>
          <w:p>
            <w:pPr>
              <w:spacing w:after="40" w:before="0" w:line="259" w:lineRule="auto"/>
            </w:pPr>
            <w:r>
              <w:rPr>
                <w:rFonts w:ascii="Calibri" w:hAnsi="Calibri"/>
                <w:b w:val="0"/>
                <w:i w:val="0"/>
                <w:color w:val="212121"/>
                <w:sz w:val="16"/>
              </w:rPr>
              <w:t>NYHA class, heart rate, BP, SpO₂, 6-minute walk</w:t>
            </w:r>
          </w:p>
        </w:tc>
        <w:tc>
          <w:tcPr>
            <w:tcW w:type="dxa" w:w="950"/>
            <w:vAlign w:val="top"/>
          </w:tcPr>
          <w:p>
            <w:pPr>
              <w:spacing w:after="40" w:before="0" w:line="259" w:lineRule="auto"/>
            </w:pPr>
            <w:r>
              <w:rPr>
                <w:rFonts w:ascii="Calibri" w:hAnsi="Calibri"/>
                <w:b w:val="0"/>
                <w:i w:val="0"/>
                <w:color w:val="212121"/>
                <w:sz w:val="16"/>
              </w:rPr>
              <w:t>NYHA I, normal vitals</w:t>
            </w:r>
          </w:p>
        </w:tc>
        <w:tc>
          <w:tcPr>
            <w:tcW w:type="dxa" w:w="950"/>
            <w:vAlign w:val="top"/>
          </w:tcPr>
          <w:p>
            <w:pPr>
              <w:spacing w:after="40" w:before="0" w:line="259" w:lineRule="auto"/>
            </w:pPr>
            <w:r>
              <w:rPr>
                <w:rFonts w:ascii="Calibri" w:hAnsi="Calibri"/>
                <w:b w:val="0"/>
                <w:i w:val="0"/>
                <w:color w:val="212121"/>
                <w:sz w:val="16"/>
              </w:rPr>
              <w:t>NYHA II–IV, tachycardia, hypo/hypertension, hypoxia, reduced walk distance</w:t>
            </w:r>
          </w:p>
        </w:tc>
        <w:tc>
          <w:tcPr>
            <w:tcW w:type="dxa" w:w="1036"/>
            <w:vAlign w:val="top"/>
          </w:tcPr>
          <w:p>
            <w:pPr>
              <w:spacing w:after="40" w:before="0" w:line="259" w:lineRule="auto"/>
            </w:pPr>
            <w:r>
              <w:rPr>
                <w:rFonts w:ascii="Calibri" w:hAnsi="Calibri"/>
                <w:b w:val="0"/>
                <w:i w:val="0"/>
                <w:color w:val="212121"/>
                <w:sz w:val="16"/>
              </w:rPr>
              <w:t>Grades severity and monitors response to therapy</w:t>
            </w:r>
          </w:p>
        </w:tc>
        <w:tc>
          <w:tcPr>
            <w:tcW w:type="dxa" w:w="1036"/>
            <w:vAlign w:val="top"/>
          </w:tcPr>
          <w:p>
            <w:pPr>
              <w:spacing w:after="40" w:before="0" w:line="259" w:lineRule="auto"/>
            </w:pPr>
            <w:r>
              <w:rPr>
                <w:rFonts w:ascii="Calibri" w:hAnsi="Calibri"/>
                <w:b w:val="0"/>
                <w:i w:val="0"/>
                <w:color w:val="212121"/>
                <w:sz w:val="16"/>
              </w:rPr>
              <w:t>All HF patients, rehabilitation candidates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Serial NYHA class and walk distance track deterioration or recovery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w:t>
            </w:r>
          </w:p>
        </w:tc>
        <w:tc>
          <w:tcPr>
            <w:tcW w:type="dxa" w:w="950"/>
            <w:vAlign w:val="top"/>
          </w:tcPr>
          <w:p>
            <w:pPr>
              <w:spacing w:after="40" w:before="0" w:line="259" w:lineRule="auto"/>
            </w:pPr>
            <w:r>
              <w:rPr>
                <w:rFonts w:ascii="Calibri" w:hAnsi="Calibri"/>
                <w:b w:val="0"/>
                <w:i w:val="0"/>
                <w:color w:val="212121"/>
                <w:sz w:val="16"/>
              </w:rPr>
              <w:t>Psychosocial &amp; self-care screen</w:t>
            </w:r>
          </w:p>
        </w:tc>
        <w:tc>
          <w:tcPr>
            <w:tcW w:type="dxa" w:w="979"/>
            <w:vAlign w:val="top"/>
          </w:tcPr>
          <w:p>
            <w:pPr>
              <w:spacing w:after="40" w:before="0" w:line="259" w:lineRule="auto"/>
            </w:pPr>
            <w:r>
              <w:rPr>
                <w:rFonts w:ascii="Calibri" w:hAnsi="Calibri"/>
                <w:b w:val="0"/>
                <w:i w:val="0"/>
                <w:color w:val="212121"/>
                <w:sz w:val="16"/>
              </w:rPr>
              <w:t>Mood (PHQ-9), medication adherence, salt/fluid habits, sleep/snoring</w:t>
            </w:r>
          </w:p>
        </w:tc>
        <w:tc>
          <w:tcPr>
            <w:tcW w:type="dxa" w:w="950"/>
            <w:vAlign w:val="top"/>
          </w:tcPr>
          <w:p>
            <w:pPr>
              <w:spacing w:after="40" w:before="0" w:line="259" w:lineRule="auto"/>
            </w:pPr>
            <w:r>
              <w:rPr>
                <w:rFonts w:ascii="Calibri" w:hAnsi="Calibri"/>
                <w:b w:val="0"/>
                <w:i w:val="0"/>
                <w:color w:val="212121"/>
                <w:sz w:val="16"/>
              </w:rPr>
              <w:t>Good adherence, no depression</w:t>
            </w:r>
          </w:p>
        </w:tc>
        <w:tc>
          <w:tcPr>
            <w:tcW w:type="dxa" w:w="950"/>
            <w:vAlign w:val="top"/>
          </w:tcPr>
          <w:p>
            <w:pPr>
              <w:spacing w:after="40" w:before="0" w:line="259" w:lineRule="auto"/>
            </w:pPr>
            <w:r>
              <w:rPr>
                <w:rFonts w:ascii="Calibri" w:hAnsi="Calibri"/>
                <w:b w:val="0"/>
                <w:i w:val="0"/>
                <w:color w:val="212121"/>
                <w:sz w:val="16"/>
              </w:rPr>
              <w:t>Depression, poor adherence, dietary indiscretion, sleep apnoea symptoms</w:t>
            </w:r>
          </w:p>
        </w:tc>
        <w:tc>
          <w:tcPr>
            <w:tcW w:type="dxa" w:w="1036"/>
            <w:vAlign w:val="top"/>
          </w:tcPr>
          <w:p>
            <w:pPr>
              <w:spacing w:after="40" w:before="0" w:line="259" w:lineRule="auto"/>
            </w:pPr>
            <w:r>
              <w:rPr>
                <w:rFonts w:ascii="Calibri" w:hAnsi="Calibri"/>
                <w:b w:val="0"/>
                <w:i w:val="0"/>
                <w:color w:val="212121"/>
                <w:sz w:val="16"/>
              </w:rPr>
              <w:t>Identifies modifiable drivers of readmission and poor outcomes</w:t>
            </w:r>
          </w:p>
        </w:tc>
        <w:tc>
          <w:tcPr>
            <w:tcW w:type="dxa" w:w="1036"/>
            <w:vAlign w:val="top"/>
          </w:tcPr>
          <w:p>
            <w:pPr>
              <w:spacing w:after="40" w:before="0" w:line="259" w:lineRule="auto"/>
            </w:pPr>
            <w:r>
              <w:rPr>
                <w:rFonts w:ascii="Calibri" w:hAnsi="Calibri"/>
                <w:b w:val="0"/>
                <w:i w:val="0"/>
                <w:color w:val="212121"/>
                <w:sz w:val="16"/>
              </w:rPr>
              <w:t>Chronic HF, frequent readmitters</w:t>
            </w:r>
          </w:p>
        </w:tc>
        <w:tc>
          <w:tcPr>
            <w:tcW w:type="dxa" w:w="720"/>
            <w:vAlign w:val="top"/>
          </w:tcPr>
          <w:p>
            <w:pPr>
              <w:spacing w:after="40" w:before="0" w:line="259" w:lineRule="auto"/>
            </w:pPr>
            <w:r>
              <w:rPr>
                <w:rFonts w:ascii="Calibri" w:hAnsi="Calibri"/>
                <w:b w:val="0"/>
                <w:i w:val="0"/>
                <w:color w:val="212121"/>
                <w:sz w:val="16"/>
              </w:rPr>
              <w:t>Mental health; Sleep; Food</w:t>
            </w:r>
          </w:p>
        </w:tc>
        <w:tc>
          <w:tcPr>
            <w:tcW w:type="dxa" w:w="720"/>
            <w:vAlign w:val="top"/>
          </w:tcPr>
          <w:p>
            <w:pPr>
              <w:spacing w:after="40" w:before="0" w:line="259" w:lineRule="auto"/>
            </w:pPr>
            <w:r>
              <w:rPr>
                <w:rFonts w:ascii="Calibri" w:hAnsi="Calibri"/>
                <w:b w:val="0"/>
                <w:i w:val="0"/>
                <w:color w:val="212121"/>
                <w:sz w:val="16"/>
              </w:rPr>
              <w:t>Recommended</w:t>
            </w:r>
          </w:p>
        </w:tc>
        <w:tc>
          <w:tcPr>
            <w:tcW w:type="dxa" w:w="720"/>
            <w:vAlign w:val="top"/>
          </w:tcPr>
          <w:p>
            <w:pPr>
              <w:spacing w:after="40" w:before="0" w:line="259" w:lineRule="auto"/>
            </w:pPr>
            <w:r>
              <w:rPr>
                <w:rFonts w:ascii="Calibri" w:hAnsi="Calibri"/>
                <w:b w:val="0"/>
                <w:i w:val="0"/>
                <w:color w:val="212121"/>
                <w:sz w:val="16"/>
              </w:rPr>
              <w:t>Depression affects roughly half of HF patients in LMICs and predicts readmission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Exertional dyspnoea (breathlessness)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Breathlessness on exertion from pulmonary congestion and reduced cardiac output; the earliest and commonest symptom.</w:t>
            </w:r>
          </w:p>
        </w:tc>
      </w:tr>
      <w:tr>
        <w:trPr>
          <w:cantSplit/>
        </w:trPr>
        <w:tc>
          <w:tcPr>
            <w:tcW w:type="dxa" w:w="2304"/>
            <w:vAlign w:val="top"/>
          </w:tcPr>
          <w:p>
            <w:pPr>
              <w:spacing w:after="40" w:before="0" w:line="259" w:lineRule="auto"/>
            </w:pPr>
            <w:r>
              <w:rPr>
                <w:rFonts w:ascii="Calibri" w:hAnsi="Calibri"/>
                <w:b/>
                <w:i w:val="0"/>
                <w:color w:val="212121"/>
                <w:sz w:val="19"/>
              </w:rPr>
              <w:t>Orthopnoea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Breathlessness on lying flat, relieved by sitting up or propping on pillows; reflects redistribution of fluid to the lungs.</w:t>
            </w:r>
          </w:p>
        </w:tc>
      </w:tr>
      <w:tr>
        <w:trPr>
          <w:cantSplit/>
        </w:trPr>
        <w:tc>
          <w:tcPr>
            <w:tcW w:type="dxa" w:w="2304"/>
            <w:vAlign w:val="top"/>
          </w:tcPr>
          <w:p>
            <w:pPr>
              <w:spacing w:after="40" w:before="0" w:line="259" w:lineRule="auto"/>
            </w:pPr>
            <w:r>
              <w:rPr>
                <w:rFonts w:ascii="Calibri" w:hAnsi="Calibri"/>
                <w:b/>
                <w:i w:val="0"/>
                <w:color w:val="212121"/>
                <w:sz w:val="19"/>
              </w:rPr>
              <w:t>Paroxysmal nocturnal dyspnoea (PND)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waking breathless a few hours into sleep, relieved by sitting/standing — fairly specific for HF.</w:t>
            </w:r>
          </w:p>
        </w:tc>
      </w:tr>
      <w:tr>
        <w:trPr>
          <w:cantSplit/>
        </w:trPr>
        <w:tc>
          <w:tcPr>
            <w:tcW w:type="dxa" w:w="2304"/>
            <w:vAlign w:val="top"/>
          </w:tcPr>
          <w:p>
            <w:pPr>
              <w:spacing w:after="40" w:before="0" w:line="259" w:lineRule="auto"/>
            </w:pPr>
            <w:r>
              <w:rPr>
                <w:rFonts w:ascii="Calibri" w:hAnsi="Calibri"/>
                <w:b/>
                <w:i w:val="0"/>
                <w:color w:val="212121"/>
                <w:sz w:val="19"/>
              </w:rPr>
              <w:t>Fatigue and exercise intolerance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energy and reduced effort tolerance from inadequate perfusion of skeletal muscle.</w:t>
            </w:r>
          </w:p>
        </w:tc>
      </w:tr>
      <w:tr>
        <w:trPr>
          <w:cantSplit/>
        </w:trPr>
        <w:tc>
          <w:tcPr>
            <w:tcW w:type="dxa" w:w="2304"/>
            <w:vAlign w:val="top"/>
          </w:tcPr>
          <w:p>
            <w:pPr>
              <w:spacing w:after="40" w:before="0" w:line="259" w:lineRule="auto"/>
            </w:pPr>
            <w:r>
              <w:rPr>
                <w:rFonts w:ascii="Calibri" w:hAnsi="Calibri"/>
                <w:b/>
                <w:i w:val="0"/>
                <w:color w:val="212121"/>
                <w:sz w:val="19"/>
              </w:rPr>
              <w:t>Ankle / leg swelling (peripheral oedema)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Bilateral dependent pitting oedema from systemic venous congestion (right-sided HF).</w:t>
            </w:r>
          </w:p>
        </w:tc>
      </w:tr>
      <w:tr>
        <w:trPr>
          <w:cantSplit/>
        </w:trPr>
        <w:tc>
          <w:tcPr>
            <w:tcW w:type="dxa" w:w="2304"/>
            <w:vAlign w:val="top"/>
          </w:tcPr>
          <w:p>
            <w:pPr>
              <w:spacing w:after="40" w:before="0" w:line="259" w:lineRule="auto"/>
            </w:pPr>
            <w:r>
              <w:rPr>
                <w:rFonts w:ascii="Calibri" w:hAnsi="Calibri"/>
                <w:b/>
                <w:i w:val="0"/>
                <w:color w:val="212121"/>
                <w:sz w:val="19"/>
              </w:rPr>
              <w:t>Reduced exercise capacity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limitation of everyday activity, graded by NYHA class.</w:t>
            </w:r>
          </w:p>
        </w:tc>
      </w:tr>
      <w:tr>
        <w:trPr>
          <w:cantSplit/>
        </w:trPr>
        <w:tc>
          <w:tcPr>
            <w:tcW w:type="dxa" w:w="2304"/>
            <w:vAlign w:val="top"/>
          </w:tcPr>
          <w:p>
            <w:pPr>
              <w:spacing w:after="40" w:before="0" w:line="259" w:lineRule="auto"/>
            </w:pPr>
            <w:r>
              <w:rPr>
                <w:rFonts w:ascii="Calibri" w:hAnsi="Calibri"/>
                <w:b/>
                <w:i w:val="0"/>
                <w:color w:val="212121"/>
                <w:sz w:val="19"/>
              </w:rPr>
              <w:t>Weight gain (fluid)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Rapid gain over days from fluid retention, often preceding overt decompensation.</w:t>
            </w:r>
          </w:p>
        </w:tc>
      </w:tr>
      <w:tr>
        <w:trPr>
          <w:cantSplit/>
        </w:trPr>
        <w:tc>
          <w:tcPr>
            <w:tcW w:type="dxa" w:w="2304"/>
            <w:vAlign w:val="top"/>
          </w:tcPr>
          <w:p>
            <w:pPr>
              <w:spacing w:after="40" w:before="0" w:line="259" w:lineRule="auto"/>
            </w:pPr>
            <w:r>
              <w:rPr>
                <w:rFonts w:ascii="Calibri" w:hAnsi="Calibri"/>
                <w:b/>
                <w:i w:val="0"/>
                <w:color w:val="212121"/>
                <w:sz w:val="19"/>
              </w:rPr>
              <w:t>Nocturia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Night-time urination as recumbency mobilises daytime peripheral oedema.</w:t>
            </w:r>
          </w:p>
        </w:tc>
      </w:tr>
      <w:tr>
        <w:trPr>
          <w:cantSplit/>
        </w:trPr>
        <w:tc>
          <w:tcPr>
            <w:tcW w:type="dxa" w:w="2304"/>
            <w:vAlign w:val="top"/>
          </w:tcPr>
          <w:p>
            <w:pPr>
              <w:spacing w:after="40" w:before="0" w:line="259" w:lineRule="auto"/>
            </w:pPr>
            <w:r>
              <w:rPr>
                <w:rFonts w:ascii="Calibri" w:hAnsi="Calibri"/>
                <w:b/>
                <w:i w:val="0"/>
                <w:color w:val="212121"/>
                <w:sz w:val="19"/>
              </w:rPr>
              <w:t>Abdominal bloating / early satiety / right upper-quadrant discomfort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hepatic congestion, ascites and gut oedema in right-sided/biventricular HF.</w:t>
            </w:r>
          </w:p>
        </w:tc>
      </w:tr>
      <w:tr>
        <w:trPr>
          <w:cantSplit/>
        </w:trPr>
        <w:tc>
          <w:tcPr>
            <w:tcW w:type="dxa" w:w="2304"/>
            <w:vAlign w:val="top"/>
          </w:tcPr>
          <w:p>
            <w:pPr>
              <w:spacing w:after="40" w:before="0" w:line="259" w:lineRule="auto"/>
            </w:pPr>
            <w:r>
              <w:rPr>
                <w:rFonts w:ascii="Calibri" w:hAnsi="Calibri"/>
                <w:b/>
                <w:i w:val="0"/>
                <w:color w:val="212121"/>
                <w:sz w:val="19"/>
              </w:rPr>
              <w:t>Cough / wheeze (‘cardiac asthma’)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Dry cough or wheeze, often nocturnal, from pulmonary congestion — may mimic asthma.</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Awareness of irregular or rapid heartbeat, frequently from atrial fibrillation or ectopy.</w:t>
            </w:r>
          </w:p>
        </w:tc>
      </w:tr>
      <w:tr>
        <w:trPr>
          <w:cantSplit/>
        </w:trPr>
        <w:tc>
          <w:tcPr>
            <w:tcW w:type="dxa" w:w="2304"/>
            <w:vAlign w:val="top"/>
          </w:tcPr>
          <w:p>
            <w:pPr>
              <w:spacing w:after="40" w:before="0" w:line="259" w:lineRule="auto"/>
            </w:pPr>
            <w:r>
              <w:rPr>
                <w:rFonts w:ascii="Calibri" w:hAnsi="Calibri"/>
                <w:b/>
                <w:i w:val="0"/>
                <w:color w:val="212121"/>
                <w:sz w:val="19"/>
              </w:rPr>
              <w:t>Dizziness / presyncope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Light-headedness from low output, arrhythmia, hypotension or over-diuresis.</w:t>
            </w:r>
          </w:p>
        </w:tc>
      </w:tr>
      <w:tr>
        <w:trPr>
          <w:cantSplit/>
        </w:trPr>
        <w:tc>
          <w:tcPr>
            <w:tcW w:type="dxa" w:w="2304"/>
            <w:vAlign w:val="top"/>
          </w:tcPr>
          <w:p>
            <w:pPr>
              <w:spacing w:after="40" w:before="0" w:line="259" w:lineRule="auto"/>
            </w:pPr>
            <w:r>
              <w:rPr>
                <w:rFonts w:ascii="Calibri" w:hAnsi="Calibri"/>
                <w:b/>
                <w:i w:val="0"/>
                <w:color w:val="212121"/>
                <w:sz w:val="19"/>
              </w:rPr>
              <w:t>Confusion / impaired cognition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Reduced cerebral perfusion in advanced or acute low-output HF, especially in the elderly.</w:t>
            </w:r>
          </w:p>
        </w:tc>
      </w:tr>
      <w:tr>
        <w:trPr>
          <w:cantSplit/>
        </w:trPr>
        <w:tc>
          <w:tcPr>
            <w:tcW w:type="dxa" w:w="2304"/>
            <w:vAlign w:val="top"/>
          </w:tcPr>
          <w:p>
            <w:pPr>
              <w:spacing w:after="40" w:before="0" w:line="259" w:lineRule="auto"/>
            </w:pPr>
            <w:r>
              <w:rPr>
                <w:rFonts w:ascii="Calibri" w:hAnsi="Calibri"/>
                <w:b/>
                <w:i w:val="0"/>
                <w:color w:val="212121"/>
                <w:sz w:val="19"/>
              </w:rPr>
              <w:t>Anorexia and weight loss (cardiac cachexia)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Muscle and fat wasting in advanced HF, a marker of poor prognosis.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Elevated jugular venous pressure (JVP)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Raised JVP indicates systemic venous congestion and elevated right-heart filling pressure.</w:t>
            </w:r>
          </w:p>
        </w:tc>
      </w:tr>
      <w:tr>
        <w:trPr>
          <w:cantSplit/>
        </w:trPr>
        <w:tc>
          <w:tcPr>
            <w:tcW w:type="dxa" w:w="3456"/>
            <w:vAlign w:val="top"/>
          </w:tcPr>
          <w:p>
            <w:pPr>
              <w:spacing w:after="40" w:before="0" w:line="259" w:lineRule="auto"/>
            </w:pPr>
            <w:r>
              <w:rPr>
                <w:rFonts w:ascii="Calibri" w:hAnsi="Calibri"/>
                <w:b/>
                <w:i w:val="0"/>
                <w:color w:val="212121"/>
                <w:sz w:val="19"/>
              </w:rPr>
              <w:t>Bibasal fine crackles (crepitations)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Inspiratory crackles at the lung bases from pulmonary congestion/oedema.</w:t>
            </w:r>
          </w:p>
        </w:tc>
      </w:tr>
      <w:tr>
        <w:trPr>
          <w:cantSplit/>
        </w:trPr>
        <w:tc>
          <w:tcPr>
            <w:tcW w:type="dxa" w:w="3456"/>
            <w:vAlign w:val="top"/>
          </w:tcPr>
          <w:p>
            <w:pPr>
              <w:spacing w:after="40" w:before="0" w:line="259" w:lineRule="auto"/>
            </w:pPr>
            <w:r>
              <w:rPr>
                <w:rFonts w:ascii="Calibri" w:hAnsi="Calibri"/>
                <w:b/>
                <w:i w:val="0"/>
                <w:color w:val="212121"/>
                <w:sz w:val="19"/>
              </w:rPr>
              <w:t>Peripheral pitting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Bilateral ankle/leg (or sacral) oedema; may extend to anasarca in severe HF.</w:t>
            </w:r>
          </w:p>
        </w:tc>
      </w:tr>
      <w:tr>
        <w:trPr>
          <w:cantSplit/>
        </w:trPr>
        <w:tc>
          <w:tcPr>
            <w:tcW w:type="dxa" w:w="3456"/>
            <w:vAlign w:val="top"/>
          </w:tcPr>
          <w:p>
            <w:pPr>
              <w:spacing w:after="40" w:before="0" w:line="259" w:lineRule="auto"/>
            </w:pPr>
            <w:r>
              <w:rPr>
                <w:rFonts w:ascii="Calibri" w:hAnsi="Calibri"/>
                <w:b/>
                <w:i w:val="0"/>
                <w:color w:val="212121"/>
                <w:sz w:val="19"/>
              </w:rPr>
              <w:t>Third heart sound (S3 gallop)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Low-pitched early-diastolic sound of rapid ventricular filling; fairly specific for raised filling pressures.</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Compensatory sinus tachycardia, or a rapid ventricular response in atrial fibrillation.</w:t>
            </w:r>
          </w:p>
        </w:tc>
      </w:tr>
      <w:tr>
        <w:trPr>
          <w:cantSplit/>
        </w:trPr>
        <w:tc>
          <w:tcPr>
            <w:tcW w:type="dxa" w:w="3456"/>
            <w:vAlign w:val="top"/>
          </w:tcPr>
          <w:p>
            <w:pPr>
              <w:spacing w:after="40" w:before="0" w:line="259" w:lineRule="auto"/>
            </w:pPr>
            <w:r>
              <w:rPr>
                <w:rFonts w:ascii="Calibri" w:hAnsi="Calibri"/>
                <w:b/>
                <w:i w:val="0"/>
                <w:color w:val="212121"/>
                <w:sz w:val="19"/>
              </w:rPr>
              <w:t>Displaced / heaving apex beat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Laterally displaced apex indicates left-ventricular dilatation or hypertrophy.</w:t>
            </w:r>
          </w:p>
        </w:tc>
      </w:tr>
      <w:tr>
        <w:trPr>
          <w:cantSplit/>
        </w:trPr>
        <w:tc>
          <w:tcPr>
            <w:tcW w:type="dxa" w:w="3456"/>
            <w:vAlign w:val="top"/>
          </w:tcPr>
          <w:p>
            <w:pPr>
              <w:spacing w:after="40" w:before="0" w:line="259" w:lineRule="auto"/>
            </w:pPr>
            <w:r>
              <w:rPr>
                <w:rFonts w:ascii="Calibri" w:hAnsi="Calibri"/>
                <w:b/>
                <w:i w:val="0"/>
                <w:color w:val="212121"/>
                <w:sz w:val="19"/>
              </w:rPr>
              <w:t>Hepatojugular reflux</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Sustained rise in JVP on abdominal pressure — a sensitive sign of right-heart congestion.</w:t>
            </w:r>
          </w:p>
        </w:tc>
      </w:tr>
      <w:tr>
        <w:trPr>
          <w:cantSplit/>
        </w:trPr>
        <w:tc>
          <w:tcPr>
            <w:tcW w:type="dxa" w:w="3456"/>
            <w:vAlign w:val="top"/>
          </w:tcPr>
          <w:p>
            <w:pPr>
              <w:spacing w:after="40" w:before="0" w:line="259" w:lineRule="auto"/>
            </w:pPr>
            <w:r>
              <w:rPr>
                <w:rFonts w:ascii="Calibri" w:hAnsi="Calibri"/>
                <w:b/>
                <w:i w:val="0"/>
                <w:color w:val="212121"/>
                <w:sz w:val="19"/>
              </w:rPr>
              <w:t>Hepatomegaly ± ascites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Tender enlarged, congested liver and ascites in right-sided/biventricular failure.</w:t>
            </w:r>
          </w:p>
        </w:tc>
      </w:tr>
      <w:tr>
        <w:trPr>
          <w:cantSplit/>
        </w:trPr>
        <w:tc>
          <w:tcPr>
            <w:tcW w:type="dxa" w:w="3456"/>
            <w:vAlign w:val="top"/>
          </w:tcPr>
          <w:p>
            <w:pPr>
              <w:spacing w:after="40" w:before="0" w:line="259" w:lineRule="auto"/>
            </w:pPr>
            <w:r>
              <w:rPr>
                <w:rFonts w:ascii="Calibri" w:hAnsi="Calibri"/>
                <w:b/>
                <w:i w:val="0"/>
                <w:color w:val="212121"/>
                <w:sz w:val="19"/>
              </w:rPr>
              <w:t>Cool peripheries / prolonged capillary refill / cyanosis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of low cardiac output and poor perfusion in advanced or acute HF.</w:t>
            </w:r>
          </w:p>
        </w:tc>
      </w:tr>
      <w:tr>
        <w:trPr>
          <w:cantSplit/>
        </w:trPr>
        <w:tc>
          <w:tcPr>
            <w:tcW w:type="dxa" w:w="3456"/>
            <w:vAlign w:val="top"/>
          </w:tcPr>
          <w:p>
            <w:pPr>
              <w:spacing w:after="40" w:before="0" w:line="259" w:lineRule="auto"/>
            </w:pPr>
            <w:r>
              <w:rPr>
                <w:rFonts w:ascii="Calibri" w:hAnsi="Calibri"/>
                <w:b/>
                <w:i w:val="0"/>
                <w:color w:val="212121"/>
                <w:sz w:val="19"/>
              </w:rPr>
              <w:t>Functional mitral/tricuspid regurgitation murmur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Pansystolic murmur from annular dilatation, or valvular murmurs of underlying rheumatic disease.</w:t>
            </w:r>
          </w:p>
        </w:tc>
      </w:tr>
      <w:tr>
        <w:trPr>
          <w:cantSplit/>
        </w:trPr>
        <w:tc>
          <w:tcPr>
            <w:tcW w:type="dxa" w:w="3456"/>
            <w:vAlign w:val="top"/>
          </w:tcPr>
          <w:p>
            <w:pPr>
              <w:spacing w:after="40" w:before="0" w:line="259" w:lineRule="auto"/>
            </w:pPr>
            <w:r>
              <w:rPr>
                <w:rFonts w:ascii="Calibri" w:hAnsi="Calibri"/>
                <w:b/>
                <w:i w:val="0"/>
                <w:color w:val="212121"/>
                <w:sz w:val="19"/>
              </w:rPr>
              <w:t>Pulsus alternans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Alternating strong and weak pulses — a sign of severe left-ventricular dysfunction.</w:t>
            </w:r>
          </w:p>
        </w:tc>
      </w:tr>
      <w:tr>
        <w:trPr>
          <w:cantSplit/>
        </w:trPr>
        <w:tc>
          <w:tcPr>
            <w:tcW w:type="dxa" w:w="3456"/>
            <w:vAlign w:val="top"/>
          </w:tcPr>
          <w:p>
            <w:pPr>
              <w:spacing w:after="40" w:before="0" w:line="259" w:lineRule="auto"/>
            </w:pPr>
            <w:r>
              <w:rPr>
                <w:rFonts w:ascii="Calibri" w:hAnsi="Calibri"/>
                <w:b/>
                <w:i w:val="0"/>
                <w:color w:val="212121"/>
                <w:sz w:val="19"/>
              </w:rPr>
              <w:t>Cardiac cachexia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Visible muscle wasting and weight loss in end-stage HF, indicating poor prognosis.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decompensated heart failure / acute pulmonary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Cardiogenic shock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Arrhythmias — atrial fibrillation, ventricular tachycardia/fibrillation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Sudden cardiac death</w:t>
            </w:r>
          </w:p>
        </w:tc>
        <w:tc>
          <w:tcPr>
            <w:tcW w:type="dxa" w:w="2980"/>
            <w:vAlign w:val="top"/>
          </w:tcPr>
          <w:p>
            <w:pPr>
              <w:spacing w:after="40" w:before="0" w:line="259" w:lineRule="auto"/>
            </w:pPr>
            <w:r>
              <w:rPr>
                <w:rFonts w:ascii="Calibri" w:hAnsi="Calibri"/>
                <w:b w:val="0"/>
                <w:i w:val="0"/>
                <w:color w:val="212121"/>
                <w:sz w:val="19"/>
              </w:rPr>
              <w:t>Direct consequences of pump failure and electrical instability; leading causes of HF hospitalisation and mortality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Cardiorenal syndrome (worsening renal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Hepatic congestion / ‘cardiac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Anaemia and iron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Thromboembolism — stroke and pulmonary embolism (especially with AF)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Functional mitral/tricuspid regurgitation and pulmonary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Electrolyte disturbances (hyponatraemia, hypo/hyperkalaemia)</w:t>
            </w:r>
          </w:p>
        </w:tc>
        <w:tc>
          <w:tcPr>
            <w:tcW w:type="dxa" w:w="2980"/>
            <w:vAlign w:val="top"/>
          </w:tcPr>
          <w:p>
            <w:pPr>
              <w:spacing w:after="40" w:before="0" w:line="259" w:lineRule="auto"/>
            </w:pPr>
            <w:r>
              <w:rPr>
                <w:rFonts w:ascii="Calibri" w:hAnsi="Calibri"/>
                <w:b w:val="0"/>
                <w:i w:val="0"/>
                <w:color w:val="212121"/>
                <w:sz w:val="19"/>
              </w:rPr>
              <w:t>Result from chronic congestion, low output, neurohormonal activation and their 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 / refractory (stage D)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Cardiac cachexia, frailty and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hospitalisation and poor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Dependence on advanced therapies (LVAD, cardiac transplantation) or palliative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w:t>
            </w:r>
          </w:p>
        </w:tc>
        <w:tc>
          <w:tcPr>
            <w:tcW w:type="dxa" w:w="2980"/>
            <w:vAlign w:val="top"/>
          </w:tcPr>
          <w:p>
            <w:pPr>
              <w:spacing w:after="40" w:before="0" w:line="259" w:lineRule="auto"/>
            </w:pPr>
            <w:r>
              <w:rPr>
                <w:rFonts w:ascii="Calibri" w:hAnsi="Calibri"/>
                <w:b w:val="0"/>
                <w:i w:val="0"/>
                <w:color w:val="212121"/>
                <w:sz w:val="19"/>
              </w:rPr>
              <w:t>Irreversible, disabling end-stage outcomes of progressive heart failure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Coronary artery disease / ischaemic heart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commonest underlying cause of HF in India; ischaemic myocardial loss produces HFrEF and coexisting angina complicates management.</w:t>
            </w:r>
          </w:p>
          <w:p>
            <w:pPr>
              <w:spacing w:after="40" w:before="0" w:line="259" w:lineRule="auto"/>
            </w:pPr>
            <w:r>
              <w:rPr>
                <w:rFonts w:ascii="Calibri" w:hAnsi="Calibri"/>
                <w:b/>
                <w:i w:val="0"/>
                <w:color w:val="212121"/>
                <w:sz w:val="19"/>
              </w:rPr>
              <w:t>~72%</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Drives LV hypertrophy and diastolic dysfunction (HFpEF); coexistence dictates antihypertensive and GDMT choices.</w:t>
            </w:r>
          </w:p>
          <w:p>
            <w:pPr>
              <w:spacing w:after="40" w:before="0" w:line="259" w:lineRule="auto"/>
            </w:pPr>
            <w:r>
              <w:rPr>
                <w:rFonts w:ascii="Calibri" w:hAnsi="Calibri"/>
                <w:b/>
                <w:i w:val="0"/>
                <w:color w:val="212121"/>
                <w:sz w:val="19"/>
              </w:rPr>
              <w:t>~49%</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Causes diabetic cardiomyopathy and accelerates coronary disease; SGLT2 inhibitors treat both conditions.</w:t>
            </w:r>
          </w:p>
          <w:p>
            <w:pPr>
              <w:spacing w:after="40" w:before="0" w:line="259" w:lineRule="auto"/>
            </w:pPr>
            <w:r>
              <w:rPr>
                <w:rFonts w:ascii="Calibri" w:hAnsi="Calibri"/>
                <w:b/>
                <w:i w:val="0"/>
                <w:color w:val="212121"/>
                <w:sz w:val="19"/>
              </w:rPr>
              <w:t>~42–49%</w:t>
            </w:r>
          </w:p>
        </w:tc>
      </w:tr>
      <w:tr>
        <w:trPr>
          <w:cantSplit/>
        </w:trPr>
        <w:tc>
          <w:tcPr>
            <w:tcW w:type="dxa" w:w="2232"/>
            <w:vAlign w:val="top"/>
          </w:tcPr>
          <w:p>
            <w:pPr>
              <w:spacing w:after="40" w:before="0" w:line="259" w:lineRule="auto"/>
            </w:pPr>
            <w:r>
              <w:rPr>
                <w:rFonts w:ascii="Calibri" w:hAnsi="Calibri"/>
                <w:b/>
                <w:i w:val="0"/>
                <w:color w:val="212121"/>
                <w:sz w:val="19"/>
              </w:rPr>
              <w:t>Chronic kidney disease (cardiorenal syndrome)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Heart and kidney dysfunction reinforce each other, complicating diuretic and RAAS-inhibitor dosing.</w:t>
            </w:r>
          </w:p>
          <w:p>
            <w:pPr>
              <w:spacing w:after="40" w:before="0" w:line="259" w:lineRule="auto"/>
            </w:pPr>
            <w:r>
              <w:rPr>
                <w:rFonts w:ascii="Calibri" w:hAnsi="Calibri"/>
                <w:b/>
                <w:i w:val="0"/>
                <w:color w:val="212121"/>
                <w:sz w:val="19"/>
              </w:rPr>
              <w:t>~8.5% at baseline (higher as disease progresses)</w:t>
            </w:r>
          </w:p>
        </w:tc>
      </w:tr>
      <w:tr>
        <w:trPr>
          <w:cantSplit/>
        </w:trPr>
        <w:tc>
          <w:tcPr>
            <w:tcW w:type="dxa" w:w="2232"/>
            <w:vAlign w:val="top"/>
          </w:tcPr>
          <w:p>
            <w:pPr>
              <w:spacing w:after="40" w:before="0" w:line="259" w:lineRule="auto"/>
            </w:pPr>
            <w:r>
              <w:rPr>
                <w:rFonts w:ascii="Calibri" w:hAnsi="Calibri"/>
                <w:b/>
                <w:i w:val="0"/>
                <w:color w:val="212121"/>
                <w:sz w:val="19"/>
              </w:rPr>
              <w:t>Atrial fibrillation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Both a cause (tachycardia-mediated) and a consequence of HF; raises stroke and decompensation risk and requires rate/rhythm and anticoagulation decisions.</w:t>
            </w:r>
          </w:p>
        </w:tc>
      </w:tr>
      <w:tr>
        <w:trPr>
          <w:cantSplit/>
        </w:trPr>
        <w:tc>
          <w:tcPr>
            <w:tcW w:type="dxa" w:w="2232"/>
            <w:vAlign w:val="top"/>
          </w:tcPr>
          <w:p>
            <w:pPr>
              <w:spacing w:after="40" w:before="0" w:line="259" w:lineRule="auto"/>
            </w:pPr>
            <w:r>
              <w:rPr>
                <w:rFonts w:ascii="Calibri" w:hAnsi="Calibri"/>
                <w:b/>
                <w:i w:val="0"/>
                <w:color w:val="212121"/>
                <w:sz w:val="19"/>
              </w:rPr>
              <w:t>Anaemia and iron deficiency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in HF and worsen symptoms and prognosis; intravenous iron improves symptoms in HFrEF.</w:t>
            </w:r>
          </w:p>
          <w:p>
            <w:pPr>
              <w:spacing w:after="40" w:before="0" w:line="259" w:lineRule="auto"/>
            </w:pPr>
            <w:r>
              <w:rPr>
                <w:rFonts w:ascii="Calibri" w:hAnsi="Calibri"/>
                <w:b/>
                <w:i w:val="0"/>
                <w:color w:val="212121"/>
                <w:sz w:val="19"/>
              </w:rPr>
              <w:t>Iron deficiency up to ~66%; anaemia ~20%</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Highly prevalent in HF and linked to poorer self-care, more readmissions and higher mortality.</w:t>
            </w:r>
          </w:p>
          <w:p>
            <w:pPr>
              <w:spacing w:after="40" w:before="0" w:line="259" w:lineRule="auto"/>
            </w:pPr>
            <w:r>
              <w:rPr>
                <w:rFonts w:ascii="Calibri" w:hAnsi="Calibri"/>
                <w:b/>
                <w:i w:val="0"/>
                <w:color w:val="212121"/>
                <w:sz w:val="19"/>
              </w:rPr>
              <w:t>~51.5% (LMIC pooled)</w:t>
            </w:r>
          </w:p>
        </w:tc>
      </w:tr>
      <w:tr>
        <w:trPr>
          <w:cantSplit/>
        </w:trPr>
        <w:tc>
          <w:tcPr>
            <w:tcW w:type="dxa" w:w="2232"/>
            <w:vAlign w:val="top"/>
          </w:tcPr>
          <w:p>
            <w:pPr>
              <w:spacing w:after="40" w:before="0" w:line="259" w:lineRule="auto"/>
            </w:pPr>
            <w:r>
              <w:rPr>
                <w:rFonts w:ascii="Calibri" w:hAnsi="Calibri"/>
                <w:b/>
                <w:i w:val="0"/>
                <w:color w:val="212121"/>
                <w:sz w:val="19"/>
              </w:rPr>
              <w:t>Obstructive / central sleep apnoea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Sleep-disordered breathing is common in HF; intermittent hypoxia and sympathetic activation worsen ventricular function and arrhythmia.</w:t>
            </w:r>
          </w:p>
        </w:tc>
      </w:tr>
      <w:tr>
        <w:trPr>
          <w:cantSplit/>
        </w:trPr>
        <w:tc>
          <w:tcPr>
            <w:tcW w:type="dxa" w:w="2232"/>
            <w:vAlign w:val="top"/>
          </w:tcPr>
          <w:p>
            <w:pPr>
              <w:spacing w:after="40" w:before="0" w:line="259" w:lineRule="auto"/>
            </w:pPr>
            <w:r>
              <w:rPr>
                <w:rFonts w:ascii="Calibri" w:hAnsi="Calibri"/>
                <w:b/>
                <w:i w:val="0"/>
                <w:color w:val="212121"/>
                <w:sz w:val="19"/>
              </w:rPr>
              <w:t>Rheumatic / valvular heart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important and often younger cause of HF in India through chronic pressure/volume overload.</w:t>
            </w:r>
          </w:p>
          <w:p>
            <w:pPr>
              <w:spacing w:after="40" w:before="0" w:line="259" w:lineRule="auto"/>
            </w:pPr>
            <w:r>
              <w:rPr>
                <w:rFonts w:ascii="Calibri" w:hAnsi="Calibri"/>
                <w:b/>
                <w:i w:val="0"/>
                <w:color w:val="212121"/>
                <w:sz w:val="19"/>
              </w:rPr>
              <w:t>~5–6% (as aetiology)</w:t>
            </w:r>
          </w:p>
        </w:tc>
      </w:tr>
      <w:tr>
        <w:trPr>
          <w:cantSplit/>
        </w:trPr>
        <w:tc>
          <w:tcPr>
            <w:tcW w:type="dxa" w:w="2232"/>
            <w:vAlign w:val="top"/>
          </w:tcPr>
          <w:p>
            <w:pPr>
              <w:spacing w:after="40" w:before="0" w:line="259" w:lineRule="auto"/>
            </w:pPr>
            <w:r>
              <w:rPr>
                <w:rFonts w:ascii="Calibri" w:hAnsi="Calibri"/>
                <w:b/>
                <w:i w:val="0"/>
                <w:color w:val="212121"/>
                <w:sz w:val="19"/>
              </w:rPr>
              <w:t>Chronic obstructive pulmonary disease (COPD)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smoking aetiology and overlapping breathlessness; complicates beta-blocker use and diagnosis.</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Atherogenic lipids promote the coronary disease that underlies most HFrEF.</w:t>
            </w:r>
          </w:p>
        </w:tc>
      </w:tr>
      <w:tr>
        <w:trPr>
          <w:cantSplit/>
        </w:trPr>
        <w:tc>
          <w:tcPr>
            <w:tcW w:type="dxa" w:w="2232"/>
            <w:vAlign w:val="top"/>
          </w:tcPr>
          <w:p>
            <w:pPr>
              <w:spacing w:after="40" w:before="0" w:line="259" w:lineRule="auto"/>
            </w:pPr>
            <w:r>
              <w:rPr>
                <w:rFonts w:ascii="Calibri" w:hAnsi="Calibri"/>
                <w:b/>
                <w:i w:val="0"/>
                <w:color w:val="212121"/>
                <w:sz w:val="19"/>
              </w:rPr>
              <w:t>Cardiac cachexia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Progressive muscle/fat wasting in advanced HF; a marker of poor prognosis that complicates rehabilitation.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heart failure is a manageable long-term condition and that controlling blood pressure, diabetes, cholesterol and tobacco prevents most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breathlessness on exertion or lying flat, waking breathless at night, ankle swelling, unusual fatigue and rapid weight gain — and seek timely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Weigh yourself each morning and report a gain of more than 2 kg in 3 days, which often signals fluid build-up before symptoms worsen.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every medicine exactly as prescribed and never stop heart-failure drugs abruptly; carry an up-to-date medication list.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an annual influenza and recommended pneumococcal/COVID vaccination, and treat infections and dental problems promptly, as these commonly trigger decompensation.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NSAID painkillers and unproven herbal/OTC remedies unless approved by your clinician, as they cause fluid retention and worsen HF.</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hypertension/diabetes/CAD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Rheumatic-heart-disease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Recently diagnosed HF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 in a structured, supervised cardiac rehabilitation / exercise programme, which reduces HF hospitalisation and improves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regular moderate aerobic activity (e.g. brisk walking) as tolerated, most days, building up gradually and pacing within symptom limits.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light resistance and breathing exercises to counter muscle deconditioning and cardiac cachexia.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the NYHA class and 6-minute walk distance to set safe, individualised activity goals and track progress.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and seek review for worsening breathlessness, chest pain, dizziness or a rapid/irregular heartbeat during activity.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Stable chronic HF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HFrEF and HFpEF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Post-hospitalisation HF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Deconditioned/elderly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added salt and high-sodium Indian foods (pickles, papad, namkeen, processed and restaurant food); avoid adding extra salt at the table.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heart-healthy diet rich in vegetables, fruit, whole grains and millets, pulses and lean protein, with limited fried and ultra-processed food.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weight and central obesity in check using Asian-Indian BMI targets to prevent hypertension, diabetes and HFpEF.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diabetes and cholesterol through diet to reduce the coronary disease that causes most HF.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 and abstain completely if alcohol-related heart muscle disease is suspected.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hypertension/diabetes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history of cardiomyopathy or CAD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dietary salt (broadly avoid &gt; 5 g salt/day) and follow individualised fluid advice, especially in advanced or hyponatraemic HF.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fluids (often 1.5–2 L/day) only when advised for congestion or low sodium, rather than routinely.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iron deficiency and anaemia with clinician-guided (often intravenous) iron and iron-rich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protein and calories to prevent cardiac cachexia in advanced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high-sodium antacids, effervescent tablets and salt substitutes rich in potassium without medical advice.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HF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Decompensated/congested HF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Iron-deficient HFrEF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Advanced/cachectic HF</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forms of tobacco — cigarettes, bidis, hookah and smokeless tobacco (gutka, khaini) — to slow the coronary disease that causes most HF.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where appropriate, nicotine-replacement or pharmacotherapy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indoor biomass/solid-fuel smoke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early screening for coronary risk factors if you smoke and have hypertension or diabetes.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and 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CAD/hypertension/diabetes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members exposed to smoke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from alcohol completely if alcoholic cardiomyopathy is suspected — early abstinence can partially reverse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Otherwise keep alcohol minimal (≤ 1 unit/day) as excess raises blood pressure and triggers arrhythmia and congestion.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any alcohol use openly with your clinician, as it interacts with HF medications.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de-addiction support where alcohol dependence is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dilated/alcoholic cardiomyopathy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HF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loud snoring, witnessed pauses in breathing or excessive daytime sleepiness, and get assessed for sleep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propped up on extra pillows if orthopnoea is troublesome and report new night-time breathlessness.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and treat sleep-disordered breathing (e.g. CPAP for obstructive sleep apnoea)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fluid status and evening diuretic timing with your clinician to reduce nocturnal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HF patients with snoring/apnoea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HF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orthopnoea/PND</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screened for depression and anxiety, which affect roughly half of HF patients and worsen adherence and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counselling, cognitive-behavioural therapy or peer support and, where indicated, HF-safe antidepressant 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and caregivers in self-care, medication and symptom monitoring.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(breathing exercises, relaxation) and stay socially connected.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 help for severe low mood or thoughts of self-harm.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HF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Frequently readmitted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isolated/elderly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ure.com/articles/s41467-024-55362-z" TargetMode="External"/><Relationship Id="rId10" Type="http://schemas.openxmlformats.org/officeDocument/2006/relationships/hyperlink" Target="https://ijmr.org.in/clinical-characteristics-treatment-patterns-outcomes-of-heart-failure-a-comparative-analysis-across-age-groups-from-the-heart-failure-registry-in-india/" TargetMode="External"/><Relationship Id="rId11" Type="http://schemas.openxmlformats.org/officeDocument/2006/relationships/hyperlink" Target="https://www.cfrjournal.com/articles/highlighting-south-asian-heart-failure-epidemic" TargetMode="External"/><Relationship Id="rId12" Type="http://schemas.openxmlformats.org/officeDocument/2006/relationships/hyperlink" Target="https://www.acc.org/latest-in-cardiology/journal-scans/2013/09/25/15/46/global-association-of-air-pollution-and-heart-failure" TargetMode="External"/><Relationship Id="rId13" Type="http://schemas.openxmlformats.org/officeDocument/2006/relationships/hyperlink" Target="https://www.cochranelibrary.com/cdsr/doi/10.1002/14651858.CD003331.pub6/full" TargetMode="External"/><Relationship Id="rId14" Type="http://schemas.openxmlformats.org/officeDocument/2006/relationships/hyperlink" Target="https://www.acc.org/Latest-in-Cardiology/Articles/2022/07/15/12/15/Efficacy-of-Dietary-Sodium-Restriction-in-Heart-Failure" TargetMode="External"/><Relationship Id="rId15" Type="http://schemas.openxmlformats.org/officeDocument/2006/relationships/hyperlink" Target="https://journals.plos.org/plosone/article?id=10.1371%2Fjournal.pone.02831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