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Atrial Fibrillation</w:t>
      </w:r>
    </w:p>
    <w:p>
      <w:pPr>
        <w:spacing w:before="0" w:after="160"/>
      </w:pPr>
      <w:r>
        <w:rPr>
          <w:rFonts w:ascii="Calibri" w:hAnsi="Calibri"/>
          <w:b/>
          <w:i w:val="0"/>
          <w:color w:val="212121"/>
          <w:sz w:val="22"/>
        </w:rPr>
        <w:t xml:space="preserve">AKA </w:t>
      </w:r>
      <w:r>
        <w:rPr>
          <w:rFonts w:ascii="Calibri" w:hAnsi="Calibri"/>
          <w:b w:val="0"/>
          <w:i w:val="0"/>
          <w:color w:val="212121"/>
          <w:sz w:val="22"/>
        </w:rPr>
        <w:t>i.e., AF, AFib, Auricular fibrillation, Irregular heartbeat, “Heart flutter”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Atrial fibrillation is the most common sustained cardiac arrhythmia, characterised by rapid, disorganised electrical activity in the atria that replaces the normal coordinated atrial contraction. On the electrocardiogram it produces an irregularly irregular ventricular rhythm with absent P waves and fibrillatory (f) waves. The loss of effective atrial contraction and stasis of blood — especially in the left atrial appendage — predisposes to thrombus formation, making AF a leading cause of ischaemic stroke, heart failure and cardiovascular death.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Atrial fibrillation is far less common in the general Indian population than in Western cohorts, but its burden is rising sharply with ageing, hypertension and the diabetes–obesity epidemic. Community screening in urban Nagpur found an overall prevalence of about 0.19% (rising to 0.64% in those ≥60 years), while the rural SMART-India study reported 1.6% among adults ≥40 years, reaching 7.2% in men over 75. A distinctive feature of India is that a large share of AF is valvular, arising from rheumatic heart disease in relatively young patients — AF complicates roughly one-third (32.8%) of rheumatic heart disease cases globally.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Atrial fibrillation is an electrocardiographic diagnosis. A single-lead or 12-lead tracing of at least 30 seconds (or an entire 12-lead ECG) showing the following features is required to confirm clinical AF: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distinct, consistent P waves, replaced by low-amplitude fibrillatory (f) waves;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irregularly irregular R–R intervals with no repeating pattern;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narrow QRS complexes (unless there is pre-existing bundle branch block or aberrant conduction);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ECG-documented episode lasting ≥ 30 seconds on a rhythm strip, or captured on a standard 12-lead ECG;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untreated ventricular rate that is typically variable and often rapid (commonly 100–160/min).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Atrial fibrillation is classified by the temporal pattern of episodes and by the presence or absence of significant valvular disease — the latter distinction being especially important in India because of the high rheumatic burden. The main categories are:</w:t>
      </w:r>
    </w:p>
    <w:p>
      <w:pPr>
        <w:spacing w:before="0" w:after="80"/>
      </w:pPr>
      <w:r>
        <w:rPr>
          <w:rFonts w:ascii="Calibri" w:hAnsi="Calibri"/>
          <w:b w:val="0"/>
          <w:i w:val="0"/>
          <w:color w:val="212121"/>
          <w:sz w:val="21"/>
        </w:rPr>
        <w:t>(1) First-diagnosed AF, atrial fibrillation not previously documented, irrespective of its duration or the severity of symptoms;</w:t>
      </w:r>
    </w:p>
    <w:p>
      <w:pPr>
        <w:spacing w:before="0" w:after="80"/>
      </w:pPr>
      <w:r>
        <w:rPr>
          <w:rFonts w:ascii="Calibri" w:hAnsi="Calibri"/>
          <w:b w:val="0"/>
          <w:i w:val="0"/>
          <w:color w:val="212121"/>
          <w:sz w:val="21"/>
        </w:rPr>
        <w:t>(2) Paroxysmal AF, episodes that terminate spontaneously or with intervention within 7 days (most self-terminate within 48 hours);</w:t>
      </w:r>
    </w:p>
    <w:p>
      <w:pPr>
        <w:spacing w:before="0" w:after="80"/>
      </w:pPr>
      <w:r>
        <w:rPr>
          <w:rFonts w:ascii="Calibri" w:hAnsi="Calibri"/>
          <w:b w:val="0"/>
          <w:i w:val="0"/>
          <w:color w:val="212121"/>
          <w:sz w:val="21"/>
        </w:rPr>
        <w:t>(3) Persistent AF, continuous AF sustained beyond 7 days, or that requires electrical or pharmacological cardioversion to terminate;</w:t>
      </w:r>
    </w:p>
    <w:p>
      <w:pPr>
        <w:spacing w:before="0" w:after="80"/>
      </w:pPr>
      <w:r>
        <w:rPr>
          <w:rFonts w:ascii="Calibri" w:hAnsi="Calibri"/>
          <w:b w:val="0"/>
          <w:i w:val="0"/>
          <w:color w:val="212121"/>
          <w:sz w:val="21"/>
        </w:rPr>
        <w:t>(4) Long-standing persistent AF, continuous AF lasting more than 12 months when a rhythm-control strategy is still being pursued; and</w:t>
      </w:r>
    </w:p>
    <w:p>
      <w:pPr>
        <w:spacing w:before="0" w:after="80"/>
      </w:pPr>
      <w:r>
        <w:rPr>
          <w:rFonts w:ascii="Calibri" w:hAnsi="Calibri"/>
          <w:b w:val="0"/>
          <w:i w:val="0"/>
          <w:color w:val="212121"/>
          <w:sz w:val="21"/>
        </w:rPr>
        <w:t>(5) Permanent AF, in which AF is accepted by patient and clinician and no further attempts are made to restore or maintain sinus rhythm. A separate axis distinguishes valvular AF (associated with moderate/severe mitral stenosis or a mechanical heart valve) from non-valvular AF, as this governs the choice of anticoagulant.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Hypertension and atrial remodelling: Chronic pressure overload causes left atrial dilatation, fibrosis and stretch, creating the structural substrate for re-entry; hypertension is the single largest population-attributable driver of AF.</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Rheumatic / valvular heart disease: Mitral stenosis and regurgitation from rheumatic heart disease raise left atrial pressure and volume, producing valvular AF in comparatively young Indians.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Ischaemic heart disease and heart failure: Myocardial ischaemia, prior infarction and ventricular dysfunction elevate atrial pressures and promote AF, which in turn worsens heart failure.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Metabolic and respiratory factors: Obesity, diabetes, obstructive sleep apnoea and hyperthyroidism drive atrial inflammation, epicardial fat, autonomic imbalance and electrical remodelling.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and atrial fibrosis: Progressive age-related fibrosis and loss of atrial myocytes explain the steep rise in incidence after 60 years.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Common and rare variants (e.g., near PITX2 on chromosome 4q25), inherited cardiomyopathies and channelopathies increase susceptibility, especially in early-onset AF.</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Acute and reversible triggers: Alcohol binges (“holiday heart”), acute illness or sepsis, electrolyte disturbance, thoracic surgery, pulmonary embolism and thyrotoxicosis can precipitate AF.</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(40–64 years)</w:t>
            </w:r>
          </w:p>
        </w:tc>
        <w:tc>
          <w:tcPr>
            <w:tcW w:type="dxa" w:w="4276"/>
            <w:vAlign w:val="top"/>
          </w:tcPr>
          <w:p>
            <w:pPr>
              <w:spacing w:after="60" w:line="259" w:lineRule="auto"/>
            </w:pPr>
            <w:r>
              <w:rPr>
                <w:rFonts w:ascii="Calibri" w:hAnsi="Calibri"/>
                <w:b w:val="0"/>
                <w:i w:val="0"/>
                <w:color w:val="212121"/>
                <w:sz w:val="19"/>
              </w:rPr>
              <w:t>Incident AF begins to climb from the fifth decade as cumulative hypertension, ischaemia and atrial fibrosis create re-entrant substrate. Early AF in Indians is frequently valvular, occurring a decade or more before typical Western non-valvular AF.</w:t>
            </w:r>
          </w:p>
          <w:p>
            <w:pPr>
              <w:spacing w:after="40" w:before="60" w:line="259" w:lineRule="auto"/>
            </w:pPr>
            <w:r>
              <w:rPr>
                <w:rFonts w:ascii="Calibri" w:hAnsi="Calibri"/>
                <w:b w:val="0"/>
                <w:i w:val="0"/>
                <w:color w:val="212121"/>
                <w:sz w:val="19"/>
              </w:rPr>
              <w:t>In rural Western India (SMART-India), AF prevalence rose from 0.6% at 40–55 years to 2.1% at 66–75 years.</w:t>
            </w:r>
          </w:p>
          <w:p>
            <w:pPr>
              <w:spacing w:after="40" w:line="252" w:lineRule="auto"/>
            </w:pPr>
            <w:hyperlink r:id="rId9">
              <w:r>
                <w:rPr>
                  <w:rFonts w:ascii="Calibri" w:hAnsi="Calibri" w:cs="Calibri"/>
                  <w:sz w:val="18"/>
                  <w:color w:val="1155CC"/>
                  <w:u w:val="single"/>
                </w:rPr>
                <w:t xml:space="preserve">pmc.ncbi.nlm.nih.gov/articles/PMC6378127 — SMART-India</w:t>
              </w:r>
            </w:hyperlink>
          </w:p>
          <w:p>
            <w:pPr>
              <w:spacing w:before="60" w:after="40"/>
            </w:pPr>
            <w:r>
              <w:rPr>
                <w:rFonts w:ascii="Calibri" w:hAnsi="Calibri"/>
                <w:b w:val="0"/>
                <w:i w:val="0"/>
                <w:color w:val="5A5A5A"/>
                <w:sz w:val="18"/>
              </w:rPr>
              <w:t>#atrialfibrillation  #ageing  #atrialfibrosis  #valvularAF  #risingburden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w:t>
            </w:r>
          </w:p>
        </w:tc>
        <w:tc>
          <w:tcPr>
            <w:tcW w:type="dxa" w:w="4276"/>
            <w:vAlign w:val="top"/>
          </w:tcPr>
          <w:p>
            <w:pPr>
              <w:spacing w:after="60" w:line="259" w:lineRule="auto"/>
            </w:pPr>
            <w:r>
              <w:rPr>
                <w:rFonts w:ascii="Calibri" w:hAnsi="Calibri"/>
                <w:b w:val="0"/>
                <w:i w:val="0"/>
                <w:color w:val="212121"/>
                <w:sz w:val="19"/>
              </w:rPr>
              <w:t>AF is predominantly a disease of the elderly: age-related atrial fibrosis, diastolic dysfunction and accumulating comorbidity sharply raise risk, while the stroke and bleeding consequences are also greatest in this group.</w:t>
            </w:r>
          </w:p>
          <w:p>
            <w:pPr>
              <w:spacing w:after="40" w:before="60" w:line="259" w:lineRule="auto"/>
            </w:pPr>
            <w:r>
              <w:rPr>
                <w:rFonts w:ascii="Calibri" w:hAnsi="Calibri"/>
                <w:b w:val="0"/>
                <w:i w:val="0"/>
                <w:color w:val="212121"/>
                <w:sz w:val="19"/>
              </w:rPr>
              <w:t>Urban Nagpur screening found AF prevalence of 0.64% in adults ≥ 60 years and around 3% in those ≥ 80 years, versus 0.19% overall.</w:t>
            </w:r>
          </w:p>
          <w:p>
            <w:pPr>
              <w:spacing w:after="40" w:line="252" w:lineRule="auto"/>
            </w:pPr>
            <w:hyperlink r:id="rId10">
              <w:r>
                <w:rPr>
                  <w:rFonts w:ascii="Calibri" w:hAnsi="Calibri" w:cs="Calibri"/>
                  <w:sz w:val="18"/>
                  <w:color w:val="1155CC"/>
                  <w:u w:val="single"/>
                </w:rPr>
                <w:t xml:space="preserve">pmc.ncbi.nlm.nih.gov/articles/PMC4898624 — Nagpur pilot</w:t>
              </w:r>
            </w:hyperlink>
          </w:p>
          <w:p>
            <w:pPr>
              <w:spacing w:before="60" w:after="40"/>
            </w:pPr>
            <w:r>
              <w:rPr>
                <w:rFonts w:ascii="Calibri" w:hAnsi="Calibri"/>
                <w:b w:val="0"/>
                <w:i w:val="0"/>
                <w:color w:val="5A5A5A"/>
                <w:sz w:val="18"/>
              </w:rPr>
              <w:t>#elderly  #strokerisk  #anticoagulation  #fallsrisk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AF earlier and more often than women at comparable ages, reflecting greater left atrial size, higher burden of coronary disease and lifestyle exposures such as alcohol and smoking.</w:t>
            </w:r>
          </w:p>
          <w:p>
            <w:pPr>
              <w:spacing w:after="40" w:before="60" w:line="259" w:lineRule="auto"/>
            </w:pPr>
            <w:r>
              <w:rPr>
                <w:rFonts w:ascii="Calibri" w:hAnsi="Calibri"/>
                <w:b w:val="0"/>
                <w:i w:val="0"/>
                <w:color w:val="212121"/>
                <w:sz w:val="19"/>
              </w:rPr>
              <w:t>In SMART-India, AF prevalence was higher in men than women (2.3% vs 1.0%), and reached 7.2% in men older than 75 years.</w:t>
            </w:r>
          </w:p>
          <w:p>
            <w:pPr>
              <w:spacing w:after="40" w:line="252" w:lineRule="auto"/>
            </w:pPr>
            <w:hyperlink r:id="rId9">
              <w:r>
                <w:rPr>
                  <w:rFonts w:ascii="Calibri" w:hAnsi="Calibri" w:cs="Calibri"/>
                  <w:sz w:val="18"/>
                  <w:color w:val="1155CC"/>
                  <w:u w:val="single"/>
                </w:rPr>
                <w:t xml:space="preserve">pmc.ncbi.nlm.nih.gov/articles/PMC6378127 — SMART-India</w:t>
              </w:r>
            </w:hyperlink>
          </w:p>
          <w:p>
            <w:pPr>
              <w:spacing w:before="60" w:after="40"/>
            </w:pPr>
            <w:r>
              <w:rPr>
                <w:rFonts w:ascii="Calibri" w:hAnsi="Calibri"/>
                <w:b w:val="0"/>
                <w:i w:val="0"/>
                <w:color w:val="5A5A5A"/>
                <w:sz w:val="18"/>
              </w:rPr>
              <w:t>#male  #leftatrium  #alcohol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groups with limited access to care</w:t>
            </w:r>
          </w:p>
        </w:tc>
        <w:tc>
          <w:tcPr>
            <w:tcW w:type="dxa" w:w="4276"/>
            <w:vAlign w:val="top"/>
          </w:tcPr>
          <w:p>
            <w:pPr>
              <w:spacing w:after="60" w:line="259" w:lineRule="auto"/>
            </w:pPr>
            <w:r>
              <w:rPr>
                <w:rFonts w:ascii="Calibri" w:hAnsi="Calibri"/>
                <w:b w:val="0"/>
                <w:i w:val="0"/>
                <w:color w:val="212121"/>
                <w:sz w:val="19"/>
              </w:rPr>
              <w:t>Poverty perpetuates untreated streptococcal infection and rheumatic heart disease, delays hypertension control, and limits access to ECG screening and anticoagulation, so AF is both under-diagnosed and under-treated.</w:t>
            </w:r>
          </w:p>
          <w:p>
            <w:pPr>
              <w:spacing w:after="40" w:before="60" w:line="259" w:lineRule="auto"/>
            </w:pPr>
            <w:r>
              <w:rPr>
                <w:rFonts w:ascii="Calibri" w:hAnsi="Calibri"/>
                <w:b w:val="0"/>
                <w:i w:val="0"/>
                <w:color w:val="212121"/>
                <w:sz w:val="19"/>
              </w:rPr>
              <w:t>Rheumatic heart disease — a poverty-linked condition — accounted for 62.5% of the AF cases identified in the Nagpur community study.</w:t>
            </w:r>
          </w:p>
          <w:p>
            <w:pPr>
              <w:spacing w:after="40" w:line="252" w:lineRule="auto"/>
            </w:pPr>
            <w:hyperlink r:id="rId10">
              <w:r>
                <w:rPr>
                  <w:rFonts w:ascii="Calibri" w:hAnsi="Calibri" w:cs="Calibri"/>
                  <w:sz w:val="18"/>
                  <w:color w:val="1155CC"/>
                  <w:u w:val="single"/>
                </w:rPr>
                <w:t xml:space="preserve">pmc.ncbi.nlm.nih.gov/articles/PMC4898624 — Nagpur pilot</w:t>
              </w:r>
            </w:hyperlink>
          </w:p>
          <w:p>
            <w:pPr>
              <w:spacing w:before="60" w:after="40"/>
            </w:pPr>
            <w:r>
              <w:rPr>
                <w:rFonts w:ascii="Calibri" w:hAnsi="Calibri"/>
                <w:b w:val="0"/>
                <w:i w:val="0"/>
                <w:color w:val="5A5A5A"/>
                <w:sz w:val="18"/>
              </w:rPr>
              <w:t>#healthequity  #rheumatic  #underdiagnosed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populations</w:t>
            </w:r>
          </w:p>
        </w:tc>
        <w:tc>
          <w:tcPr>
            <w:tcW w:type="dxa" w:w="4276"/>
            <w:vAlign w:val="top"/>
          </w:tcPr>
          <w:p>
            <w:pPr>
              <w:spacing w:after="60" w:line="259" w:lineRule="auto"/>
            </w:pPr>
            <w:r>
              <w:rPr>
                <w:rFonts w:ascii="Calibri" w:hAnsi="Calibri"/>
                <w:b w:val="0"/>
                <w:i w:val="0"/>
                <w:color w:val="212121"/>
                <w:sz w:val="19"/>
              </w:rPr>
              <w:t>India carries a disproportionate share of rheumatic heart disease, so a much larger fraction of AF is valvular and presents in younger patients than in high-income countries; simultaneously, urbanisation is fuelling a second, hypertension- and obesity-driven wave of non-valvular AF.</w:t>
            </w:r>
          </w:p>
          <w:p>
            <w:pPr>
              <w:spacing w:after="40" w:before="60" w:line="259" w:lineRule="auto"/>
            </w:pPr>
            <w:r>
              <w:rPr>
                <w:rFonts w:ascii="Calibri" w:hAnsi="Calibri"/>
                <w:b w:val="0"/>
                <w:i w:val="0"/>
                <w:color w:val="212121"/>
                <w:sz w:val="19"/>
              </w:rPr>
              <w:t>AF complicates about 32.8% of rheumatic heart disease cases globally, with cumulative incidence reaching 30.8% at 10 years of follow-up.</w:t>
            </w:r>
          </w:p>
          <w:p>
            <w:pPr>
              <w:spacing w:after="40" w:line="252" w:lineRule="auto"/>
            </w:pPr>
            <w:hyperlink r:id="rId11">
              <w:r>
                <w:rPr>
                  <w:rFonts w:ascii="Calibri" w:hAnsi="Calibri" w:cs="Calibri"/>
                  <w:sz w:val="18"/>
                  <w:color w:val="1155CC"/>
                  <w:u w:val="single"/>
                </w:rPr>
                <w:t xml:space="preserve">globalheartjournal.com/articles/10.5334/gh.807 — RHD-AF meta-analysis</w:t>
              </w:r>
            </w:hyperlink>
          </w:p>
          <w:p>
            <w:pPr>
              <w:spacing w:before="60" w:after="40"/>
            </w:pPr>
            <w:r>
              <w:rPr>
                <w:rFonts w:ascii="Calibri" w:hAnsi="Calibri"/>
                <w:b w:val="0"/>
                <w:i w:val="0"/>
                <w:color w:val="5A5A5A"/>
                <w:sz w:val="18"/>
              </w:rPr>
              <w:t>#southasian  #rheumaticheartdisease  #valvularAF  #youngonset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Rural Indian communities</w:t>
            </w:r>
          </w:p>
        </w:tc>
        <w:tc>
          <w:tcPr>
            <w:tcW w:type="dxa" w:w="4276"/>
            <w:vAlign w:val="top"/>
          </w:tcPr>
          <w:p>
            <w:pPr>
              <w:spacing w:after="60" w:line="259" w:lineRule="auto"/>
            </w:pPr>
            <w:r>
              <w:rPr>
                <w:rFonts w:ascii="Calibri" w:hAnsi="Calibri"/>
                <w:b w:val="0"/>
                <w:i w:val="0"/>
                <w:color w:val="212121"/>
                <w:sz w:val="19"/>
              </w:rPr>
              <w:t>Rural areas combine a persisting rheumatic burden with poor hypertension detection and scarce access to ECG and specialist care, producing high rates of undiagnosed AF and under-used stroke prevention.</w:t>
            </w:r>
          </w:p>
          <w:p>
            <w:pPr>
              <w:spacing w:after="40" w:before="60" w:line="259" w:lineRule="auto"/>
            </w:pPr>
            <w:r>
              <w:rPr>
                <w:rFonts w:ascii="Calibri" w:hAnsi="Calibri"/>
                <w:b w:val="0"/>
                <w:i w:val="0"/>
                <w:color w:val="212121"/>
                <w:sz w:val="19"/>
              </w:rPr>
              <w:t>A rural Western-India screening study detected AF in 1.6% of adults ≥ 40 years, a rate considerably higher than earlier urban estimates.</w:t>
            </w:r>
          </w:p>
          <w:p>
            <w:pPr>
              <w:spacing w:after="40" w:line="252" w:lineRule="auto"/>
            </w:pPr>
            <w:hyperlink r:id="rId9">
              <w:r>
                <w:rPr>
                  <w:rFonts w:ascii="Calibri" w:hAnsi="Calibri" w:cs="Calibri"/>
                  <w:sz w:val="18"/>
                  <w:color w:val="1155CC"/>
                  <w:u w:val="single"/>
                </w:rPr>
                <w:t xml:space="preserve">pmc.ncbi.nlm.nih.gov/articles/PMC6378127 — SMART-India</w:t>
              </w:r>
            </w:hyperlink>
          </w:p>
          <w:p>
            <w:pPr>
              <w:spacing w:before="60" w:after="40"/>
            </w:pPr>
            <w:r>
              <w:rPr>
                <w:rFonts w:ascii="Calibri" w:hAnsi="Calibri"/>
                <w:b w:val="0"/>
                <w:i w:val="0"/>
                <w:color w:val="5A5A5A"/>
                <w:sz w:val="18"/>
              </w:rPr>
              <w:t>#rural  #screening  #undiagnosed  #hypertension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Sedentary and obese adults</w:t>
            </w:r>
          </w:p>
        </w:tc>
        <w:tc>
          <w:tcPr>
            <w:tcW w:type="dxa" w:w="4276"/>
            <w:vAlign w:val="top"/>
          </w:tcPr>
          <w:p>
            <w:pPr>
              <w:spacing w:after="60" w:line="259" w:lineRule="auto"/>
            </w:pPr>
            <w:r>
              <w:rPr>
                <w:rFonts w:ascii="Calibri" w:hAnsi="Calibri"/>
                <w:b w:val="0"/>
                <w:i w:val="0"/>
                <w:color w:val="212121"/>
                <w:sz w:val="19"/>
              </w:rPr>
              <w:t>Physical inactivity promotes obesity, hypertension, insulin resistance and epicardial fat, all of which remodel the atria; conversely, regular moderate activity lowers AF incidence.</w:t>
            </w:r>
          </w:p>
          <w:p>
            <w:pPr>
              <w:spacing w:after="40" w:before="60" w:line="259" w:lineRule="auto"/>
            </w:pPr>
            <w:r>
              <w:rPr>
                <w:rFonts w:ascii="Calibri" w:hAnsi="Calibri"/>
                <w:b w:val="0"/>
                <w:i w:val="0"/>
                <w:color w:val="212121"/>
                <w:sz w:val="19"/>
              </w:rPr>
              <w:t>Meeting the guideline of ≥ 150 minutes/week of moderate-to-vigorous activity was associated with an 18% lower incidence of atrial fibrillation.</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#sedentary  #obesity  #epicardialfat  #physicalactivity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Vigorous endurance exercise</w:t>
            </w:r>
          </w:p>
        </w:tc>
        <w:tc>
          <w:tcPr>
            <w:tcW w:type="dxa" w:w="2160"/>
            <w:vAlign w:val="top"/>
          </w:tcPr>
          <w:p>
            <w:pPr>
              <w:spacing w:after="40" w:before="0" w:line="259" w:lineRule="auto"/>
            </w:pPr>
            <w:r>
              <w:rPr>
                <w:rFonts w:ascii="Calibri" w:hAnsi="Calibri"/>
                <w:b w:val="0"/>
                <w:i w:val="0"/>
                <w:color w:val="212121"/>
                <w:sz w:val="19"/>
              </w:rPr>
              <w:t>Long-term endurance athletes / very high training loads</w:t>
            </w:r>
          </w:p>
        </w:tc>
        <w:tc>
          <w:tcPr>
            <w:tcW w:type="dxa" w:w="4276"/>
            <w:vAlign w:val="top"/>
          </w:tcPr>
          <w:p>
            <w:pPr>
              <w:spacing w:after="60" w:line="259" w:lineRule="auto"/>
            </w:pPr>
            <w:r>
              <w:rPr>
                <w:rFonts w:ascii="Calibri" w:hAnsi="Calibri"/>
                <w:b w:val="0"/>
                <w:i w:val="0"/>
                <w:color w:val="212121"/>
                <w:sz w:val="19"/>
              </w:rPr>
              <w:t>The activity–AF relationship is U-shaped: while moderate exercise protects, decades of high-volume endurance training cause atrial dilatation, fibrosis and heightened vagal tone that paradoxically increase AF risk.</w:t>
            </w:r>
          </w:p>
          <w:p>
            <w:pPr>
              <w:spacing w:after="40" w:before="60" w:line="259" w:lineRule="auto"/>
            </w:pPr>
            <w:r>
              <w:rPr>
                <w:rFonts w:ascii="Calibri" w:hAnsi="Calibri"/>
                <w:b w:val="0"/>
                <w:i w:val="0"/>
                <w:color w:val="212121"/>
                <w:sz w:val="19"/>
              </w:rPr>
              <w:t>Endurance athletes have been reported to carry roughly a 5-fold higher risk of AF; a cumulative training load above ~2000 hours was linked to markedly increased odds (OR ~3.9).</w:t>
            </w:r>
          </w:p>
          <w:p>
            <w:pPr>
              <w:spacing w:after="40" w:line="252" w:lineRule="auto"/>
            </w:pPr>
            <w:hyperlink r:id="rId13">
              <w:r>
                <w:rPr>
                  <w:rFonts w:ascii="Calibri" w:hAnsi="Calibri" w:cs="Calibri"/>
                  <w:sz w:val="18"/>
                  <w:color w:val="1155CC"/>
                  <w:u w:val="single"/>
                </w:rPr>
                <w:t xml:space="preserve">pmc.ncbi.nlm.nih.gov/articles/PMC6209018 — AF in endurance athletes</w:t>
              </w:r>
            </w:hyperlink>
          </w:p>
          <w:p>
            <w:pPr>
              <w:spacing w:before="60" w:after="40"/>
            </w:pPr>
            <w:r>
              <w:rPr>
                <w:rFonts w:ascii="Calibri" w:hAnsi="Calibri"/>
                <w:b w:val="0"/>
                <w:i w:val="0"/>
                <w:color w:val="5A5A5A"/>
                <w:sz w:val="18"/>
              </w:rPr>
              <w:t>#endurance  #athleteheart  #vagaltone  #Ushaped  #atrialdilatation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former smokers</w:t>
            </w:r>
          </w:p>
        </w:tc>
        <w:tc>
          <w:tcPr>
            <w:tcW w:type="dxa" w:w="4276"/>
            <w:vAlign w:val="top"/>
          </w:tcPr>
          <w:p>
            <w:pPr>
              <w:spacing w:after="60" w:line="259" w:lineRule="auto"/>
            </w:pPr>
            <w:r>
              <w:rPr>
                <w:rFonts w:ascii="Calibri" w:hAnsi="Calibri"/>
                <w:b w:val="0"/>
                <w:i w:val="0"/>
                <w:color w:val="212121"/>
                <w:sz w:val="19"/>
              </w:rPr>
              <w:t>Tobacco promotes atrial fibrosis, oxidative stress, autonomic dysfunction and coronary disease, each contributing to the arrhythmic substrate.</w:t>
            </w:r>
          </w:p>
          <w:p>
            <w:pPr>
              <w:spacing w:after="40" w:before="60" w:line="259" w:lineRule="auto"/>
            </w:pPr>
            <w:r>
              <w:rPr>
                <w:rFonts w:ascii="Calibri" w:hAnsi="Calibri"/>
                <w:b w:val="0"/>
                <w:i w:val="0"/>
                <w:color w:val="212121"/>
                <w:sz w:val="19"/>
              </w:rPr>
              <w:t>Current smokers have about a 32% higher relative risk of AF than non-smokers (RR 1.32).</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#smoking  #tobacco  #oxidativestress  #atrialfibrosis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binge drinkers</w:t>
            </w:r>
          </w:p>
        </w:tc>
        <w:tc>
          <w:tcPr>
            <w:tcW w:type="dxa" w:w="4276"/>
            <w:vAlign w:val="top"/>
          </w:tcPr>
          <w:p>
            <w:pPr>
              <w:spacing w:after="60" w:line="259" w:lineRule="auto"/>
            </w:pPr>
            <w:r>
              <w:rPr>
                <w:rFonts w:ascii="Calibri" w:hAnsi="Calibri"/>
                <w:b w:val="0"/>
                <w:i w:val="0"/>
                <w:color w:val="212121"/>
                <w:sz w:val="19"/>
              </w:rPr>
              <w:t>Alcohol has a clear dose-dependent effect on AF through direct atrial toxicity, sympathetic activation, electrolyte shifts and sleep disruption; even a single heavy binge can trigger paroxysmal AF (“holiday heart”).</w:t>
            </w:r>
          </w:p>
          <w:p>
            <w:pPr>
              <w:spacing w:after="40" w:before="60" w:line="259" w:lineRule="auto"/>
            </w:pPr>
            <w:r>
              <w:rPr>
                <w:rFonts w:ascii="Calibri" w:hAnsi="Calibri"/>
                <w:b w:val="0"/>
                <w:i w:val="0"/>
                <w:color w:val="212121"/>
                <w:sz w:val="19"/>
              </w:rPr>
              <w:t>AF risk rises about 8% for every additional standard drink per day, and heavy intake (&gt; 21 drinks/week) carries a relative risk of ~1.39.</w:t>
            </w:r>
          </w:p>
          <w:p>
            <w:pPr>
              <w:spacing w:after="40" w:line="252" w:lineRule="auto"/>
            </w:pPr>
            <w:hyperlink r:id="rId14">
              <w:r>
                <w:rPr>
                  <w:rFonts w:ascii="Calibri" w:hAnsi="Calibri" w:cs="Calibri"/>
                  <w:sz w:val="18"/>
                  <w:color w:val="1155CC"/>
                  <w:u w:val="single"/>
                </w:rPr>
                <w:t xml:space="preserve">acc.org — alcohol &amp; AFib dose-response (Larsson meta-analysis)</w:t>
              </w:r>
            </w:hyperlink>
          </w:p>
          <w:p>
            <w:pPr>
              <w:spacing w:before="60" w:after="40"/>
            </w:pPr>
            <w:r>
              <w:rPr>
                <w:rFonts w:ascii="Calibri" w:hAnsi="Calibri"/>
                <w:b w:val="0"/>
                <w:i w:val="0"/>
                <w:color w:val="5A5A5A"/>
                <w:sz w:val="18"/>
              </w:rPr>
              <w:t>#alcohol  #holidayheart  #binge  #doseresponse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High-sodium diet</w:t>
            </w:r>
          </w:p>
        </w:tc>
        <w:tc>
          <w:tcPr>
            <w:tcW w:type="dxa" w:w="2160"/>
            <w:vAlign w:val="top"/>
          </w:tcPr>
          <w:p>
            <w:pPr>
              <w:spacing w:after="40" w:before="0" w:line="259" w:lineRule="auto"/>
            </w:pPr>
            <w:r>
              <w:rPr>
                <w:rFonts w:ascii="Calibri" w:hAnsi="Calibri"/>
                <w:b w:val="0"/>
                <w:i w:val="0"/>
                <w:color w:val="212121"/>
                <w:sz w:val="19"/>
              </w:rPr>
              <w:t>Adults with high salt / processed-food intake</w:t>
            </w:r>
          </w:p>
        </w:tc>
        <w:tc>
          <w:tcPr>
            <w:tcW w:type="dxa" w:w="4276"/>
            <w:vAlign w:val="top"/>
          </w:tcPr>
          <w:p>
            <w:pPr>
              <w:spacing w:after="60" w:line="259" w:lineRule="auto"/>
            </w:pPr>
            <w:r>
              <w:rPr>
                <w:rFonts w:ascii="Calibri" w:hAnsi="Calibri"/>
                <w:b w:val="0"/>
                <w:i w:val="0"/>
                <w:color w:val="212121"/>
                <w:sz w:val="19"/>
              </w:rPr>
              <w:t>Excess dietary sodium raises blood pressure and drives left atrial pressure and fibrosis, providing the substrate for AF; Indian diets high in pickles, papads, namkeen and restaurant food often far exceed recommended salt limits.</w:t>
            </w:r>
          </w:p>
          <w:p>
            <w:pPr>
              <w:spacing w:after="40" w:before="60" w:line="259" w:lineRule="auto"/>
            </w:pPr>
            <w:r>
              <w:rPr>
                <w:rFonts w:ascii="Calibri" w:hAnsi="Calibri"/>
                <w:b w:val="0"/>
                <w:i w:val="0"/>
                <w:color w:val="212121"/>
                <w:sz w:val="19"/>
              </w:rPr>
              <w:t>High-sodium diet is one of the modifiable dietary risk factors contributing to the global AF/flutter burden, which reached 52.55 million cases in 2021 (a 137% rise since 1990).</w:t>
            </w:r>
          </w:p>
          <w:p>
            <w:pPr>
              <w:spacing w:after="40" w:line="252" w:lineRule="auto"/>
            </w:pPr>
            <w:hyperlink r:id="rId15">
              <w:r>
                <w:rPr>
                  <w:rFonts w:ascii="Calibri" w:hAnsi="Calibri" w:cs="Calibri"/>
                  <w:sz w:val="18"/>
                  <w:color w:val="1155CC"/>
                  <w:u w:val="single"/>
                </w:rPr>
                <w:t xml:space="preserve">academic.oup.com/europace — GBD 2021 AF/AFL burden</w:t>
              </w:r>
            </w:hyperlink>
          </w:p>
          <w:p>
            <w:pPr>
              <w:spacing w:before="60" w:after="40"/>
            </w:pPr>
            <w:r>
              <w:rPr>
                <w:rFonts w:ascii="Calibri" w:hAnsi="Calibri"/>
                <w:b w:val="0"/>
                <w:i w:val="0"/>
                <w:color w:val="5A5A5A"/>
                <w:sz w:val="18"/>
              </w:rPr>
              <w:t>#sodium  #saltintake  #hypertension  #processedfood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Obesogenic / high-calorie diet</w:t>
            </w:r>
          </w:p>
        </w:tc>
        <w:tc>
          <w:tcPr>
            <w:tcW w:type="dxa" w:w="2160"/>
            <w:vAlign w:val="top"/>
          </w:tcPr>
          <w:p>
            <w:pPr>
              <w:spacing w:after="40" w:before="0" w:line="259" w:lineRule="auto"/>
            </w:pPr>
            <w:r>
              <w:rPr>
                <w:rFonts w:ascii="Calibri" w:hAnsi="Calibri"/>
                <w:b w:val="0"/>
                <w:i w:val="0"/>
                <w:color w:val="212121"/>
                <w:sz w:val="19"/>
              </w:rPr>
              <w:t>Adults with energy-dense, ultra-processed diets</w:t>
            </w:r>
          </w:p>
        </w:tc>
        <w:tc>
          <w:tcPr>
            <w:tcW w:type="dxa" w:w="4276"/>
            <w:vAlign w:val="top"/>
          </w:tcPr>
          <w:p>
            <w:pPr>
              <w:spacing w:after="60" w:line="259" w:lineRule="auto"/>
            </w:pPr>
            <w:r>
              <w:rPr>
                <w:rFonts w:ascii="Calibri" w:hAnsi="Calibri"/>
                <w:b w:val="0"/>
                <w:i w:val="0"/>
                <w:color w:val="212121"/>
                <w:sz w:val="19"/>
              </w:rPr>
              <w:t>Calorie-dense, sugar- and refined-carbohydrate-rich diets promote obesity, diabetes and epicardial fat accumulation, all of which enlarge and inflame the atria and increase AF risk.</w:t>
            </w:r>
          </w:p>
          <w:p>
            <w:pPr>
              <w:spacing w:after="40" w:before="60" w:line="259" w:lineRule="auto"/>
            </w:pPr>
            <w:r>
              <w:rPr>
                <w:rFonts w:ascii="Calibri" w:hAnsi="Calibri"/>
                <w:b w:val="0"/>
                <w:i w:val="0"/>
                <w:color w:val="212121"/>
                <w:sz w:val="19"/>
              </w:rPr>
              <w:t>Each 5 kg/m² increase in body-mass index is associated with about a 29% higher odds of atrial fibrillation (OR ~1.29).</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#obesity  #ultraprocessed  #epicardialfat  #metabolicsyndrome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AF</w:t>
            </w:r>
          </w:p>
        </w:tc>
        <w:tc>
          <w:tcPr>
            <w:tcW w:type="dxa" w:w="4276"/>
            <w:vAlign w:val="top"/>
          </w:tcPr>
          <w:p>
            <w:pPr>
              <w:spacing w:after="60" w:line="259" w:lineRule="auto"/>
            </w:pPr>
            <w:r>
              <w:rPr>
                <w:rFonts w:ascii="Calibri" w:hAnsi="Calibri"/>
                <w:b w:val="0"/>
                <w:i w:val="0"/>
                <w:color w:val="212121"/>
                <w:sz w:val="19"/>
              </w:rPr>
              <w:t>AF clusters in families through shared genetic susceptibility and common risk factors; risk rises with the number of affected relatives and with earlier age of onset in the relative.</w:t>
            </w:r>
          </w:p>
          <w:p>
            <w:pPr>
              <w:spacing w:after="40" w:before="60" w:line="259" w:lineRule="auto"/>
            </w:pPr>
            <w:r>
              <w:rPr>
                <w:rFonts w:ascii="Calibri" w:hAnsi="Calibri"/>
                <w:b w:val="0"/>
                <w:i w:val="0"/>
                <w:color w:val="212121"/>
                <w:sz w:val="19"/>
              </w:rPr>
              <w:t>Having a first-degree relative with AF is associated with roughly a 40% higher risk of developing AF (absolute event rate 5.8% vs 3.1% without a family history).</w:t>
            </w:r>
          </w:p>
          <w:p>
            <w:pPr>
              <w:spacing w:after="40" w:line="252" w:lineRule="auto"/>
            </w:pPr>
            <w:hyperlink r:id="rId16">
              <w:r>
                <w:rPr>
                  <w:rFonts w:ascii="Calibri" w:hAnsi="Calibri" w:cs="Calibri"/>
                  <w:sz w:val="18"/>
                  <w:color w:val="1155CC"/>
                  <w:u w:val="single"/>
                </w:rPr>
                <w:t xml:space="preserve">sciencedaily.com — Framingham familial AF</w:t>
              </w:r>
            </w:hyperlink>
          </w:p>
          <w:p>
            <w:pPr>
              <w:spacing w:before="60" w:after="40"/>
            </w:pPr>
            <w:r>
              <w:rPr>
                <w:rFonts w:ascii="Calibri" w:hAnsi="Calibri"/>
                <w:b w:val="0"/>
                <w:i w:val="0"/>
                <w:color w:val="5A5A5A"/>
                <w:sz w:val="18"/>
              </w:rPr>
              <w:t>#familyhistory  #heritability  #geneticrisk  #firstdegree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Early-onset / inherited susceptibility</w:t>
            </w:r>
          </w:p>
        </w:tc>
        <w:tc>
          <w:tcPr>
            <w:tcW w:type="dxa" w:w="2160"/>
            <w:vAlign w:val="top"/>
          </w:tcPr>
          <w:p>
            <w:pPr>
              <w:spacing w:after="40" w:before="0" w:line="259" w:lineRule="auto"/>
            </w:pPr>
            <w:r>
              <w:rPr>
                <w:rFonts w:ascii="Calibri" w:hAnsi="Calibri"/>
                <w:b w:val="0"/>
                <w:i w:val="0"/>
                <w:color w:val="212121"/>
                <w:sz w:val="19"/>
              </w:rPr>
              <w:t>Young patients with lone or familial AF, channelopathies, inherited cardiomyopathies</w:t>
            </w:r>
          </w:p>
        </w:tc>
        <w:tc>
          <w:tcPr>
            <w:tcW w:type="dxa" w:w="4276"/>
            <w:vAlign w:val="top"/>
          </w:tcPr>
          <w:p>
            <w:pPr>
              <w:spacing w:after="60" w:line="259" w:lineRule="auto"/>
            </w:pPr>
            <w:r>
              <w:rPr>
                <w:rFonts w:ascii="Calibri" w:hAnsi="Calibri"/>
                <w:b w:val="0"/>
                <w:i w:val="0"/>
                <w:color w:val="212121"/>
                <w:sz w:val="19"/>
              </w:rPr>
              <w:t>Common variants near PITX2 (4q25) and rare mutations affecting ion channels and sarcomeric/structural proteins predispose to early-onset AF, sometimes in the absence of conventional risk factors (lone AF).</w:t>
            </w:r>
          </w:p>
          <w:p>
            <w:pPr>
              <w:spacing w:after="40" w:before="60" w:line="259" w:lineRule="auto"/>
            </w:pPr>
            <w:r>
              <w:rPr>
                <w:rFonts w:ascii="Calibri" w:hAnsi="Calibri"/>
                <w:b w:val="0"/>
                <w:i w:val="0"/>
                <w:color w:val="212121"/>
                <w:sz w:val="19"/>
              </w:rPr>
              <w:t>Genome-wide studies confirm AF is a heritable, polygenic trait, with the 4q25/PITX2 locus the strongest and most reproducible genetic signal.</w:t>
            </w:r>
          </w:p>
          <w:p>
            <w:pPr>
              <w:spacing w:after="40" w:line="252" w:lineRule="auto"/>
            </w:pPr>
            <w:hyperlink r:id="rId17">
              <w:r>
                <w:rPr>
                  <w:rFonts w:ascii="Calibri" w:hAnsi="Calibri" w:cs="Calibri"/>
                  <w:sz w:val="18"/>
                  <w:color w:val="1155CC"/>
                  <w:u w:val="single"/>
                </w:rPr>
                <w:t xml:space="preserve">pmc.ncbi.nlm.nih.gov/articles/PMC5966046 — heritability of AF</w:t>
              </w:r>
            </w:hyperlink>
          </w:p>
          <w:p>
            <w:pPr>
              <w:spacing w:before="60" w:after="40"/>
            </w:pPr>
            <w:r>
              <w:rPr>
                <w:rFonts w:ascii="Calibri" w:hAnsi="Calibri"/>
                <w:b w:val="0"/>
                <w:i w:val="0"/>
                <w:color w:val="5A5A5A"/>
                <w:sz w:val="18"/>
              </w:rPr>
              <w:t>#PITX2  #loneAF  #channelopathy  #polygenic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Hypertension is the most prevalent and most population-attributable risk factor for AF, causing left atrial dilatation, fibrosis and diastolic dysfunction.</w:t>
            </w:r>
          </w:p>
          <w:p>
            <w:pPr>
              <w:spacing w:after="40" w:before="60" w:line="259" w:lineRule="auto"/>
            </w:pPr>
            <w:r>
              <w:rPr>
                <w:rFonts w:ascii="Calibri" w:hAnsi="Calibri"/>
                <w:b w:val="0"/>
                <w:i w:val="0"/>
                <w:color w:val="212121"/>
                <w:sz w:val="19"/>
              </w:rPr>
              <w:t>Hypertension is associated with a 1.7–2.5-fold increased risk of AF and is the leading risk factor for AF burden worldwide.</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#hypertension  #leftatrium  #bloodpressure  #substrate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Rheumatic / valvular heart disease</w:t>
            </w:r>
          </w:p>
        </w:tc>
        <w:tc>
          <w:tcPr>
            <w:tcW w:type="dxa" w:w="2160"/>
            <w:vAlign w:val="top"/>
          </w:tcPr>
          <w:p>
            <w:pPr>
              <w:spacing w:after="40" w:before="0" w:line="259" w:lineRule="auto"/>
            </w:pPr>
            <w:r>
              <w:rPr>
                <w:rFonts w:ascii="Calibri" w:hAnsi="Calibri"/>
                <w:b w:val="0"/>
                <w:i w:val="0"/>
                <w:color w:val="212121"/>
                <w:sz w:val="19"/>
              </w:rPr>
              <w:t>Patients with rheumatic mitral valve disease</w:t>
            </w:r>
          </w:p>
        </w:tc>
        <w:tc>
          <w:tcPr>
            <w:tcW w:type="dxa" w:w="4276"/>
            <w:vAlign w:val="top"/>
          </w:tcPr>
          <w:p>
            <w:pPr>
              <w:spacing w:after="60" w:line="259" w:lineRule="auto"/>
            </w:pPr>
            <w:r>
              <w:rPr>
                <w:rFonts w:ascii="Calibri" w:hAnsi="Calibri"/>
                <w:b w:val="0"/>
                <w:i w:val="0"/>
                <w:color w:val="212121"/>
                <w:sz w:val="19"/>
              </w:rPr>
              <w:t>Mitral stenosis and regurgitation raise left atrial pressure and volume, causing progressive atrial enlargement and fibrosis; this valvular AF is central to the Indian AF profile and confers a particularly high embolic risk.</w:t>
            </w:r>
          </w:p>
          <w:p>
            <w:pPr>
              <w:spacing w:after="40" w:before="60" w:line="259" w:lineRule="auto"/>
            </w:pPr>
            <w:r>
              <w:rPr>
                <w:rFonts w:ascii="Calibri" w:hAnsi="Calibri"/>
                <w:b w:val="0"/>
                <w:i w:val="0"/>
                <w:color w:val="212121"/>
                <w:sz w:val="19"/>
              </w:rPr>
              <w:t>AF prevalence is around 30.4% in severe mitral valve disease, and left-atrial diameter is on average ~8 mm larger in RHD patients with AF than those in sinus rhythm.</w:t>
            </w:r>
          </w:p>
          <w:p>
            <w:pPr>
              <w:spacing w:after="40" w:line="252" w:lineRule="auto"/>
            </w:pPr>
            <w:hyperlink r:id="rId11">
              <w:r>
                <w:rPr>
                  <w:rFonts w:ascii="Calibri" w:hAnsi="Calibri" w:cs="Calibri"/>
                  <w:sz w:val="18"/>
                  <w:color w:val="1155CC"/>
                  <w:u w:val="single"/>
                </w:rPr>
                <w:t xml:space="preserve">globalheartjournal.com/articles/10.5334/gh.807 — RHD-AF meta-analysis</w:t>
              </w:r>
            </w:hyperlink>
          </w:p>
          <w:p>
            <w:pPr>
              <w:spacing w:before="60" w:after="40"/>
            </w:pPr>
            <w:r>
              <w:rPr>
                <w:rFonts w:ascii="Calibri" w:hAnsi="Calibri"/>
                <w:b w:val="0"/>
                <w:i w:val="0"/>
                <w:color w:val="5A5A5A"/>
                <w:sz w:val="18"/>
              </w:rPr>
              <w:t>#mitralstenosis  #valvularAF  #rheumatic  #leftatrialenlargement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Heart failure</w:t>
            </w:r>
          </w:p>
        </w:tc>
        <w:tc>
          <w:tcPr>
            <w:tcW w:type="dxa" w:w="2160"/>
            <w:vAlign w:val="top"/>
          </w:tcPr>
          <w:p>
            <w:pPr>
              <w:spacing w:after="40" w:before="0" w:line="259" w:lineRule="auto"/>
            </w:pPr>
            <w:r>
              <w:rPr>
                <w:rFonts w:ascii="Calibri" w:hAnsi="Calibri"/>
                <w:b w:val="0"/>
                <w:i w:val="0"/>
                <w:color w:val="212121"/>
                <w:sz w:val="19"/>
              </w:rPr>
              <w:t>Patients with heart failure</w:t>
            </w:r>
          </w:p>
        </w:tc>
        <w:tc>
          <w:tcPr>
            <w:tcW w:type="dxa" w:w="4276"/>
            <w:vAlign w:val="top"/>
          </w:tcPr>
          <w:p>
            <w:pPr>
              <w:spacing w:after="60" w:line="259" w:lineRule="auto"/>
            </w:pPr>
            <w:r>
              <w:rPr>
                <w:rFonts w:ascii="Calibri" w:hAnsi="Calibri"/>
                <w:b w:val="0"/>
                <w:i w:val="0"/>
                <w:color w:val="212121"/>
                <w:sz w:val="19"/>
              </w:rPr>
              <w:t>Heart failure and AF share risk factors and each promotes the other: raised filling pressures stretch the atria, while AF worsens cardiac output and can cause tachycardia-induced cardiomyopathy.</w:t>
            </w:r>
          </w:p>
          <w:p>
            <w:pPr>
              <w:spacing w:after="40" w:before="60" w:line="259" w:lineRule="auto"/>
            </w:pPr>
            <w:r>
              <w:rPr>
                <w:rFonts w:ascii="Calibri" w:hAnsi="Calibri"/>
                <w:b w:val="0"/>
                <w:i w:val="0"/>
                <w:color w:val="212121"/>
                <w:sz w:val="19"/>
              </w:rPr>
              <w:t>AF and heart failure frequently coexist and each independently worsens prognosis; in HF, AF is associated with substantially higher cardiovascular mortality.</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#heartfailure  #bidirectional  #tachycardiomyopathy  #lowEF</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Patients with OSA</w:t>
            </w:r>
          </w:p>
        </w:tc>
        <w:tc>
          <w:tcPr>
            <w:tcW w:type="dxa" w:w="4276"/>
            <w:vAlign w:val="top"/>
          </w:tcPr>
          <w:p>
            <w:pPr>
              <w:spacing w:after="60" w:line="259" w:lineRule="auto"/>
            </w:pPr>
            <w:r>
              <w:rPr>
                <w:rFonts w:ascii="Calibri" w:hAnsi="Calibri"/>
                <w:b w:val="0"/>
                <w:i w:val="0"/>
                <w:color w:val="212121"/>
                <w:sz w:val="19"/>
              </w:rPr>
              <w:t>Repetitive nocturnal hypoxia, intrathoracic pressure swings and sympathetic surges remodel the atria; untreated OSA both triggers AF and drives recurrence after cardioversion or ablation.</w:t>
            </w:r>
          </w:p>
          <w:p>
            <w:pPr>
              <w:spacing w:after="40" w:before="60" w:line="259" w:lineRule="auto"/>
            </w:pPr>
            <w:r>
              <w:rPr>
                <w:rFonts w:ascii="Calibri" w:hAnsi="Calibri"/>
                <w:b w:val="0"/>
                <w:i w:val="0"/>
                <w:color w:val="212121"/>
                <w:sz w:val="19"/>
              </w:rPr>
              <w:t>Sleep apnoea (apnoea–hypopnoea index &gt; 5/h) is associated with an adjusted ~1.55-fold higher risk of AF.</w:t>
            </w:r>
          </w:p>
          <w:p>
            <w:pPr>
              <w:spacing w:after="40" w:line="252" w:lineRule="auto"/>
            </w:pPr>
            <w:hyperlink r:id="rId12">
              <w:r>
                <w:rPr>
                  <w:rFonts w:ascii="Calibri" w:hAnsi="Calibri" w:cs="Calibri"/>
                  <w:sz w:val="18"/>
                  <w:color w:val="1155CC"/>
                  <w:u w:val="single"/>
                </w:rPr>
                <w:t xml:space="preserve">pmc.ncbi.nlm.nih.gov/articles/PMC10866737 — AF comorbidities &amp; lifestyle</w:t>
              </w:r>
            </w:hyperlink>
          </w:p>
          <w:p>
            <w:pPr>
              <w:spacing w:before="60" w:after="40"/>
            </w:pPr>
            <w:r>
              <w:rPr>
                <w:rFonts w:ascii="Calibri" w:hAnsi="Calibri"/>
                <w:b w:val="0"/>
                <w:i w:val="0"/>
                <w:color w:val="5A5A5A"/>
                <w:sz w:val="18"/>
              </w:rPr>
              <w:t>#OSA  #sleepapnoea  #nocturnalhypoxia  #CPAP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Hyperthyroidism</w:t>
            </w:r>
          </w:p>
        </w:tc>
        <w:tc>
          <w:tcPr>
            <w:tcW w:type="dxa" w:w="2160"/>
            <w:vAlign w:val="top"/>
          </w:tcPr>
          <w:p>
            <w:pPr>
              <w:spacing w:after="40" w:before="0" w:line="259" w:lineRule="auto"/>
            </w:pPr>
            <w:r>
              <w:rPr>
                <w:rFonts w:ascii="Calibri" w:hAnsi="Calibri"/>
                <w:b w:val="0"/>
                <w:i w:val="0"/>
                <w:color w:val="212121"/>
                <w:sz w:val="19"/>
              </w:rPr>
              <w:t>Patients with thyrotoxicosis / suppressed TSH</w:t>
            </w:r>
          </w:p>
        </w:tc>
        <w:tc>
          <w:tcPr>
            <w:tcW w:type="dxa" w:w="4276"/>
            <w:vAlign w:val="top"/>
          </w:tcPr>
          <w:p>
            <w:pPr>
              <w:spacing w:after="60" w:line="259" w:lineRule="auto"/>
            </w:pPr>
            <w:r>
              <w:rPr>
                <w:rFonts w:ascii="Calibri" w:hAnsi="Calibri"/>
                <w:b w:val="0"/>
                <w:i w:val="0"/>
                <w:color w:val="212121"/>
                <w:sz w:val="19"/>
              </w:rPr>
              <w:t>Excess thyroid hormone increases atrial automaticity, shortens the refractory period and raises heart rate, precipitating AF; this is a classically reversible cause once the patient is rendered euthyroid.</w:t>
            </w:r>
          </w:p>
          <w:p>
            <w:pPr>
              <w:spacing w:after="40" w:before="60" w:line="259" w:lineRule="auto"/>
            </w:pPr>
            <w:r>
              <w:rPr>
                <w:rFonts w:ascii="Calibri" w:hAnsi="Calibri"/>
                <w:b w:val="0"/>
                <w:i w:val="0"/>
                <w:color w:val="212121"/>
                <w:sz w:val="19"/>
              </w:rPr>
              <w:t>A low serum thyrotropin (TSH) in older persons is associated with about a 3-fold higher incidence of atrial fibrillation over 10 years.</w:t>
            </w:r>
          </w:p>
          <w:p>
            <w:pPr>
              <w:spacing w:after="40" w:line="252" w:lineRule="auto"/>
            </w:pPr>
            <w:hyperlink r:id="rId18">
              <w:r>
                <w:rPr>
                  <w:rFonts w:ascii="Calibri" w:hAnsi="Calibri" w:cs="Calibri"/>
                  <w:sz w:val="18"/>
                  <w:color w:val="1155CC"/>
                  <w:u w:val="single"/>
                </w:rPr>
                <w:t xml:space="preserve">nejm.org — low TSH &amp; AF (Sawin, Framingham)</w:t>
              </w:r>
            </w:hyperlink>
          </w:p>
          <w:p>
            <w:pPr>
              <w:spacing w:before="60" w:after="40"/>
            </w:pPr>
            <w:r>
              <w:rPr>
                <w:rFonts w:ascii="Calibri" w:hAnsi="Calibri"/>
                <w:b w:val="0"/>
                <w:i w:val="0"/>
                <w:color w:val="5A5A5A"/>
                <w:sz w:val="18"/>
              </w:rPr>
              <w:t>#hyperthyroidism  #thyrotoxicosis  #lowTSH  #reversible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activity–AF relationship is U-shaped: meeting ≥ 150 min/week of moderate activity lowers AF incidence by about 18%, whereas long-term high-volume endurance training raises risk up to ~5-fold through atrial dilatation and high vagal tone.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largely indirectly — high-sodium, energy-dense and ultra-processed diets promote hypertension and obesity (each 5 kg/m² BMI rise ~29% higher AF odds), the dominant substrates for AF.</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Obstructive sleep apnoea (AHI &gt; 5/h) raises AF risk about 1.55-fold and strongly promotes recurrence; treating OSA with CPAP reduces AF incidence and recurrence after ablation.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Current smoking is associated with roughly a 32% higher relative risk of AF via atrial fibrosis, oxidative stress and coronary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There is a linear dose–response: AF risk rises ~8% per additional daily drink, heavy intake carries RR ~1.39, and binge drinking can trigger acute “holiday-heart” AF; abstinence reduces recurrence.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emotional and physical stress activate the sympathetic nervous system and can precipitate paroxysms; depression and anxiety are commonly associated with AF and worsen symptom burden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and consequent electrolyte disturbance (low potassium/magnesium) can act as transient triggers, but hydration status is a weak, indirect determinant of AF.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Contrary to traditional belief, meta-analyses show habitual caffeine/coffee intake does not increase AF risk and may be neutral or mildly protective; provocation is limited to occasional high-dose energy-drink use.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and periodontal inflammation are linked to a higher incidence of AF, and — importantly in India — untreated streptococcal pharyngitis leads to rheumatic heart disease, a major cause of valvular AF.</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AF has well-defined acute triggers: alcohol binges, acute illness/sepsis, thyrotoxicosis, electrolyte disturbance, pulmonary embolism, and the early period after cardiac or thoracic surgery.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23 (overweight); ≥ 25 (obese, Asian)</w:t>
            </w:r>
          </w:p>
        </w:tc>
        <w:tc>
          <w:tcPr>
            <w:tcW w:type="dxa" w:w="1468"/>
            <w:vAlign w:val="top"/>
          </w:tcPr>
          <w:p>
            <w:pPr>
              <w:spacing w:after="60" w:line="259" w:lineRule="auto"/>
            </w:pPr>
            <w:r>
              <w:rPr>
                <w:rFonts w:ascii="Calibri" w:hAnsi="Calibri"/>
                <w:b w:val="0"/>
                <w:i w:val="0"/>
                <w:color w:val="212121"/>
                <w:sz w:val="19"/>
              </w:rPr>
              <w:t>Each 5 kg/m² rise ~29% higher AF odds</w:t>
            </w:r>
          </w:p>
          <w:p>
            <w:pPr>
              <w:spacing w:after="40" w:line="252" w:lineRule="auto"/>
            </w:pPr>
            <w:hyperlink r:id="rId12">
              <w:r>
                <w:rPr>
                  <w:rFonts w:ascii="Calibri" w:hAnsi="Calibri" w:cs="Calibri"/>
                  <w:sz w:val="18"/>
                  <w:color w:val="1155CC"/>
                  <w:u w:val="single"/>
                </w:rPr>
                <w:t xml:space="preserve">https://pmc.ncbi.nlm.nih.gov/articles/PMC10866737/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(Asian)</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obesity and epicardial fat promote atrial remodelling</w:t>
            </w:r>
          </w:p>
          <w:p>
            <w:pPr>
              <w:spacing w:after="40" w:line="252" w:lineRule="auto"/>
            </w:pPr>
            <w:hyperlink r:id="rId12">
              <w:r>
                <w:rPr>
                  <w:rFonts w:ascii="Calibri" w:hAnsi="Calibri" w:cs="Calibri"/>
                  <w:sz w:val="18"/>
                  <w:color w:val="1155CC"/>
                  <w:u w:val="single"/>
                </w:rPr>
                <w:t xml:space="preserve">https://pmc.ncbi.nlm.nih.gov/articles/PMC10866737/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150–300 min/week</w:t>
            </w:r>
          </w:p>
        </w:tc>
        <w:tc>
          <w:tcPr>
            <w:tcW w:type="dxa" w:w="1512"/>
            <w:vAlign w:val="top"/>
          </w:tcPr>
          <w:p>
            <w:pPr>
              <w:spacing w:after="40" w:before="0" w:line="259" w:lineRule="auto"/>
            </w:pPr>
            <w:r>
              <w:rPr>
                <w:rFonts w:ascii="Calibri" w:hAnsi="Calibri"/>
                <w:b w:val="0"/>
                <w:i w:val="0"/>
                <w:color w:val="212121"/>
                <w:sz w:val="19"/>
              </w:rPr>
              <w:t>&lt; 150 min (inactive) or very high cumulative endurance (&gt; ~2000 h lifetime)</w:t>
            </w:r>
          </w:p>
        </w:tc>
        <w:tc>
          <w:tcPr>
            <w:tcW w:type="dxa" w:w="1468"/>
            <w:vAlign w:val="top"/>
          </w:tcPr>
          <w:p>
            <w:pPr>
              <w:spacing w:after="60" w:line="259" w:lineRule="auto"/>
            </w:pPr>
            <w:r>
              <w:rPr>
                <w:rFonts w:ascii="Calibri" w:hAnsi="Calibri"/>
                <w:b w:val="0"/>
                <w:i w:val="0"/>
                <w:color w:val="212121"/>
                <w:sz w:val="19"/>
              </w:rPr>
              <w:t>U-shaped: too little or extreme volumes both raise AF</w:t>
            </w:r>
          </w:p>
          <w:p>
            <w:pPr>
              <w:spacing w:after="40" w:line="252" w:lineRule="auto"/>
            </w:pPr>
            <w:hyperlink r:id="rId13">
              <w:r>
                <w:rPr>
                  <w:rFonts w:ascii="Calibri" w:hAnsi="Calibri" w:cs="Calibri"/>
                  <w:sz w:val="18"/>
                  <w:color w:val="1155CC"/>
                  <w:u w:val="single"/>
                </w:rPr>
                <w:t xml:space="preserve">https://pmc.ncbi.nlm.nih.gov/articles/PMC6209018/</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&gt; 9 h; fragmented sleep</w:t>
            </w:r>
          </w:p>
        </w:tc>
        <w:tc>
          <w:tcPr>
            <w:tcW w:type="dxa" w:w="1468"/>
            <w:vAlign w:val="top"/>
          </w:tcPr>
          <w:p>
            <w:pPr>
              <w:spacing w:after="40" w:before="0" w:line="259" w:lineRule="auto"/>
            </w:pPr>
            <w:r>
              <w:rPr>
                <w:rFonts w:ascii="Calibri" w:hAnsi="Calibri"/>
                <w:b w:val="0"/>
                <w:i w:val="0"/>
                <w:color w:val="212121"/>
                <w:sz w:val="19"/>
              </w:rPr>
              <w:t>Poor/short sleep and OSA impair atrial electrophysiology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Apnoea–Hypopnoea Index (events/hour)</w:t>
            </w:r>
          </w:p>
        </w:tc>
        <w:tc>
          <w:tcPr>
            <w:tcW w:type="dxa" w:w="1655"/>
            <w:vAlign w:val="top"/>
          </w:tcPr>
          <w:p>
            <w:pPr>
              <w:spacing w:after="40" w:before="0" w:line="259" w:lineRule="auto"/>
            </w:pPr>
            <w:r>
              <w:rPr>
                <w:rFonts w:ascii="Calibri" w:hAnsi="Calibri"/>
                <w:b w:val="0"/>
                <w:i w:val="0"/>
                <w:color w:val="212121"/>
                <w:sz w:val="19"/>
              </w:rPr>
              <w:t>Adults with suspected OSA</w:t>
            </w:r>
          </w:p>
        </w:tc>
        <w:tc>
          <w:tcPr>
            <w:tcW w:type="dxa" w:w="1512"/>
            <w:vAlign w:val="top"/>
          </w:tcPr>
          <w:p>
            <w:pPr>
              <w:spacing w:after="40" w:before="0" w:line="259" w:lineRule="auto"/>
            </w:pPr>
            <w:r>
              <w:rPr>
                <w:rFonts w:ascii="Calibri" w:hAnsi="Calibri"/>
                <w:b w:val="0"/>
                <w:i w:val="0"/>
                <w:color w:val="212121"/>
                <w:sz w:val="19"/>
              </w:rPr>
              <w:t>&lt; 5 /h</w:t>
            </w:r>
          </w:p>
        </w:tc>
        <w:tc>
          <w:tcPr>
            <w:tcW w:type="dxa" w:w="1512"/>
            <w:vAlign w:val="top"/>
          </w:tcPr>
          <w:p>
            <w:pPr>
              <w:spacing w:after="40" w:before="0" w:line="259" w:lineRule="auto"/>
            </w:pPr>
            <w:r>
              <w:rPr>
                <w:rFonts w:ascii="Calibri" w:hAnsi="Calibri"/>
                <w:b w:val="0"/>
                <w:i w:val="0"/>
                <w:color w:val="212121"/>
                <w:sz w:val="19"/>
              </w:rPr>
              <w:t>≥ 5 /h (≥ 15 moderate-severe)</w:t>
            </w:r>
          </w:p>
        </w:tc>
        <w:tc>
          <w:tcPr>
            <w:tcW w:type="dxa" w:w="1468"/>
            <w:vAlign w:val="top"/>
          </w:tcPr>
          <w:p>
            <w:pPr>
              <w:spacing w:after="60" w:line="259" w:lineRule="auto"/>
            </w:pPr>
            <w:r>
              <w:rPr>
                <w:rFonts w:ascii="Calibri" w:hAnsi="Calibri"/>
                <w:b w:val="0"/>
                <w:i w:val="0"/>
                <w:color w:val="212121"/>
                <w:sz w:val="19"/>
              </w:rPr>
              <w:t>OSA ~1.55× AF risk; CPAP reduces recurrence</w:t>
            </w:r>
          </w:p>
          <w:p>
            <w:pPr>
              <w:spacing w:after="40" w:line="252" w:lineRule="auto"/>
            </w:pPr>
            <w:hyperlink r:id="rId12">
              <w:r>
                <w:rPr>
                  <w:rFonts w:ascii="Calibri" w:hAnsi="Calibri" w:cs="Calibri"/>
                  <w:sz w:val="18"/>
                  <w:color w:val="1155CC"/>
                  <w:u w:val="single"/>
                </w:rPr>
                <w:t xml:space="preserve">https://pmc.ncbi.nlm.nih.gov/articles/PMC10866737/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Current smoking ~32% higher AF risk</w:t>
            </w:r>
          </w:p>
          <w:p>
            <w:pPr>
              <w:spacing w:after="40" w:line="252" w:lineRule="auto"/>
            </w:pPr>
            <w:hyperlink r:id="rId12">
              <w:r>
                <w:rPr>
                  <w:rFonts w:ascii="Calibri" w:hAnsi="Calibri" w:cs="Calibri"/>
                  <w:sz w:val="18"/>
                  <w:color w:val="1155CC"/>
                  <w:u w:val="single"/>
                </w:rPr>
                <w:t xml:space="preserve">https://pmc.ncbi.nlm.nih.gov/articles/PMC10866737/</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0–minimal; avoid binges</w:t>
            </w:r>
          </w:p>
        </w:tc>
        <w:tc>
          <w:tcPr>
            <w:tcW w:type="dxa" w:w="1512"/>
            <w:vAlign w:val="top"/>
          </w:tcPr>
          <w:p>
            <w:pPr>
              <w:spacing w:after="40" w:before="0" w:line="259" w:lineRule="auto"/>
            </w:pPr>
            <w:r>
              <w:rPr>
                <w:rFonts w:ascii="Calibri" w:hAnsi="Calibri"/>
                <w:b w:val="0"/>
                <w:i w:val="0"/>
                <w:color w:val="212121"/>
                <w:sz w:val="19"/>
              </w:rPr>
              <w:t>&gt; 14 drinks/week; any binge episode</w:t>
            </w:r>
          </w:p>
        </w:tc>
        <w:tc>
          <w:tcPr>
            <w:tcW w:type="dxa" w:w="1468"/>
            <w:vAlign w:val="top"/>
          </w:tcPr>
          <w:p>
            <w:pPr>
              <w:spacing w:after="60" w:line="259" w:lineRule="auto"/>
            </w:pPr>
            <w:r>
              <w:rPr>
                <w:rFonts w:ascii="Calibri" w:hAnsi="Calibri"/>
                <w:b w:val="0"/>
                <w:i w:val="0"/>
                <w:color w:val="212121"/>
                <w:sz w:val="19"/>
              </w:rPr>
              <w:t>~8% higher AF risk per extra daily drink</w:t>
            </w:r>
          </w:p>
          <w:p>
            <w:pPr>
              <w:spacing w:after="40" w:line="252" w:lineRule="auto"/>
            </w:pPr>
            <w:hyperlink r:id="rId14">
              <w:r>
                <w:rPr>
                  <w:rFonts w:ascii="Calibri" w:hAnsi="Calibri" w:cs="Calibri"/>
                  <w:sz w:val="18"/>
                  <w:color w:val="1155CC"/>
                  <w:u w:val="single"/>
                </w:rPr>
                <w:t xml:space="preserve">https://www.acc.org/About-ACC/Press-Releases/2014/07/14/15/14/JACC_AlcoholandAfib</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 g salt/day (WHO)</w:t>
            </w:r>
          </w:p>
        </w:tc>
        <w:tc>
          <w:tcPr>
            <w:tcW w:type="dxa" w:w="1512"/>
            <w:vAlign w:val="top"/>
          </w:tcPr>
          <w:p>
            <w:pPr>
              <w:spacing w:after="40" w:before="0" w:line="259" w:lineRule="auto"/>
            </w:pPr>
            <w:r>
              <w:rPr>
                <w:rFonts w:ascii="Calibri" w:hAnsi="Calibri"/>
                <w:b w:val="0"/>
                <w:i w:val="0"/>
                <w:color w:val="212121"/>
                <w:sz w:val="19"/>
              </w:rPr>
              <w:t>&gt; 5 g/day</w:t>
            </w:r>
          </w:p>
        </w:tc>
        <w:tc>
          <w:tcPr>
            <w:tcW w:type="dxa" w:w="1468"/>
            <w:vAlign w:val="top"/>
          </w:tcPr>
          <w:p>
            <w:pPr>
              <w:spacing w:after="40" w:before="0" w:line="259" w:lineRule="auto"/>
            </w:pPr>
            <w:r>
              <w:rPr>
                <w:rFonts w:ascii="Calibri" w:hAnsi="Calibri"/>
                <w:b w:val="0"/>
                <w:i w:val="0"/>
                <w:color w:val="212121"/>
                <w:sz w:val="19"/>
              </w:rPr>
              <w:t>Excess sodium drives hypertension and atrial pressure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Resting heart rate / autonomic surge</w:t>
            </w:r>
          </w:p>
        </w:tc>
        <w:tc>
          <w:tcPr>
            <w:tcW w:type="dxa" w:w="1655"/>
            <w:vAlign w:val="top"/>
          </w:tcPr>
          <w:p>
            <w:pPr>
              <w:spacing w:after="40" w:before="0" w:line="259" w:lineRule="auto"/>
            </w:pPr>
            <w:r>
              <w:rPr>
                <w:rFonts w:ascii="Calibri" w:hAnsi="Calibri"/>
                <w:b w:val="0"/>
                <w:i w:val="0"/>
                <w:color w:val="212121"/>
                <w:sz w:val="19"/>
              </w:rPr>
              <w:t>Adults under acute stress</w:t>
            </w:r>
          </w:p>
        </w:tc>
        <w:tc>
          <w:tcPr>
            <w:tcW w:type="dxa" w:w="1512"/>
            <w:vAlign w:val="top"/>
          </w:tcPr>
          <w:p>
            <w:pPr>
              <w:spacing w:after="40" w:before="0" w:line="259" w:lineRule="auto"/>
            </w:pPr>
            <w:r>
              <w:rPr>
                <w:rFonts w:ascii="Calibri" w:hAnsi="Calibri"/>
                <w:b w:val="0"/>
                <w:i w:val="0"/>
                <w:color w:val="212121"/>
                <w:sz w:val="19"/>
              </w:rPr>
              <w:t>Stable rate 60–100/min</w:t>
            </w:r>
          </w:p>
        </w:tc>
        <w:tc>
          <w:tcPr>
            <w:tcW w:type="dxa" w:w="1512"/>
            <w:vAlign w:val="top"/>
          </w:tcPr>
          <w:p>
            <w:pPr>
              <w:spacing w:after="40" w:before="0" w:line="259" w:lineRule="auto"/>
            </w:pPr>
            <w:r>
              <w:rPr>
                <w:rFonts w:ascii="Calibri" w:hAnsi="Calibri"/>
                <w:b w:val="0"/>
                <w:i w:val="0"/>
                <w:color w:val="212121"/>
                <w:sz w:val="19"/>
              </w:rPr>
              <w:t>Acute tachycardia/sympathetic surge with stress or binge</w:t>
            </w:r>
          </w:p>
        </w:tc>
        <w:tc>
          <w:tcPr>
            <w:tcW w:type="dxa" w:w="1468"/>
            <w:vAlign w:val="top"/>
          </w:tcPr>
          <w:p>
            <w:pPr>
              <w:spacing w:after="40" w:before="0" w:line="259" w:lineRule="auto"/>
            </w:pPr>
            <w:r>
              <w:rPr>
                <w:rFonts w:ascii="Calibri" w:hAnsi="Calibri"/>
                <w:b w:val="0"/>
                <w:i w:val="0"/>
                <w:color w:val="212121"/>
                <w:sz w:val="19"/>
              </w:rPr>
              <w:t>Emotional stress and alcohol binges can trigger paroxysms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Systolic blood pressure (mmHg)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130 mmHg</w:t>
            </w:r>
          </w:p>
        </w:tc>
        <w:tc>
          <w:tcPr>
            <w:tcW w:type="dxa" w:w="1512"/>
            <w:vAlign w:val="top"/>
          </w:tcPr>
          <w:p>
            <w:pPr>
              <w:spacing w:after="40" w:before="0" w:line="259" w:lineRule="auto"/>
            </w:pPr>
            <w:r>
              <w:rPr>
                <w:rFonts w:ascii="Calibri" w:hAnsi="Calibri"/>
                <w:b w:val="0"/>
                <w:i w:val="0"/>
                <w:color w:val="212121"/>
                <w:sz w:val="19"/>
              </w:rPr>
              <w:t>≥ 140 mmHg</w:t>
            </w:r>
          </w:p>
        </w:tc>
        <w:tc>
          <w:tcPr>
            <w:tcW w:type="dxa" w:w="1468"/>
            <w:vAlign w:val="top"/>
          </w:tcPr>
          <w:p>
            <w:pPr>
              <w:spacing w:after="60" w:line="259" w:lineRule="auto"/>
            </w:pPr>
            <w:r>
              <w:rPr>
                <w:rFonts w:ascii="Calibri" w:hAnsi="Calibri"/>
                <w:b w:val="0"/>
                <w:i w:val="0"/>
                <w:color w:val="212121"/>
                <w:sz w:val="19"/>
              </w:rPr>
              <w:t>Hypertension is the leading modifiable AF risk factor</w:t>
            </w:r>
          </w:p>
          <w:p>
            <w:pPr>
              <w:spacing w:after="40" w:line="252" w:lineRule="auto"/>
            </w:pPr>
            <w:hyperlink r:id="rId12">
              <w:r>
                <w:rPr>
                  <w:rFonts w:ascii="Calibri" w:hAnsi="Calibri" w:cs="Calibri"/>
                  <w:sz w:val="18"/>
                  <w:color w:val="1155CC"/>
                  <w:u w:val="single"/>
                </w:rPr>
                <w:t xml:space="preserve">https://pmc.ncbi.nlm.nih.gov/articles/PMC10866737/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Suppressed &lt; 0.4 (hyperthyroid)</w:t>
            </w:r>
          </w:p>
        </w:tc>
        <w:tc>
          <w:tcPr>
            <w:tcW w:type="dxa" w:w="1468"/>
            <w:vAlign w:val="top"/>
          </w:tcPr>
          <w:p>
            <w:pPr>
              <w:spacing w:after="60" w:line="259" w:lineRule="auto"/>
            </w:pPr>
            <w:r>
              <w:rPr>
                <w:rFonts w:ascii="Calibri" w:hAnsi="Calibri"/>
                <w:b w:val="0"/>
                <w:i w:val="0"/>
                <w:color w:val="212121"/>
                <w:sz w:val="19"/>
              </w:rPr>
              <w:t>Low TSH ~3× AF incidence in older persons</w:t>
            </w:r>
          </w:p>
          <w:p>
            <w:pPr>
              <w:spacing w:after="40" w:line="252" w:lineRule="auto"/>
            </w:pPr>
            <w:hyperlink r:id="rId18">
              <w:r>
                <w:rPr>
                  <w:rFonts w:ascii="Calibri" w:hAnsi="Calibri" w:cs="Calibri"/>
                  <w:sz w:val="18"/>
                  <w:color w:val="1155CC"/>
                  <w:u w:val="single"/>
                </w:rPr>
                <w:t xml:space="preserve">https://www.nejm.org/doi/full/10.1056/NEJM199411103311901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Left atrial diameter (echocardiography)</w:t>
            </w:r>
          </w:p>
        </w:tc>
        <w:tc>
          <w:tcPr>
            <w:tcW w:type="dxa" w:w="1655"/>
            <w:vAlign w:val="top"/>
          </w:tcPr>
          <w:p>
            <w:pPr>
              <w:spacing w:after="40" w:before="0" w:line="259" w:lineRule="auto"/>
            </w:pPr>
            <w:r>
              <w:rPr>
                <w:rFonts w:ascii="Calibri" w:hAnsi="Calibri"/>
                <w:b w:val="0"/>
                <w:i w:val="0"/>
                <w:color w:val="212121"/>
                <w:sz w:val="19"/>
              </w:rPr>
              <w:t>Adults, RHD patients</w:t>
            </w:r>
          </w:p>
        </w:tc>
        <w:tc>
          <w:tcPr>
            <w:tcW w:type="dxa" w:w="1512"/>
            <w:vAlign w:val="top"/>
          </w:tcPr>
          <w:p>
            <w:pPr>
              <w:spacing w:after="40" w:before="0" w:line="259" w:lineRule="auto"/>
            </w:pPr>
            <w:r>
              <w:rPr>
                <w:rFonts w:ascii="Calibri" w:hAnsi="Calibri"/>
                <w:b w:val="0"/>
                <w:i w:val="0"/>
                <w:color w:val="212121"/>
                <w:sz w:val="19"/>
              </w:rPr>
              <w:t>&lt; 40 mm</w:t>
            </w:r>
          </w:p>
        </w:tc>
        <w:tc>
          <w:tcPr>
            <w:tcW w:type="dxa" w:w="1512"/>
            <w:vAlign w:val="top"/>
          </w:tcPr>
          <w:p>
            <w:pPr>
              <w:spacing w:after="40" w:before="0" w:line="259" w:lineRule="auto"/>
            </w:pPr>
            <w:r>
              <w:rPr>
                <w:rFonts w:ascii="Calibri" w:hAnsi="Calibri"/>
                <w:b w:val="0"/>
                <w:i w:val="0"/>
                <w:color w:val="212121"/>
                <w:sz w:val="19"/>
              </w:rPr>
              <w:t>&gt; 45 mm (dilated)</w:t>
            </w:r>
          </w:p>
        </w:tc>
        <w:tc>
          <w:tcPr>
            <w:tcW w:type="dxa" w:w="1468"/>
            <w:vAlign w:val="top"/>
          </w:tcPr>
          <w:p>
            <w:pPr>
              <w:spacing w:after="60" w:line="259" w:lineRule="auto"/>
            </w:pPr>
            <w:r>
              <w:rPr>
                <w:rFonts w:ascii="Calibri" w:hAnsi="Calibri"/>
                <w:b w:val="0"/>
                <w:i w:val="0"/>
                <w:color w:val="212121"/>
                <w:sz w:val="19"/>
              </w:rPr>
              <w:t>LA enlargement both predicts and perpetuates AF; ~8 mm larger in RHD-AF</w:t>
            </w:r>
          </w:p>
          <w:p>
            <w:pPr>
              <w:spacing w:after="40" w:line="252" w:lineRule="auto"/>
            </w:pPr>
            <w:hyperlink r:id="rId11">
              <w:r>
                <w:rPr>
                  <w:rFonts w:ascii="Calibri" w:hAnsi="Calibri" w:cs="Calibri"/>
                  <w:sz w:val="18"/>
                  <w:color w:val="1155CC"/>
                  <w:u w:val="single"/>
                </w:rPr>
                <w:t xml:space="preserve">https://globalheartjournal.com/articles/10.5334/gh.807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CHA₂DS₂-VASc score</w:t>
            </w:r>
          </w:p>
        </w:tc>
        <w:tc>
          <w:tcPr>
            <w:tcW w:type="dxa" w:w="1655"/>
            <w:vAlign w:val="top"/>
          </w:tcPr>
          <w:p>
            <w:pPr>
              <w:spacing w:after="40" w:before="0" w:line="259" w:lineRule="auto"/>
            </w:pPr>
            <w:r>
              <w:rPr>
                <w:rFonts w:ascii="Calibri" w:hAnsi="Calibri"/>
                <w:b w:val="0"/>
                <w:i w:val="0"/>
                <w:color w:val="212121"/>
                <w:sz w:val="19"/>
              </w:rPr>
              <w:t>Patients with diagnosed AF</w:t>
            </w:r>
          </w:p>
        </w:tc>
        <w:tc>
          <w:tcPr>
            <w:tcW w:type="dxa" w:w="1512"/>
            <w:vAlign w:val="top"/>
          </w:tcPr>
          <w:p>
            <w:pPr>
              <w:spacing w:after="40" w:before="0" w:line="259" w:lineRule="auto"/>
            </w:pPr>
            <w:r>
              <w:rPr>
                <w:rFonts w:ascii="Calibri" w:hAnsi="Calibri"/>
                <w:b w:val="0"/>
                <w:i w:val="0"/>
                <w:color w:val="212121"/>
                <w:sz w:val="19"/>
              </w:rPr>
              <w:t>0 (men) / 1 (women)</w:t>
            </w:r>
          </w:p>
        </w:tc>
        <w:tc>
          <w:tcPr>
            <w:tcW w:type="dxa" w:w="1512"/>
            <w:vAlign w:val="top"/>
          </w:tcPr>
          <w:p>
            <w:pPr>
              <w:spacing w:after="40" w:before="0" w:line="259" w:lineRule="auto"/>
            </w:pPr>
            <w:r>
              <w:rPr>
                <w:rFonts w:ascii="Calibri" w:hAnsi="Calibri"/>
                <w:b w:val="0"/>
                <w:i w:val="0"/>
                <w:color w:val="212121"/>
                <w:sz w:val="19"/>
              </w:rPr>
              <w:t>≥ 2 (men) / ≥ 3 (women) — anticoagulation indicated</w:t>
            </w:r>
          </w:p>
        </w:tc>
        <w:tc>
          <w:tcPr>
            <w:tcW w:type="dxa" w:w="1468"/>
            <w:vAlign w:val="top"/>
          </w:tcPr>
          <w:p>
            <w:pPr>
              <w:spacing w:after="40" w:before="0" w:line="259" w:lineRule="auto"/>
            </w:pPr>
            <w:r>
              <w:rPr>
                <w:rFonts w:ascii="Calibri" w:hAnsi="Calibri"/>
                <w:b w:val="0"/>
                <w:i w:val="0"/>
                <w:color w:val="212121"/>
                <w:sz w:val="19"/>
              </w:rPr>
              <w:t>Stratifies stroke risk and guides oral anticoagulation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Rhythm, P waves, R–R regularity</w:t>
            </w:r>
          </w:p>
        </w:tc>
        <w:tc>
          <w:tcPr>
            <w:tcW w:type="dxa" w:w="892"/>
            <w:vAlign w:val="top"/>
          </w:tcPr>
          <w:p>
            <w:pPr>
              <w:spacing w:after="40" w:before="0" w:line="259" w:lineRule="auto"/>
            </w:pPr>
            <w:r>
              <w:rPr>
                <w:rFonts w:ascii="Calibri" w:hAnsi="Calibri"/>
                <w:b w:val="0"/>
                <w:i w:val="0"/>
                <w:color w:val="212121"/>
                <w:sz w:val="16"/>
              </w:rPr>
              <w:t>12-lead Electrocardiogram (ECG)</w:t>
            </w:r>
          </w:p>
        </w:tc>
        <w:tc>
          <w:tcPr>
            <w:tcW w:type="dxa" w:w="950"/>
            <w:vAlign w:val="top"/>
          </w:tcPr>
          <w:p>
            <w:pPr>
              <w:spacing w:after="40" w:before="0" w:line="259" w:lineRule="auto"/>
            </w:pPr>
            <w:r>
              <w:rPr>
                <w:rFonts w:ascii="Calibri" w:hAnsi="Calibri"/>
                <w:b w:val="0"/>
                <w:i w:val="0"/>
                <w:color w:val="212121"/>
                <w:sz w:val="16"/>
              </w:rPr>
              <w:t>Sinus rhythm with regular P-QRS</w:t>
            </w:r>
          </w:p>
        </w:tc>
        <w:tc>
          <w:tcPr>
            <w:tcW w:type="dxa" w:w="950"/>
            <w:vAlign w:val="top"/>
          </w:tcPr>
          <w:p>
            <w:pPr>
              <w:spacing w:after="40" w:before="0" w:line="259" w:lineRule="auto"/>
            </w:pPr>
            <w:r>
              <w:rPr>
                <w:rFonts w:ascii="Calibri" w:hAnsi="Calibri"/>
                <w:b w:val="0"/>
                <w:i w:val="0"/>
                <w:color w:val="212121"/>
                <w:sz w:val="16"/>
              </w:rPr>
              <w:t>Absent P waves, fibrillatory waves, irregularly irregular R–R</w:t>
            </w:r>
          </w:p>
        </w:tc>
        <w:tc>
          <w:tcPr>
            <w:tcW w:type="dxa" w:w="1036"/>
            <w:vAlign w:val="top"/>
          </w:tcPr>
          <w:p>
            <w:pPr>
              <w:spacing w:after="40" w:before="0" w:line="259" w:lineRule="auto"/>
            </w:pPr>
            <w:r>
              <w:rPr>
                <w:rFonts w:ascii="Calibri" w:hAnsi="Calibri"/>
                <w:b w:val="0"/>
                <w:i w:val="0"/>
                <w:color w:val="212121"/>
                <w:sz w:val="16"/>
              </w:rPr>
              <w:t>Confirms and characterises AF; assesses rate and conduction</w:t>
            </w:r>
          </w:p>
        </w:tc>
        <w:tc>
          <w:tcPr>
            <w:tcW w:type="dxa" w:w="1036"/>
            <w:vAlign w:val="top"/>
          </w:tcPr>
          <w:p>
            <w:pPr>
              <w:spacing w:after="40" w:before="0" w:line="259" w:lineRule="auto"/>
            </w:pPr>
            <w:r>
              <w:rPr>
                <w:rFonts w:ascii="Calibri" w:hAnsi="Calibri"/>
                <w:b w:val="0"/>
                <w:i w:val="0"/>
                <w:color w:val="212121"/>
                <w:sz w:val="16"/>
              </w:rPr>
              <w:t>All patients with suspected AF, palpitations, stroke</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 tracing ≥ 30 s (or full 12-lead) is diagnostic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Paroxysmal / intermittent AF burden</w:t>
            </w:r>
          </w:p>
        </w:tc>
        <w:tc>
          <w:tcPr>
            <w:tcW w:type="dxa" w:w="892"/>
            <w:vAlign w:val="top"/>
          </w:tcPr>
          <w:p>
            <w:pPr>
              <w:spacing w:after="40" w:before="0" w:line="259" w:lineRule="auto"/>
            </w:pPr>
            <w:r>
              <w:rPr>
                <w:rFonts w:ascii="Calibri" w:hAnsi="Calibri"/>
                <w:b w:val="0"/>
                <w:i w:val="0"/>
                <w:color w:val="212121"/>
                <w:sz w:val="16"/>
              </w:rPr>
              <w:t>Ambulatory ECG (Holter / patch / event monitor)</w:t>
            </w:r>
          </w:p>
        </w:tc>
        <w:tc>
          <w:tcPr>
            <w:tcW w:type="dxa" w:w="950"/>
            <w:vAlign w:val="top"/>
          </w:tcPr>
          <w:p>
            <w:pPr>
              <w:spacing w:after="40" w:before="0" w:line="259" w:lineRule="auto"/>
            </w:pPr>
            <w:r>
              <w:rPr>
                <w:rFonts w:ascii="Calibri" w:hAnsi="Calibri"/>
                <w:b w:val="0"/>
                <w:i w:val="0"/>
                <w:color w:val="212121"/>
                <w:sz w:val="16"/>
              </w:rPr>
              <w:t>No AF captured</w:t>
            </w:r>
          </w:p>
        </w:tc>
        <w:tc>
          <w:tcPr>
            <w:tcW w:type="dxa" w:w="950"/>
            <w:vAlign w:val="top"/>
          </w:tcPr>
          <w:p>
            <w:pPr>
              <w:spacing w:after="40" w:before="0" w:line="259" w:lineRule="auto"/>
            </w:pPr>
            <w:r>
              <w:rPr>
                <w:rFonts w:ascii="Calibri" w:hAnsi="Calibri"/>
                <w:b w:val="0"/>
                <w:i w:val="0"/>
                <w:color w:val="212121"/>
                <w:sz w:val="16"/>
              </w:rPr>
              <w:t>AF episodes ≥ 30 s</w:t>
            </w:r>
          </w:p>
        </w:tc>
        <w:tc>
          <w:tcPr>
            <w:tcW w:type="dxa" w:w="1036"/>
            <w:vAlign w:val="top"/>
          </w:tcPr>
          <w:p>
            <w:pPr>
              <w:spacing w:after="40" w:before="0" w:line="259" w:lineRule="auto"/>
            </w:pPr>
            <w:r>
              <w:rPr>
                <w:rFonts w:ascii="Calibri" w:hAnsi="Calibri"/>
                <w:b w:val="0"/>
                <w:i w:val="0"/>
                <w:color w:val="212121"/>
                <w:sz w:val="16"/>
              </w:rPr>
              <w:t>Detects paroxysmal AF missed on resting ECG; quantifies burden</w:t>
            </w:r>
          </w:p>
        </w:tc>
        <w:tc>
          <w:tcPr>
            <w:tcW w:type="dxa" w:w="1036"/>
            <w:vAlign w:val="top"/>
          </w:tcPr>
          <w:p>
            <w:pPr>
              <w:spacing w:after="40" w:before="0" w:line="259" w:lineRule="auto"/>
            </w:pPr>
            <w:r>
              <w:rPr>
                <w:rFonts w:ascii="Calibri" w:hAnsi="Calibri"/>
                <w:b w:val="0"/>
                <w:i w:val="0"/>
                <w:color w:val="212121"/>
                <w:sz w:val="16"/>
              </w:rPr>
              <w:t>Palpitations, cryptogenic stroke, post-ablation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Longer/repeated monitoring improves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LA size, valves, LV function, thrombus</w:t>
            </w:r>
          </w:p>
        </w:tc>
        <w:tc>
          <w:tcPr>
            <w:tcW w:type="dxa" w:w="892"/>
            <w:vAlign w:val="top"/>
          </w:tcPr>
          <w:p>
            <w:pPr>
              <w:spacing w:after="40" w:before="0" w:line="259" w:lineRule="auto"/>
            </w:pPr>
            <w:r>
              <w:rPr>
                <w:rFonts w:ascii="Calibri" w:hAnsi="Calibri"/>
                <w:b w:val="0"/>
                <w:i w:val="0"/>
                <w:color w:val="212121"/>
                <w:sz w:val="16"/>
              </w:rPr>
              <w:t>Transthoracic / transoesophageal echocardiography</w:t>
            </w:r>
          </w:p>
        </w:tc>
        <w:tc>
          <w:tcPr>
            <w:tcW w:type="dxa" w:w="950"/>
            <w:vAlign w:val="top"/>
          </w:tcPr>
          <w:p>
            <w:pPr>
              <w:spacing w:after="40" w:before="0" w:line="259" w:lineRule="auto"/>
            </w:pPr>
            <w:r>
              <w:rPr>
                <w:rFonts w:ascii="Calibri" w:hAnsi="Calibri"/>
                <w:b w:val="0"/>
                <w:i w:val="0"/>
                <w:color w:val="212121"/>
                <w:sz w:val="16"/>
              </w:rPr>
              <w:t>Normal chambers and valves, LA &lt; 40 mm</w:t>
            </w:r>
          </w:p>
        </w:tc>
        <w:tc>
          <w:tcPr>
            <w:tcW w:type="dxa" w:w="950"/>
            <w:vAlign w:val="top"/>
          </w:tcPr>
          <w:p>
            <w:pPr>
              <w:spacing w:after="40" w:before="0" w:line="259" w:lineRule="auto"/>
            </w:pPr>
            <w:r>
              <w:rPr>
                <w:rFonts w:ascii="Calibri" w:hAnsi="Calibri"/>
                <w:b w:val="0"/>
                <w:i w:val="0"/>
                <w:color w:val="212121"/>
                <w:sz w:val="16"/>
              </w:rPr>
              <w:t>LA enlargement, mitral valve disease, low EF, LAA thrombus</w:t>
            </w:r>
          </w:p>
        </w:tc>
        <w:tc>
          <w:tcPr>
            <w:tcW w:type="dxa" w:w="1036"/>
            <w:vAlign w:val="top"/>
          </w:tcPr>
          <w:p>
            <w:pPr>
              <w:spacing w:after="40" w:before="0" w:line="259" w:lineRule="auto"/>
            </w:pPr>
            <w:r>
              <w:rPr>
                <w:rFonts w:ascii="Calibri" w:hAnsi="Calibri"/>
                <w:b w:val="0"/>
                <w:i w:val="0"/>
                <w:color w:val="212121"/>
                <w:sz w:val="16"/>
              </w:rPr>
              <w:t>Identifies structural/valvular substrate and guides therapy</w:t>
            </w:r>
          </w:p>
        </w:tc>
        <w:tc>
          <w:tcPr>
            <w:tcW w:type="dxa" w:w="1036"/>
            <w:vAlign w:val="top"/>
          </w:tcPr>
          <w:p>
            <w:pPr>
              <w:spacing w:after="40" w:before="0" w:line="259" w:lineRule="auto"/>
            </w:pPr>
            <w:r>
              <w:rPr>
                <w:rFonts w:ascii="Calibri" w:hAnsi="Calibri"/>
                <w:b w:val="0"/>
                <w:i w:val="0"/>
                <w:color w:val="212121"/>
                <w:sz w:val="16"/>
              </w:rPr>
              <w:t>All AF patients, especially suspected RHD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TOE needed to exclude LAA clot before early cardioversion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tests</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 raised free T4</w:t>
            </w:r>
          </w:p>
        </w:tc>
        <w:tc>
          <w:tcPr>
            <w:tcW w:type="dxa" w:w="1036"/>
            <w:vAlign w:val="top"/>
          </w:tcPr>
          <w:p>
            <w:pPr>
              <w:spacing w:after="40" w:before="0" w:line="259" w:lineRule="auto"/>
            </w:pPr>
            <w:r>
              <w:rPr>
                <w:rFonts w:ascii="Calibri" w:hAnsi="Calibri"/>
                <w:b w:val="0"/>
                <w:i w:val="0"/>
                <w:color w:val="212121"/>
                <w:sz w:val="16"/>
              </w:rPr>
              <w:t>Detects thyrotoxicosis as a reversible cause</w:t>
            </w:r>
          </w:p>
        </w:tc>
        <w:tc>
          <w:tcPr>
            <w:tcW w:type="dxa" w:w="1036"/>
            <w:vAlign w:val="top"/>
          </w:tcPr>
          <w:p>
            <w:pPr>
              <w:spacing w:after="40" w:before="0" w:line="259" w:lineRule="auto"/>
            </w:pPr>
            <w:r>
              <w:rPr>
                <w:rFonts w:ascii="Calibri" w:hAnsi="Calibri"/>
                <w:b w:val="0"/>
                <w:i w:val="0"/>
                <w:color w:val="212121"/>
                <w:sz w:val="16"/>
              </w:rPr>
              <w:t>New AF, rapid/refractory ventricular rates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Correcting hyperthyroidism can restore sinus rhythm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potassium, magnesium, calcium</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Hypokalaemia / hypomagnesaemia</w:t>
            </w:r>
          </w:p>
        </w:tc>
        <w:tc>
          <w:tcPr>
            <w:tcW w:type="dxa" w:w="1036"/>
            <w:vAlign w:val="top"/>
          </w:tcPr>
          <w:p>
            <w:pPr>
              <w:spacing w:after="40" w:before="0" w:line="259" w:lineRule="auto"/>
            </w:pPr>
            <w:r>
              <w:rPr>
                <w:rFonts w:ascii="Calibri" w:hAnsi="Calibri"/>
                <w:b w:val="0"/>
                <w:i w:val="0"/>
                <w:color w:val="212121"/>
                <w:sz w:val="16"/>
              </w:rPr>
              <w:t>Electrolyte disturbance can trigger or sustain AF</w:t>
            </w:r>
          </w:p>
        </w:tc>
        <w:tc>
          <w:tcPr>
            <w:tcW w:type="dxa" w:w="1036"/>
            <w:vAlign w:val="top"/>
          </w:tcPr>
          <w:p>
            <w:pPr>
              <w:spacing w:after="40" w:before="0" w:line="259" w:lineRule="auto"/>
            </w:pPr>
            <w:r>
              <w:rPr>
                <w:rFonts w:ascii="Calibri" w:hAnsi="Calibri"/>
                <w:b w:val="0"/>
                <w:i w:val="0"/>
                <w:color w:val="212121"/>
                <w:sz w:val="16"/>
              </w:rPr>
              <w:t>Acute AF, diuretic users, vomiting/diarrhoea</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before/with antiarrhythmic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eGFR</w:t>
            </w:r>
          </w:p>
        </w:tc>
        <w:tc>
          <w:tcPr>
            <w:tcW w:type="dxa" w:w="892"/>
            <w:vAlign w:val="top"/>
          </w:tcPr>
          <w:p>
            <w:pPr>
              <w:spacing w:after="40" w:before="0" w:line="259" w:lineRule="auto"/>
            </w:pPr>
            <w:r>
              <w:rPr>
                <w:rFonts w:ascii="Calibri" w:hAnsi="Calibri"/>
                <w:b w:val="0"/>
                <w:i w:val="0"/>
                <w:color w:val="212121"/>
                <w:sz w:val="16"/>
              </w:rPr>
              <w:t>Renal function tests</w:t>
            </w:r>
          </w:p>
        </w:tc>
        <w:tc>
          <w:tcPr>
            <w:tcW w:type="dxa" w:w="950"/>
            <w:vAlign w:val="top"/>
          </w:tcPr>
          <w:p>
            <w:pPr>
              <w:spacing w:after="40" w:before="0" w:line="259" w:lineRule="auto"/>
            </w:pPr>
            <w:r>
              <w:rPr>
                <w:rFonts w:ascii="Calibri" w:hAnsi="Calibri"/>
                <w:b w:val="0"/>
                <w:i w:val="0"/>
                <w:color w:val="212121"/>
                <w:sz w:val="16"/>
              </w:rPr>
              <w:t>eGFR ≥ 90 mL/min/1.73m²</w:t>
            </w:r>
          </w:p>
        </w:tc>
        <w:tc>
          <w:tcPr>
            <w:tcW w:type="dxa" w:w="950"/>
            <w:vAlign w:val="top"/>
          </w:tcPr>
          <w:p>
            <w:pPr>
              <w:spacing w:after="40" w:before="0" w:line="259" w:lineRule="auto"/>
            </w:pPr>
            <w:r>
              <w:rPr>
                <w:rFonts w:ascii="Calibri" w:hAnsi="Calibri"/>
                <w:b w:val="0"/>
                <w:i w:val="0"/>
                <w:color w:val="212121"/>
                <w:sz w:val="16"/>
              </w:rPr>
              <w:t>Reduced eGFR / CKD</w:t>
            </w:r>
          </w:p>
        </w:tc>
        <w:tc>
          <w:tcPr>
            <w:tcW w:type="dxa" w:w="1036"/>
            <w:vAlign w:val="top"/>
          </w:tcPr>
          <w:p>
            <w:pPr>
              <w:spacing w:after="40" w:before="0" w:line="259" w:lineRule="auto"/>
            </w:pPr>
            <w:r>
              <w:rPr>
                <w:rFonts w:ascii="Calibri" w:hAnsi="Calibri"/>
                <w:b w:val="0"/>
                <w:i w:val="0"/>
                <w:color w:val="212121"/>
                <w:sz w:val="16"/>
              </w:rPr>
              <w:t>Guides anticoagulant choice and dosing</w:t>
            </w:r>
          </w:p>
        </w:tc>
        <w:tc>
          <w:tcPr>
            <w:tcW w:type="dxa" w:w="1036"/>
            <w:vAlign w:val="top"/>
          </w:tcPr>
          <w:p>
            <w:pPr>
              <w:spacing w:after="40" w:before="0" w:line="259" w:lineRule="auto"/>
            </w:pPr>
            <w:r>
              <w:rPr>
                <w:rFonts w:ascii="Calibri" w:hAnsi="Calibri"/>
                <w:b w:val="0"/>
                <w:i w:val="0"/>
                <w:color w:val="212121"/>
                <w:sz w:val="16"/>
              </w:rPr>
              <w:t>AF patients started on anticoagulation,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DOAC dose adjusted or avoided in advanced CKD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platelets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within reference range</w:t>
            </w:r>
          </w:p>
        </w:tc>
        <w:tc>
          <w:tcPr>
            <w:tcW w:type="dxa" w:w="950"/>
            <w:vAlign w:val="top"/>
          </w:tcPr>
          <w:p>
            <w:pPr>
              <w:spacing w:after="40" w:before="0" w:line="259" w:lineRule="auto"/>
            </w:pPr>
            <w:r>
              <w:rPr>
                <w:rFonts w:ascii="Calibri" w:hAnsi="Calibri"/>
                <w:b w:val="0"/>
                <w:i w:val="0"/>
                <w:color w:val="212121"/>
                <w:sz w:val="16"/>
              </w:rPr>
              <w:t>Anaemia / thrombocytopenia</w:t>
            </w:r>
          </w:p>
        </w:tc>
        <w:tc>
          <w:tcPr>
            <w:tcW w:type="dxa" w:w="1036"/>
            <w:vAlign w:val="top"/>
          </w:tcPr>
          <w:p>
            <w:pPr>
              <w:spacing w:after="40" w:before="0" w:line="259" w:lineRule="auto"/>
            </w:pPr>
            <w:r>
              <w:rPr>
                <w:rFonts w:ascii="Calibri" w:hAnsi="Calibri"/>
                <w:b w:val="0"/>
                <w:i w:val="0"/>
                <w:color w:val="212121"/>
                <w:sz w:val="16"/>
              </w:rPr>
              <w:t>Anaemia worsens rate and symptoms; informs bleeding risk</w:t>
            </w:r>
          </w:p>
        </w:tc>
        <w:tc>
          <w:tcPr>
            <w:tcW w:type="dxa" w:w="1036"/>
            <w:vAlign w:val="top"/>
          </w:tcPr>
          <w:p>
            <w:pPr>
              <w:spacing w:after="40" w:before="0" w:line="259" w:lineRule="auto"/>
            </w:pPr>
            <w:r>
              <w:rPr>
                <w:rFonts w:ascii="Calibri" w:hAnsi="Calibri"/>
                <w:b w:val="0"/>
                <w:i w:val="0"/>
                <w:color w:val="212121"/>
                <w:sz w:val="16"/>
              </w:rPr>
              <w:t>AF patients, pre-anticoagulation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Part of baseline bleeding-risk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NT-proBNP / BNP</w:t>
            </w:r>
          </w:p>
        </w:tc>
        <w:tc>
          <w:tcPr>
            <w:tcW w:type="dxa" w:w="892"/>
            <w:vAlign w:val="top"/>
          </w:tcPr>
          <w:p>
            <w:pPr>
              <w:spacing w:after="40" w:before="0" w:line="259" w:lineRule="auto"/>
            </w:pPr>
            <w:r>
              <w:rPr>
                <w:rFonts w:ascii="Calibri" w:hAnsi="Calibri"/>
                <w:b w:val="0"/>
                <w:i w:val="0"/>
                <w:color w:val="212121"/>
                <w:sz w:val="16"/>
              </w:rPr>
              <w:t>Natriuretic peptides</w:t>
            </w:r>
          </w:p>
        </w:tc>
        <w:tc>
          <w:tcPr>
            <w:tcW w:type="dxa" w:w="950"/>
            <w:vAlign w:val="top"/>
          </w:tcPr>
          <w:p>
            <w:pPr>
              <w:spacing w:after="40" w:before="0" w:line="259" w:lineRule="auto"/>
            </w:pPr>
            <w:r>
              <w:rPr>
                <w:rFonts w:ascii="Calibri" w:hAnsi="Calibri"/>
                <w:b w:val="0"/>
                <w:i w:val="0"/>
                <w:color w:val="212121"/>
                <w:sz w:val="16"/>
              </w:rPr>
              <w:t>Age-adjusted normal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Reflects atrial stretch/heart failure; supports diagnosis</w:t>
            </w:r>
          </w:p>
        </w:tc>
        <w:tc>
          <w:tcPr>
            <w:tcW w:type="dxa" w:w="1036"/>
            <w:vAlign w:val="top"/>
          </w:tcPr>
          <w:p>
            <w:pPr>
              <w:spacing w:after="40" w:before="0" w:line="259" w:lineRule="auto"/>
            </w:pPr>
            <w:r>
              <w:rPr>
                <w:rFonts w:ascii="Calibri" w:hAnsi="Calibri"/>
                <w:b w:val="0"/>
                <w:i w:val="0"/>
                <w:color w:val="212121"/>
                <w:sz w:val="16"/>
              </w:rPr>
              <w:t>AF with dyspnoea, suspected heart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elevated in AF even without overt HF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INR / coagulation profile</w:t>
            </w:r>
          </w:p>
        </w:tc>
        <w:tc>
          <w:tcPr>
            <w:tcW w:type="dxa" w:w="892"/>
            <w:vAlign w:val="top"/>
          </w:tcPr>
          <w:p>
            <w:pPr>
              <w:spacing w:after="40" w:before="0" w:line="259" w:lineRule="auto"/>
            </w:pPr>
            <w:r>
              <w:rPr>
                <w:rFonts w:ascii="Calibri" w:hAnsi="Calibri"/>
                <w:b w:val="0"/>
                <w:i w:val="0"/>
                <w:color w:val="212121"/>
                <w:sz w:val="16"/>
              </w:rPr>
              <w:t>Prothrombin time / INR</w:t>
            </w:r>
          </w:p>
        </w:tc>
        <w:tc>
          <w:tcPr>
            <w:tcW w:type="dxa" w:w="950"/>
            <w:vAlign w:val="top"/>
          </w:tcPr>
          <w:p>
            <w:pPr>
              <w:spacing w:after="40" w:before="0" w:line="259" w:lineRule="auto"/>
            </w:pPr>
            <w:r>
              <w:rPr>
                <w:rFonts w:ascii="Calibri" w:hAnsi="Calibri"/>
                <w:b w:val="0"/>
                <w:i w:val="0"/>
                <w:color w:val="212121"/>
                <w:sz w:val="16"/>
              </w:rPr>
              <w:t>INR ~1.0 (off treatment)</w:t>
            </w:r>
          </w:p>
        </w:tc>
        <w:tc>
          <w:tcPr>
            <w:tcW w:type="dxa" w:w="950"/>
            <w:vAlign w:val="top"/>
          </w:tcPr>
          <w:p>
            <w:pPr>
              <w:spacing w:after="40" w:before="0" w:line="259" w:lineRule="auto"/>
            </w:pPr>
            <w:r>
              <w:rPr>
                <w:rFonts w:ascii="Calibri" w:hAnsi="Calibri"/>
                <w:b w:val="0"/>
                <w:i w:val="0"/>
                <w:color w:val="212121"/>
                <w:sz w:val="16"/>
              </w:rPr>
              <w:t>Sub- or supra-therapeutic on warfarin</w:t>
            </w:r>
          </w:p>
        </w:tc>
        <w:tc>
          <w:tcPr>
            <w:tcW w:type="dxa" w:w="1036"/>
            <w:vAlign w:val="top"/>
          </w:tcPr>
          <w:p>
            <w:pPr>
              <w:spacing w:after="40" w:before="0" w:line="259" w:lineRule="auto"/>
            </w:pPr>
            <w:r>
              <w:rPr>
                <w:rFonts w:ascii="Calibri" w:hAnsi="Calibri"/>
                <w:b w:val="0"/>
                <w:i w:val="0"/>
                <w:color w:val="212121"/>
                <w:sz w:val="16"/>
              </w:rPr>
              <w:t>Monitors vitamin-K-antagonist anticoagulation (needed for valvular AF)</w:t>
            </w:r>
          </w:p>
        </w:tc>
        <w:tc>
          <w:tcPr>
            <w:tcW w:type="dxa" w:w="1036"/>
            <w:vAlign w:val="top"/>
          </w:tcPr>
          <w:p>
            <w:pPr>
              <w:spacing w:after="40" w:before="0" w:line="259" w:lineRule="auto"/>
            </w:pPr>
            <w:r>
              <w:rPr>
                <w:rFonts w:ascii="Calibri" w:hAnsi="Calibri"/>
                <w:b w:val="0"/>
                <w:i w:val="0"/>
                <w:color w:val="212121"/>
                <w:sz w:val="16"/>
              </w:rPr>
              <w:t>Valvular AF, mechanical valve, warfarin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Target INR 2–3 for most; mechanical valves higher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Palpitations, breathlessness, fatigue, dizziness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 (or asymptomatic incidental AF)</w:t>
            </w:r>
          </w:p>
        </w:tc>
        <w:tc>
          <w:tcPr>
            <w:tcW w:type="dxa" w:w="1036"/>
            <w:vAlign w:val="top"/>
          </w:tcPr>
          <w:p>
            <w:pPr>
              <w:spacing w:after="40" w:before="0" w:line="259" w:lineRule="auto"/>
            </w:pPr>
            <w:r>
              <w:rPr>
                <w:rFonts w:ascii="Calibri" w:hAnsi="Calibri"/>
                <w:b w:val="0"/>
                <w:i w:val="0"/>
                <w:color w:val="212121"/>
                <w:sz w:val="16"/>
              </w:rPr>
              <w:t>Characterises symptom burden and pattern (paroxysmal vs sustained)</w:t>
            </w:r>
          </w:p>
        </w:tc>
        <w:tc>
          <w:tcPr>
            <w:tcW w:type="dxa" w:w="1036"/>
            <w:vAlign w:val="top"/>
          </w:tcPr>
          <w:p>
            <w:pPr>
              <w:spacing w:after="40" w:before="0" w:line="259" w:lineRule="auto"/>
            </w:pPr>
            <w:r>
              <w:rPr>
                <w:rFonts w:ascii="Calibri" w:hAnsi="Calibri"/>
                <w:b w:val="0"/>
                <w:i w:val="0"/>
                <w:color w:val="212121"/>
                <w:sz w:val="16"/>
              </w:rPr>
              <w:t>Adults with palpitations, elderly, incidental AF</w:t>
            </w:r>
          </w:p>
        </w:tc>
        <w:tc>
          <w:tcPr>
            <w:tcW w:type="dxa" w:w="720"/>
            <w:vAlign w:val="top"/>
          </w:tcPr>
          <w:p>
            <w:pPr>
              <w:spacing w:after="40" w:before="0" w:line="259" w:lineRule="auto"/>
            </w:pPr>
            <w:r>
              <w:rPr>
                <w:rFonts w:ascii="Calibri" w:hAnsi="Calibri"/>
                <w:b w:val="0"/>
                <w:i w:val="0"/>
                <w:color w:val="212121"/>
                <w:sz w:val="16"/>
              </w:rPr>
              <w:t>Physical activity;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quarter or more of AF is asymptomatic and found incidentally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Pulse examination</w:t>
            </w:r>
          </w:p>
        </w:tc>
        <w:tc>
          <w:tcPr>
            <w:tcW w:type="dxa" w:w="979"/>
            <w:vAlign w:val="top"/>
          </w:tcPr>
          <w:p>
            <w:pPr>
              <w:spacing w:after="40" w:before="0" w:line="259" w:lineRule="auto"/>
            </w:pPr>
            <w:r>
              <w:rPr>
                <w:rFonts w:ascii="Calibri" w:hAnsi="Calibri"/>
                <w:b w:val="0"/>
                <w:i w:val="0"/>
                <w:color w:val="212121"/>
                <w:sz w:val="16"/>
              </w:rPr>
              <w:t>Rhythm and pulse deficit</w:t>
            </w:r>
          </w:p>
        </w:tc>
        <w:tc>
          <w:tcPr>
            <w:tcW w:type="dxa" w:w="950"/>
            <w:vAlign w:val="top"/>
          </w:tcPr>
          <w:p>
            <w:pPr>
              <w:spacing w:after="40" w:before="0" w:line="259" w:lineRule="auto"/>
            </w:pPr>
            <w:r>
              <w:rPr>
                <w:rFonts w:ascii="Calibri" w:hAnsi="Calibri"/>
                <w:b w:val="0"/>
                <w:i w:val="0"/>
                <w:color w:val="212121"/>
                <w:sz w:val="16"/>
              </w:rPr>
              <w:t>Regular pulse, no apex–radial deficit</w:t>
            </w:r>
          </w:p>
        </w:tc>
        <w:tc>
          <w:tcPr>
            <w:tcW w:type="dxa" w:w="950"/>
            <w:vAlign w:val="top"/>
          </w:tcPr>
          <w:p>
            <w:pPr>
              <w:spacing w:after="40" w:before="0" w:line="259" w:lineRule="auto"/>
            </w:pPr>
            <w:r>
              <w:rPr>
                <w:rFonts w:ascii="Calibri" w:hAnsi="Calibri"/>
                <w:b w:val="0"/>
                <w:i w:val="0"/>
                <w:color w:val="212121"/>
                <w:sz w:val="16"/>
              </w:rPr>
              <w:t>Irregularly irregular pulse with pulse deficit</w:t>
            </w:r>
          </w:p>
        </w:tc>
        <w:tc>
          <w:tcPr>
            <w:tcW w:type="dxa" w:w="1036"/>
            <w:vAlign w:val="top"/>
          </w:tcPr>
          <w:p>
            <w:pPr>
              <w:spacing w:after="40" w:before="0" w:line="259" w:lineRule="auto"/>
            </w:pPr>
            <w:r>
              <w:rPr>
                <w:rFonts w:ascii="Calibri" w:hAnsi="Calibri"/>
                <w:b w:val="0"/>
                <w:i w:val="0"/>
                <w:color w:val="212121"/>
                <w:sz w:val="16"/>
              </w:rPr>
              <w:t>Classic bedside sign of AF; deficit reflects ineffective beats</w:t>
            </w:r>
          </w:p>
        </w:tc>
        <w:tc>
          <w:tcPr>
            <w:tcW w:type="dxa" w:w="1036"/>
            <w:vAlign w:val="top"/>
          </w:tcPr>
          <w:p>
            <w:pPr>
              <w:spacing w:after="40" w:before="0" w:line="259" w:lineRule="auto"/>
            </w:pPr>
            <w:r>
              <w:rPr>
                <w:rFonts w:ascii="Calibri" w:hAnsi="Calibri"/>
                <w:b w:val="0"/>
                <w:i w:val="0"/>
                <w:color w:val="212121"/>
                <w:sz w:val="16"/>
              </w:rPr>
              <w:t>All patients, opportunistic screening ≥ 65 years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Confirm every irregular pulse with an ECG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lifestyle history</w:t>
            </w:r>
          </w:p>
        </w:tc>
        <w:tc>
          <w:tcPr>
            <w:tcW w:type="dxa" w:w="979"/>
            <w:vAlign w:val="top"/>
          </w:tcPr>
          <w:p>
            <w:pPr>
              <w:spacing w:after="40" w:before="0" w:line="259" w:lineRule="auto"/>
            </w:pPr>
            <w:r>
              <w:rPr>
                <w:rFonts w:ascii="Calibri" w:hAnsi="Calibri"/>
                <w:b w:val="0"/>
                <w:i w:val="0"/>
                <w:color w:val="212121"/>
                <w:sz w:val="16"/>
              </w:rPr>
              <w:t>Alcohol, caffeine excess, recent illness/surgery</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Binge alcohol, sepsis, post-operative, thyrotoxic symptoms</w:t>
            </w:r>
          </w:p>
        </w:tc>
        <w:tc>
          <w:tcPr>
            <w:tcW w:type="dxa" w:w="1036"/>
            <w:vAlign w:val="top"/>
          </w:tcPr>
          <w:p>
            <w:pPr>
              <w:spacing w:after="40" w:before="0" w:line="259" w:lineRule="auto"/>
            </w:pPr>
            <w:r>
              <w:rPr>
                <w:rFonts w:ascii="Calibri" w:hAnsi="Calibri"/>
                <w:b w:val="0"/>
                <w:i w:val="0"/>
                <w:color w:val="212121"/>
                <w:sz w:val="16"/>
              </w:rPr>
              <w:t>Identifies reversible precipitants of AF</w:t>
            </w:r>
          </w:p>
        </w:tc>
        <w:tc>
          <w:tcPr>
            <w:tcW w:type="dxa" w:w="1036"/>
            <w:vAlign w:val="top"/>
          </w:tcPr>
          <w:p>
            <w:pPr>
              <w:spacing w:after="40" w:before="0" w:line="259" w:lineRule="auto"/>
            </w:pPr>
            <w:r>
              <w:rPr>
                <w:rFonts w:ascii="Calibri" w:hAnsi="Calibri"/>
                <w:b w:val="0"/>
                <w:i w:val="0"/>
                <w:color w:val="212121"/>
                <w:sz w:val="16"/>
              </w:rPr>
              <w:t>New-onset AF, young patients, binge drinkers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“Holiday heart” after binge drinking is common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AF / early-onset arrhythmia</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affected</w:t>
            </w:r>
          </w:p>
        </w:tc>
        <w:tc>
          <w:tcPr>
            <w:tcW w:type="dxa" w:w="1036"/>
            <w:vAlign w:val="top"/>
          </w:tcPr>
          <w:p>
            <w:pPr>
              <w:spacing w:after="40" w:before="0" w:line="259" w:lineRule="auto"/>
            </w:pPr>
            <w:r>
              <w:rPr>
                <w:rFonts w:ascii="Calibri" w:hAnsi="Calibri"/>
                <w:b w:val="0"/>
                <w:i w:val="0"/>
                <w:color w:val="212121"/>
                <w:sz w:val="16"/>
              </w:rPr>
              <w:t>Indicates heritable predisposition, especially in early-onset AF</w:t>
            </w:r>
          </w:p>
        </w:tc>
        <w:tc>
          <w:tcPr>
            <w:tcW w:type="dxa" w:w="1036"/>
            <w:vAlign w:val="top"/>
          </w:tcPr>
          <w:p>
            <w:pPr>
              <w:spacing w:after="40" w:before="0" w:line="259" w:lineRule="auto"/>
            </w:pPr>
            <w:r>
              <w:rPr>
                <w:rFonts w:ascii="Calibri" w:hAnsi="Calibri"/>
                <w:b w:val="0"/>
                <w:i w:val="0"/>
                <w:color w:val="212121"/>
                <w:sz w:val="16"/>
              </w:rPr>
              <w:t>Young / lone AF, familial clustering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of onset in affected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Cardiac auscultation &amp; volume status</w:t>
            </w:r>
          </w:p>
        </w:tc>
        <w:tc>
          <w:tcPr>
            <w:tcW w:type="dxa" w:w="979"/>
            <w:vAlign w:val="top"/>
          </w:tcPr>
          <w:p>
            <w:pPr>
              <w:spacing w:after="40" w:before="0" w:line="259" w:lineRule="auto"/>
            </w:pPr>
            <w:r>
              <w:rPr>
                <w:rFonts w:ascii="Calibri" w:hAnsi="Calibri"/>
                <w:b w:val="0"/>
                <w:i w:val="0"/>
                <w:color w:val="212121"/>
                <w:sz w:val="16"/>
              </w:rPr>
              <w:t>Murmurs, added sounds, signs of heart failure</w:t>
            </w:r>
          </w:p>
        </w:tc>
        <w:tc>
          <w:tcPr>
            <w:tcW w:type="dxa" w:w="950"/>
            <w:vAlign w:val="top"/>
          </w:tcPr>
          <w:p>
            <w:pPr>
              <w:spacing w:after="40" w:before="0" w:line="259" w:lineRule="auto"/>
            </w:pPr>
            <w:r>
              <w:rPr>
                <w:rFonts w:ascii="Calibri" w:hAnsi="Calibri"/>
                <w:b w:val="0"/>
                <w:i w:val="0"/>
                <w:color w:val="212121"/>
                <w:sz w:val="16"/>
              </w:rPr>
              <w:t>Normal heart sounds, no congestion</w:t>
            </w:r>
          </w:p>
        </w:tc>
        <w:tc>
          <w:tcPr>
            <w:tcW w:type="dxa" w:w="950"/>
            <w:vAlign w:val="top"/>
          </w:tcPr>
          <w:p>
            <w:pPr>
              <w:spacing w:after="40" w:before="0" w:line="259" w:lineRule="auto"/>
            </w:pPr>
            <w:r>
              <w:rPr>
                <w:rFonts w:ascii="Calibri" w:hAnsi="Calibri"/>
                <w:b w:val="0"/>
                <w:i w:val="0"/>
                <w:color w:val="212121"/>
                <w:sz w:val="16"/>
              </w:rPr>
              <w:t>Mid-diastolic murmur (mitral stenosis), raised JVP, crackles, oedema</w:t>
            </w:r>
          </w:p>
        </w:tc>
        <w:tc>
          <w:tcPr>
            <w:tcW w:type="dxa" w:w="1036"/>
            <w:vAlign w:val="top"/>
          </w:tcPr>
          <w:p>
            <w:pPr>
              <w:spacing w:after="40" w:before="0" w:line="259" w:lineRule="auto"/>
            </w:pPr>
            <w:r>
              <w:rPr>
                <w:rFonts w:ascii="Calibri" w:hAnsi="Calibri"/>
                <w:b w:val="0"/>
                <w:i w:val="0"/>
                <w:color w:val="212121"/>
                <w:sz w:val="16"/>
              </w:rPr>
              <w:t>Detects rheumatic valve disease and heart failure driving AF</w:t>
            </w:r>
          </w:p>
        </w:tc>
        <w:tc>
          <w:tcPr>
            <w:tcW w:type="dxa" w:w="1036"/>
            <w:vAlign w:val="top"/>
          </w:tcPr>
          <w:p>
            <w:pPr>
              <w:spacing w:after="40" w:before="0" w:line="259" w:lineRule="auto"/>
            </w:pPr>
            <w:r>
              <w:rPr>
                <w:rFonts w:ascii="Calibri" w:hAnsi="Calibri"/>
                <w:b w:val="0"/>
                <w:i w:val="0"/>
                <w:color w:val="212121"/>
                <w:sz w:val="16"/>
              </w:rPr>
              <w:t>Suspected RHD, heart-failure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Variable S1 intensity is typical in AF</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Stroke and bleeding risk scoring</w:t>
            </w:r>
          </w:p>
        </w:tc>
        <w:tc>
          <w:tcPr>
            <w:tcW w:type="dxa" w:w="979"/>
            <w:vAlign w:val="top"/>
          </w:tcPr>
          <w:p>
            <w:pPr>
              <w:spacing w:after="40" w:before="0" w:line="259" w:lineRule="auto"/>
            </w:pPr>
            <w:r>
              <w:rPr>
                <w:rFonts w:ascii="Calibri" w:hAnsi="Calibri"/>
                <w:b w:val="0"/>
                <w:i w:val="0"/>
                <w:color w:val="212121"/>
                <w:sz w:val="16"/>
              </w:rPr>
              <w:t>CHA₂DS₂-VASc and HAS-BLED</w:t>
            </w:r>
          </w:p>
        </w:tc>
        <w:tc>
          <w:tcPr>
            <w:tcW w:type="dxa" w:w="950"/>
            <w:vAlign w:val="top"/>
          </w:tcPr>
          <w:p>
            <w:pPr>
              <w:spacing w:after="40" w:before="0" w:line="259" w:lineRule="auto"/>
            </w:pPr>
            <w:r>
              <w:rPr>
                <w:rFonts w:ascii="Calibri" w:hAnsi="Calibri"/>
                <w:b w:val="0"/>
                <w:i w:val="0"/>
                <w:color w:val="212121"/>
                <w:sz w:val="16"/>
              </w:rPr>
              <w:t>Low score</w:t>
            </w:r>
          </w:p>
        </w:tc>
        <w:tc>
          <w:tcPr>
            <w:tcW w:type="dxa" w:w="950"/>
            <w:vAlign w:val="top"/>
          </w:tcPr>
          <w:p>
            <w:pPr>
              <w:spacing w:after="40" w:before="0" w:line="259" w:lineRule="auto"/>
            </w:pPr>
            <w:r>
              <w:rPr>
                <w:rFonts w:ascii="Calibri" w:hAnsi="Calibri"/>
                <w:b w:val="0"/>
                <w:i w:val="0"/>
                <w:color w:val="212121"/>
                <w:sz w:val="16"/>
              </w:rPr>
              <w:t>CHA₂DS₂-VASc ≥ 2 (M)/≥ 3 (F)</w:t>
            </w:r>
          </w:p>
        </w:tc>
        <w:tc>
          <w:tcPr>
            <w:tcW w:type="dxa" w:w="1036"/>
            <w:vAlign w:val="top"/>
          </w:tcPr>
          <w:p>
            <w:pPr>
              <w:spacing w:after="40" w:before="0" w:line="259" w:lineRule="auto"/>
            </w:pPr>
            <w:r>
              <w:rPr>
                <w:rFonts w:ascii="Calibri" w:hAnsi="Calibri"/>
                <w:b w:val="0"/>
                <w:i w:val="0"/>
                <w:color w:val="212121"/>
                <w:sz w:val="16"/>
              </w:rPr>
              <w:t>Determines need for and safety of oral anticoagulation</w:t>
            </w:r>
          </w:p>
        </w:tc>
        <w:tc>
          <w:tcPr>
            <w:tcW w:type="dxa" w:w="1036"/>
            <w:vAlign w:val="top"/>
          </w:tcPr>
          <w:p>
            <w:pPr>
              <w:spacing w:after="40" w:before="0" w:line="259" w:lineRule="auto"/>
            </w:pPr>
            <w:r>
              <w:rPr>
                <w:rFonts w:ascii="Calibri" w:hAnsi="Calibri"/>
                <w:b w:val="0"/>
                <w:i w:val="0"/>
                <w:color w:val="212121"/>
                <w:sz w:val="16"/>
              </w:rPr>
              <w:t>All patients with confirmed AF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Reassess periodically as risk factors accrue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a rapid, irregular or ‘fluttering’ heartbeat — the most frequent presenting symptom.</w:t>
            </w:r>
          </w:p>
        </w:tc>
      </w:tr>
      <w:tr>
        <w:trPr>
          <w:cantSplit/>
        </w:trPr>
        <w:tc>
          <w:tcPr>
            <w:tcW w:type="dxa" w:w="2304"/>
            <w:vAlign w:val="top"/>
          </w:tcPr>
          <w:p>
            <w:pPr>
              <w:spacing w:after="40" w:before="0" w:line="259" w:lineRule="auto"/>
            </w:pPr>
            <w:r>
              <w:rPr>
                <w:rFonts w:ascii="Calibri" w:hAnsi="Calibri"/>
                <w:b/>
                <w:i w:val="0"/>
                <w:color w:val="212121"/>
                <w:sz w:val="19"/>
              </w:rPr>
              <w:t>Breathlessness /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 exertion or at rest, from loss of atrial contribution to filling and rapid ventricular rates.</w:t>
            </w:r>
          </w:p>
        </w:tc>
      </w:tr>
      <w:tr>
        <w:trPr>
          <w:cantSplit/>
        </w:trPr>
        <w:tc>
          <w:tcPr>
            <w:tcW w:type="dxa" w:w="2304"/>
            <w:vAlign w:val="top"/>
          </w:tcPr>
          <w:p>
            <w:pPr>
              <w:spacing w:after="40" w:before="0" w:line="259" w:lineRule="auto"/>
            </w:pPr>
            <w:r>
              <w:rPr>
                <w:rFonts w:ascii="Calibri" w:hAnsi="Calibri"/>
                <w:b/>
                <w:i w:val="0"/>
                <w:color w:val="212121"/>
                <w:sz w:val="19"/>
              </w:rPr>
              <w:t>Fatigue /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Lowered cardiac output leaves patients tired and easily winded during daily activity.</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rate irregularity and transient falls in cardiac output and blood pressure.</w:t>
            </w:r>
          </w:p>
        </w:tc>
      </w:tr>
      <w:tr>
        <w:trPr>
          <w:cantSplit/>
        </w:trPr>
        <w:tc>
          <w:tcPr>
            <w:tcW w:type="dxa" w:w="2304"/>
            <w:vAlign w:val="top"/>
          </w:tcPr>
          <w:p>
            <w:pPr>
              <w:spacing w:after="40" w:before="0" w:line="259" w:lineRule="auto"/>
            </w:pPr>
            <w:r>
              <w:rPr>
                <w:rFonts w:ascii="Calibri" w:hAnsi="Calibri"/>
                <w:b/>
                <w:i w:val="0"/>
                <w:color w:val="212121"/>
                <w:sz w:val="19"/>
              </w:rPr>
              <w:t>Asymptomatic / incidental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large minority have no symptoms and are detected on routine pulse check or ECG — ‘silent AF’.</w:t>
            </w:r>
          </w:p>
        </w:tc>
      </w:tr>
      <w:tr>
        <w:trPr>
          <w:cantSplit/>
        </w:trPr>
        <w:tc>
          <w:tcPr>
            <w:tcW w:type="dxa" w:w="2304"/>
            <w:vAlign w:val="top"/>
          </w:tcPr>
          <w:p>
            <w:pPr>
              <w:spacing w:after="40" w:before="0" w:line="259" w:lineRule="auto"/>
            </w:pPr>
            <w:r>
              <w:rPr>
                <w:rFonts w:ascii="Calibri" w:hAnsi="Calibri"/>
                <w:b/>
                <w:i w:val="0"/>
                <w:color w:val="212121"/>
                <w:sz w:val="19"/>
              </w:rPr>
              <w:t>Chest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Tightness or pain, particularly when the ventricular rate is fast or coronary disease coexists.</w:t>
            </w:r>
          </w:p>
        </w:tc>
      </w:tr>
      <w:tr>
        <w:trPr>
          <w:cantSplit/>
        </w:trPr>
        <w:tc>
          <w:tcPr>
            <w:tcW w:type="dxa" w:w="2304"/>
            <w:vAlign w:val="top"/>
          </w:tcPr>
          <w:p>
            <w:pPr>
              <w:spacing w:after="40" w:before="0" w:line="259" w:lineRule="auto"/>
            </w:pPr>
            <w:r>
              <w:rPr>
                <w:rFonts w:ascii="Calibri" w:hAnsi="Calibri"/>
                <w:b/>
                <w:i w:val="0"/>
                <w:color w:val="212121"/>
                <w:sz w:val="19"/>
              </w:rPr>
              <w:t>Reduced effort capacity / effort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decline in stamina, sometimes the only clue in persistent AF.</w:t>
            </w:r>
          </w:p>
        </w:tc>
      </w:tr>
      <w:tr>
        <w:trPr>
          <w:cantSplit/>
        </w:trPr>
        <w:tc>
          <w:tcPr>
            <w:tcW w:type="dxa" w:w="2304"/>
            <w:vAlign w:val="top"/>
          </w:tcPr>
          <w:p>
            <w:pPr>
              <w:spacing w:after="40" w:before="0" w:line="259" w:lineRule="auto"/>
            </w:pPr>
            <w:r>
              <w:rPr>
                <w:rFonts w:ascii="Calibri" w:hAnsi="Calibri"/>
                <w:b/>
                <w:i w:val="0"/>
                <w:color w:val="212121"/>
                <w:sz w:val="19"/>
              </w:rPr>
              <w:t>Pre-syncope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Near-fainting from rapid rates or pauses, especially with sick-sinus/tachy-brady syndrome.</w:t>
            </w:r>
          </w:p>
        </w:tc>
      </w:tr>
      <w:tr>
        <w:trPr>
          <w:cantSplit/>
        </w:trPr>
        <w:tc>
          <w:tcPr>
            <w:tcW w:type="dxa" w:w="2304"/>
            <w:vAlign w:val="top"/>
          </w:tcPr>
          <w:p>
            <w:pPr>
              <w:spacing w:after="40" w:before="0" w:line="259" w:lineRule="auto"/>
            </w:pPr>
            <w:r>
              <w:rPr>
                <w:rFonts w:ascii="Calibri" w:hAnsi="Calibri"/>
                <w:b/>
                <w:i w:val="0"/>
                <w:color w:val="212121"/>
                <w:sz w:val="19"/>
              </w:rPr>
              <w:t>Anxiety / sense of unease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Awareness of the arrhythmia often provokes anxiety, which can further worsen symptoms.</w:t>
            </w:r>
          </w:p>
        </w:tc>
      </w:tr>
      <w:tr>
        <w:trPr>
          <w:cantSplit/>
        </w:trPr>
        <w:tc>
          <w:tcPr>
            <w:tcW w:type="dxa" w:w="2304"/>
            <w:vAlign w:val="top"/>
          </w:tcPr>
          <w:p>
            <w:pPr>
              <w:spacing w:after="40" w:before="0" w:line="259" w:lineRule="auto"/>
            </w:pPr>
            <w:r>
              <w:rPr>
                <w:rFonts w:ascii="Calibri" w:hAnsi="Calibri"/>
                <w:b/>
                <w:i w:val="0"/>
                <w:color w:val="212121"/>
                <w:sz w:val="19"/>
              </w:rPr>
              <w:t>Polyuria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Atrial natriuretic peptide release during paroxysms can cause increased urination.</w:t>
            </w:r>
          </w:p>
        </w:tc>
      </w:tr>
      <w:tr>
        <w:trPr>
          <w:cantSplit/>
        </w:trPr>
        <w:tc>
          <w:tcPr>
            <w:tcW w:type="dxa" w:w="2304"/>
            <w:vAlign w:val="top"/>
          </w:tcPr>
          <w:p>
            <w:pPr>
              <w:spacing w:after="40" w:before="0" w:line="259" w:lineRule="auto"/>
            </w:pPr>
            <w:r>
              <w:rPr>
                <w:rFonts w:ascii="Calibri" w:hAnsi="Calibri"/>
                <w:b/>
                <w:i w:val="0"/>
                <w:color w:val="212121"/>
                <w:sz w:val="19"/>
              </w:rPr>
              <w:t>Syncope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Frank loss of consciousness suggests very rapid rates, long pauses, or significant structural disease.</w:t>
            </w:r>
          </w:p>
        </w:tc>
      </w:tr>
      <w:tr>
        <w:trPr>
          <w:cantSplit/>
        </w:trPr>
        <w:tc>
          <w:tcPr>
            <w:tcW w:type="dxa" w:w="2304"/>
            <w:vAlign w:val="top"/>
          </w:tcPr>
          <w:p>
            <w:pPr>
              <w:spacing w:after="40" w:before="0" w:line="259" w:lineRule="auto"/>
            </w:pPr>
            <w:r>
              <w:rPr>
                <w:rFonts w:ascii="Calibri" w:hAnsi="Calibri"/>
                <w:b/>
                <w:i w:val="0"/>
                <w:color w:val="212121"/>
                <w:sz w:val="19"/>
              </w:rPr>
              <w:t>Sudden neurological deficit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AF may first present as an embolic stroke or transient ischaemic attack rather than palpitations.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Irregularly irregular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bedside sign — an erratic pulse with no repeating pattern.</w:t>
            </w:r>
          </w:p>
        </w:tc>
      </w:tr>
      <w:tr>
        <w:trPr>
          <w:cantSplit/>
        </w:trPr>
        <w:tc>
          <w:tcPr>
            <w:tcW w:type="dxa" w:w="3456"/>
            <w:vAlign w:val="top"/>
          </w:tcPr>
          <w:p>
            <w:pPr>
              <w:spacing w:after="40" w:before="0" w:line="259" w:lineRule="auto"/>
            </w:pPr>
            <w:r>
              <w:rPr>
                <w:rFonts w:ascii="Calibri" w:hAnsi="Calibri"/>
                <w:b/>
                <w:i w:val="0"/>
                <w:color w:val="212121"/>
                <w:sz w:val="19"/>
              </w:rPr>
              <w:t>Apex–radial pulse deficit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Radial rate is lower than the auscultated apex rate because weak beats fail to reach the periphery.</w:t>
            </w:r>
          </w:p>
        </w:tc>
      </w:tr>
      <w:tr>
        <w:trPr>
          <w:cantSplit/>
        </w:trPr>
        <w:tc>
          <w:tcPr>
            <w:tcW w:type="dxa" w:w="3456"/>
            <w:vAlign w:val="top"/>
          </w:tcPr>
          <w:p>
            <w:pPr>
              <w:spacing w:after="40" w:before="0" w:line="259" w:lineRule="auto"/>
            </w:pPr>
            <w:r>
              <w:rPr>
                <w:rFonts w:ascii="Calibri" w:hAnsi="Calibri"/>
                <w:b/>
                <w:i w:val="0"/>
                <w:color w:val="212121"/>
                <w:sz w:val="19"/>
              </w:rPr>
              <w:t>Variable intensity of the first heart sound (S1)</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Beat-to-beat variation in ventricular filling changes S1 loudness.</w:t>
            </w:r>
          </w:p>
        </w:tc>
      </w:tr>
      <w:tr>
        <w:trPr>
          <w:cantSplit/>
        </w:trPr>
        <w:tc>
          <w:tcPr>
            <w:tcW w:type="dxa" w:w="3456"/>
            <w:vAlign w:val="top"/>
          </w:tcPr>
          <w:p>
            <w:pPr>
              <w:spacing w:after="40" w:before="0" w:line="259" w:lineRule="auto"/>
            </w:pPr>
            <w:r>
              <w:rPr>
                <w:rFonts w:ascii="Calibri" w:hAnsi="Calibri"/>
                <w:b/>
                <w:i w:val="0"/>
                <w:color w:val="212121"/>
                <w:sz w:val="19"/>
              </w:rPr>
              <w:t>Tachycardia (rapid ventricular response)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Untreated AF often runs at 100–160/min, particularly on exertion or with high sympathetic tone.</w:t>
            </w:r>
          </w:p>
        </w:tc>
      </w:tr>
      <w:tr>
        <w:trPr>
          <w:cantSplit/>
        </w:trPr>
        <w:tc>
          <w:tcPr>
            <w:tcW w:type="dxa" w:w="3456"/>
            <w:vAlign w:val="top"/>
          </w:tcPr>
          <w:p>
            <w:pPr>
              <w:spacing w:after="40" w:before="0" w:line="259" w:lineRule="auto"/>
            </w:pPr>
            <w:r>
              <w:rPr>
                <w:rFonts w:ascii="Calibri" w:hAnsi="Calibri"/>
                <w:b/>
                <w:i w:val="0"/>
                <w:color w:val="212121"/>
                <w:sz w:val="19"/>
              </w:rPr>
              <w:t>Absent ‘a’ wave in the jugular venous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coordinated atrial contraction removes the a-wave from the JVP waveform.</w:t>
            </w:r>
          </w:p>
        </w:tc>
      </w:tr>
      <w:tr>
        <w:trPr>
          <w:cantSplit/>
        </w:trPr>
        <w:tc>
          <w:tcPr>
            <w:tcW w:type="dxa" w:w="3456"/>
            <w:vAlign w:val="top"/>
          </w:tcPr>
          <w:p>
            <w:pPr>
              <w:spacing w:after="40" w:before="0" w:line="259" w:lineRule="auto"/>
            </w:pPr>
            <w:r>
              <w:rPr>
                <w:rFonts w:ascii="Calibri" w:hAnsi="Calibri"/>
                <w:b/>
                <w:i w:val="0"/>
                <w:color w:val="212121"/>
                <w:sz w:val="19"/>
              </w:rPr>
              <w:t>Mid-diastolic (mitral stenosis)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Signals underlying rheumatic mitral stenosis — an important cause of valvular AF in India.</w:t>
            </w:r>
          </w:p>
        </w:tc>
      </w:tr>
      <w:tr>
        <w:trPr>
          <w:cantSplit/>
        </w:trPr>
        <w:tc>
          <w:tcPr>
            <w:tcW w:type="dxa" w:w="3456"/>
            <w:vAlign w:val="top"/>
          </w:tcPr>
          <w:p>
            <w:pPr>
              <w:spacing w:after="40" w:before="0" w:line="259" w:lineRule="auto"/>
            </w:pPr>
            <w:r>
              <w:rPr>
                <w:rFonts w:ascii="Calibri" w:hAnsi="Calibri"/>
                <w:b/>
                <w:i w:val="0"/>
                <w:color w:val="212121"/>
                <w:sz w:val="19"/>
              </w:rPr>
              <w:t>Signs of heart failure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JVP, basal crackles, hepatomegaly and peripheral oedema when AF precipitates or worsens failure.</w:t>
            </w:r>
          </w:p>
        </w:tc>
      </w:tr>
      <w:tr>
        <w:trPr>
          <w:cantSplit/>
        </w:trPr>
        <w:tc>
          <w:tcPr>
            <w:tcW w:type="dxa" w:w="3456"/>
            <w:vAlign w:val="top"/>
          </w:tcPr>
          <w:p>
            <w:pPr>
              <w:spacing w:after="40" w:before="0" w:line="259" w:lineRule="auto"/>
            </w:pPr>
            <w:r>
              <w:rPr>
                <w:rFonts w:ascii="Calibri" w:hAnsi="Calibri"/>
                <w:b/>
                <w:i w:val="0"/>
                <w:color w:val="212121"/>
                <w:sz w:val="19"/>
              </w:rPr>
              <w:t>Features of thyrotoxicosis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Goitre, fine tremor, warm moist skin and lid lag point to hyperthyroidism as the driver.</w:t>
            </w:r>
          </w:p>
        </w:tc>
      </w:tr>
      <w:tr>
        <w:trPr>
          <w:cantSplit/>
        </w:trPr>
        <w:tc>
          <w:tcPr>
            <w:tcW w:type="dxa" w:w="3456"/>
            <w:vAlign w:val="top"/>
          </w:tcPr>
          <w:p>
            <w:pPr>
              <w:spacing w:after="40" w:before="0" w:line="259" w:lineRule="auto"/>
            </w:pPr>
            <w:r>
              <w:rPr>
                <w:rFonts w:ascii="Calibri" w:hAnsi="Calibri"/>
                <w:b/>
                <w:i w:val="0"/>
                <w:color w:val="212121"/>
                <w:sz w:val="19"/>
              </w:rPr>
              <w:t>Hypotension / haemodynamic instability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Very rapid AF may cause hypotension, requiring urgent (often electrical) cardioversion.</w:t>
            </w:r>
          </w:p>
        </w:tc>
      </w:tr>
      <w:tr>
        <w:trPr>
          <w:cantSplit/>
        </w:trPr>
        <w:tc>
          <w:tcPr>
            <w:tcW w:type="dxa" w:w="3456"/>
            <w:vAlign w:val="top"/>
          </w:tcPr>
          <w:p>
            <w:pPr>
              <w:spacing w:after="40" w:before="0" w:line="259" w:lineRule="auto"/>
            </w:pPr>
            <w:r>
              <w:rPr>
                <w:rFonts w:ascii="Calibri" w:hAnsi="Calibri"/>
                <w:b/>
                <w:i w:val="0"/>
                <w:color w:val="212121"/>
                <w:sz w:val="19"/>
              </w:rPr>
              <w:t>Focal neurological signs of embolism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Hemiparesis, dysphasia or limb ischaemia from thromboembolism originating in the left atrial appendage.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 ventricular response with palpitations and reduced exercise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haemodynamic instability /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heart failure or pulmonary oedema (loss of atrial ‘kick’)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Pre-syncope or syncope from rapid rates or pauses</w:t>
            </w:r>
          </w:p>
        </w:tc>
        <w:tc>
          <w:tcPr>
            <w:tcW w:type="dxa" w:w="2980"/>
            <w:vAlign w:val="top"/>
          </w:tcPr>
          <w:p>
            <w:pPr>
              <w:spacing w:after="40" w:before="0" w:line="259" w:lineRule="auto"/>
            </w:pPr>
            <w:r>
              <w:rPr>
                <w:rFonts w:ascii="Calibri" w:hAnsi="Calibri"/>
                <w:b w:val="0"/>
                <w:i w:val="0"/>
                <w:color w:val="212121"/>
                <w:sz w:val="19"/>
              </w:rPr>
              <w:t>Direct, often acute consequences of the disordered rhythm and rate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Cardioembolic ischaemic stroke and transient ischaemic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thromboembolism (limb, mesenteric, renal)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Tachycardia-induced cardiomyopathy from sustained rapid rates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or new-onset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Anticoagulation-related bleeding (a consequence of necessary therapy)</w:t>
            </w:r>
          </w:p>
        </w:tc>
        <w:tc>
          <w:tcPr>
            <w:tcW w:type="dxa" w:w="2980"/>
            <w:vAlign w:val="top"/>
          </w:tcPr>
          <w:p>
            <w:pPr>
              <w:spacing w:after="40" w:before="0" w:line="259" w:lineRule="auto"/>
            </w:pPr>
            <w:r>
              <w:rPr>
                <w:rFonts w:ascii="Calibri" w:hAnsi="Calibri"/>
                <w:b w:val="0"/>
                <w:i w:val="0"/>
                <w:color w:val="212121"/>
                <w:sz w:val="19"/>
              </w:rPr>
              <w:t>Result from atrial stasis, thrombus formation and chronic rapid/irregular conduction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stroke with long-term neurological deficit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 / multi-infarct cognitive impairment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heart failure with recurrent hospitalisation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and cardiovascular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functional decline</w:t>
            </w:r>
          </w:p>
        </w:tc>
        <w:tc>
          <w:tcPr>
            <w:tcW w:type="dxa" w:w="2980"/>
            <w:vAlign w:val="top"/>
          </w:tcPr>
          <w:p>
            <w:pPr>
              <w:spacing w:after="40" w:before="0" w:line="259" w:lineRule="auto"/>
            </w:pPr>
            <w:r>
              <w:rPr>
                <w:rFonts w:ascii="Calibri" w:hAnsi="Calibri"/>
                <w:b w:val="0"/>
                <w:i w:val="0"/>
                <w:color w:val="212121"/>
                <w:sz w:val="19"/>
              </w:rPr>
              <w:t>Irreversible, disabling outcomes of longstanding AF and its embolic and haemodynamic effects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coexisting condition and leading modifiable driver; causes left atrial dilatation and fibrosis, and its coexistence raises both stroke and bleeding risk.</w:t>
            </w:r>
          </w:p>
          <w:p>
            <w:pPr>
              <w:spacing w:after="40" w:before="0" w:line="259" w:lineRule="auto"/>
            </w:pPr>
            <w:r>
              <w:rPr>
                <w:rFonts w:ascii="Calibri" w:hAnsi="Calibri"/>
                <w:b/>
                <w:i w:val="0"/>
                <w:color w:val="212121"/>
                <w:sz w:val="19"/>
              </w:rPr>
              <w:t>Up to ~62% of AF cases had hypertension in the Nagpur study</w:t>
            </w:r>
          </w:p>
        </w:tc>
      </w:tr>
      <w:tr>
        <w:trPr>
          <w:cantSplit/>
        </w:trPr>
        <w:tc>
          <w:tcPr>
            <w:tcW w:type="dxa" w:w="2232"/>
            <w:vAlign w:val="top"/>
          </w:tcPr>
          <w:p>
            <w:pPr>
              <w:spacing w:after="40" w:before="0" w:line="259" w:lineRule="auto"/>
            </w:pPr>
            <w:r>
              <w:rPr>
                <w:rFonts w:ascii="Calibri" w:hAnsi="Calibri"/>
                <w:b/>
                <w:i w:val="0"/>
                <w:color w:val="212121"/>
                <w:sz w:val="19"/>
              </w:rPr>
              <w:t>Rheumatic / valvular heart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Mitral stenosis and regurgitation enlarge the left atrium and are a dominant cause of valvular AF in India, mandating vitamin-K-antagonist anticoagulation rather than DOACs.</w:t>
            </w:r>
          </w:p>
          <w:p>
            <w:pPr>
              <w:spacing w:after="40" w:before="0" w:line="259" w:lineRule="auto"/>
            </w:pPr>
            <w:r>
              <w:rPr>
                <w:rFonts w:ascii="Calibri" w:hAnsi="Calibri"/>
                <w:b/>
                <w:i w:val="0"/>
                <w:color w:val="212121"/>
                <w:sz w:val="19"/>
              </w:rPr>
              <w:t>AF in ~32.8% of rheumatic heart disease</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risk factors with AF and is bidirectionally linked; each worsens the other's prognosis and complicates rate/rhythm decisions.</w:t>
            </w:r>
          </w:p>
        </w:tc>
      </w:tr>
      <w:tr>
        <w:trPr>
          <w:cantSplit/>
        </w:trPr>
        <w:tc>
          <w:tcPr>
            <w:tcW w:type="dxa" w:w="2232"/>
            <w:vAlign w:val="top"/>
          </w:tcPr>
          <w:p>
            <w:pPr>
              <w:spacing w:after="40" w:before="0" w:line="259" w:lineRule="auto"/>
            </w:pPr>
            <w:r>
              <w:rPr>
                <w:rFonts w:ascii="Calibri" w:hAnsi="Calibri"/>
                <w:b/>
                <w:i w:val="0"/>
                <w:color w:val="212121"/>
                <w:sz w:val="19"/>
              </w:rPr>
              <w:t>Ischaemic stroke / systemic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feared consequence of AF; left atrial appendage stasis produces cardioembolism, and AF strokes are typically larger and more disabling.</w:t>
            </w:r>
          </w:p>
          <w:p>
            <w:pPr>
              <w:spacing w:after="40" w:before="0" w:line="259" w:lineRule="auto"/>
            </w:pPr>
            <w:r>
              <w:rPr>
                <w:rFonts w:ascii="Calibri" w:hAnsi="Calibri"/>
                <w:b/>
                <w:i w:val="0"/>
                <w:color w:val="212121"/>
                <w:sz w:val="19"/>
              </w:rPr>
              <w:t>~5-fold higher stroke risk</w:t>
            </w:r>
          </w:p>
        </w:tc>
      </w:tr>
      <w:tr>
        <w:trPr>
          <w:cantSplit/>
        </w:trPr>
        <w:tc>
          <w:tcPr>
            <w:tcW w:type="dxa" w:w="2232"/>
            <w:vAlign w:val="top"/>
          </w:tcPr>
          <w:p>
            <w:pPr>
              <w:spacing w:after="40" w:before="0" w:line="259" w:lineRule="auto"/>
            </w:pPr>
            <w:r>
              <w:rPr>
                <w:rFonts w:ascii="Calibri" w:hAnsi="Calibri"/>
                <w:b/>
                <w:i w:val="0"/>
                <w:color w:val="212121"/>
                <w:sz w:val="19"/>
              </w:rPr>
              <w:t>Coronary artery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atherosclerotic risk factors with AF; ischaemia provokes AF, and concurrent antiplatelet plus anticoagulant therapy raises bleeding risk.</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Drives AF through epicardial fat, atrial stretch, inflammation and OSA; structured weight loss reduces AF burden and recurrence.</w:t>
            </w:r>
          </w:p>
          <w:p>
            <w:pPr>
              <w:spacing w:after="40" w:before="0" w:line="259" w:lineRule="auto"/>
            </w:pPr>
            <w:r>
              <w:rPr>
                <w:rFonts w:ascii="Calibri" w:hAnsi="Calibri"/>
                <w:b/>
                <w:i w:val="0"/>
                <w:color w:val="212121"/>
                <w:sz w:val="19"/>
              </w:rPr>
              <w:t>~29% higher odds per 5 kg/m² BMI</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Nocturnal hypoxia and pressure swings remodel the atria; untreated OSA drives recurrence after cardioversion and ablation, while CPAP improves rhythm control.</w:t>
            </w:r>
          </w:p>
          <w:p>
            <w:pPr>
              <w:spacing w:after="40" w:before="0" w:line="259" w:lineRule="auto"/>
            </w:pPr>
            <w:r>
              <w:rPr>
                <w:rFonts w:ascii="Calibri" w:hAnsi="Calibri"/>
                <w:b/>
                <w:i w:val="0"/>
                <w:color w:val="212121"/>
                <w:sz w:val="19"/>
              </w:rPr>
              <w:t>~1.55× higher AF risk</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Promotes atrial fibrosis and autonomic dysfunction; coexistence increases stroke risk and contributes a point to the CHA₂DS₂-VASc score.</w:t>
            </w:r>
          </w:p>
          <w:p>
            <w:pPr>
              <w:spacing w:after="40" w:before="0" w:line="259" w:lineRule="auto"/>
            </w:pPr>
            <w:r>
              <w:rPr>
                <w:rFonts w:ascii="Calibri" w:hAnsi="Calibri"/>
                <w:b/>
                <w:i w:val="0"/>
                <w:color w:val="212121"/>
                <w:sz w:val="19"/>
              </w:rPr>
              <w:t>~28–30% higher relative risk</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classically reversible cause; excess thyroid hormone precipitates AF, and restoring euthyroidism can restore sinus rhythm.</w:t>
            </w:r>
          </w:p>
          <w:p>
            <w:pPr>
              <w:spacing w:after="40" w:before="0" w:line="259" w:lineRule="auto"/>
            </w:pPr>
            <w:r>
              <w:rPr>
                <w:rFonts w:ascii="Calibri" w:hAnsi="Calibri"/>
                <w:b/>
                <w:i w:val="0"/>
                <w:color w:val="212121"/>
                <w:sz w:val="19"/>
              </w:rPr>
              <w:t>~3× higher AF incidence with low TSH</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risk factors with AF and both raises thrombotic and bleeding risk; renal function dictates anticoagulant selection and dosing.</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AF is associated with vascular and multi-infarct cognitive decline through overt and silent cerebral emboli and hypoperfusion.</w:t>
            </w:r>
          </w:p>
        </w:tc>
      </w:tr>
      <w:tr>
        <w:trPr>
          <w:cantSplit/>
        </w:trPr>
        <w:tc>
          <w:tcPr>
            <w:tcW w:type="dxa" w:w="2232"/>
            <w:vAlign w:val="top"/>
          </w:tcPr>
          <w:p>
            <w:pPr>
              <w:spacing w:after="40" w:before="0" w:line="259" w:lineRule="auto"/>
            </w:pPr>
            <w:r>
              <w:rPr>
                <w:rFonts w:ascii="Calibri" w:hAnsi="Calibri"/>
                <w:b/>
                <w:i w:val="0"/>
                <w:color w:val="212121"/>
                <w:sz w:val="19"/>
              </w:rPr>
              <w:t>Tachycardia-induced cardiomyopathy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Sustained rapid ventricular rates depress left-ventricular function; the cardiomyopathy is often reversible with adequate rate or rhythm control.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AF is an irregular, often rapid heartbeat that greatly raises the risk of stroke, and that risk can be lowered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check your own pulse for irregularity, and seek an ECG if you notice palpitations, breathlessness or unusual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blood pressure, weight, blood sugar and (where relevant) thyroid checked, as these are the main modifiable drivers of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areas where rheumatic fever is common, treat sore throats promptly and complete prescribed antibiotics to prevent rheumatic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prescribed a blood thinner, take it exactly as directed and never stop it without medical advice — stopping sharply raises stroke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hypertension/diabetes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underserved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moderate-intensity aerobic activity (brisk walking, cycling, swimming) totalling 150–300 minutes/week.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light resistance and flexibility work, building up gradually under guidance if you have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sustained 5–10% weight loss if overweight, which measurably reduces AF burden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extreme or prolonged high-intensity endurance training, which can paradoxically provoke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symptoms and heart rate as a guide; stop and seek help for severe breathlessness, chest pain or fainting.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hypertension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activity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Meet but do not massively exceed activity guidelines — remember the U-shaped risk with extreme endurance loads.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everyday activity: walking or cycling for commuting, stairs instead of lifts.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blood-pressure and weight control for the greatest reduction in AF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Recreational endurance enthusiasts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dietary salt to under 5 g/day — limit pickles, papads, namkeen, processed and restaurant foods to control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predominantly plant-forward, fibre-rich diet with whole grains and millets (ragi, jowar, bajra), pulses, fruit and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healthy fats and limit fried food, bakery items and sugar-sweetened beverages to prevent obesity and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potassium and magnesium intake through fruit, vegetables and nuts to support stable heart rhythm.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and avoid binge drinking, the classic ‘holiday-heart’ trigger.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and get tested for obstructive sleep apnoea if you snore, gasp at night, or feel excessively sleepy by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CPAP consistently if OSA is diagnosed — it reduces AF recurrence after cardioversion and ablation.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7–9 hours per night to support autonomic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heavy meals close to bedtime, which fragment sleep and can trigger nocturnal AF.</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AF and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Loud habitual snorers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Post-ablation/cardioversion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current smoking raises AF risk by roughly a third and accelerates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pharmacotherapy or quit-lines to sustain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smokeless tobacco (khaini, gutka), which are widely used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blood-pressure and weight control for maximum cardiovascular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Tobacco/gutka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AF or coronary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multiple risk factors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as much as possible; abstinence lowers the frequency and recurrence of AF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entirely — even a single heavy session can precipitate acute AF (‘holiday heart’).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AF recurs around drinking, treat alcohol as a personal trigger and stop completely.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as sustained reduction improves rhythm control and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paroxysmal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patients with lone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AF</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 paced breathing, yoga, meditation — to blunt sympathetic triggers of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in AF and worsen symptom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education, as understanding the rhythm reduces panic during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palpitations-related health anxiety with structured follow-up and, where needed, psychological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symptomatic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palpitations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strictly to prescribed anticoagulation and rate/rhythm-control medication, and attend INR checks if on warfarin (essential in valvular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stroke warning signs (FAST: facial droop, arm weakness, speech difficulty) and act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bleeding, black stools, or new breathlessness and palpitations promptly to your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all comorbidities — blood pressure, diabetes, thyroid, sleep apnoea, weight — well controlled as part of AF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 so that stroke and bleeding risk can be reassessed as circumstances change.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diagnosed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Valvular AF / mechanical valve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 with comorbidities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6378127" TargetMode="External"/><Relationship Id="rId10" Type="http://schemas.openxmlformats.org/officeDocument/2006/relationships/hyperlink" Target="https://pmc.ncbi.nlm.nih.gov/articles/PMC4898624/" TargetMode="External"/><Relationship Id="rId11" Type="http://schemas.openxmlformats.org/officeDocument/2006/relationships/hyperlink" Target="https://globalheartjournal.com/articles/10.5334/gh.807" TargetMode="External"/><Relationship Id="rId12" Type="http://schemas.openxmlformats.org/officeDocument/2006/relationships/hyperlink" Target="https://pmc.ncbi.nlm.nih.gov/articles/PMC10866737/" TargetMode="External"/><Relationship Id="rId13" Type="http://schemas.openxmlformats.org/officeDocument/2006/relationships/hyperlink" Target="https://pmc.ncbi.nlm.nih.gov/articles/PMC6209018/" TargetMode="External"/><Relationship Id="rId14" Type="http://schemas.openxmlformats.org/officeDocument/2006/relationships/hyperlink" Target="https://www.acc.org/About-ACC/Press-Releases/2014/07/14/15/14/JACC_AlcoholandAfib" TargetMode="External"/><Relationship Id="rId15" Type="http://schemas.openxmlformats.org/officeDocument/2006/relationships/hyperlink" Target="https://academic.oup.com/europace/article/26/7/euae195/7710413" TargetMode="External"/><Relationship Id="rId16" Type="http://schemas.openxmlformats.org/officeDocument/2006/relationships/hyperlink" Target="https://www.sciencedaily.com/releases/2010/11/101113165429.htm" TargetMode="External"/><Relationship Id="rId17" Type="http://schemas.openxmlformats.org/officeDocument/2006/relationships/hyperlink" Target="https://pmc.ncbi.nlm.nih.gov/articles/PMC5966046/" TargetMode="External"/><Relationship Id="rId18" Type="http://schemas.openxmlformats.org/officeDocument/2006/relationships/hyperlink" Target="https://www.nejm.org/doi/full/10.1056/NEJM1994111033119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