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Acute Rheumatic Fever</w:t>
      </w:r>
    </w:p>
    <w:p>
      <w:pPr>
        <w:spacing w:before="0" w:after="160"/>
      </w:pPr>
      <w:r>
        <w:rPr>
          <w:rFonts w:ascii="Calibri" w:hAnsi="Calibri"/>
          <w:b/>
          <w:i w:val="0"/>
          <w:color w:val="212121"/>
          <w:sz w:val="22"/>
        </w:rPr>
        <w:t xml:space="preserve">AKA </w:t>
      </w:r>
      <w:r>
        <w:rPr>
          <w:rFonts w:ascii="Calibri" w:hAnsi="Calibri"/>
          <w:b w:val="0"/>
          <w:i w:val="0"/>
          <w:color w:val="212121"/>
          <w:sz w:val="22"/>
        </w:rPr>
        <w:t>i.e., Rheumatic fever, ARF; the chronic valvular sequel is Rheumatic Heart Disease (RHD); classically described as a disease that 'licks the joints and bites the heart'</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Acute rheumatic fever (ARF) is a delayed, immune-mediated, non-suppurative inflammatory illness that follows an untreated or inadequately treated group A streptococcal (Streptococcus pyogenes) throat infection, typically after a latent period of about 2-4 weeks. Through molecular mimicry, cross-reactive antibodies and T cells directed at streptococcal antigens attack the heart, joints, brain (basal ganglia), skin and subcutaneous tissue, producing carditis, migratory polyarthritis, Sydenham chorea, erythema marginatum and subcutaneous nodules. It mainly affects children and adolescents aged 5-15 years. The single most important consequence is cumulative damage to the heart valves from carditis and repeated attacks - rheumatic heart disease (RHD) - which remains a major, largely preventable cause of cardiac death in India and other low- and middle-income settings.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Acute rheumatic fever and its sequel rheumatic heart disease remain major public health problems in India. Older clinical school surveys reported RHD in roughly 1-11 per 1000 children aged 5-15 years, and the ICMR multicentric school survey (2002-05) found clinical RHD in about 0.4-1.5 per 1000; echocardiographic screening detects far more subclinical disease - commonly 5.8 up to about 51 per 1000, i.e. seven to ten times higher than clinically evident RHD. India is estimated to have on the order of 3.6 million people living with RHD with roughly 44,000 new cases each year, and the reported ARF incidence has been cited at around 51 per 100,000. RHD accounts for an estimated 25-45% of all acquired heart disease in India and India carries one of the world's highest RHD death tolls (about 119,000 deaths in 2015 per Global Burden of Disease estimates). A recent echocardiographic survey of 4,039 school children in Meghalaya (Northeast India) found subclinical RHD in 4.7 per 1000, with female children affected roughly twice as often as males (6.29 vs 3.04 per 1000). Globally, an estimated 55 million people live with RHD and it causes around 360,000 deaths a year, overwhelmingly in low- and middle-income countries.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Acute rheumatic fever is a clinical diagnosis made using the revised (2015) Jones criteria, which for the first time incorporate Doppler echocardiography (subclinical carditis) and apply lower thresholds for high-burden settings. India is treated as a MODERATE- to HIGH-RISK population, so the more sensitive thresholds below apply. Diagnosis requires evidence of a preceding group A streptococcal (GAS) infection PLUS the required combination of major and minor manifestations: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Evidence of preceding GAS infection is mandatory (except in isolated chorea or indolent carditis): a positive throat culture or rapid antigen test, or an elevated/rising anti-streptolysin O (ASO) or anti-DNase B antibody titre.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MAJOR manifestations (moderate/high-risk populations): carditis - clinical AND/OR subclinical on echocardiography; arthritis - monoarthritis OR polyarthritis, and polyarthralgia when other causes are excluded; Sydenham chorea; erythema marginatum; and subcutaneous nodules.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MINOR manifestations (moderate/high-risk populations): monoarthralgia; fever &gt;= 38.5 C; elevated acute-phase reactants (ESR &gt;= 30 mm/hour or CRP &gt; 3.0 mg/dL); and a prolonged PR interval on ECG (unless carditis is a major criterion).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INITIAL (first) episode of ARF: 2 major manifestations, OR 1 major plus 2 minor manifestations, together with evidence of preceding GAS infection.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RECURRENT ARF (in a person with a past history of ARF/RHD): 2 major, OR 1 major plus 2 minor, OR 3 minor manifestations, with evidence of preceding GAS infection.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Echocardiography with Doppler should be performed in all confirmed and suspected cases to detect subclinical valvulitis (typically mitral regurgitation, less often aortic regurgitation), which now counts as carditis even without an audible murmur.</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Acute rheumatic fever and its consequences are classified by episode, dominant clinical picture and the chronic valvular sequel:</w:t>
      </w:r>
    </w:p>
    <w:p>
      <w:pPr>
        <w:spacing w:before="0" w:after="80"/>
      </w:pPr>
      <w:r>
        <w:rPr>
          <w:rFonts w:ascii="Calibri" w:hAnsi="Calibri"/>
          <w:b w:val="0"/>
          <w:i w:val="0"/>
          <w:color w:val="212121"/>
          <w:sz w:val="21"/>
        </w:rPr>
        <w:t>(1) Initial (first) episode ARF - a first attack diagnosed by the revised Jones criteria (2 major, or 1 major plus 2 minor, with evidence of preceding GAS infection). Because India is a moderate/high-risk population, the more sensitive criteria (including monoarthritis, polyarthralgia and lower fever/acute-phase thresholds) are used.</w:t>
      </w:r>
    </w:p>
    <w:p>
      <w:pPr>
        <w:spacing w:before="0" w:after="80"/>
      </w:pPr>
      <w:r>
        <w:rPr>
          <w:rFonts w:ascii="Calibri" w:hAnsi="Calibri"/>
          <w:b w:val="0"/>
          <w:i w:val="0"/>
          <w:color w:val="212121"/>
          <w:sz w:val="21"/>
        </w:rPr>
        <w:t>(2) Recurrent ARF - a further attack in a person with previous ARF or established RHD; it may be diagnosed on as little as 3 minor manifestations plus evidence of GAS infection. Each recurrence adds cumulative valve damage, which is why continuous secondary antibiotic prophylaxis is central to management.</w:t>
      </w:r>
    </w:p>
    <w:p>
      <w:pPr>
        <w:spacing w:before="0" w:after="80"/>
      </w:pPr>
      <w:r>
        <w:rPr>
          <w:rFonts w:ascii="Calibri" w:hAnsi="Calibri"/>
          <w:b w:val="0"/>
          <w:i w:val="0"/>
          <w:color w:val="212121"/>
          <w:sz w:val="21"/>
        </w:rPr>
        <w:t>(3) By dominant manifestation - carditis-predominant (valvulitis, sometimes pancarditis with heart failure), arthritis-predominant (migratory large-joint polyarthritis), and chorea. Sydenham chorea may occur in isolation ('pure chorea'), often appearing 1-8 months later, frequently in girls, with few other features and near-normal inflammatory markers.</w:t>
      </w:r>
    </w:p>
    <w:p>
      <w:pPr>
        <w:spacing w:before="0" w:after="80"/>
      </w:pPr>
      <w:r>
        <w:rPr>
          <w:rFonts w:ascii="Calibri" w:hAnsi="Calibri"/>
          <w:b w:val="0"/>
          <w:i w:val="0"/>
          <w:color w:val="212121"/>
          <w:sz w:val="21"/>
        </w:rPr>
        <w:t>(4) Rheumatic heart disease (chronic sequel) - graded by the World Heart Federation echocardiographic criteria into 'borderline' and 'definite' subclinical RHD when detected on screening, versus clinically manifest valvular disease (chronic mitral regurgitation, mitral stenosis, aortic regurgitation) presenting later in life.</w:t>
      </w:r>
    </w:p>
    <w:p>
      <w:pPr>
        <w:spacing w:before="0" w:after="80"/>
      </w:pPr>
      <w:r>
        <w:rPr>
          <w:rFonts w:ascii="Calibri" w:hAnsi="Calibri"/>
          <w:b w:val="0"/>
          <w:i w:val="0"/>
          <w:color w:val="212121"/>
          <w:sz w:val="21"/>
        </w:rPr>
        <w:t>(5) By severity of carditis - from mild isolated valvulitis to severe carditis with cardiomegaly, congestive heart failure or pericarditis; severity guides bed rest, anti-inflammatory therapy and the recommended duration of secondary prophylaxis.</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Group A streptococcal (GAS) pharyngitis: An untreated or inadequately treated GAS throat infection is the essential trigger, with ARF typically developing 2-4 weeks later; adequate antibiotic treatment of the sore throat prevents the attack.</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Autoimmune molecular mimicry: Antibodies and T cells raised against streptococcal M protein and N-acetyl-beta-D-glucosamine cross-react with structurally similar human proteins (notably cardiac myosin and valve tissue, and basal ganglia neurons in chorea), producing the multi-organ inflammation.</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Rheumatogenic streptococcal strains: Only certain 'rheumatogenic' M-protein serotypes of S. pyogenes are strongly associated with triggering ARF, which is why not every strep throat leads to rheumatic fever.</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Host genetic susceptibility: Inherited factors, including HLA class II alleles (e.g. HLA-DR7 and related types) and the D8/17 B-cell alloantigen, predispose to an abnormal immune response and explain familial clustering of ARF/RHD.</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Recurrent GAS infection: Repeated streptococcal infections in an unprotected (non-prophylaxed) child provoke recurrent attacks, each adding to cumulative valvular damage.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Socioenvironmental drivers: Overcrowding, poverty, poor housing and sanitation and limited access to primary care promote streptococcal transmission and leave sore throats untreated - the main reason ARF and RHD persist in India and other low-resource settings.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Children and adolescents (5-15 years)</w:t>
            </w:r>
          </w:p>
        </w:tc>
        <w:tc>
          <w:tcPr>
            <w:tcW w:type="dxa" w:w="4276"/>
            <w:vAlign w:val="top"/>
          </w:tcPr>
          <w:p>
            <w:pPr>
              <w:spacing w:after="60" w:line="259" w:lineRule="auto"/>
            </w:pPr>
            <w:r>
              <w:rPr>
                <w:rFonts w:ascii="Calibri" w:hAnsi="Calibri"/>
                <w:b w:val="0"/>
                <w:i w:val="0"/>
                <w:color w:val="212121"/>
                <w:sz w:val="19"/>
              </w:rPr>
              <w:t>This is the classic age of a first attack: streptococcal pharyngitis is common at school age and the developing immune system mounts the cross-reactive response that damages the heart, joints and brain. Repeated strep throats in these years drive both first and recurrent episodes.</w:t>
            </w:r>
          </w:p>
          <w:p>
            <w:pPr>
              <w:spacing w:after="40" w:before="60" w:line="259" w:lineRule="auto"/>
            </w:pPr>
            <w:r>
              <w:rPr>
                <w:rFonts w:ascii="Calibri" w:hAnsi="Calibri"/>
                <w:b w:val="0"/>
                <w:i w:val="0"/>
                <w:color w:val="212121"/>
                <w:sz w:val="19"/>
              </w:rPr>
              <w:t>ARF most commonly affects children aged 5-15 years; the reported ARF incidence in India has been cited at about 51 per 100,000, far higher than the ~10 per 100,000 seen in high-income countries.</w:t>
            </w:r>
          </w:p>
          <w:p>
            <w:pPr>
              <w:spacing w:after="40" w:line="252" w:lineRule="auto"/>
            </w:pPr>
            <w:hyperlink r:id="rId9">
              <w:r>
                <w:rPr>
                  <w:rFonts w:ascii="Calibri" w:hAnsi="Calibri" w:cs="Calibri"/>
                  <w:sz w:val="18"/>
                  <w:color w:val="1155CC"/>
                  <w:u w:val="single"/>
                </w:rPr>
                <w:t xml:space="preserve">ncbi.nlm.nih.gov/books/NBK594238 - Acute Rheumatic Fever (StatPearls)</w:t>
              </w:r>
            </w:hyperlink>
          </w:p>
          <w:p>
            <w:pPr>
              <w:spacing w:before="60" w:after="40"/>
            </w:pPr>
            <w:r>
              <w:rPr>
                <w:rFonts w:ascii="Calibri" w:hAnsi="Calibri"/>
                <w:b w:val="0"/>
                <w:i w:val="0"/>
                <w:color w:val="5A5A5A"/>
                <w:sz w:val="18"/>
              </w:rPr>
              <w:t>#rheumaticfever  #schoolage  #strepthroat  #children  #carditis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Young adults (chronic RHD, ~20-40 years)</w:t>
            </w:r>
          </w:p>
        </w:tc>
        <w:tc>
          <w:tcPr>
            <w:tcW w:type="dxa" w:w="4276"/>
            <w:vAlign w:val="top"/>
          </w:tcPr>
          <w:p>
            <w:pPr>
              <w:spacing w:after="60" w:line="259" w:lineRule="auto"/>
            </w:pPr>
            <w:r>
              <w:rPr>
                <w:rFonts w:ascii="Calibri" w:hAnsi="Calibri"/>
                <w:b w:val="0"/>
                <w:i w:val="0"/>
                <w:color w:val="212121"/>
                <w:sz w:val="19"/>
              </w:rPr>
              <w:t>Although ARF strikes in childhood, the valvular scarring it leaves (rheumatic heart disease) usually becomes symptomatic 10-20 years later, so the burden of heart failure, atrial fibrillation and valve surgery falls on young and middle-aged adults - often during their most productive and reproductive years.</w:t>
            </w:r>
          </w:p>
          <w:p>
            <w:pPr>
              <w:spacing w:after="40" w:before="60" w:line="259" w:lineRule="auto"/>
            </w:pPr>
            <w:r>
              <w:rPr>
                <w:rFonts w:ascii="Calibri" w:hAnsi="Calibri"/>
                <w:b w:val="0"/>
                <w:i w:val="0"/>
                <w:color w:val="212121"/>
                <w:sz w:val="19"/>
              </w:rPr>
              <w:t>Clinical RHD prevalence in India peaks around 30-40 years of age; RHD is the most common acquired heart disease in people under 25 worldwide.</w:t>
            </w:r>
          </w:p>
          <w:p>
            <w:pPr>
              <w:spacing w:after="40" w:line="252" w:lineRule="auto"/>
            </w:pPr>
            <w:hyperlink r:id="rId10">
              <w:r>
                <w:rPr>
                  <w:rFonts w:ascii="Calibri" w:hAnsi="Calibri" w:cs="Calibri"/>
                  <w:sz w:val="18"/>
                  <w:color w:val="1155CC"/>
                  <w:u w:val="single"/>
                </w:rPr>
                <w:t xml:space="preserve">who.int - rheumatic heart disease fact sheet</w:t>
              </w:r>
            </w:hyperlink>
          </w:p>
          <w:p>
            <w:pPr>
              <w:spacing w:before="60" w:after="40"/>
            </w:pPr>
            <w:r>
              <w:rPr>
                <w:rFonts w:ascii="Calibri" w:hAnsi="Calibri"/>
                <w:b w:val="0"/>
                <w:i w:val="0"/>
                <w:color w:val="5A5A5A"/>
                <w:sz w:val="18"/>
              </w:rPr>
              <w:t>#RHD  #valvedisease  #youngadults  #heartfailure  #mitralstenosis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 children and young women</w:t>
            </w:r>
          </w:p>
        </w:tc>
        <w:tc>
          <w:tcPr>
            <w:tcW w:type="dxa" w:w="4276"/>
            <w:vAlign w:val="top"/>
          </w:tcPr>
          <w:p>
            <w:pPr>
              <w:spacing w:after="60" w:line="259" w:lineRule="auto"/>
            </w:pPr>
            <w:r>
              <w:rPr>
                <w:rFonts w:ascii="Calibri" w:hAnsi="Calibri"/>
                <w:b w:val="0"/>
                <w:i w:val="0"/>
                <w:color w:val="212121"/>
                <w:sz w:val="19"/>
              </w:rPr>
              <w:t>Although the acute attack has no strong sex bias, girls and women progress to rheumatic heart disease and to Sydenham chorea more often than males, for reasons that are partly hormonal and immunological and partly social (less care-seeking for girls). RHD is also the leading cause of maternal cardiac disease in pregnancy.</w:t>
            </w:r>
          </w:p>
          <w:p>
            <w:pPr>
              <w:spacing w:after="40" w:before="60" w:line="259" w:lineRule="auto"/>
            </w:pPr>
            <w:r>
              <w:rPr>
                <w:rFonts w:ascii="Calibri" w:hAnsi="Calibri"/>
                <w:b w:val="0"/>
                <w:i w:val="0"/>
                <w:color w:val="212121"/>
                <w:sz w:val="19"/>
              </w:rPr>
              <w:t>In a Meghalaya school echo survey, RHD prevalence was about twice as high in girls as boys (6.29 vs 3.04 per 1000); females also more frequently develop chorea and chronic valve disease.</w:t>
            </w:r>
          </w:p>
          <w:p>
            <w:pPr>
              <w:spacing w:after="40" w:line="252" w:lineRule="auto"/>
            </w:pPr>
            <w:hyperlink r:id="rId11">
              <w:r>
                <w:rPr>
                  <w:rFonts w:ascii="Calibri" w:hAnsi="Calibri" w:cs="Calibri"/>
                  <w:sz w:val="18"/>
                  <w:color w:val="1155CC"/>
                  <w:u w:val="single"/>
                </w:rPr>
                <w:t xml:space="preserve">sciencedirect.com - RHD in Meghalaya school children (echo study)</w:t>
              </w:r>
            </w:hyperlink>
          </w:p>
          <w:p>
            <w:pPr>
              <w:spacing w:before="60" w:after="40"/>
            </w:pPr>
            <w:r>
              <w:rPr>
                <w:rFonts w:ascii="Calibri" w:hAnsi="Calibri"/>
                <w:b w:val="0"/>
                <w:i w:val="0"/>
                <w:color w:val="5A5A5A"/>
                <w:sz w:val="18"/>
              </w:rPr>
              <w:t>#women  #chorea  #maternalheart  #RHD  #sexdisparity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and poor households</w:t>
            </w:r>
          </w:p>
        </w:tc>
        <w:tc>
          <w:tcPr>
            <w:tcW w:type="dxa" w:w="4276"/>
            <w:vAlign w:val="top"/>
          </w:tcPr>
          <w:p>
            <w:pPr>
              <w:spacing w:after="60" w:line="259" w:lineRule="auto"/>
            </w:pPr>
            <w:r>
              <w:rPr>
                <w:rFonts w:ascii="Calibri" w:hAnsi="Calibri"/>
                <w:b w:val="0"/>
                <w:i w:val="0"/>
                <w:color w:val="212121"/>
                <w:sz w:val="19"/>
              </w:rPr>
              <w:t>Poverty concentrates every risk for ARF: overcrowding that spreads streptococci, undernutrition, and limited access to a doctor so that sore throats go untreated. There is a clear social gradient, with the poorest children carrying the greatest burden.</w:t>
            </w:r>
          </w:p>
          <w:p>
            <w:pPr>
              <w:spacing w:after="40" w:before="60" w:line="259" w:lineRule="auto"/>
            </w:pPr>
            <w:r>
              <w:rPr>
                <w:rFonts w:ascii="Calibri" w:hAnsi="Calibri"/>
                <w:b w:val="0"/>
                <w:i w:val="0"/>
                <w:color w:val="212121"/>
                <w:sz w:val="19"/>
              </w:rPr>
              <w:t>A systematic review found household crowding conferred roughly a twofold risk of GAS infection, ARF and RHD, and low socioeconomic status showed a clear social-class gradient of disease.</w:t>
            </w:r>
          </w:p>
          <w:p>
            <w:pPr>
              <w:spacing w:after="40" w:line="252" w:lineRule="auto"/>
            </w:pPr>
            <w:hyperlink r:id="rId12">
              <w:r>
                <w:rPr>
                  <w:rFonts w:ascii="Calibri" w:hAnsi="Calibri" w:cs="Calibri"/>
                  <w:sz w:val="18"/>
                  <w:color w:val="1155CC"/>
                  <w:u w:val="single"/>
                </w:rPr>
                <w:t xml:space="preserve">journals.plos.org (PLOS NTD) - social determinants of ARF/RHD</w:t>
              </w:r>
            </w:hyperlink>
          </w:p>
          <w:p>
            <w:pPr>
              <w:spacing w:before="60" w:after="40"/>
            </w:pPr>
            <w:r>
              <w:rPr>
                <w:rFonts w:ascii="Calibri" w:hAnsi="Calibri"/>
                <w:b w:val="0"/>
                <w:i w:val="0"/>
                <w:color w:val="5A5A5A"/>
                <w:sz w:val="18"/>
              </w:rPr>
              <w:t>#poverty  #socialgradient  #crowding  #healthaccess  #inequity</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Merge w:val="restart"/>
            <w:vAlign w:val="center"/>
          </w:tcPr>
          <w:p>
            <w:pPr>
              <w:spacing w:after="40"/>
            </w:pPr>
            <w:r>
              <w:rPr>
                <w:rFonts w:ascii="Calibri" w:hAnsi="Calibri"/>
                <w:b w:val="0"/>
                <w:i w:val="0"/>
                <w:color w:val="212121"/>
                <w:sz w:val="19"/>
              </w:rPr>
              <w:t>Region / setting</w:t>
            </w:r>
          </w:p>
        </w:tc>
        <w:tc>
          <w:tcPr>
            <w:tcW w:type="dxa" w:w="2160"/>
            <w:vAlign w:val="top"/>
          </w:tcPr>
          <w:p>
            <w:pPr>
              <w:spacing w:after="40" w:before="0" w:line="259" w:lineRule="auto"/>
            </w:pPr>
            <w:r>
              <w:rPr>
                <w:rFonts w:ascii="Calibri" w:hAnsi="Calibri"/>
                <w:b w:val="0"/>
                <w:i w:val="0"/>
                <w:color w:val="212121"/>
                <w:sz w:val="19"/>
              </w:rPr>
              <w:t>Rural and tribal populations (e.g. Northeast India)</w:t>
            </w:r>
          </w:p>
        </w:tc>
        <w:tc>
          <w:tcPr>
            <w:tcW w:type="dxa" w:w="4276"/>
            <w:vAlign w:val="top"/>
          </w:tcPr>
          <w:p>
            <w:pPr>
              <w:spacing w:after="60" w:line="259" w:lineRule="auto"/>
            </w:pPr>
            <w:r>
              <w:rPr>
                <w:rFonts w:ascii="Calibri" w:hAnsi="Calibri"/>
                <w:b w:val="0"/>
                <w:i w:val="0"/>
                <w:color w:val="212121"/>
                <w:sz w:val="19"/>
              </w:rPr>
              <w:t>Rural and tribal communities combine crowded housing, limited primary care and delayed treatment of strep throat, sustaining high transmission and undiagnosed disease. Portable-echo screening repeatedly uncovers a large hidden ('subclinical') RHD pool in these children.</w:t>
            </w:r>
          </w:p>
          <w:p>
            <w:pPr>
              <w:spacing w:after="40" w:before="60" w:line="259" w:lineRule="auto"/>
            </w:pPr>
            <w:r>
              <w:rPr>
                <w:rFonts w:ascii="Calibri" w:hAnsi="Calibri"/>
                <w:b w:val="0"/>
                <w:i w:val="0"/>
                <w:color w:val="212121"/>
                <w:sz w:val="19"/>
              </w:rPr>
              <w:t>An echocardiographic survey of 4,039 school children across nine districts of Meghalaya found subclinical RHD in 4.7 per 1000 (definite 1.98, borderline 2.72), far exceeding the clinically detected 0.49 per 1000.</w:t>
            </w:r>
          </w:p>
          <w:p>
            <w:pPr>
              <w:spacing w:after="40" w:line="252" w:lineRule="auto"/>
            </w:pPr>
            <w:hyperlink r:id="rId11">
              <w:r>
                <w:rPr>
                  <w:rFonts w:ascii="Calibri" w:hAnsi="Calibri" w:cs="Calibri"/>
                  <w:sz w:val="18"/>
                  <w:color w:val="1155CC"/>
                  <w:u w:val="single"/>
                </w:rPr>
                <w:t xml:space="preserve">sciencedirect.com - RHD prevalence, Meghalaya school children</w:t>
              </w:r>
            </w:hyperlink>
          </w:p>
          <w:p>
            <w:pPr>
              <w:spacing w:before="60" w:after="40"/>
            </w:pPr>
            <w:r>
              <w:rPr>
                <w:rFonts w:ascii="Calibri" w:hAnsi="Calibri"/>
                <w:b w:val="0"/>
                <w:i w:val="0"/>
                <w:color w:val="5A5A5A"/>
                <w:sz w:val="18"/>
              </w:rPr>
              <w:t>#rural  #tribal  #northeastindia  #echoscreening  #subclinicalRHD</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Crowded urban slums and endemic northern/central belts</w:t>
            </w:r>
          </w:p>
        </w:tc>
        <w:tc>
          <w:tcPr>
            <w:tcW w:type="dxa" w:w="4276"/>
            <w:vAlign w:val="top"/>
          </w:tcPr>
          <w:p>
            <w:pPr>
              <w:spacing w:after="60" w:line="259" w:lineRule="auto"/>
            </w:pPr>
            <w:r>
              <w:rPr>
                <w:rFonts w:ascii="Calibri" w:hAnsi="Calibri"/>
                <w:b w:val="0"/>
                <w:i w:val="0"/>
                <w:color w:val="212121"/>
                <w:sz w:val="19"/>
              </w:rPr>
              <w:t>Dense, low-income urban settlements and much of rural north and central India remain endemic zones where streptococcal throat infection spreads readily and RHD makes up a large share of heart disease seen in clinics.</w:t>
            </w:r>
          </w:p>
          <w:p>
            <w:pPr>
              <w:spacing w:after="40" w:before="60" w:line="259" w:lineRule="auto"/>
            </w:pPr>
            <w:r>
              <w:rPr>
                <w:rFonts w:ascii="Calibri" w:hAnsi="Calibri"/>
                <w:b w:val="0"/>
                <w:i w:val="0"/>
                <w:color w:val="212121"/>
                <w:sz w:val="19"/>
              </w:rPr>
              <w:t>Rheumatic fever is endemic in India, with RHD accounting for an estimated 25-45% of all acquired heart disease and reported to constitute about 42% of cardiac disease in rural central India.</w:t>
            </w:r>
          </w:p>
          <w:p>
            <w:pPr>
              <w:spacing w:after="40" w:line="252" w:lineRule="auto"/>
            </w:pPr>
            <w:hyperlink r:id="rId13">
              <w:r>
                <w:rPr>
                  <w:rFonts w:ascii="Calibri" w:hAnsi="Calibri" w:cs="Calibri"/>
                  <w:sz w:val="18"/>
                  <w:color w:val="1155CC"/>
                  <w:u w:val="single"/>
                </w:rPr>
                <w:t xml:space="preserve">ijcdw.org - rheumatic heart disease in children (India)</w:t>
              </w:r>
            </w:hyperlink>
          </w:p>
          <w:p>
            <w:pPr>
              <w:spacing w:before="60" w:after="40"/>
            </w:pPr>
            <w:r>
              <w:rPr>
                <w:rFonts w:ascii="Calibri" w:hAnsi="Calibri"/>
                <w:b w:val="0"/>
                <w:i w:val="0"/>
                <w:color w:val="5A5A5A"/>
                <w:sz w:val="18"/>
              </w:rPr>
              <w:t>#slums  #endemic  #urbanpoor  #acquiredheartdisease  #India</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Overcrowding</w:t>
            </w:r>
          </w:p>
        </w:tc>
        <w:tc>
          <w:tcPr>
            <w:tcW w:type="dxa" w:w="2160"/>
            <w:vAlign w:val="top"/>
          </w:tcPr>
          <w:p>
            <w:pPr>
              <w:spacing w:after="40" w:before="0" w:line="259" w:lineRule="auto"/>
            </w:pPr>
            <w:r>
              <w:rPr>
                <w:rFonts w:ascii="Calibri" w:hAnsi="Calibri"/>
                <w:b w:val="0"/>
                <w:i w:val="0"/>
                <w:color w:val="212121"/>
                <w:sz w:val="19"/>
              </w:rPr>
              <w:t>Children in crowded homes, hostels and classrooms</w:t>
            </w:r>
          </w:p>
        </w:tc>
        <w:tc>
          <w:tcPr>
            <w:tcW w:type="dxa" w:w="4276"/>
            <w:vAlign w:val="top"/>
          </w:tcPr>
          <w:p>
            <w:pPr>
              <w:spacing w:after="60" w:line="259" w:lineRule="auto"/>
            </w:pPr>
            <w:r>
              <w:rPr>
                <w:rFonts w:ascii="Calibri" w:hAnsi="Calibri"/>
                <w:b w:val="0"/>
                <w:i w:val="0"/>
                <w:color w:val="212121"/>
                <w:sz w:val="19"/>
              </w:rPr>
              <w:t>Streptococcal pharyngitis spreads by respiratory droplets, so sharing a room, bed or classroom with many people dramatically increases exposure and reinfection. Crowding is the single best-established environmental driver of ARF.</w:t>
            </w:r>
          </w:p>
          <w:p>
            <w:pPr>
              <w:spacing w:after="40" w:before="60" w:line="259" w:lineRule="auto"/>
            </w:pPr>
            <w:r>
              <w:rPr>
                <w:rFonts w:ascii="Calibri" w:hAnsi="Calibri"/>
                <w:b w:val="0"/>
                <w:i w:val="0"/>
                <w:color w:val="212121"/>
                <w:sz w:val="19"/>
              </w:rPr>
              <w:t>Crowding was the most studied risk factor and met causal criteria; one study found a 1% rise in the proportion of crowded households was associated with a 6.5% increase in expected ARF cases.</w:t>
            </w:r>
          </w:p>
          <w:p>
            <w:pPr>
              <w:spacing w:after="40" w:line="252" w:lineRule="auto"/>
            </w:pPr>
            <w:hyperlink r:id="rId12">
              <w:r>
                <w:rPr>
                  <w:rFonts w:ascii="Calibri" w:hAnsi="Calibri" w:cs="Calibri"/>
                  <w:sz w:val="18"/>
                  <w:color w:val="1155CC"/>
                  <w:u w:val="single"/>
                </w:rPr>
                <w:t xml:space="preserve">journals.plos.org (PLOS NTD) - crowding and ARF</w:t>
              </w:r>
            </w:hyperlink>
          </w:p>
          <w:p>
            <w:pPr>
              <w:spacing w:before="60" w:after="40"/>
            </w:pPr>
            <w:r>
              <w:rPr>
                <w:rFonts w:ascii="Calibri" w:hAnsi="Calibri"/>
                <w:b w:val="0"/>
                <w:i w:val="0"/>
                <w:color w:val="5A5A5A"/>
                <w:sz w:val="18"/>
              </w:rPr>
              <w:t>#overcrowding  #droplet  #transmission  #hostels  #reinfection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Hygiene, housing and sanitation</w:t>
            </w:r>
          </w:p>
        </w:tc>
        <w:tc>
          <w:tcPr>
            <w:tcW w:type="dxa" w:w="2160"/>
            <w:vAlign w:val="top"/>
          </w:tcPr>
          <w:p>
            <w:pPr>
              <w:spacing w:after="40" w:before="0" w:line="259" w:lineRule="auto"/>
            </w:pPr>
            <w:r>
              <w:rPr>
                <w:rFonts w:ascii="Calibri" w:hAnsi="Calibri"/>
                <w:b w:val="0"/>
                <w:i w:val="0"/>
                <w:color w:val="212121"/>
                <w:sz w:val="19"/>
              </w:rPr>
              <w:t>Poor, damp or poorly ventilated housing</w:t>
            </w:r>
          </w:p>
        </w:tc>
        <w:tc>
          <w:tcPr>
            <w:tcW w:type="dxa" w:w="4276"/>
            <w:vAlign w:val="top"/>
          </w:tcPr>
          <w:p>
            <w:pPr>
              <w:spacing w:after="60" w:line="259" w:lineRule="auto"/>
            </w:pPr>
            <w:r>
              <w:rPr>
                <w:rFonts w:ascii="Calibri" w:hAnsi="Calibri"/>
                <w:b w:val="0"/>
                <w:i w:val="0"/>
                <w:color w:val="212121"/>
                <w:sz w:val="19"/>
              </w:rPr>
              <w:t>Inadequate housing, damp dwellings and poor sanitation facilitate streptococcal (and streptococcal skin) infection and cluster with other risks. Improving living standards and hygiene is a core WHO prevention strategy for ARF/RHD.</w:t>
            </w:r>
          </w:p>
          <w:p>
            <w:pPr>
              <w:spacing w:after="40" w:before="60" w:line="259" w:lineRule="auto"/>
            </w:pPr>
            <w:r>
              <w:rPr>
                <w:rFonts w:ascii="Calibri" w:hAnsi="Calibri"/>
                <w:b w:val="0"/>
                <w:i w:val="0"/>
                <w:color w:val="212121"/>
                <w:sz w:val="19"/>
              </w:rPr>
              <w:t>Positive associations with ARF were reported in 8 of 9 studies of dwelling characteristics and in 5 of 7 studies of home dampness; WHO states people in overcrowded, poor living conditions are at greatest risk.</w:t>
            </w:r>
          </w:p>
          <w:p>
            <w:pPr>
              <w:spacing w:after="40" w:line="252" w:lineRule="auto"/>
            </w:pPr>
            <w:hyperlink r:id="rId10">
              <w:r>
                <w:rPr>
                  <w:rFonts w:ascii="Calibri" w:hAnsi="Calibri" w:cs="Calibri"/>
                  <w:sz w:val="18"/>
                  <w:color w:val="1155CC"/>
                  <w:u w:val="single"/>
                </w:rPr>
                <w:t xml:space="preserve">who.int - poverty, housing and RHD risk</w:t>
              </w:r>
            </w:hyperlink>
          </w:p>
          <w:p>
            <w:pPr>
              <w:spacing w:before="60" w:after="40"/>
            </w:pPr>
            <w:r>
              <w:rPr>
                <w:rFonts w:ascii="Calibri" w:hAnsi="Calibri"/>
                <w:b w:val="0"/>
                <w:i w:val="0"/>
                <w:color w:val="5A5A5A"/>
                <w:sz w:val="18"/>
              </w:rPr>
              <w:t>#hygiene  #housing  #sanitation  #dampness  #prevention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Health-seeking behaviour</w:t>
            </w:r>
          </w:p>
        </w:tc>
        <w:tc>
          <w:tcPr>
            <w:tcW w:type="dxa" w:w="2160"/>
            <w:vAlign w:val="top"/>
          </w:tcPr>
          <w:p>
            <w:pPr>
              <w:spacing w:after="40" w:before="0" w:line="259" w:lineRule="auto"/>
            </w:pPr>
            <w:r>
              <w:rPr>
                <w:rFonts w:ascii="Calibri" w:hAnsi="Calibri"/>
                <w:b w:val="0"/>
                <w:i w:val="0"/>
                <w:color w:val="212121"/>
                <w:sz w:val="19"/>
              </w:rPr>
              <w:t>Children whose sore throats go untreated</w:t>
            </w:r>
          </w:p>
        </w:tc>
        <w:tc>
          <w:tcPr>
            <w:tcW w:type="dxa" w:w="4276"/>
            <w:vAlign w:val="top"/>
          </w:tcPr>
          <w:p>
            <w:pPr>
              <w:spacing w:after="60" w:line="259" w:lineRule="auto"/>
            </w:pPr>
            <w:r>
              <w:rPr>
                <w:rFonts w:ascii="Calibri" w:hAnsi="Calibri"/>
                <w:b w:val="0"/>
                <w:i w:val="0"/>
                <w:color w:val="212121"/>
                <w:sz w:val="19"/>
              </w:rPr>
              <w:t>ARF is preventable: promptly and fully treating streptococcal pharyngitis with antibiotics stops the immune attack. When a sore throat is ignored, self-medicated or treated for too short a course, the strep is not eradicated and rheumatic fever can follow.</w:t>
            </w:r>
          </w:p>
          <w:p>
            <w:pPr>
              <w:spacing w:after="40" w:before="60" w:line="259" w:lineRule="auto"/>
            </w:pPr>
            <w:r>
              <w:rPr>
                <w:rFonts w:ascii="Calibri" w:hAnsi="Calibri"/>
                <w:b w:val="0"/>
                <w:i w:val="0"/>
                <w:color w:val="212121"/>
                <w:sz w:val="19"/>
              </w:rPr>
              <w:t>Penicillin prevents primary attacks of rheumatic fever even when started up to nine days after the onset of the sore throat, provided a full course is given.</w:t>
            </w:r>
          </w:p>
          <w:p>
            <w:pPr>
              <w:spacing w:after="40" w:line="252" w:lineRule="auto"/>
            </w:pPr>
            <w:hyperlink r:id="rId14">
              <w:r>
                <w:rPr>
                  <w:rFonts w:ascii="Calibri" w:hAnsi="Calibri" w:cs="Calibri"/>
                  <w:sz w:val="18"/>
                  <w:color w:val="1155CC"/>
                  <w:u w:val="single"/>
                </w:rPr>
                <w:t xml:space="preserve">aafp.org - prevention of rheumatic fever (primary prophylaxis)</w:t>
              </w:r>
            </w:hyperlink>
          </w:p>
          <w:p>
            <w:pPr>
              <w:spacing w:before="60" w:after="40"/>
            </w:pPr>
            <w:r>
              <w:rPr>
                <w:rFonts w:ascii="Calibri" w:hAnsi="Calibri"/>
                <w:b w:val="0"/>
                <w:i w:val="0"/>
                <w:color w:val="5A5A5A"/>
                <w:sz w:val="18"/>
              </w:rPr>
              <w:t>#untreatedstrep  #primaryprevention  #antibiotics  #sorethroat  #preventable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Tobacco smoke / indoor air</w:t>
            </w:r>
          </w:p>
        </w:tc>
        <w:tc>
          <w:tcPr>
            <w:tcW w:type="dxa" w:w="2160"/>
            <w:vAlign w:val="top"/>
          </w:tcPr>
          <w:p>
            <w:pPr>
              <w:spacing w:after="40" w:before="0" w:line="259" w:lineRule="auto"/>
            </w:pPr>
            <w:r>
              <w:rPr>
                <w:rFonts w:ascii="Calibri" w:hAnsi="Calibri"/>
                <w:b w:val="0"/>
                <w:i w:val="0"/>
                <w:color w:val="212121"/>
                <w:sz w:val="19"/>
              </w:rPr>
              <w:t>Children in smoky, poorly ventilated homes</w:t>
            </w:r>
          </w:p>
        </w:tc>
        <w:tc>
          <w:tcPr>
            <w:tcW w:type="dxa" w:w="4276"/>
            <w:vAlign w:val="top"/>
          </w:tcPr>
          <w:p>
            <w:pPr>
              <w:spacing w:after="60" w:line="259" w:lineRule="auto"/>
            </w:pPr>
            <w:r>
              <w:rPr>
                <w:rFonts w:ascii="Calibri" w:hAnsi="Calibri"/>
                <w:b w:val="0"/>
                <w:i w:val="0"/>
                <w:color w:val="212121"/>
                <w:sz w:val="19"/>
              </w:rPr>
              <w:t>Direct evidence linking tobacco to ARF is limited, but second-hand smoke, biomass-fuel smoke and poor ventilation irritate the pharyngeal mucosa and cluster with crowding and poverty; in adults with established RHD, smoking additionally worsens cardiovascular outcomes. This is a contextual, not a primary, risk factor.</w:t>
            </w:r>
          </w:p>
          <w:p>
            <w:pPr>
              <w:spacing w:after="40" w:before="60" w:line="259" w:lineRule="auto"/>
            </w:pPr>
            <w:r>
              <w:rPr>
                <w:rFonts w:ascii="Calibri" w:hAnsi="Calibri"/>
                <w:b w:val="0"/>
                <w:i w:val="0"/>
                <w:color w:val="212121"/>
                <w:sz w:val="19"/>
              </w:rPr>
              <w:t>Tobacco is not an established cause of ARF; it is best regarded as a marker of crowded, disadvantaged home environments and a general cardiovascular risk in those who already have RHD.</w:t>
            </w:r>
          </w:p>
          <w:p>
            <w:pPr>
              <w:spacing w:before="60" w:after="40"/>
            </w:pPr>
            <w:r>
              <w:rPr>
                <w:rFonts w:ascii="Calibri" w:hAnsi="Calibri"/>
                <w:b w:val="0"/>
                <w:i w:val="0"/>
                <w:color w:val="5A5A5A"/>
                <w:sz w:val="18"/>
              </w:rPr>
              <w:t>#secondhandsmoke  #indoorair  #biomass  #ventilation  #contextual</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Nutrition</w:t>
            </w:r>
          </w:p>
        </w:tc>
        <w:tc>
          <w:tcPr>
            <w:tcW w:type="dxa" w:w="2160"/>
            <w:vAlign w:val="top"/>
          </w:tcPr>
          <w:p>
            <w:pPr>
              <w:spacing w:after="40" w:before="0" w:line="259" w:lineRule="auto"/>
            </w:pPr>
            <w:r>
              <w:rPr>
                <w:rFonts w:ascii="Calibri" w:hAnsi="Calibri"/>
                <w:b w:val="0"/>
                <w:i w:val="0"/>
                <w:color w:val="212121"/>
                <w:sz w:val="19"/>
              </w:rPr>
              <w:t>Undernourished / malnourished children</w:t>
            </w:r>
          </w:p>
        </w:tc>
        <w:tc>
          <w:tcPr>
            <w:tcW w:type="dxa" w:w="4276"/>
            <w:vAlign w:val="top"/>
          </w:tcPr>
          <w:p>
            <w:pPr>
              <w:spacing w:after="60" w:line="259" w:lineRule="auto"/>
            </w:pPr>
            <w:r>
              <w:rPr>
                <w:rFonts w:ascii="Calibri" w:hAnsi="Calibri"/>
                <w:b w:val="0"/>
                <w:i w:val="0"/>
                <w:color w:val="212121"/>
                <w:sz w:val="19"/>
              </w:rPr>
              <w:t>Undernutrition, common among poor Indian children, impairs immune defence and clusters with crowding and poverty, and it is associated with more frequent and severe infections. There is no specific 'ARF diet', but correcting undernutrition supports resistance to infection and recovery.</w:t>
            </w:r>
          </w:p>
          <w:p>
            <w:pPr>
              <w:spacing w:after="40" w:before="60" w:line="259" w:lineRule="auto"/>
            </w:pPr>
            <w:r>
              <w:rPr>
                <w:rFonts w:ascii="Calibri" w:hAnsi="Calibri"/>
                <w:b w:val="0"/>
                <w:i w:val="0"/>
                <w:color w:val="212121"/>
                <w:sz w:val="19"/>
              </w:rPr>
              <w:t>About a quarter of nutrition studies in a systematic review reported significant associations between poor nutritional status and ARF/RHD; undernutrition acts largely alongside crowding and low socioeconomic status.</w:t>
            </w:r>
          </w:p>
          <w:p>
            <w:pPr>
              <w:spacing w:after="40" w:line="252" w:lineRule="auto"/>
            </w:pPr>
            <w:hyperlink r:id="rId12">
              <w:r>
                <w:rPr>
                  <w:rFonts w:ascii="Calibri" w:hAnsi="Calibri" w:cs="Calibri"/>
                  <w:sz w:val="18"/>
                  <w:color w:val="1155CC"/>
                  <w:u w:val="single"/>
                </w:rPr>
                <w:t xml:space="preserve">journals.plos.org (PLOS NTD) - nutrition and ARF/RHD</w:t>
              </w:r>
            </w:hyperlink>
          </w:p>
          <w:p>
            <w:pPr>
              <w:spacing w:before="60" w:after="40"/>
            </w:pPr>
            <w:r>
              <w:rPr>
                <w:rFonts w:ascii="Calibri" w:hAnsi="Calibri"/>
                <w:b w:val="0"/>
                <w:i w:val="0"/>
                <w:color w:val="5A5A5A"/>
                <w:sz w:val="18"/>
              </w:rPr>
              <w:t>#undernutrition  #immunity  #childnutrition  #micronutrients  #poverty</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Family history of ARF / RHD</w:t>
            </w:r>
          </w:p>
        </w:tc>
        <w:tc>
          <w:tcPr>
            <w:tcW w:type="dxa" w:w="4276"/>
            <w:vAlign w:val="top"/>
          </w:tcPr>
          <w:p>
            <w:pPr>
              <w:spacing w:after="60" w:line="259" w:lineRule="auto"/>
            </w:pPr>
            <w:r>
              <w:rPr>
                <w:rFonts w:ascii="Calibri" w:hAnsi="Calibri"/>
                <w:b w:val="0"/>
                <w:i w:val="0"/>
                <w:color w:val="212121"/>
                <w:sz w:val="19"/>
              </w:rPr>
              <w:t>Susceptibility to the abnormal cross-reactive immune response is inherited. Children with an affected first-degree relative are at higher risk, reflecting HLA class II associations and the D8/17 B-cell alloantigen, so a family history should heighten vigilance about sore throats.</w:t>
            </w:r>
          </w:p>
          <w:p>
            <w:pPr>
              <w:spacing w:after="40" w:before="60" w:line="259" w:lineRule="auto"/>
            </w:pPr>
            <w:r>
              <w:rPr>
                <w:rFonts w:ascii="Calibri" w:hAnsi="Calibri"/>
                <w:b w:val="0"/>
                <w:i w:val="0"/>
                <w:color w:val="212121"/>
                <w:sz w:val="19"/>
              </w:rPr>
              <w:t>ARF shows familial clustering; HLA class II alleles (e.g. HLA-DR7) and the D8/17 B-cell marker are associated with increased susceptibility to the disease.</w:t>
            </w:r>
          </w:p>
          <w:p>
            <w:pPr>
              <w:spacing w:after="40" w:line="252" w:lineRule="auto"/>
            </w:pPr>
            <w:hyperlink r:id="rId9">
              <w:r>
                <w:rPr>
                  <w:rFonts w:ascii="Calibri" w:hAnsi="Calibri" w:cs="Calibri"/>
                  <w:sz w:val="18"/>
                  <w:color w:val="1155CC"/>
                  <w:u w:val="single"/>
                </w:rPr>
                <w:t xml:space="preserve">ncbi.nlm.nih.gov/books/NBK594238 - host susceptibility (StatPearls)</w:t>
              </w:r>
            </w:hyperlink>
          </w:p>
          <w:p>
            <w:pPr>
              <w:spacing w:before="60" w:after="40"/>
            </w:pPr>
            <w:r>
              <w:rPr>
                <w:rFonts w:ascii="Calibri" w:hAnsi="Calibri"/>
                <w:b w:val="0"/>
                <w:i w:val="0"/>
                <w:color w:val="5A5A5A"/>
                <w:sz w:val="18"/>
              </w:rPr>
              <w:t>#familyhistory  #HLA  #D8_17  #geneticsusceptibility  #autoimmunity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Recurrent GAS pharyngitis</w:t>
            </w:r>
          </w:p>
        </w:tc>
        <w:tc>
          <w:tcPr>
            <w:tcW w:type="dxa" w:w="2160"/>
            <w:vAlign w:val="top"/>
          </w:tcPr>
          <w:p>
            <w:pPr>
              <w:spacing w:after="40" w:before="0" w:line="259" w:lineRule="auto"/>
            </w:pPr>
            <w:r>
              <w:rPr>
                <w:rFonts w:ascii="Calibri" w:hAnsi="Calibri"/>
                <w:b w:val="0"/>
                <w:i w:val="0"/>
                <w:color w:val="212121"/>
                <w:sz w:val="19"/>
              </w:rPr>
              <w:t>Children with repeated streptococcal sore throats</w:t>
            </w:r>
          </w:p>
        </w:tc>
        <w:tc>
          <w:tcPr>
            <w:tcW w:type="dxa" w:w="4276"/>
            <w:vAlign w:val="top"/>
          </w:tcPr>
          <w:p>
            <w:pPr>
              <w:spacing w:after="60" w:line="259" w:lineRule="auto"/>
            </w:pPr>
            <w:r>
              <w:rPr>
                <w:rFonts w:ascii="Calibri" w:hAnsi="Calibri"/>
                <w:b w:val="0"/>
                <w:i w:val="0"/>
                <w:color w:val="212121"/>
                <w:sz w:val="19"/>
              </w:rPr>
              <w:t>Every fresh, untreated group A strep throat infection can provoke a new rheumatic attack. Recurrent pharyngitis without secondary prophylaxis is the direct route to recurrent ARF and progressive valve damage.</w:t>
            </w:r>
          </w:p>
          <w:p>
            <w:pPr>
              <w:spacing w:after="40" w:before="60" w:line="259" w:lineRule="auto"/>
            </w:pPr>
            <w:r>
              <w:rPr>
                <w:rFonts w:ascii="Calibri" w:hAnsi="Calibri"/>
                <w:b w:val="0"/>
                <w:i w:val="0"/>
                <w:color w:val="212121"/>
                <w:sz w:val="19"/>
              </w:rPr>
              <w:t>ARF follows GAS pharyngitis after a latent period of about 2-4 weeks; recurrences are prevented by continuous secondary prophylaxis with benzathine penicillin every 3-4 weeks.</w:t>
            </w:r>
          </w:p>
          <w:p>
            <w:pPr>
              <w:spacing w:after="40" w:line="252" w:lineRule="auto"/>
            </w:pPr>
            <w:hyperlink r:id="rId15">
              <w:r>
                <w:rPr>
                  <w:rFonts w:ascii="Calibri" w:hAnsi="Calibri" w:cs="Calibri"/>
                  <w:sz w:val="18"/>
                  <w:color w:val="1155CC"/>
                  <w:u w:val="single"/>
                </w:rPr>
                <w:t xml:space="preserve">cdc.gov - acute rheumatic fever clinical guidance</w:t>
              </w:r>
            </w:hyperlink>
          </w:p>
          <w:p>
            <w:pPr>
              <w:spacing w:before="60" w:after="40"/>
            </w:pPr>
            <w:r>
              <w:rPr>
                <w:rFonts w:ascii="Calibri" w:hAnsi="Calibri"/>
                <w:b w:val="0"/>
                <w:i w:val="0"/>
                <w:color w:val="5A5A5A"/>
                <w:sz w:val="18"/>
              </w:rPr>
              <w:t>#strepthroat  #recurrence  #prophylaxis  #GAS  #penicillin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Prior ARF / established RHD</w:t>
            </w:r>
          </w:p>
        </w:tc>
        <w:tc>
          <w:tcPr>
            <w:tcW w:type="dxa" w:w="2160"/>
            <w:vAlign w:val="top"/>
          </w:tcPr>
          <w:p>
            <w:pPr>
              <w:spacing w:after="40" w:before="0" w:line="259" w:lineRule="auto"/>
            </w:pPr>
            <w:r>
              <w:rPr>
                <w:rFonts w:ascii="Calibri" w:hAnsi="Calibri"/>
                <w:b w:val="0"/>
                <w:i w:val="0"/>
                <w:color w:val="212121"/>
                <w:sz w:val="19"/>
              </w:rPr>
              <w:t>Patients with a previous attack or known valve disease</w:t>
            </w:r>
          </w:p>
        </w:tc>
        <w:tc>
          <w:tcPr>
            <w:tcW w:type="dxa" w:w="4276"/>
            <w:vAlign w:val="top"/>
          </w:tcPr>
          <w:p>
            <w:pPr>
              <w:spacing w:after="60" w:line="259" w:lineRule="auto"/>
            </w:pPr>
            <w:r>
              <w:rPr>
                <w:rFonts w:ascii="Calibri" w:hAnsi="Calibri"/>
                <w:b w:val="0"/>
                <w:i w:val="0"/>
                <w:color w:val="212121"/>
                <w:sz w:val="19"/>
              </w:rPr>
              <w:t>A previous episode of ARF is the strongest predictor of another: the immune system is 'primed', and any new strep infection can rekindle carditis on an already-damaged valve. This group needs the longest, most reliable prophylaxis.</w:t>
            </w:r>
          </w:p>
          <w:p>
            <w:pPr>
              <w:spacing w:after="40" w:before="60" w:line="259" w:lineRule="auto"/>
            </w:pPr>
            <w:r>
              <w:rPr>
                <w:rFonts w:ascii="Calibri" w:hAnsi="Calibri"/>
                <w:b w:val="0"/>
                <w:i w:val="0"/>
                <w:color w:val="212121"/>
                <w:sz w:val="19"/>
              </w:rPr>
              <w:t>In an Eastern India cohort, disease recurrence occurred in about 15.6% of ARF patients; recurrent attacks account for much of the cumulative valvular damage of RHD.</w:t>
            </w:r>
          </w:p>
          <w:p>
            <w:pPr>
              <w:spacing w:after="40" w:line="252" w:lineRule="auto"/>
            </w:pPr>
            <w:hyperlink r:id="rId13">
              <w:r>
                <w:rPr>
                  <w:rFonts w:ascii="Calibri" w:hAnsi="Calibri" w:cs="Calibri"/>
                  <w:sz w:val="18"/>
                  <w:color w:val="1155CC"/>
                  <w:u w:val="single"/>
                </w:rPr>
                <w:t xml:space="preserve">ijcdw.org - ARF recurrence and manifestations (India)</w:t>
              </w:r>
            </w:hyperlink>
          </w:p>
          <w:p>
            <w:pPr>
              <w:spacing w:before="60" w:after="40"/>
            </w:pPr>
            <w:r>
              <w:rPr>
                <w:rFonts w:ascii="Calibri" w:hAnsi="Calibri"/>
                <w:b w:val="0"/>
                <w:i w:val="0"/>
                <w:color w:val="5A5A5A"/>
                <w:sz w:val="18"/>
              </w:rPr>
              <w:t>#recurrentARF  #priorepisode  #valvedamage  #secondaryprophylaxis  #RHD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Streptococcal skin infection</w:t>
            </w:r>
          </w:p>
        </w:tc>
        <w:tc>
          <w:tcPr>
            <w:tcW w:type="dxa" w:w="2160"/>
            <w:vAlign w:val="top"/>
          </w:tcPr>
          <w:p>
            <w:pPr>
              <w:spacing w:after="40" w:before="0" w:line="259" w:lineRule="auto"/>
            </w:pPr>
            <w:r>
              <w:rPr>
                <w:rFonts w:ascii="Calibri" w:hAnsi="Calibri"/>
                <w:b w:val="0"/>
                <w:i w:val="0"/>
                <w:color w:val="212121"/>
                <w:sz w:val="19"/>
              </w:rPr>
              <w:t>Children with impetigo / pyoderma / scabies</w:t>
            </w:r>
          </w:p>
        </w:tc>
        <w:tc>
          <w:tcPr>
            <w:tcW w:type="dxa" w:w="4276"/>
            <w:vAlign w:val="top"/>
          </w:tcPr>
          <w:p>
            <w:pPr>
              <w:spacing w:after="60" w:line="259" w:lineRule="auto"/>
            </w:pPr>
            <w:r>
              <w:rPr>
                <w:rFonts w:ascii="Calibri" w:hAnsi="Calibri"/>
                <w:b w:val="0"/>
                <w:i w:val="0"/>
                <w:color w:val="212121"/>
                <w:sz w:val="19"/>
              </w:rPr>
              <w:t>Recurrent streptococcal skin infection, often on a background of scabies, is a large reservoir of group A strep in poor communities and is increasingly implicated (alongside throat infection) in sustaining ARF/RHD, particularly where pyoderma is common.</w:t>
            </w:r>
          </w:p>
          <w:p>
            <w:pPr>
              <w:spacing w:after="40" w:before="60" w:line="259" w:lineRule="auto"/>
            </w:pPr>
            <w:r>
              <w:rPr>
                <w:rFonts w:ascii="Calibri" w:hAnsi="Calibri"/>
                <w:b w:val="0"/>
                <w:i w:val="0"/>
                <w:color w:val="212121"/>
                <w:sz w:val="19"/>
              </w:rPr>
              <w:t>Group A streptococcal pharyngitis is the classic trigger of ARF; streptococcal skin infection (impetigo/pyoderma) is a recognised additional source of GAS in high-burden, low-resource settings.</w:t>
            </w:r>
          </w:p>
          <w:p>
            <w:pPr>
              <w:spacing w:after="40" w:line="252" w:lineRule="auto"/>
            </w:pPr>
            <w:hyperlink r:id="rId9">
              <w:r>
                <w:rPr>
                  <w:rFonts w:ascii="Calibri" w:hAnsi="Calibri" w:cs="Calibri"/>
                  <w:sz w:val="18"/>
                  <w:color w:val="1155CC"/>
                  <w:u w:val="single"/>
                </w:rPr>
                <w:t xml:space="preserve">ncbi.nlm.nih.gov/books/NBK594238 - GAS sources (StatPearls)</w:t>
              </w:r>
            </w:hyperlink>
          </w:p>
          <w:p>
            <w:pPr>
              <w:spacing w:before="60" w:after="40"/>
            </w:pPr>
            <w:r>
              <w:rPr>
                <w:rFonts w:ascii="Calibri" w:hAnsi="Calibri"/>
                <w:b w:val="0"/>
                <w:i w:val="0"/>
                <w:color w:val="5A5A5A"/>
                <w:sz w:val="18"/>
              </w:rPr>
              <w:t>#impetigo  #pyoderma  #scabies  #skininfection  #GASreservoir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Sydenham chorea / neuropsychiatric</w:t>
            </w:r>
          </w:p>
        </w:tc>
        <w:tc>
          <w:tcPr>
            <w:tcW w:type="dxa" w:w="2160"/>
            <w:vAlign w:val="top"/>
          </w:tcPr>
          <w:p>
            <w:pPr>
              <w:spacing w:after="40" w:before="0" w:line="259" w:lineRule="auto"/>
            </w:pPr>
            <w:r>
              <w:rPr>
                <w:rFonts w:ascii="Calibri" w:hAnsi="Calibri"/>
                <w:b w:val="0"/>
                <w:i w:val="0"/>
                <w:color w:val="212121"/>
                <w:sz w:val="19"/>
              </w:rPr>
              <w:t>Children presenting with movement or behaviour change</w:t>
            </w:r>
          </w:p>
        </w:tc>
        <w:tc>
          <w:tcPr>
            <w:tcW w:type="dxa" w:w="4276"/>
            <w:vAlign w:val="top"/>
          </w:tcPr>
          <w:p>
            <w:pPr>
              <w:spacing w:after="60" w:line="259" w:lineRule="auto"/>
            </w:pPr>
            <w:r>
              <w:rPr>
                <w:rFonts w:ascii="Calibri" w:hAnsi="Calibri"/>
                <w:b w:val="0"/>
                <w:i w:val="0"/>
                <w:color w:val="212121"/>
                <w:sz w:val="19"/>
              </w:rPr>
              <w:t>When streptococcal cross-reactive antibodies target the basal ganglia, children develop Sydenham chorea - involuntary movements, clumsiness, emotional lability and deteriorating handwriting - which may be the only or the presenting feature of ARF, especially in girls, and mandates cardiac assessment and prophylaxis.</w:t>
            </w:r>
          </w:p>
          <w:p>
            <w:pPr>
              <w:spacing w:after="40" w:before="60" w:line="259" w:lineRule="auto"/>
            </w:pPr>
            <w:r>
              <w:rPr>
                <w:rFonts w:ascii="Calibri" w:hAnsi="Calibri"/>
                <w:b w:val="0"/>
                <w:i w:val="0"/>
                <w:color w:val="212121"/>
                <w:sz w:val="19"/>
              </w:rPr>
              <w:t>Sydenham chorea occurs in roughly 10-30% of ARF cases, often appearing 1-8 months after the streptococcal infection and sometimes as an isolated manifestation.</w:t>
            </w:r>
          </w:p>
          <w:p>
            <w:pPr>
              <w:spacing w:after="40" w:line="252" w:lineRule="auto"/>
            </w:pPr>
            <w:hyperlink r:id="rId9">
              <w:r>
                <w:rPr>
                  <w:rFonts w:ascii="Calibri" w:hAnsi="Calibri" w:cs="Calibri"/>
                  <w:sz w:val="18"/>
                  <w:color w:val="1155CC"/>
                  <w:u w:val="single"/>
                </w:rPr>
                <w:t xml:space="preserve">ncbi.nlm.nih.gov/books/NBK594238 - Sydenham chorea (StatPearls)</w:t>
              </w:r>
            </w:hyperlink>
          </w:p>
          <w:p>
            <w:pPr>
              <w:spacing w:before="60" w:after="40"/>
            </w:pPr>
            <w:r>
              <w:rPr>
                <w:rFonts w:ascii="Calibri" w:hAnsi="Calibri"/>
                <w:b w:val="0"/>
                <w:i w:val="0"/>
                <w:color w:val="5A5A5A"/>
                <w:sz w:val="18"/>
              </w:rPr>
              <w:t>#sydenhamchorea  #basalganglia  #neuropsychiatric  #emotionallability  #girls</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Physical activity neither causes nor prevents ARF. During active carditis, however, bed rest and restricted exertion reduce cardiac workload; graded activity is resumed as inflammation settles, and strenuous activity is limited in significant valve disease.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Undernutrition impairs immune defence and clusters with poverty and crowding, and is modestly associated with ARF/RHD. In established carditis with heart failure, salt restriction and adequate nutrition matter; there is no specific diet that triggers ARF.</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Sleep itself is not causal, but crowded sleeping arrangements (many people sharing a room/bed) facilitate droplet spread of group A streptococci and reinfection, indirectly raising risk.</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causal link with ARF. Second-hand and biomass smoke irritate the pharyngeal mucosa and mark disadvantaged homes; in adults with RHD, active smoking worsens cardiovascular outcomes.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Not relevant to the pediatric age group that develops ARF. In adults living with RHD, heavy alcohol use can worsen heart failure and interacts with anticoagulants used for valve disease or atrial fibrillation.</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Psychological factors do not cause ARF, but Sydenham chorea produces emotional lability, anxiety and obsessive-compulsive features, and chronic RHD and long-term injections carry a real psychosocial and adherence burden.</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Clean water and sanitation are part of the broader hygiene and living-standard improvements that reduce streptococcal transmission; the effect on ARF is indirect and operates through hygiene, not hydration.</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Overcrowding, poor housing, dampness and inadequate hygiene and sanitation are the strongest environmental drivers of streptococcal spread and ARF; crowding roughly doubles risk and improving living standards is a core WHO prevention strategy.</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The direct provoking factor is an untreated or inadequately treated group A streptococcal throat (and, in some settings, skin) infection; each new strep infection can trigger a first or recurrent attack, so prompt antibiotic treatment and secondary prophylaxis are decisive.</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Household crowding (persons per room)</w:t>
            </w:r>
          </w:p>
        </w:tc>
        <w:tc>
          <w:tcPr>
            <w:tcW w:type="dxa" w:w="1655"/>
            <w:vAlign w:val="top"/>
          </w:tcPr>
          <w:p>
            <w:pPr>
              <w:spacing w:after="40" w:before="0" w:line="259" w:lineRule="auto"/>
            </w:pPr>
            <w:r>
              <w:rPr>
                <w:rFonts w:ascii="Calibri" w:hAnsi="Calibri"/>
                <w:b w:val="0"/>
                <w:i w:val="0"/>
                <w:color w:val="212121"/>
                <w:sz w:val="19"/>
              </w:rPr>
              <w:t>Children in poor/rural households</w:t>
            </w:r>
          </w:p>
        </w:tc>
        <w:tc>
          <w:tcPr>
            <w:tcW w:type="dxa" w:w="1512"/>
            <w:vAlign w:val="top"/>
          </w:tcPr>
          <w:p>
            <w:pPr>
              <w:spacing w:after="40" w:before="0" w:line="259" w:lineRule="auto"/>
            </w:pPr>
            <w:r>
              <w:rPr>
                <w:rFonts w:ascii="Calibri" w:hAnsi="Calibri"/>
                <w:b w:val="0"/>
                <w:i w:val="0"/>
                <w:color w:val="212121"/>
                <w:sz w:val="19"/>
              </w:rPr>
              <w:t>&lt; 2 persons per room</w:t>
            </w:r>
          </w:p>
        </w:tc>
        <w:tc>
          <w:tcPr>
            <w:tcW w:type="dxa" w:w="1512"/>
            <w:vAlign w:val="top"/>
          </w:tcPr>
          <w:p>
            <w:pPr>
              <w:spacing w:after="40" w:before="0" w:line="259" w:lineRule="auto"/>
            </w:pPr>
            <w:r>
              <w:rPr>
                <w:rFonts w:ascii="Calibri" w:hAnsi="Calibri"/>
                <w:b w:val="0"/>
                <w:i w:val="0"/>
                <w:color w:val="212121"/>
                <w:sz w:val="19"/>
              </w:rPr>
              <w:t>&gt;= 3 persons per room / shared bed</w:t>
            </w:r>
          </w:p>
        </w:tc>
        <w:tc>
          <w:tcPr>
            <w:tcW w:type="dxa" w:w="1468"/>
            <w:vAlign w:val="top"/>
          </w:tcPr>
          <w:p>
            <w:pPr>
              <w:spacing w:after="60" w:line="259" w:lineRule="auto"/>
            </w:pPr>
            <w:r>
              <w:rPr>
                <w:rFonts w:ascii="Calibri" w:hAnsi="Calibri"/>
                <w:b w:val="0"/>
                <w:i w:val="0"/>
                <w:color w:val="212121"/>
                <w:sz w:val="19"/>
              </w:rPr>
              <w:t>Crowding roughly doubles GAS/ARF risk and shows a dose-response relationship</w:t>
            </w:r>
          </w:p>
          <w:p>
            <w:pPr>
              <w:spacing w:after="40" w:line="252" w:lineRule="auto"/>
            </w:pPr>
            <w:hyperlink r:id="rId12">
              <w:r>
                <w:rPr>
                  <w:rFonts w:ascii="Calibri" w:hAnsi="Calibri" w:cs="Calibri"/>
                  <w:sz w:val="18"/>
                  <w:color w:val="1155CC"/>
                  <w:u w:val="single"/>
                </w:rPr>
                <w:t xml:space="preserve">https://journals.plos.org/plosntds/article?id=10.1371%2Fjournal.pntd.0006577</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Time from sore throat to antibiotic treatment</w:t>
            </w:r>
          </w:p>
        </w:tc>
        <w:tc>
          <w:tcPr>
            <w:tcW w:type="dxa" w:w="1655"/>
            <w:vAlign w:val="top"/>
          </w:tcPr>
          <w:p>
            <w:pPr>
              <w:spacing w:after="40" w:before="0" w:line="259" w:lineRule="auto"/>
            </w:pPr>
            <w:r>
              <w:rPr>
                <w:rFonts w:ascii="Calibri" w:hAnsi="Calibri"/>
                <w:b w:val="0"/>
                <w:i w:val="0"/>
                <w:color w:val="212121"/>
                <w:sz w:val="19"/>
              </w:rPr>
              <w:t>Children with GAS pharyngitis</w:t>
            </w:r>
          </w:p>
        </w:tc>
        <w:tc>
          <w:tcPr>
            <w:tcW w:type="dxa" w:w="1512"/>
            <w:vAlign w:val="top"/>
          </w:tcPr>
          <w:p>
            <w:pPr>
              <w:spacing w:after="40" w:before="0" w:line="259" w:lineRule="auto"/>
            </w:pPr>
            <w:r>
              <w:rPr>
                <w:rFonts w:ascii="Calibri" w:hAnsi="Calibri"/>
                <w:b w:val="0"/>
                <w:i w:val="0"/>
                <w:color w:val="212121"/>
                <w:sz w:val="19"/>
              </w:rPr>
              <w:t>Full course started within ~9 days of onset</w:t>
            </w:r>
          </w:p>
        </w:tc>
        <w:tc>
          <w:tcPr>
            <w:tcW w:type="dxa" w:w="1512"/>
            <w:vAlign w:val="top"/>
          </w:tcPr>
          <w:p>
            <w:pPr>
              <w:spacing w:after="40" w:before="0" w:line="259" w:lineRule="auto"/>
            </w:pPr>
            <w:r>
              <w:rPr>
                <w:rFonts w:ascii="Calibri" w:hAnsi="Calibri"/>
                <w:b w:val="0"/>
                <w:i w:val="0"/>
                <w:color w:val="212121"/>
                <w:sz w:val="19"/>
              </w:rPr>
              <w:t>Untreated or short/incomplete course</w:t>
            </w:r>
          </w:p>
        </w:tc>
        <w:tc>
          <w:tcPr>
            <w:tcW w:type="dxa" w:w="1468"/>
            <w:vAlign w:val="top"/>
          </w:tcPr>
          <w:p>
            <w:pPr>
              <w:spacing w:after="60" w:line="259" w:lineRule="auto"/>
            </w:pPr>
            <w:r>
              <w:rPr>
                <w:rFonts w:ascii="Calibri" w:hAnsi="Calibri"/>
                <w:b w:val="0"/>
                <w:i w:val="0"/>
                <w:color w:val="212121"/>
                <w:sz w:val="19"/>
              </w:rPr>
              <w:t>Adequate treatment of strep throat prevents the primary rheumatic attack</w:t>
            </w:r>
          </w:p>
          <w:p>
            <w:pPr>
              <w:spacing w:after="40" w:line="252" w:lineRule="auto"/>
            </w:pPr>
            <w:hyperlink r:id="rId14">
              <w:r>
                <w:rPr>
                  <w:rFonts w:ascii="Calibri" w:hAnsi="Calibri" w:cs="Calibri"/>
                  <w:sz w:val="18"/>
                  <w:color w:val="1155CC"/>
                  <w:u w:val="single"/>
                </w:rPr>
                <w:t xml:space="preserve">https://www.aafp.org/pubs/afp/issues/2010/0201/p346.html</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Secondary prophylaxis interval (benzathine penicillin G IM)</w:t>
            </w:r>
          </w:p>
        </w:tc>
        <w:tc>
          <w:tcPr>
            <w:tcW w:type="dxa" w:w="1655"/>
            <w:vAlign w:val="top"/>
          </w:tcPr>
          <w:p>
            <w:pPr>
              <w:spacing w:after="40" w:before="0" w:line="259" w:lineRule="auto"/>
            </w:pPr>
            <w:r>
              <w:rPr>
                <w:rFonts w:ascii="Calibri" w:hAnsi="Calibri"/>
                <w:b w:val="0"/>
                <w:i w:val="0"/>
                <w:color w:val="212121"/>
                <w:sz w:val="19"/>
              </w:rPr>
              <w:t>Patients with prior ARF / RHD</w:t>
            </w:r>
          </w:p>
        </w:tc>
        <w:tc>
          <w:tcPr>
            <w:tcW w:type="dxa" w:w="1512"/>
            <w:vAlign w:val="top"/>
          </w:tcPr>
          <w:p>
            <w:pPr>
              <w:spacing w:after="40" w:before="0" w:line="259" w:lineRule="auto"/>
            </w:pPr>
            <w:r>
              <w:rPr>
                <w:rFonts w:ascii="Calibri" w:hAnsi="Calibri"/>
                <w:b w:val="0"/>
                <w:i w:val="0"/>
                <w:color w:val="212121"/>
                <w:sz w:val="19"/>
              </w:rPr>
              <w:t>1.2 million units IM every 3-4 weeks, on time</w:t>
            </w:r>
          </w:p>
        </w:tc>
        <w:tc>
          <w:tcPr>
            <w:tcW w:type="dxa" w:w="1512"/>
            <w:vAlign w:val="top"/>
          </w:tcPr>
          <w:p>
            <w:pPr>
              <w:spacing w:after="40" w:before="0" w:line="259" w:lineRule="auto"/>
            </w:pPr>
            <w:r>
              <w:rPr>
                <w:rFonts w:ascii="Calibri" w:hAnsi="Calibri"/>
                <w:b w:val="0"/>
                <w:i w:val="0"/>
                <w:color w:val="212121"/>
                <w:sz w:val="19"/>
              </w:rPr>
              <w:t>Missed or delayed injections</w:t>
            </w:r>
          </w:p>
        </w:tc>
        <w:tc>
          <w:tcPr>
            <w:tcW w:type="dxa" w:w="1468"/>
            <w:vAlign w:val="top"/>
          </w:tcPr>
          <w:p>
            <w:pPr>
              <w:spacing w:after="60" w:line="259" w:lineRule="auto"/>
            </w:pPr>
            <w:r>
              <w:rPr>
                <w:rFonts w:ascii="Calibri" w:hAnsi="Calibri"/>
                <w:b w:val="0"/>
                <w:i w:val="0"/>
                <w:color w:val="212121"/>
                <w:sz w:val="19"/>
              </w:rPr>
              <w:t>Continuous prophylaxis prevents recurrent ARF and cumulative valve damage</w:t>
            </w:r>
          </w:p>
          <w:p>
            <w:pPr>
              <w:spacing w:after="40" w:line="252" w:lineRule="auto"/>
            </w:pPr>
            <w:hyperlink r:id="rId15">
              <w:r>
                <w:rPr>
                  <w:rFonts w:ascii="Calibri" w:hAnsi="Calibri" w:cs="Calibri"/>
                  <w:sz w:val="18"/>
                  <w:color w:val="1155CC"/>
                  <w:u w:val="single"/>
                </w:rPr>
                <w:t xml:space="preserve">https://www.cdc.gov/group-a-strep/hcp/clinical-guidance/acute-rheumatic-fever.html</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Anti-streptolysin O (ASO) titre</w:t>
            </w:r>
          </w:p>
        </w:tc>
        <w:tc>
          <w:tcPr>
            <w:tcW w:type="dxa" w:w="1655"/>
            <w:vAlign w:val="top"/>
          </w:tcPr>
          <w:p>
            <w:pPr>
              <w:spacing w:after="40" w:before="0" w:line="259" w:lineRule="auto"/>
            </w:pPr>
            <w:r>
              <w:rPr>
                <w:rFonts w:ascii="Calibri" w:hAnsi="Calibri"/>
                <w:b w:val="0"/>
                <w:i w:val="0"/>
                <w:color w:val="212121"/>
                <w:sz w:val="19"/>
              </w:rPr>
              <w:t>Children with suspected ARF</w:t>
            </w:r>
          </w:p>
        </w:tc>
        <w:tc>
          <w:tcPr>
            <w:tcW w:type="dxa" w:w="1512"/>
            <w:vAlign w:val="top"/>
          </w:tcPr>
          <w:p>
            <w:pPr>
              <w:spacing w:after="40" w:before="0" w:line="259" w:lineRule="auto"/>
            </w:pPr>
            <w:r>
              <w:rPr>
                <w:rFonts w:ascii="Calibri" w:hAnsi="Calibri"/>
                <w:b w:val="0"/>
                <w:i w:val="0"/>
                <w:color w:val="212121"/>
                <w:sz w:val="19"/>
              </w:rPr>
              <w:t>Not elevated for age (often &lt; ~200 IU/mL in adults)</w:t>
            </w:r>
          </w:p>
        </w:tc>
        <w:tc>
          <w:tcPr>
            <w:tcW w:type="dxa" w:w="1512"/>
            <w:vAlign w:val="top"/>
          </w:tcPr>
          <w:p>
            <w:pPr>
              <w:spacing w:after="40" w:before="0" w:line="259" w:lineRule="auto"/>
            </w:pPr>
            <w:r>
              <w:rPr>
                <w:rFonts w:ascii="Calibri" w:hAnsi="Calibri"/>
                <w:b w:val="0"/>
                <w:i w:val="0"/>
                <w:color w:val="212121"/>
                <w:sz w:val="19"/>
              </w:rPr>
              <w:t>Elevated or rising titre</w:t>
            </w:r>
          </w:p>
        </w:tc>
        <w:tc>
          <w:tcPr>
            <w:tcW w:type="dxa" w:w="1468"/>
            <w:vAlign w:val="top"/>
          </w:tcPr>
          <w:p>
            <w:pPr>
              <w:spacing w:after="60" w:line="259" w:lineRule="auto"/>
            </w:pPr>
            <w:r>
              <w:rPr>
                <w:rFonts w:ascii="Calibri" w:hAnsi="Calibri"/>
                <w:b w:val="0"/>
                <w:i w:val="0"/>
                <w:color w:val="212121"/>
                <w:sz w:val="19"/>
              </w:rPr>
              <w:t>Serological evidence of a recent streptococcal infection (with anti-DNase B)</w:t>
            </w:r>
          </w:p>
          <w:p>
            <w:pPr>
              <w:spacing w:after="40" w:line="252" w:lineRule="auto"/>
            </w:pPr>
            <w:hyperlink r:id="rId16">
              <w:r>
                <w:rPr>
                  <w:rFonts w:ascii="Calibri" w:hAnsi="Calibri" w:cs="Calibri"/>
                  <w:sz w:val="18"/>
                  <w:color w:val="1155CC"/>
                  <w:u w:val="single"/>
                </w:rPr>
                <w:t xml:space="preserve">https://www.cdc.gov/group-a-strep/hcp/clinical-guidance/diagnosing-acute-rheumatic-fever.html</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Fever (axillary/oral temperature)</w:t>
            </w:r>
          </w:p>
        </w:tc>
        <w:tc>
          <w:tcPr>
            <w:tcW w:type="dxa" w:w="1655"/>
            <w:vAlign w:val="top"/>
          </w:tcPr>
          <w:p>
            <w:pPr>
              <w:spacing w:after="40" w:before="0" w:line="259" w:lineRule="auto"/>
            </w:pPr>
            <w:r>
              <w:rPr>
                <w:rFonts w:ascii="Calibri" w:hAnsi="Calibri"/>
                <w:b w:val="0"/>
                <w:i w:val="0"/>
                <w:color w:val="212121"/>
                <w:sz w:val="19"/>
              </w:rPr>
              <w:t>Children with suspected ARF</w:t>
            </w:r>
          </w:p>
        </w:tc>
        <w:tc>
          <w:tcPr>
            <w:tcW w:type="dxa" w:w="1512"/>
            <w:vAlign w:val="top"/>
          </w:tcPr>
          <w:p>
            <w:pPr>
              <w:spacing w:after="40" w:before="0" w:line="259" w:lineRule="auto"/>
            </w:pPr>
            <w:r>
              <w:rPr>
                <w:rFonts w:ascii="Calibri" w:hAnsi="Calibri"/>
                <w:b w:val="0"/>
                <w:i w:val="0"/>
                <w:color w:val="212121"/>
                <w:sz w:val="19"/>
              </w:rPr>
              <w:t>&lt; 38 C</w:t>
            </w:r>
          </w:p>
        </w:tc>
        <w:tc>
          <w:tcPr>
            <w:tcW w:type="dxa" w:w="1512"/>
            <w:vAlign w:val="top"/>
          </w:tcPr>
          <w:p>
            <w:pPr>
              <w:spacing w:after="40" w:before="0" w:line="259" w:lineRule="auto"/>
            </w:pPr>
            <w:r>
              <w:rPr>
                <w:rFonts w:ascii="Calibri" w:hAnsi="Calibri"/>
                <w:b w:val="0"/>
                <w:i w:val="0"/>
                <w:color w:val="212121"/>
                <w:sz w:val="19"/>
              </w:rPr>
              <w:t>&gt;= 38.5 C</w:t>
            </w:r>
          </w:p>
        </w:tc>
        <w:tc>
          <w:tcPr>
            <w:tcW w:type="dxa" w:w="1468"/>
            <w:vAlign w:val="top"/>
          </w:tcPr>
          <w:p>
            <w:pPr>
              <w:spacing w:after="60" w:line="259" w:lineRule="auto"/>
            </w:pPr>
            <w:r>
              <w:rPr>
                <w:rFonts w:ascii="Calibri" w:hAnsi="Calibri"/>
                <w:b w:val="0"/>
                <w:i w:val="0"/>
                <w:color w:val="212121"/>
                <w:sz w:val="19"/>
              </w:rPr>
              <w:t>A minor Jones criterion in moderate/high-risk populations</w:t>
            </w:r>
          </w:p>
          <w:p>
            <w:pPr>
              <w:spacing w:after="40" w:line="252" w:lineRule="auto"/>
            </w:pPr>
            <w:hyperlink r:id="rId16">
              <w:r>
                <w:rPr>
                  <w:rFonts w:ascii="Calibri" w:hAnsi="Calibri" w:cs="Calibri"/>
                  <w:sz w:val="18"/>
                  <w:color w:val="1155CC"/>
                  <w:u w:val="single"/>
                </w:rPr>
                <w:t xml:space="preserve">https://www.cdc.gov/group-a-strep/hcp/clinical-guidance/diagnosing-acute-rheumatic-fever.html</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ESR (acute-phase reactant)</w:t>
            </w:r>
          </w:p>
        </w:tc>
        <w:tc>
          <w:tcPr>
            <w:tcW w:type="dxa" w:w="1655"/>
            <w:vAlign w:val="top"/>
          </w:tcPr>
          <w:p>
            <w:pPr>
              <w:spacing w:after="40" w:before="0" w:line="259" w:lineRule="auto"/>
            </w:pPr>
            <w:r>
              <w:rPr>
                <w:rFonts w:ascii="Calibri" w:hAnsi="Calibri"/>
                <w:b w:val="0"/>
                <w:i w:val="0"/>
                <w:color w:val="212121"/>
                <w:sz w:val="19"/>
              </w:rPr>
              <w:t>Children with suspected ARF</w:t>
            </w:r>
          </w:p>
        </w:tc>
        <w:tc>
          <w:tcPr>
            <w:tcW w:type="dxa" w:w="1512"/>
            <w:vAlign w:val="top"/>
          </w:tcPr>
          <w:p>
            <w:pPr>
              <w:spacing w:after="40" w:before="0" w:line="259" w:lineRule="auto"/>
            </w:pPr>
            <w:r>
              <w:rPr>
                <w:rFonts w:ascii="Calibri" w:hAnsi="Calibri"/>
                <w:b w:val="0"/>
                <w:i w:val="0"/>
                <w:color w:val="212121"/>
                <w:sz w:val="19"/>
              </w:rPr>
              <w:t>&lt; 20 mm/hour</w:t>
            </w:r>
          </w:p>
        </w:tc>
        <w:tc>
          <w:tcPr>
            <w:tcW w:type="dxa" w:w="1512"/>
            <w:vAlign w:val="top"/>
          </w:tcPr>
          <w:p>
            <w:pPr>
              <w:spacing w:after="40" w:before="0" w:line="259" w:lineRule="auto"/>
            </w:pPr>
            <w:r>
              <w:rPr>
                <w:rFonts w:ascii="Calibri" w:hAnsi="Calibri"/>
                <w:b w:val="0"/>
                <w:i w:val="0"/>
                <w:color w:val="212121"/>
                <w:sz w:val="19"/>
              </w:rPr>
              <w:t>&gt;= 30 mm/hour (high-risk minor criterion)</w:t>
            </w:r>
          </w:p>
        </w:tc>
        <w:tc>
          <w:tcPr>
            <w:tcW w:type="dxa" w:w="1468"/>
            <w:vAlign w:val="top"/>
          </w:tcPr>
          <w:p>
            <w:pPr>
              <w:spacing w:after="60" w:line="259" w:lineRule="auto"/>
            </w:pPr>
            <w:r>
              <w:rPr>
                <w:rFonts w:ascii="Calibri" w:hAnsi="Calibri"/>
                <w:b w:val="0"/>
                <w:i w:val="0"/>
                <w:color w:val="212121"/>
                <w:sz w:val="19"/>
              </w:rPr>
              <w:t>Marker of active inflammation; used as a minor criterion</w:t>
            </w:r>
          </w:p>
          <w:p>
            <w:pPr>
              <w:spacing w:after="40" w:line="252" w:lineRule="auto"/>
            </w:pPr>
            <w:hyperlink r:id="rId16">
              <w:r>
                <w:rPr>
                  <w:rFonts w:ascii="Calibri" w:hAnsi="Calibri" w:cs="Calibri"/>
                  <w:sz w:val="18"/>
                  <w:color w:val="1155CC"/>
                  <w:u w:val="single"/>
                </w:rPr>
                <w:t xml:space="preserve">https://www.cdc.gov/group-a-strep/hcp/clinical-guidance/diagnosing-acute-rheumatic-fever.html</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C-reactive protein (CRP)</w:t>
            </w:r>
          </w:p>
        </w:tc>
        <w:tc>
          <w:tcPr>
            <w:tcW w:type="dxa" w:w="1655"/>
            <w:vAlign w:val="top"/>
          </w:tcPr>
          <w:p>
            <w:pPr>
              <w:spacing w:after="40" w:before="0" w:line="259" w:lineRule="auto"/>
            </w:pPr>
            <w:r>
              <w:rPr>
                <w:rFonts w:ascii="Calibri" w:hAnsi="Calibri"/>
                <w:b w:val="0"/>
                <w:i w:val="0"/>
                <w:color w:val="212121"/>
                <w:sz w:val="19"/>
              </w:rPr>
              <w:t>Children with suspected ARF</w:t>
            </w:r>
          </w:p>
        </w:tc>
        <w:tc>
          <w:tcPr>
            <w:tcW w:type="dxa" w:w="1512"/>
            <w:vAlign w:val="top"/>
          </w:tcPr>
          <w:p>
            <w:pPr>
              <w:spacing w:after="40" w:before="0" w:line="259" w:lineRule="auto"/>
            </w:pPr>
            <w:r>
              <w:rPr>
                <w:rFonts w:ascii="Calibri" w:hAnsi="Calibri"/>
                <w:b w:val="0"/>
                <w:i w:val="0"/>
                <w:color w:val="212121"/>
                <w:sz w:val="19"/>
              </w:rPr>
              <w:t>&lt;= 3.0 mg/dL</w:t>
            </w:r>
          </w:p>
        </w:tc>
        <w:tc>
          <w:tcPr>
            <w:tcW w:type="dxa" w:w="1512"/>
            <w:vAlign w:val="top"/>
          </w:tcPr>
          <w:p>
            <w:pPr>
              <w:spacing w:after="40" w:before="0" w:line="259" w:lineRule="auto"/>
            </w:pPr>
            <w:r>
              <w:rPr>
                <w:rFonts w:ascii="Calibri" w:hAnsi="Calibri"/>
                <w:b w:val="0"/>
                <w:i w:val="0"/>
                <w:color w:val="212121"/>
                <w:sz w:val="19"/>
              </w:rPr>
              <w:t>&gt; 3.0 mg/dL</w:t>
            </w:r>
          </w:p>
        </w:tc>
        <w:tc>
          <w:tcPr>
            <w:tcW w:type="dxa" w:w="1468"/>
            <w:vAlign w:val="top"/>
          </w:tcPr>
          <w:p>
            <w:pPr>
              <w:spacing w:after="60" w:line="259" w:lineRule="auto"/>
            </w:pPr>
            <w:r>
              <w:rPr>
                <w:rFonts w:ascii="Calibri" w:hAnsi="Calibri"/>
                <w:b w:val="0"/>
                <w:i w:val="0"/>
                <w:color w:val="212121"/>
                <w:sz w:val="19"/>
              </w:rPr>
              <w:t>Acute-phase reactant; minor Jones criterion</w:t>
            </w:r>
          </w:p>
          <w:p>
            <w:pPr>
              <w:spacing w:after="40" w:line="252" w:lineRule="auto"/>
            </w:pPr>
            <w:hyperlink r:id="rId16">
              <w:r>
                <w:rPr>
                  <w:rFonts w:ascii="Calibri" w:hAnsi="Calibri" w:cs="Calibri"/>
                  <w:sz w:val="18"/>
                  <w:color w:val="1155CC"/>
                  <w:u w:val="single"/>
                </w:rPr>
                <w:t xml:space="preserve">https://www.cdc.gov/group-a-strep/hcp/clinical-guidance/diagnosing-acute-rheumatic-fever.html</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ECG PR interval</w:t>
            </w:r>
          </w:p>
        </w:tc>
        <w:tc>
          <w:tcPr>
            <w:tcW w:type="dxa" w:w="1655"/>
            <w:vAlign w:val="top"/>
          </w:tcPr>
          <w:p>
            <w:pPr>
              <w:spacing w:after="40" w:before="0" w:line="259" w:lineRule="auto"/>
            </w:pPr>
            <w:r>
              <w:rPr>
                <w:rFonts w:ascii="Calibri" w:hAnsi="Calibri"/>
                <w:b w:val="0"/>
                <w:i w:val="0"/>
                <w:color w:val="212121"/>
                <w:sz w:val="19"/>
              </w:rPr>
              <w:t>Children with suspected carditis</w:t>
            </w:r>
          </w:p>
        </w:tc>
        <w:tc>
          <w:tcPr>
            <w:tcW w:type="dxa" w:w="1512"/>
            <w:vAlign w:val="top"/>
          </w:tcPr>
          <w:p>
            <w:pPr>
              <w:spacing w:after="40" w:before="0" w:line="259" w:lineRule="auto"/>
            </w:pPr>
            <w:r>
              <w:rPr>
                <w:rFonts w:ascii="Calibri" w:hAnsi="Calibri"/>
                <w:b w:val="0"/>
                <w:i w:val="0"/>
                <w:color w:val="212121"/>
                <w:sz w:val="19"/>
              </w:rPr>
              <w:t>Normal for age</w:t>
            </w:r>
          </w:p>
        </w:tc>
        <w:tc>
          <w:tcPr>
            <w:tcW w:type="dxa" w:w="1512"/>
            <w:vAlign w:val="top"/>
          </w:tcPr>
          <w:p>
            <w:pPr>
              <w:spacing w:after="40" w:before="0" w:line="259" w:lineRule="auto"/>
            </w:pPr>
            <w:r>
              <w:rPr>
                <w:rFonts w:ascii="Calibri" w:hAnsi="Calibri"/>
                <w:b w:val="0"/>
                <w:i w:val="0"/>
                <w:color w:val="212121"/>
                <w:sz w:val="19"/>
              </w:rPr>
              <w:t>Prolonged (first-degree AV block)</w:t>
            </w:r>
          </w:p>
        </w:tc>
        <w:tc>
          <w:tcPr>
            <w:tcW w:type="dxa" w:w="1468"/>
            <w:vAlign w:val="top"/>
          </w:tcPr>
          <w:p>
            <w:pPr>
              <w:spacing w:after="60" w:line="259" w:lineRule="auto"/>
            </w:pPr>
            <w:r>
              <w:rPr>
                <w:rFonts w:ascii="Calibri" w:hAnsi="Calibri"/>
                <w:b w:val="0"/>
                <w:i w:val="0"/>
                <w:color w:val="212121"/>
                <w:sz w:val="19"/>
              </w:rPr>
              <w:t>Prolonged PR is a minor criterion (unless carditis counts as major)</w:t>
            </w:r>
          </w:p>
          <w:p>
            <w:pPr>
              <w:spacing w:after="40" w:line="252" w:lineRule="auto"/>
            </w:pPr>
            <w:hyperlink r:id="rId16">
              <w:r>
                <w:rPr>
                  <w:rFonts w:ascii="Calibri" w:hAnsi="Calibri" w:cs="Calibri"/>
                  <w:sz w:val="18"/>
                  <w:color w:val="1155CC"/>
                  <w:u w:val="single"/>
                </w:rPr>
                <w:t xml:space="preserve">https://www.cdc.gov/group-a-strep/hcp/clinical-guidance/diagnosing-acute-rheumatic-fever.html</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Nutritional status (weight-for-age / BMI-for-age)</w:t>
            </w:r>
          </w:p>
        </w:tc>
        <w:tc>
          <w:tcPr>
            <w:tcW w:type="dxa" w:w="1655"/>
            <w:vAlign w:val="top"/>
          </w:tcPr>
          <w:p>
            <w:pPr>
              <w:spacing w:after="40" w:before="0" w:line="259" w:lineRule="auto"/>
            </w:pPr>
            <w:r>
              <w:rPr>
                <w:rFonts w:ascii="Calibri" w:hAnsi="Calibri"/>
                <w:b w:val="0"/>
                <w:i w:val="0"/>
                <w:color w:val="212121"/>
                <w:sz w:val="19"/>
              </w:rPr>
              <w:t>Poor/undernourished children</w:t>
            </w:r>
          </w:p>
        </w:tc>
        <w:tc>
          <w:tcPr>
            <w:tcW w:type="dxa" w:w="1512"/>
            <w:vAlign w:val="top"/>
          </w:tcPr>
          <w:p>
            <w:pPr>
              <w:spacing w:after="40" w:before="0" w:line="259" w:lineRule="auto"/>
            </w:pPr>
            <w:r>
              <w:rPr>
                <w:rFonts w:ascii="Calibri" w:hAnsi="Calibri"/>
                <w:b w:val="0"/>
                <w:i w:val="0"/>
                <w:color w:val="212121"/>
                <w:sz w:val="19"/>
              </w:rPr>
              <w:t>Within normal WHO growth reference</w:t>
            </w:r>
          </w:p>
        </w:tc>
        <w:tc>
          <w:tcPr>
            <w:tcW w:type="dxa" w:w="1512"/>
            <w:vAlign w:val="top"/>
          </w:tcPr>
          <w:p>
            <w:pPr>
              <w:spacing w:after="40" w:before="0" w:line="259" w:lineRule="auto"/>
            </w:pPr>
            <w:r>
              <w:rPr>
                <w:rFonts w:ascii="Calibri" w:hAnsi="Calibri"/>
                <w:b w:val="0"/>
                <w:i w:val="0"/>
                <w:color w:val="212121"/>
                <w:sz w:val="19"/>
              </w:rPr>
              <w:t>Underweight / wasting / stunting</w:t>
            </w:r>
          </w:p>
        </w:tc>
        <w:tc>
          <w:tcPr>
            <w:tcW w:type="dxa" w:w="1468"/>
            <w:vAlign w:val="top"/>
          </w:tcPr>
          <w:p>
            <w:pPr>
              <w:spacing w:after="40" w:before="0" w:line="259" w:lineRule="auto"/>
            </w:pPr>
            <w:r>
              <w:rPr>
                <w:rFonts w:ascii="Calibri" w:hAnsi="Calibri"/>
                <w:b w:val="0"/>
                <w:i w:val="0"/>
                <w:color w:val="212121"/>
                <w:sz w:val="19"/>
              </w:rPr>
              <w:t>Undernutrition impairs immunity and clusters with crowding and poverty</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Activity level during active carditis</w:t>
            </w:r>
          </w:p>
        </w:tc>
        <w:tc>
          <w:tcPr>
            <w:tcW w:type="dxa" w:w="1655"/>
            <w:vAlign w:val="top"/>
          </w:tcPr>
          <w:p>
            <w:pPr>
              <w:spacing w:after="40" w:before="0" w:line="259" w:lineRule="auto"/>
            </w:pPr>
            <w:r>
              <w:rPr>
                <w:rFonts w:ascii="Calibri" w:hAnsi="Calibri"/>
                <w:b w:val="0"/>
                <w:i w:val="0"/>
                <w:color w:val="212121"/>
                <w:sz w:val="19"/>
              </w:rPr>
              <w:t>Patients with acute carditis</w:t>
            </w:r>
          </w:p>
        </w:tc>
        <w:tc>
          <w:tcPr>
            <w:tcW w:type="dxa" w:w="1512"/>
            <w:vAlign w:val="top"/>
          </w:tcPr>
          <w:p>
            <w:pPr>
              <w:spacing w:after="40" w:before="0" w:line="259" w:lineRule="auto"/>
            </w:pPr>
            <w:r>
              <w:rPr>
                <w:rFonts w:ascii="Calibri" w:hAnsi="Calibri"/>
                <w:b w:val="0"/>
                <w:i w:val="0"/>
                <w:color w:val="212121"/>
                <w:sz w:val="19"/>
              </w:rPr>
              <w:t>Bed/limited activity until inflammation settles</w:t>
            </w:r>
          </w:p>
        </w:tc>
        <w:tc>
          <w:tcPr>
            <w:tcW w:type="dxa" w:w="1512"/>
            <w:vAlign w:val="top"/>
          </w:tcPr>
          <w:p>
            <w:pPr>
              <w:spacing w:after="40" w:before="0" w:line="259" w:lineRule="auto"/>
            </w:pPr>
            <w:r>
              <w:rPr>
                <w:rFonts w:ascii="Calibri" w:hAnsi="Calibri"/>
                <w:b w:val="0"/>
                <w:i w:val="0"/>
                <w:color w:val="212121"/>
                <w:sz w:val="19"/>
              </w:rPr>
              <w:t>Strenuous activity during active carditis</w:t>
            </w:r>
          </w:p>
        </w:tc>
        <w:tc>
          <w:tcPr>
            <w:tcW w:type="dxa" w:w="1468"/>
            <w:vAlign w:val="top"/>
          </w:tcPr>
          <w:p>
            <w:pPr>
              <w:spacing w:after="40" w:before="0" w:line="259" w:lineRule="auto"/>
            </w:pPr>
            <w:r>
              <w:rPr>
                <w:rFonts w:ascii="Calibri" w:hAnsi="Calibri"/>
                <w:b w:val="0"/>
                <w:i w:val="0"/>
                <w:color w:val="212121"/>
                <w:sz w:val="19"/>
              </w:rPr>
              <w:t>Rest reduces cardiac workload; activity is graded up as ESR/CRP normalise</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Throat swab culture / rapid antigen (RADT)</w:t>
            </w:r>
          </w:p>
        </w:tc>
        <w:tc>
          <w:tcPr>
            <w:tcW w:type="dxa" w:w="892"/>
            <w:vAlign w:val="top"/>
          </w:tcPr>
          <w:p>
            <w:pPr>
              <w:spacing w:after="40" w:before="0" w:line="259" w:lineRule="auto"/>
            </w:pPr>
            <w:r>
              <w:rPr>
                <w:rFonts w:ascii="Calibri" w:hAnsi="Calibri"/>
                <w:b w:val="0"/>
                <w:i w:val="0"/>
                <w:color w:val="212121"/>
                <w:sz w:val="16"/>
              </w:rPr>
              <w:t>GAS detection</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 for group A Streptococcus</w:t>
            </w:r>
          </w:p>
        </w:tc>
        <w:tc>
          <w:tcPr>
            <w:tcW w:type="dxa" w:w="1036"/>
            <w:vAlign w:val="top"/>
          </w:tcPr>
          <w:p>
            <w:pPr>
              <w:spacing w:after="40" w:before="0" w:line="259" w:lineRule="auto"/>
            </w:pPr>
            <w:r>
              <w:rPr>
                <w:rFonts w:ascii="Calibri" w:hAnsi="Calibri"/>
                <w:b w:val="0"/>
                <w:i w:val="0"/>
                <w:color w:val="212121"/>
                <w:sz w:val="16"/>
              </w:rPr>
              <w:t>Direct evidence of streptococcal infection (may be negative by the time ARF appears)</w:t>
            </w:r>
          </w:p>
        </w:tc>
        <w:tc>
          <w:tcPr>
            <w:tcW w:type="dxa" w:w="1036"/>
            <w:vAlign w:val="top"/>
          </w:tcPr>
          <w:p>
            <w:pPr>
              <w:spacing w:after="40" w:before="0" w:line="259" w:lineRule="auto"/>
            </w:pPr>
            <w:r>
              <w:rPr>
                <w:rFonts w:ascii="Calibri" w:hAnsi="Calibri"/>
                <w:b w:val="0"/>
                <w:i w:val="0"/>
                <w:color w:val="212121"/>
                <w:sz w:val="16"/>
              </w:rPr>
              <w:t>Children with recent sore throat, suspected ARF</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 negative swab does not exclude ARF - use serology as well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Anti-streptolysin O (ASO) titre</w:t>
            </w:r>
          </w:p>
        </w:tc>
        <w:tc>
          <w:tcPr>
            <w:tcW w:type="dxa" w:w="892"/>
            <w:vAlign w:val="top"/>
          </w:tcPr>
          <w:p>
            <w:pPr>
              <w:spacing w:after="40" w:before="0" w:line="259" w:lineRule="auto"/>
            </w:pPr>
            <w:r>
              <w:rPr>
                <w:rFonts w:ascii="Calibri" w:hAnsi="Calibri"/>
                <w:b w:val="0"/>
                <w:i w:val="0"/>
                <w:color w:val="212121"/>
                <w:sz w:val="16"/>
              </w:rPr>
              <w:t>Streptococcal antibody</w:t>
            </w:r>
          </w:p>
        </w:tc>
        <w:tc>
          <w:tcPr>
            <w:tcW w:type="dxa" w:w="950"/>
            <w:vAlign w:val="top"/>
          </w:tcPr>
          <w:p>
            <w:pPr>
              <w:spacing w:after="40" w:before="0" w:line="259" w:lineRule="auto"/>
            </w:pPr>
            <w:r>
              <w:rPr>
                <w:rFonts w:ascii="Calibri" w:hAnsi="Calibri"/>
                <w:b w:val="0"/>
                <w:i w:val="0"/>
                <w:color w:val="212121"/>
                <w:sz w:val="16"/>
              </w:rPr>
              <w:t>Not elevated for age</w:t>
            </w:r>
          </w:p>
        </w:tc>
        <w:tc>
          <w:tcPr>
            <w:tcW w:type="dxa" w:w="950"/>
            <w:vAlign w:val="top"/>
          </w:tcPr>
          <w:p>
            <w:pPr>
              <w:spacing w:after="40" w:before="0" w:line="259" w:lineRule="auto"/>
            </w:pPr>
            <w:r>
              <w:rPr>
                <w:rFonts w:ascii="Calibri" w:hAnsi="Calibri"/>
                <w:b w:val="0"/>
                <w:i w:val="0"/>
                <w:color w:val="212121"/>
                <w:sz w:val="16"/>
              </w:rPr>
              <w:t>Elevated or rising titre</w:t>
            </w:r>
          </w:p>
        </w:tc>
        <w:tc>
          <w:tcPr>
            <w:tcW w:type="dxa" w:w="1036"/>
            <w:vAlign w:val="top"/>
          </w:tcPr>
          <w:p>
            <w:pPr>
              <w:spacing w:after="40" w:before="0" w:line="259" w:lineRule="auto"/>
            </w:pPr>
            <w:r>
              <w:rPr>
                <w:rFonts w:ascii="Calibri" w:hAnsi="Calibri"/>
                <w:b w:val="0"/>
                <w:i w:val="0"/>
                <w:color w:val="212121"/>
                <w:sz w:val="16"/>
              </w:rPr>
              <w:t>Evidence of a preceding GAS infection - a mandatory element of the Jones criteria</w:t>
            </w:r>
          </w:p>
        </w:tc>
        <w:tc>
          <w:tcPr>
            <w:tcW w:type="dxa" w:w="1036"/>
            <w:vAlign w:val="top"/>
          </w:tcPr>
          <w:p>
            <w:pPr>
              <w:spacing w:after="40" w:before="0" w:line="259" w:lineRule="auto"/>
            </w:pPr>
            <w:r>
              <w:rPr>
                <w:rFonts w:ascii="Calibri" w:hAnsi="Calibri"/>
                <w:b w:val="0"/>
                <w:i w:val="0"/>
                <w:color w:val="212121"/>
                <w:sz w:val="16"/>
              </w:rPr>
              <w:t>All suspected ARF (except pure chorea/indolent carditis)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Paired/rising titres are more useful than a single value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Anti-DNase B</w:t>
            </w:r>
          </w:p>
        </w:tc>
        <w:tc>
          <w:tcPr>
            <w:tcW w:type="dxa" w:w="892"/>
            <w:vAlign w:val="top"/>
          </w:tcPr>
          <w:p>
            <w:pPr>
              <w:spacing w:after="40" w:before="0" w:line="259" w:lineRule="auto"/>
            </w:pPr>
            <w:r>
              <w:rPr>
                <w:rFonts w:ascii="Calibri" w:hAnsi="Calibri"/>
                <w:b w:val="0"/>
                <w:i w:val="0"/>
                <w:color w:val="212121"/>
                <w:sz w:val="16"/>
              </w:rPr>
              <w:t>Streptococcal antibody</w:t>
            </w:r>
          </w:p>
        </w:tc>
        <w:tc>
          <w:tcPr>
            <w:tcW w:type="dxa" w:w="950"/>
            <w:vAlign w:val="top"/>
          </w:tcPr>
          <w:p>
            <w:pPr>
              <w:spacing w:after="40" w:before="0" w:line="259" w:lineRule="auto"/>
            </w:pPr>
            <w:r>
              <w:rPr>
                <w:rFonts w:ascii="Calibri" w:hAnsi="Calibri"/>
                <w:b w:val="0"/>
                <w:i w:val="0"/>
                <w:color w:val="212121"/>
                <w:sz w:val="16"/>
              </w:rPr>
              <w:t>Not elevated for age</w:t>
            </w:r>
          </w:p>
        </w:tc>
        <w:tc>
          <w:tcPr>
            <w:tcW w:type="dxa" w:w="950"/>
            <w:vAlign w:val="top"/>
          </w:tcPr>
          <w:p>
            <w:pPr>
              <w:spacing w:after="40" w:before="0" w:line="259" w:lineRule="auto"/>
            </w:pPr>
            <w:r>
              <w:rPr>
                <w:rFonts w:ascii="Calibri" w:hAnsi="Calibri"/>
                <w:b w:val="0"/>
                <w:i w:val="0"/>
                <w:color w:val="212121"/>
                <w:sz w:val="16"/>
              </w:rPr>
              <w:t>Elevated</w:t>
            </w:r>
          </w:p>
        </w:tc>
        <w:tc>
          <w:tcPr>
            <w:tcW w:type="dxa" w:w="1036"/>
            <w:vAlign w:val="top"/>
          </w:tcPr>
          <w:p>
            <w:pPr>
              <w:spacing w:after="40" w:before="0" w:line="259" w:lineRule="auto"/>
            </w:pPr>
            <w:r>
              <w:rPr>
                <w:rFonts w:ascii="Calibri" w:hAnsi="Calibri"/>
                <w:b w:val="0"/>
                <w:i w:val="0"/>
                <w:color w:val="212121"/>
                <w:sz w:val="16"/>
              </w:rPr>
              <w:t>Second streptococcal antibody; increases sensitivity when ASO is normal</w:t>
            </w:r>
          </w:p>
        </w:tc>
        <w:tc>
          <w:tcPr>
            <w:tcW w:type="dxa" w:w="1036"/>
            <w:vAlign w:val="top"/>
          </w:tcPr>
          <w:p>
            <w:pPr>
              <w:spacing w:after="40" w:before="0" w:line="259" w:lineRule="auto"/>
            </w:pPr>
            <w:r>
              <w:rPr>
                <w:rFonts w:ascii="Calibri" w:hAnsi="Calibri"/>
                <w:b w:val="0"/>
                <w:i w:val="0"/>
                <w:color w:val="212121"/>
                <w:sz w:val="16"/>
              </w:rPr>
              <w:t>Suspected ARF with normal/borderline ASO</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Combining ASO and anti-DNase B detects most recent GAS infections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ESR and C-reactive protein</w:t>
            </w:r>
          </w:p>
        </w:tc>
        <w:tc>
          <w:tcPr>
            <w:tcW w:type="dxa" w:w="892"/>
            <w:vAlign w:val="top"/>
          </w:tcPr>
          <w:p>
            <w:pPr>
              <w:spacing w:after="40" w:before="0" w:line="259" w:lineRule="auto"/>
            </w:pPr>
            <w:r>
              <w:rPr>
                <w:rFonts w:ascii="Calibri" w:hAnsi="Calibri"/>
                <w:b w:val="0"/>
                <w:i w:val="0"/>
                <w:color w:val="212121"/>
                <w:sz w:val="16"/>
              </w:rPr>
              <w:t>Acute-phase reactants</w:t>
            </w:r>
          </w:p>
        </w:tc>
        <w:tc>
          <w:tcPr>
            <w:tcW w:type="dxa" w:w="950"/>
            <w:vAlign w:val="top"/>
          </w:tcPr>
          <w:p>
            <w:pPr>
              <w:spacing w:after="40" w:before="0" w:line="259" w:lineRule="auto"/>
            </w:pPr>
            <w:r>
              <w:rPr>
                <w:rFonts w:ascii="Calibri" w:hAnsi="Calibri"/>
                <w:b w:val="0"/>
                <w:i w:val="0"/>
                <w:color w:val="212121"/>
                <w:sz w:val="16"/>
              </w:rPr>
              <w:t>ESR &lt; 20 mm/h; CRP &lt;= 3.0 mg/dL</w:t>
            </w:r>
          </w:p>
        </w:tc>
        <w:tc>
          <w:tcPr>
            <w:tcW w:type="dxa" w:w="950"/>
            <w:vAlign w:val="top"/>
          </w:tcPr>
          <w:p>
            <w:pPr>
              <w:spacing w:after="40" w:before="0" w:line="259" w:lineRule="auto"/>
            </w:pPr>
            <w:r>
              <w:rPr>
                <w:rFonts w:ascii="Calibri" w:hAnsi="Calibri"/>
                <w:b w:val="0"/>
                <w:i w:val="0"/>
                <w:color w:val="212121"/>
                <w:sz w:val="16"/>
              </w:rPr>
              <w:t>ESR &gt;= 30 mm/h; CRP &gt; 3.0 mg/dL</w:t>
            </w:r>
          </w:p>
        </w:tc>
        <w:tc>
          <w:tcPr>
            <w:tcW w:type="dxa" w:w="1036"/>
            <w:vAlign w:val="top"/>
          </w:tcPr>
          <w:p>
            <w:pPr>
              <w:spacing w:after="40" w:before="0" w:line="259" w:lineRule="auto"/>
            </w:pPr>
            <w:r>
              <w:rPr>
                <w:rFonts w:ascii="Calibri" w:hAnsi="Calibri"/>
                <w:b w:val="0"/>
                <w:i w:val="0"/>
                <w:color w:val="212121"/>
                <w:sz w:val="16"/>
              </w:rPr>
              <w:t>Markers of active inflammation; minor Jones criteria and useful to monitor activity</w:t>
            </w:r>
          </w:p>
        </w:tc>
        <w:tc>
          <w:tcPr>
            <w:tcW w:type="dxa" w:w="1036"/>
            <w:vAlign w:val="top"/>
          </w:tcPr>
          <w:p>
            <w:pPr>
              <w:spacing w:after="40" w:before="0" w:line="259" w:lineRule="auto"/>
            </w:pPr>
            <w:r>
              <w:rPr>
                <w:rFonts w:ascii="Calibri" w:hAnsi="Calibri"/>
                <w:b w:val="0"/>
                <w:i w:val="0"/>
                <w:color w:val="212121"/>
                <w:sz w:val="16"/>
              </w:rPr>
              <w:t>Active ARF, carditis, arthritis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Used to track disease activity and guide bed rest/therapy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Cardiac imaging</w:t>
            </w:r>
          </w:p>
        </w:tc>
        <w:tc>
          <w:tcPr>
            <w:tcW w:type="dxa" w:w="1036"/>
            <w:vAlign w:val="top"/>
          </w:tcPr>
          <w:p>
            <w:pPr>
              <w:spacing w:after="40" w:before="0" w:line="259" w:lineRule="auto"/>
            </w:pPr>
            <w:r>
              <w:rPr>
                <w:rFonts w:ascii="Calibri" w:hAnsi="Calibri"/>
                <w:b w:val="0"/>
                <w:i w:val="0"/>
                <w:color w:val="212121"/>
                <w:sz w:val="16"/>
              </w:rPr>
              <w:t>Echocardiography with Doppler</w:t>
            </w:r>
          </w:p>
        </w:tc>
        <w:tc>
          <w:tcPr>
            <w:tcW w:type="dxa" w:w="892"/>
            <w:vAlign w:val="top"/>
          </w:tcPr>
          <w:p>
            <w:pPr>
              <w:spacing w:after="40" w:before="0" w:line="259" w:lineRule="auto"/>
            </w:pPr>
            <w:r>
              <w:rPr>
                <w:rFonts w:ascii="Calibri" w:hAnsi="Calibri"/>
                <w:b w:val="0"/>
                <w:i w:val="0"/>
                <w:color w:val="212121"/>
                <w:sz w:val="16"/>
              </w:rPr>
              <w:t>2D echo-Doppler</w:t>
            </w:r>
          </w:p>
        </w:tc>
        <w:tc>
          <w:tcPr>
            <w:tcW w:type="dxa" w:w="950"/>
            <w:vAlign w:val="top"/>
          </w:tcPr>
          <w:p>
            <w:pPr>
              <w:spacing w:after="40" w:before="0" w:line="259" w:lineRule="auto"/>
            </w:pPr>
            <w:r>
              <w:rPr>
                <w:rFonts w:ascii="Calibri" w:hAnsi="Calibri"/>
                <w:b w:val="0"/>
                <w:i w:val="0"/>
                <w:color w:val="212121"/>
                <w:sz w:val="16"/>
              </w:rPr>
              <w:t>No valvulitis/regurgitation</w:t>
            </w:r>
          </w:p>
        </w:tc>
        <w:tc>
          <w:tcPr>
            <w:tcW w:type="dxa" w:w="950"/>
            <w:vAlign w:val="top"/>
          </w:tcPr>
          <w:p>
            <w:pPr>
              <w:spacing w:after="40" w:before="0" w:line="259" w:lineRule="auto"/>
            </w:pPr>
            <w:r>
              <w:rPr>
                <w:rFonts w:ascii="Calibri" w:hAnsi="Calibri"/>
                <w:b w:val="0"/>
                <w:i w:val="0"/>
                <w:color w:val="212121"/>
                <w:sz w:val="16"/>
              </w:rPr>
              <w:t>Mitral (or aortic) regurgitation, valve thickening</w:t>
            </w:r>
          </w:p>
        </w:tc>
        <w:tc>
          <w:tcPr>
            <w:tcW w:type="dxa" w:w="1036"/>
            <w:vAlign w:val="top"/>
          </w:tcPr>
          <w:p>
            <w:pPr>
              <w:spacing w:after="40" w:before="0" w:line="259" w:lineRule="auto"/>
            </w:pPr>
            <w:r>
              <w:rPr>
                <w:rFonts w:ascii="Calibri" w:hAnsi="Calibri"/>
                <w:b w:val="0"/>
                <w:i w:val="0"/>
                <w:color w:val="212121"/>
                <w:sz w:val="16"/>
              </w:rPr>
              <w:t>Detects clinical and subclinical carditis - now a major criterion; grades RHD (WHF borderline/definite)</w:t>
            </w:r>
          </w:p>
        </w:tc>
        <w:tc>
          <w:tcPr>
            <w:tcW w:type="dxa" w:w="1036"/>
            <w:vAlign w:val="top"/>
          </w:tcPr>
          <w:p>
            <w:pPr>
              <w:spacing w:after="40" w:before="0" w:line="259" w:lineRule="auto"/>
            </w:pPr>
            <w:r>
              <w:rPr>
                <w:rFonts w:ascii="Calibri" w:hAnsi="Calibri"/>
                <w:b w:val="0"/>
                <w:i w:val="0"/>
                <w:color w:val="212121"/>
                <w:sz w:val="16"/>
              </w:rPr>
              <w:t>All confirmed/suspected ARF; RHD screening</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Detects carditis even without an audible murmur</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Electrophysiology</w:t>
            </w:r>
          </w:p>
        </w:tc>
        <w:tc>
          <w:tcPr>
            <w:tcW w:type="dxa" w:w="1036"/>
            <w:vAlign w:val="top"/>
          </w:tcPr>
          <w:p>
            <w:pPr>
              <w:spacing w:after="40" w:before="0" w:line="259" w:lineRule="auto"/>
            </w:pPr>
            <w:r>
              <w:rPr>
                <w:rFonts w:ascii="Calibri" w:hAnsi="Calibri"/>
                <w:b w:val="0"/>
                <w:i w:val="0"/>
                <w:color w:val="212121"/>
                <w:sz w:val="16"/>
              </w:rPr>
              <w:t>12-lead ECG</w:t>
            </w:r>
          </w:p>
        </w:tc>
        <w:tc>
          <w:tcPr>
            <w:tcW w:type="dxa" w:w="892"/>
            <w:vAlign w:val="top"/>
          </w:tcPr>
          <w:p>
            <w:pPr>
              <w:spacing w:after="40" w:before="0" w:line="259" w:lineRule="auto"/>
            </w:pPr>
            <w:r>
              <w:rPr>
                <w:rFonts w:ascii="Calibri" w:hAnsi="Calibri"/>
                <w:b w:val="0"/>
                <w:i w:val="0"/>
                <w:color w:val="212121"/>
                <w:sz w:val="16"/>
              </w:rPr>
              <w:t>Electrocardiography</w:t>
            </w:r>
          </w:p>
        </w:tc>
        <w:tc>
          <w:tcPr>
            <w:tcW w:type="dxa" w:w="950"/>
            <w:vAlign w:val="top"/>
          </w:tcPr>
          <w:p>
            <w:pPr>
              <w:spacing w:after="40" w:before="0" w:line="259" w:lineRule="auto"/>
            </w:pPr>
            <w:r>
              <w:rPr>
                <w:rFonts w:ascii="Calibri" w:hAnsi="Calibri"/>
                <w:b w:val="0"/>
                <w:i w:val="0"/>
                <w:color w:val="212121"/>
                <w:sz w:val="16"/>
              </w:rPr>
              <w:t>Normal PR interval for age</w:t>
            </w:r>
          </w:p>
        </w:tc>
        <w:tc>
          <w:tcPr>
            <w:tcW w:type="dxa" w:w="950"/>
            <w:vAlign w:val="top"/>
          </w:tcPr>
          <w:p>
            <w:pPr>
              <w:spacing w:after="40" w:before="0" w:line="259" w:lineRule="auto"/>
            </w:pPr>
            <w:r>
              <w:rPr>
                <w:rFonts w:ascii="Calibri" w:hAnsi="Calibri"/>
                <w:b w:val="0"/>
                <w:i w:val="0"/>
                <w:color w:val="212121"/>
                <w:sz w:val="16"/>
              </w:rPr>
              <w:t>Prolonged PR / AV block, tachycardia</w:t>
            </w:r>
          </w:p>
        </w:tc>
        <w:tc>
          <w:tcPr>
            <w:tcW w:type="dxa" w:w="1036"/>
            <w:vAlign w:val="top"/>
          </w:tcPr>
          <w:p>
            <w:pPr>
              <w:spacing w:after="40" w:before="0" w:line="259" w:lineRule="auto"/>
            </w:pPr>
            <w:r>
              <w:rPr>
                <w:rFonts w:ascii="Calibri" w:hAnsi="Calibri"/>
                <w:b w:val="0"/>
                <w:i w:val="0"/>
                <w:color w:val="212121"/>
                <w:sz w:val="16"/>
              </w:rPr>
              <w:t>Prolonged PR is a minor criterion; identifies conduction disturbance in carditis</w:t>
            </w:r>
          </w:p>
        </w:tc>
        <w:tc>
          <w:tcPr>
            <w:tcW w:type="dxa" w:w="1036"/>
            <w:vAlign w:val="top"/>
          </w:tcPr>
          <w:p>
            <w:pPr>
              <w:spacing w:after="40" w:before="0" w:line="259" w:lineRule="auto"/>
            </w:pPr>
            <w:r>
              <w:rPr>
                <w:rFonts w:ascii="Calibri" w:hAnsi="Calibri"/>
                <w:b w:val="0"/>
                <w:i w:val="0"/>
                <w:color w:val="212121"/>
                <w:sz w:val="16"/>
              </w:rPr>
              <w:t>Suspected carditis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PR prolongation is not counted if carditis is already a major criterion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Hematology</w:t>
            </w:r>
          </w:p>
        </w:tc>
        <w:tc>
          <w:tcPr>
            <w:tcW w:type="dxa" w:w="1036"/>
            <w:vAlign w:val="top"/>
          </w:tcPr>
          <w:p>
            <w:pPr>
              <w:spacing w:after="40" w:before="0" w:line="259" w:lineRule="auto"/>
            </w:pPr>
            <w:r>
              <w:rPr>
                <w:rFonts w:ascii="Calibri" w:hAnsi="Calibri"/>
                <w:b w:val="0"/>
                <w:i w:val="0"/>
                <w:color w:val="212121"/>
                <w:sz w:val="16"/>
              </w:rPr>
              <w:t>Complete blood count</w:t>
            </w:r>
          </w:p>
        </w:tc>
        <w:tc>
          <w:tcPr>
            <w:tcW w:type="dxa" w:w="892"/>
            <w:vAlign w:val="top"/>
          </w:tcPr>
          <w:p>
            <w:pPr>
              <w:spacing w:after="40" w:before="0" w:line="259" w:lineRule="auto"/>
            </w:pPr>
            <w:r>
              <w:rPr>
                <w:rFonts w:ascii="Calibri" w:hAnsi="Calibri"/>
                <w:b w:val="0"/>
                <w:i w:val="0"/>
                <w:color w:val="212121"/>
                <w:sz w:val="16"/>
              </w:rPr>
              <w:t>Full blood count</w:t>
            </w:r>
          </w:p>
        </w:tc>
        <w:tc>
          <w:tcPr>
            <w:tcW w:type="dxa" w:w="950"/>
            <w:vAlign w:val="top"/>
          </w:tcPr>
          <w:p>
            <w:pPr>
              <w:spacing w:after="40" w:before="0" w:line="259" w:lineRule="auto"/>
            </w:pPr>
            <w:r>
              <w:rPr>
                <w:rFonts w:ascii="Calibri" w:hAnsi="Calibri"/>
                <w:b w:val="0"/>
                <w:i w:val="0"/>
                <w:color w:val="212121"/>
                <w:sz w:val="16"/>
              </w:rPr>
              <w:t>Normal indices</w:t>
            </w:r>
          </w:p>
        </w:tc>
        <w:tc>
          <w:tcPr>
            <w:tcW w:type="dxa" w:w="950"/>
            <w:vAlign w:val="top"/>
          </w:tcPr>
          <w:p>
            <w:pPr>
              <w:spacing w:after="40" w:before="0" w:line="259" w:lineRule="auto"/>
            </w:pPr>
            <w:r>
              <w:rPr>
                <w:rFonts w:ascii="Calibri" w:hAnsi="Calibri"/>
                <w:b w:val="0"/>
                <w:i w:val="0"/>
                <w:color w:val="212121"/>
                <w:sz w:val="16"/>
              </w:rPr>
              <w:t>Leukocytosis, normocytic anaemia</w:t>
            </w:r>
          </w:p>
        </w:tc>
        <w:tc>
          <w:tcPr>
            <w:tcW w:type="dxa" w:w="1036"/>
            <w:vAlign w:val="top"/>
          </w:tcPr>
          <w:p>
            <w:pPr>
              <w:spacing w:after="40" w:before="0" w:line="259" w:lineRule="auto"/>
            </w:pPr>
            <w:r>
              <w:rPr>
                <w:rFonts w:ascii="Calibri" w:hAnsi="Calibri"/>
                <w:b w:val="0"/>
                <w:i w:val="0"/>
                <w:color w:val="212121"/>
                <w:sz w:val="16"/>
              </w:rPr>
              <w:t>Supports an active inflammatory/infective process (non-specific)</w:t>
            </w:r>
          </w:p>
        </w:tc>
        <w:tc>
          <w:tcPr>
            <w:tcW w:type="dxa" w:w="1036"/>
            <w:vAlign w:val="top"/>
          </w:tcPr>
          <w:p>
            <w:pPr>
              <w:spacing w:after="40" w:before="0" w:line="259" w:lineRule="auto"/>
            </w:pPr>
            <w:r>
              <w:rPr>
                <w:rFonts w:ascii="Calibri" w:hAnsi="Calibri"/>
                <w:b w:val="0"/>
                <w:i w:val="0"/>
                <w:color w:val="212121"/>
                <w:sz w:val="16"/>
              </w:rPr>
              <w:t>Active ARF</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Anaemia of inflammation is common; interpret with acute-phase reactants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Chest X-ray</w:t>
            </w:r>
          </w:p>
        </w:tc>
        <w:tc>
          <w:tcPr>
            <w:tcW w:type="dxa" w:w="892"/>
            <w:vAlign w:val="top"/>
          </w:tcPr>
          <w:p>
            <w:pPr>
              <w:spacing w:after="40" w:before="0" w:line="259" w:lineRule="auto"/>
            </w:pPr>
            <w:r>
              <w:rPr>
                <w:rFonts w:ascii="Calibri" w:hAnsi="Calibri"/>
                <w:b w:val="0"/>
                <w:i w:val="0"/>
                <w:color w:val="212121"/>
                <w:sz w:val="16"/>
              </w:rPr>
              <w:t>Chest radiograph</w:t>
            </w:r>
          </w:p>
        </w:tc>
        <w:tc>
          <w:tcPr>
            <w:tcW w:type="dxa" w:w="950"/>
            <w:vAlign w:val="top"/>
          </w:tcPr>
          <w:p>
            <w:pPr>
              <w:spacing w:after="40" w:before="0" w:line="259" w:lineRule="auto"/>
            </w:pPr>
            <w:r>
              <w:rPr>
                <w:rFonts w:ascii="Calibri" w:hAnsi="Calibri"/>
                <w:b w:val="0"/>
                <w:i w:val="0"/>
                <w:color w:val="212121"/>
                <w:sz w:val="16"/>
              </w:rPr>
              <w:t>Normal heart size and lung fields</w:t>
            </w:r>
          </w:p>
        </w:tc>
        <w:tc>
          <w:tcPr>
            <w:tcW w:type="dxa" w:w="950"/>
            <w:vAlign w:val="top"/>
          </w:tcPr>
          <w:p>
            <w:pPr>
              <w:spacing w:after="40" w:before="0" w:line="259" w:lineRule="auto"/>
            </w:pPr>
            <w:r>
              <w:rPr>
                <w:rFonts w:ascii="Calibri" w:hAnsi="Calibri"/>
                <w:b w:val="0"/>
                <w:i w:val="0"/>
                <w:color w:val="212121"/>
                <w:sz w:val="16"/>
              </w:rPr>
              <w:t>Cardiomegaly, pulmonary congestion</w:t>
            </w:r>
          </w:p>
        </w:tc>
        <w:tc>
          <w:tcPr>
            <w:tcW w:type="dxa" w:w="1036"/>
            <w:vAlign w:val="top"/>
          </w:tcPr>
          <w:p>
            <w:pPr>
              <w:spacing w:after="40" w:before="0" w:line="259" w:lineRule="auto"/>
            </w:pPr>
            <w:r>
              <w:rPr>
                <w:rFonts w:ascii="Calibri" w:hAnsi="Calibri"/>
                <w:b w:val="0"/>
                <w:i w:val="0"/>
                <w:color w:val="212121"/>
                <w:sz w:val="16"/>
              </w:rPr>
              <w:t>Assesses cardiac enlargement and heart failure in severe carditis</w:t>
            </w:r>
          </w:p>
        </w:tc>
        <w:tc>
          <w:tcPr>
            <w:tcW w:type="dxa" w:w="1036"/>
            <w:vAlign w:val="top"/>
          </w:tcPr>
          <w:p>
            <w:pPr>
              <w:spacing w:after="40" w:before="0" w:line="259" w:lineRule="auto"/>
            </w:pPr>
            <w:r>
              <w:rPr>
                <w:rFonts w:ascii="Calibri" w:hAnsi="Calibri"/>
                <w:b w:val="0"/>
                <w:i w:val="0"/>
                <w:color w:val="212121"/>
                <w:sz w:val="16"/>
              </w:rPr>
              <w:t>Carditis with suspected heart failure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Adjunct to echocardiography and clinical assessment</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Preceding sore throat</w:t>
            </w:r>
          </w:p>
        </w:tc>
        <w:tc>
          <w:tcPr>
            <w:tcW w:type="dxa" w:w="979"/>
            <w:vAlign w:val="top"/>
          </w:tcPr>
          <w:p>
            <w:pPr>
              <w:spacing w:after="40" w:before="0" w:line="259" w:lineRule="auto"/>
            </w:pPr>
            <w:r>
              <w:rPr>
                <w:rFonts w:ascii="Calibri" w:hAnsi="Calibri"/>
                <w:b w:val="0"/>
                <w:i w:val="0"/>
                <w:color w:val="212121"/>
                <w:sz w:val="16"/>
              </w:rPr>
              <w:t>Pharyngitis 1-5 weeks earlier</w:t>
            </w:r>
          </w:p>
        </w:tc>
        <w:tc>
          <w:tcPr>
            <w:tcW w:type="dxa" w:w="950"/>
            <w:vAlign w:val="top"/>
          </w:tcPr>
          <w:p>
            <w:pPr>
              <w:spacing w:after="40" w:before="0" w:line="259" w:lineRule="auto"/>
            </w:pPr>
            <w:r>
              <w:rPr>
                <w:rFonts w:ascii="Calibri" w:hAnsi="Calibri"/>
                <w:b w:val="0"/>
                <w:i w:val="0"/>
                <w:color w:val="212121"/>
                <w:sz w:val="16"/>
              </w:rPr>
              <w:t>No recent sore throat</w:t>
            </w:r>
          </w:p>
        </w:tc>
        <w:tc>
          <w:tcPr>
            <w:tcW w:type="dxa" w:w="950"/>
            <w:vAlign w:val="top"/>
          </w:tcPr>
          <w:p>
            <w:pPr>
              <w:spacing w:after="40" w:before="0" w:line="259" w:lineRule="auto"/>
            </w:pPr>
            <w:r>
              <w:rPr>
                <w:rFonts w:ascii="Calibri" w:hAnsi="Calibri"/>
                <w:b w:val="0"/>
                <w:i w:val="0"/>
                <w:color w:val="212121"/>
                <w:sz w:val="16"/>
              </w:rPr>
              <w:t>Recent (usually untreated) sore throat</w:t>
            </w:r>
          </w:p>
        </w:tc>
        <w:tc>
          <w:tcPr>
            <w:tcW w:type="dxa" w:w="1036"/>
            <w:vAlign w:val="top"/>
          </w:tcPr>
          <w:p>
            <w:pPr>
              <w:spacing w:after="40" w:before="0" w:line="259" w:lineRule="auto"/>
            </w:pPr>
            <w:r>
              <w:rPr>
                <w:rFonts w:ascii="Calibri" w:hAnsi="Calibri"/>
                <w:b w:val="0"/>
                <w:i w:val="0"/>
                <w:color w:val="212121"/>
                <w:sz w:val="16"/>
              </w:rPr>
              <w:t>Establishes the streptococcal trigger and the typical 2-4 week latent period</w:t>
            </w:r>
          </w:p>
        </w:tc>
        <w:tc>
          <w:tcPr>
            <w:tcW w:type="dxa" w:w="1036"/>
            <w:vAlign w:val="top"/>
          </w:tcPr>
          <w:p>
            <w:pPr>
              <w:spacing w:after="40" w:before="0" w:line="259" w:lineRule="auto"/>
            </w:pPr>
            <w:r>
              <w:rPr>
                <w:rFonts w:ascii="Calibri" w:hAnsi="Calibri"/>
                <w:b w:val="0"/>
                <w:i w:val="0"/>
                <w:color w:val="212121"/>
                <w:sz w:val="16"/>
              </w:rPr>
              <w:t>All children with suspected ARF</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Often overlooked or self-medicated in low-resource settings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Migratory joint pain</w:t>
            </w:r>
          </w:p>
        </w:tc>
        <w:tc>
          <w:tcPr>
            <w:tcW w:type="dxa" w:w="979"/>
            <w:vAlign w:val="top"/>
          </w:tcPr>
          <w:p>
            <w:pPr>
              <w:spacing w:after="40" w:before="0" w:line="259" w:lineRule="auto"/>
            </w:pPr>
            <w:r>
              <w:rPr>
                <w:rFonts w:ascii="Calibri" w:hAnsi="Calibri"/>
                <w:b w:val="0"/>
                <w:i w:val="0"/>
                <w:color w:val="212121"/>
                <w:sz w:val="16"/>
              </w:rPr>
              <w:t>Large-joint arthritis moving over days</w:t>
            </w:r>
          </w:p>
        </w:tc>
        <w:tc>
          <w:tcPr>
            <w:tcW w:type="dxa" w:w="950"/>
            <w:vAlign w:val="top"/>
          </w:tcPr>
          <w:p>
            <w:pPr>
              <w:spacing w:after="40" w:before="0" w:line="259" w:lineRule="auto"/>
            </w:pPr>
            <w:r>
              <w:rPr>
                <w:rFonts w:ascii="Calibri" w:hAnsi="Calibri"/>
                <w:b w:val="0"/>
                <w:i w:val="0"/>
                <w:color w:val="212121"/>
                <w:sz w:val="16"/>
              </w:rPr>
              <w:t>No joint symptoms</w:t>
            </w:r>
          </w:p>
        </w:tc>
        <w:tc>
          <w:tcPr>
            <w:tcW w:type="dxa" w:w="950"/>
            <w:vAlign w:val="top"/>
          </w:tcPr>
          <w:p>
            <w:pPr>
              <w:spacing w:after="40" w:before="0" w:line="259" w:lineRule="auto"/>
            </w:pPr>
            <w:r>
              <w:rPr>
                <w:rFonts w:ascii="Calibri" w:hAnsi="Calibri"/>
                <w:b w:val="0"/>
                <w:i w:val="0"/>
                <w:color w:val="212121"/>
                <w:sz w:val="16"/>
              </w:rPr>
              <w:t>Migratory pain/swelling of knees, ankles, wrists, elbows</w:t>
            </w:r>
          </w:p>
        </w:tc>
        <w:tc>
          <w:tcPr>
            <w:tcW w:type="dxa" w:w="1036"/>
            <w:vAlign w:val="top"/>
          </w:tcPr>
          <w:p>
            <w:pPr>
              <w:spacing w:after="40" w:before="0" w:line="259" w:lineRule="auto"/>
            </w:pPr>
            <w:r>
              <w:rPr>
                <w:rFonts w:ascii="Calibri" w:hAnsi="Calibri"/>
                <w:b w:val="0"/>
                <w:i w:val="0"/>
                <w:color w:val="212121"/>
                <w:sz w:val="16"/>
              </w:rPr>
              <w:t>Migratory large-joint polyarthritis is the commonest and earliest major feature</w:t>
            </w:r>
          </w:p>
        </w:tc>
        <w:tc>
          <w:tcPr>
            <w:tcW w:type="dxa" w:w="1036"/>
            <w:vAlign w:val="top"/>
          </w:tcPr>
          <w:p>
            <w:pPr>
              <w:spacing w:after="40" w:before="0" w:line="259" w:lineRule="auto"/>
            </w:pPr>
            <w:r>
              <w:rPr>
                <w:rFonts w:ascii="Calibri" w:hAnsi="Calibri"/>
                <w:b w:val="0"/>
                <w:i w:val="0"/>
                <w:color w:val="212121"/>
                <w:sz w:val="16"/>
              </w:rPr>
              <w:t>Children/adolescents with joint pain and fever</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Dramatically responsive to salicylates/NSAIDs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Prior ARF / prophylaxis status</w:t>
            </w:r>
          </w:p>
        </w:tc>
        <w:tc>
          <w:tcPr>
            <w:tcW w:type="dxa" w:w="979"/>
            <w:vAlign w:val="top"/>
          </w:tcPr>
          <w:p>
            <w:pPr>
              <w:spacing w:after="40" w:before="0" w:line="259" w:lineRule="auto"/>
            </w:pPr>
            <w:r>
              <w:rPr>
                <w:rFonts w:ascii="Calibri" w:hAnsi="Calibri"/>
                <w:b w:val="0"/>
                <w:i w:val="0"/>
                <w:color w:val="212121"/>
                <w:sz w:val="16"/>
              </w:rPr>
              <w:t>Previous attack, RHD, injection adherence</w:t>
            </w:r>
          </w:p>
        </w:tc>
        <w:tc>
          <w:tcPr>
            <w:tcW w:type="dxa" w:w="950"/>
            <w:vAlign w:val="top"/>
          </w:tcPr>
          <w:p>
            <w:pPr>
              <w:spacing w:after="40" w:before="0" w:line="259" w:lineRule="auto"/>
            </w:pPr>
            <w:r>
              <w:rPr>
                <w:rFonts w:ascii="Calibri" w:hAnsi="Calibri"/>
                <w:b w:val="0"/>
                <w:i w:val="0"/>
                <w:color w:val="212121"/>
                <w:sz w:val="16"/>
              </w:rPr>
              <w:t>No prior ARF; prophylaxis on time</w:t>
            </w:r>
          </w:p>
        </w:tc>
        <w:tc>
          <w:tcPr>
            <w:tcW w:type="dxa" w:w="950"/>
            <w:vAlign w:val="top"/>
          </w:tcPr>
          <w:p>
            <w:pPr>
              <w:spacing w:after="40" w:before="0" w:line="259" w:lineRule="auto"/>
            </w:pPr>
            <w:r>
              <w:rPr>
                <w:rFonts w:ascii="Calibri" w:hAnsi="Calibri"/>
                <w:b w:val="0"/>
                <w:i w:val="0"/>
                <w:color w:val="212121"/>
                <w:sz w:val="16"/>
              </w:rPr>
              <w:t>Past ARF/RHD; missed prophylaxis</w:t>
            </w:r>
          </w:p>
        </w:tc>
        <w:tc>
          <w:tcPr>
            <w:tcW w:type="dxa" w:w="1036"/>
            <w:vAlign w:val="top"/>
          </w:tcPr>
          <w:p>
            <w:pPr>
              <w:spacing w:after="40" w:before="0" w:line="259" w:lineRule="auto"/>
            </w:pPr>
            <w:r>
              <w:rPr>
                <w:rFonts w:ascii="Calibri" w:hAnsi="Calibri"/>
                <w:b w:val="0"/>
                <w:i w:val="0"/>
                <w:color w:val="212121"/>
                <w:sz w:val="16"/>
              </w:rPr>
              <w:t>Identifies recurrent ARF (lower diagnostic threshold) and adherence gaps</w:t>
            </w:r>
          </w:p>
        </w:tc>
        <w:tc>
          <w:tcPr>
            <w:tcW w:type="dxa" w:w="1036"/>
            <w:vAlign w:val="top"/>
          </w:tcPr>
          <w:p>
            <w:pPr>
              <w:spacing w:after="40" w:before="0" w:line="259" w:lineRule="auto"/>
            </w:pPr>
            <w:r>
              <w:rPr>
                <w:rFonts w:ascii="Calibri" w:hAnsi="Calibri"/>
                <w:b w:val="0"/>
                <w:i w:val="0"/>
                <w:color w:val="212121"/>
                <w:sz w:val="16"/>
              </w:rPr>
              <w:t>Known RHD, previous ARF</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Missed benzathine penicillin is the main driver of recurrence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Social and family history</w:t>
            </w:r>
          </w:p>
        </w:tc>
        <w:tc>
          <w:tcPr>
            <w:tcW w:type="dxa" w:w="979"/>
            <w:vAlign w:val="top"/>
          </w:tcPr>
          <w:p>
            <w:pPr>
              <w:spacing w:after="40" w:before="0" w:line="259" w:lineRule="auto"/>
            </w:pPr>
            <w:r>
              <w:rPr>
                <w:rFonts w:ascii="Calibri" w:hAnsi="Calibri"/>
                <w:b w:val="0"/>
                <w:i w:val="0"/>
                <w:color w:val="212121"/>
                <w:sz w:val="16"/>
              </w:rPr>
              <w:t>Crowding, poverty, family ARF/RHD</w:t>
            </w:r>
          </w:p>
        </w:tc>
        <w:tc>
          <w:tcPr>
            <w:tcW w:type="dxa" w:w="950"/>
            <w:vAlign w:val="top"/>
          </w:tcPr>
          <w:p>
            <w:pPr>
              <w:spacing w:after="40" w:before="0" w:line="259" w:lineRule="auto"/>
            </w:pPr>
            <w:r>
              <w:rPr>
                <w:rFonts w:ascii="Calibri" w:hAnsi="Calibri"/>
                <w:b w:val="0"/>
                <w:i w:val="0"/>
                <w:color w:val="212121"/>
                <w:sz w:val="16"/>
              </w:rPr>
              <w:t>Low-risk background</w:t>
            </w:r>
          </w:p>
        </w:tc>
        <w:tc>
          <w:tcPr>
            <w:tcW w:type="dxa" w:w="950"/>
            <w:vAlign w:val="top"/>
          </w:tcPr>
          <w:p>
            <w:pPr>
              <w:spacing w:after="40" w:before="0" w:line="259" w:lineRule="auto"/>
            </w:pPr>
            <w:r>
              <w:rPr>
                <w:rFonts w:ascii="Calibri" w:hAnsi="Calibri"/>
                <w:b w:val="0"/>
                <w:i w:val="0"/>
                <w:color w:val="212121"/>
                <w:sz w:val="16"/>
              </w:rPr>
              <w:t>Overcrowded home, low income, affected relative</w:t>
            </w:r>
          </w:p>
        </w:tc>
        <w:tc>
          <w:tcPr>
            <w:tcW w:type="dxa" w:w="1036"/>
            <w:vAlign w:val="top"/>
          </w:tcPr>
          <w:p>
            <w:pPr>
              <w:spacing w:after="40" w:before="0" w:line="259" w:lineRule="auto"/>
            </w:pPr>
            <w:r>
              <w:rPr>
                <w:rFonts w:ascii="Calibri" w:hAnsi="Calibri"/>
                <w:b w:val="0"/>
                <w:i w:val="0"/>
                <w:color w:val="212121"/>
                <w:sz w:val="16"/>
              </w:rPr>
              <w:t>Captures the environmental and genetic risk that sustains ARF in India</w:t>
            </w:r>
          </w:p>
        </w:tc>
        <w:tc>
          <w:tcPr>
            <w:tcW w:type="dxa" w:w="1036"/>
            <w:vAlign w:val="top"/>
          </w:tcPr>
          <w:p>
            <w:pPr>
              <w:spacing w:after="40" w:before="0" w:line="259" w:lineRule="auto"/>
            </w:pPr>
            <w:r>
              <w:rPr>
                <w:rFonts w:ascii="Calibri" w:hAnsi="Calibri"/>
                <w:b w:val="0"/>
                <w:i w:val="0"/>
                <w:color w:val="212121"/>
                <w:sz w:val="16"/>
              </w:rPr>
              <w:t>Poor/rural/tribal children, family history</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Guides prevention and screening of siblings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Cardiac auscultation</w:t>
            </w:r>
          </w:p>
        </w:tc>
        <w:tc>
          <w:tcPr>
            <w:tcW w:type="dxa" w:w="979"/>
            <w:vAlign w:val="top"/>
          </w:tcPr>
          <w:p>
            <w:pPr>
              <w:spacing w:after="40" w:before="0" w:line="259" w:lineRule="auto"/>
            </w:pPr>
            <w:r>
              <w:rPr>
                <w:rFonts w:ascii="Calibri" w:hAnsi="Calibri"/>
                <w:b w:val="0"/>
                <w:i w:val="0"/>
                <w:color w:val="212121"/>
                <w:sz w:val="16"/>
              </w:rPr>
              <w:t>New/changed murmur, rate, rub</w:t>
            </w:r>
          </w:p>
        </w:tc>
        <w:tc>
          <w:tcPr>
            <w:tcW w:type="dxa" w:w="950"/>
            <w:vAlign w:val="top"/>
          </w:tcPr>
          <w:p>
            <w:pPr>
              <w:spacing w:after="40" w:before="0" w:line="259" w:lineRule="auto"/>
            </w:pPr>
            <w:r>
              <w:rPr>
                <w:rFonts w:ascii="Calibri" w:hAnsi="Calibri"/>
                <w:b w:val="0"/>
                <w:i w:val="0"/>
                <w:color w:val="212121"/>
                <w:sz w:val="16"/>
              </w:rPr>
              <w:t>Normal heart sounds</w:t>
            </w:r>
          </w:p>
        </w:tc>
        <w:tc>
          <w:tcPr>
            <w:tcW w:type="dxa" w:w="950"/>
            <w:vAlign w:val="top"/>
          </w:tcPr>
          <w:p>
            <w:pPr>
              <w:spacing w:after="40" w:before="0" w:line="259" w:lineRule="auto"/>
            </w:pPr>
            <w:r>
              <w:rPr>
                <w:rFonts w:ascii="Calibri" w:hAnsi="Calibri"/>
                <w:b w:val="0"/>
                <w:i w:val="0"/>
                <w:color w:val="212121"/>
                <w:sz w:val="16"/>
              </w:rPr>
              <w:t>Apical pansystolic (MR), mid-diastolic Carey-Coombs, or early-diastolic aortic murmur; tachycardia; friction rub</w:t>
            </w:r>
          </w:p>
        </w:tc>
        <w:tc>
          <w:tcPr>
            <w:tcW w:type="dxa" w:w="1036"/>
            <w:vAlign w:val="top"/>
          </w:tcPr>
          <w:p>
            <w:pPr>
              <w:spacing w:after="40" w:before="0" w:line="259" w:lineRule="auto"/>
            </w:pPr>
            <w:r>
              <w:rPr>
                <w:rFonts w:ascii="Calibri" w:hAnsi="Calibri"/>
                <w:b w:val="0"/>
                <w:i w:val="0"/>
                <w:color w:val="212121"/>
                <w:sz w:val="16"/>
              </w:rPr>
              <w:t>Detects carditis/valvulitis - the manifestation that determines prognosis</w:t>
            </w:r>
          </w:p>
        </w:tc>
        <w:tc>
          <w:tcPr>
            <w:tcW w:type="dxa" w:w="1036"/>
            <w:vAlign w:val="top"/>
          </w:tcPr>
          <w:p>
            <w:pPr>
              <w:spacing w:after="40" w:before="0" w:line="259" w:lineRule="auto"/>
            </w:pPr>
            <w:r>
              <w:rPr>
                <w:rFonts w:ascii="Calibri" w:hAnsi="Calibri"/>
                <w:b w:val="0"/>
                <w:i w:val="0"/>
                <w:color w:val="212121"/>
                <w:sz w:val="16"/>
              </w:rPr>
              <w:t>All suspected ARF</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Confirm and quantify with echocardiography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Joint examination</w:t>
            </w:r>
          </w:p>
        </w:tc>
        <w:tc>
          <w:tcPr>
            <w:tcW w:type="dxa" w:w="979"/>
            <w:vAlign w:val="top"/>
          </w:tcPr>
          <w:p>
            <w:pPr>
              <w:spacing w:after="40" w:before="0" w:line="259" w:lineRule="auto"/>
            </w:pPr>
            <w:r>
              <w:rPr>
                <w:rFonts w:ascii="Calibri" w:hAnsi="Calibri"/>
                <w:b w:val="0"/>
                <w:i w:val="0"/>
                <w:color w:val="212121"/>
                <w:sz w:val="16"/>
              </w:rPr>
              <w:t>Warmth, swelling, tenderness, range</w:t>
            </w:r>
          </w:p>
        </w:tc>
        <w:tc>
          <w:tcPr>
            <w:tcW w:type="dxa" w:w="950"/>
            <w:vAlign w:val="top"/>
          </w:tcPr>
          <w:p>
            <w:pPr>
              <w:spacing w:after="40" w:before="0" w:line="259" w:lineRule="auto"/>
            </w:pPr>
            <w:r>
              <w:rPr>
                <w:rFonts w:ascii="Calibri" w:hAnsi="Calibri"/>
                <w:b w:val="0"/>
                <w:i w:val="0"/>
                <w:color w:val="212121"/>
                <w:sz w:val="16"/>
              </w:rPr>
              <w:t>Normal joints</w:t>
            </w:r>
          </w:p>
        </w:tc>
        <w:tc>
          <w:tcPr>
            <w:tcW w:type="dxa" w:w="950"/>
            <w:vAlign w:val="top"/>
          </w:tcPr>
          <w:p>
            <w:pPr>
              <w:spacing w:after="40" w:before="0" w:line="259" w:lineRule="auto"/>
            </w:pPr>
            <w:r>
              <w:rPr>
                <w:rFonts w:ascii="Calibri" w:hAnsi="Calibri"/>
                <w:b w:val="0"/>
                <w:i w:val="0"/>
                <w:color w:val="212121"/>
                <w:sz w:val="16"/>
              </w:rPr>
              <w:t>Hot, swollen, tender large joints in a migratory pattern</w:t>
            </w:r>
          </w:p>
        </w:tc>
        <w:tc>
          <w:tcPr>
            <w:tcW w:type="dxa" w:w="1036"/>
            <w:vAlign w:val="top"/>
          </w:tcPr>
          <w:p>
            <w:pPr>
              <w:spacing w:after="40" w:before="0" w:line="259" w:lineRule="auto"/>
            </w:pPr>
            <w:r>
              <w:rPr>
                <w:rFonts w:ascii="Calibri" w:hAnsi="Calibri"/>
                <w:b w:val="0"/>
                <w:i w:val="0"/>
                <w:color w:val="212121"/>
                <w:sz w:val="16"/>
              </w:rPr>
              <w:t>Confirms polyarthritis (or monoarthritis in high-risk populations)</w:t>
            </w:r>
          </w:p>
        </w:tc>
        <w:tc>
          <w:tcPr>
            <w:tcW w:type="dxa" w:w="1036"/>
            <w:vAlign w:val="top"/>
          </w:tcPr>
          <w:p>
            <w:pPr>
              <w:spacing w:after="40" w:before="0" w:line="259" w:lineRule="auto"/>
            </w:pPr>
            <w:r>
              <w:rPr>
                <w:rFonts w:ascii="Calibri" w:hAnsi="Calibri"/>
                <w:b w:val="0"/>
                <w:i w:val="0"/>
                <w:color w:val="212121"/>
                <w:sz w:val="16"/>
              </w:rPr>
              <w:t>Children with joint symptoms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Non-deforming; sterile inflammatory synovial fluid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Neurological examination</w:t>
            </w:r>
          </w:p>
        </w:tc>
        <w:tc>
          <w:tcPr>
            <w:tcW w:type="dxa" w:w="979"/>
            <w:vAlign w:val="top"/>
          </w:tcPr>
          <w:p>
            <w:pPr>
              <w:spacing w:after="40" w:before="0" w:line="259" w:lineRule="auto"/>
            </w:pPr>
            <w:r>
              <w:rPr>
                <w:rFonts w:ascii="Calibri" w:hAnsi="Calibri"/>
                <w:b w:val="0"/>
                <w:i w:val="0"/>
                <w:color w:val="212121"/>
                <w:sz w:val="16"/>
              </w:rPr>
              <w:t>Chorea, milkmaid grip, hung-up reflexes</w:t>
            </w:r>
          </w:p>
        </w:tc>
        <w:tc>
          <w:tcPr>
            <w:tcW w:type="dxa" w:w="950"/>
            <w:vAlign w:val="top"/>
          </w:tcPr>
          <w:p>
            <w:pPr>
              <w:spacing w:after="40" w:before="0" w:line="259" w:lineRule="auto"/>
            </w:pPr>
            <w:r>
              <w:rPr>
                <w:rFonts w:ascii="Calibri" w:hAnsi="Calibri"/>
                <w:b w:val="0"/>
                <w:i w:val="0"/>
                <w:color w:val="212121"/>
                <w:sz w:val="16"/>
              </w:rPr>
              <w:t>No involuntary movements</w:t>
            </w:r>
          </w:p>
        </w:tc>
        <w:tc>
          <w:tcPr>
            <w:tcW w:type="dxa" w:w="950"/>
            <w:vAlign w:val="top"/>
          </w:tcPr>
          <w:p>
            <w:pPr>
              <w:spacing w:after="40" w:before="0" w:line="259" w:lineRule="auto"/>
            </w:pPr>
            <w:r>
              <w:rPr>
                <w:rFonts w:ascii="Calibri" w:hAnsi="Calibri"/>
                <w:b w:val="0"/>
                <w:i w:val="0"/>
                <w:color w:val="212121"/>
                <w:sz w:val="16"/>
              </w:rPr>
              <w:t>Involuntary purposeless movements, emotional lability, clumsiness, deteriorating handwriting</w:t>
            </w:r>
          </w:p>
        </w:tc>
        <w:tc>
          <w:tcPr>
            <w:tcW w:type="dxa" w:w="1036"/>
            <w:vAlign w:val="top"/>
          </w:tcPr>
          <w:p>
            <w:pPr>
              <w:spacing w:after="40" w:before="0" w:line="259" w:lineRule="auto"/>
            </w:pPr>
            <w:r>
              <w:rPr>
                <w:rFonts w:ascii="Calibri" w:hAnsi="Calibri"/>
                <w:b w:val="0"/>
                <w:i w:val="0"/>
                <w:color w:val="212121"/>
                <w:sz w:val="16"/>
              </w:rPr>
              <w:t>Identifies Sydenham chorea, which may be the sole presenting feature</w:t>
            </w:r>
          </w:p>
        </w:tc>
        <w:tc>
          <w:tcPr>
            <w:tcW w:type="dxa" w:w="1036"/>
            <w:vAlign w:val="top"/>
          </w:tcPr>
          <w:p>
            <w:pPr>
              <w:spacing w:after="40" w:before="0" w:line="259" w:lineRule="auto"/>
            </w:pPr>
            <w:r>
              <w:rPr>
                <w:rFonts w:ascii="Calibri" w:hAnsi="Calibri"/>
                <w:b w:val="0"/>
                <w:i w:val="0"/>
                <w:color w:val="212121"/>
                <w:sz w:val="16"/>
              </w:rPr>
              <w:t>Children (esp. girls) with movement/behaviour change</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Movements disappear in sleep; may appear months after infection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Skin and subcutaneous exam</w:t>
            </w:r>
          </w:p>
        </w:tc>
        <w:tc>
          <w:tcPr>
            <w:tcW w:type="dxa" w:w="979"/>
            <w:vAlign w:val="top"/>
          </w:tcPr>
          <w:p>
            <w:pPr>
              <w:spacing w:after="40" w:before="0" w:line="259" w:lineRule="auto"/>
            </w:pPr>
            <w:r>
              <w:rPr>
                <w:rFonts w:ascii="Calibri" w:hAnsi="Calibri"/>
                <w:b w:val="0"/>
                <w:i w:val="0"/>
                <w:color w:val="212121"/>
                <w:sz w:val="16"/>
              </w:rPr>
              <w:t>Erythema marginatum, subcutaneous nodules</w:t>
            </w:r>
          </w:p>
        </w:tc>
        <w:tc>
          <w:tcPr>
            <w:tcW w:type="dxa" w:w="950"/>
            <w:vAlign w:val="top"/>
          </w:tcPr>
          <w:p>
            <w:pPr>
              <w:spacing w:after="40" w:before="0" w:line="259" w:lineRule="auto"/>
            </w:pPr>
            <w:r>
              <w:rPr>
                <w:rFonts w:ascii="Calibri" w:hAnsi="Calibri"/>
                <w:b w:val="0"/>
                <w:i w:val="0"/>
                <w:color w:val="212121"/>
                <w:sz w:val="16"/>
              </w:rPr>
              <w:t>Normal skin</w:t>
            </w:r>
          </w:p>
        </w:tc>
        <w:tc>
          <w:tcPr>
            <w:tcW w:type="dxa" w:w="950"/>
            <w:vAlign w:val="top"/>
          </w:tcPr>
          <w:p>
            <w:pPr>
              <w:spacing w:after="40" w:before="0" w:line="259" w:lineRule="auto"/>
            </w:pPr>
            <w:r>
              <w:rPr>
                <w:rFonts w:ascii="Calibri" w:hAnsi="Calibri"/>
                <w:b w:val="0"/>
                <w:i w:val="0"/>
                <w:color w:val="212121"/>
                <w:sz w:val="16"/>
              </w:rPr>
              <w:t>Pink annular non-itchy rash on trunk; firm painless nodules over extensor surfaces</w:t>
            </w:r>
          </w:p>
        </w:tc>
        <w:tc>
          <w:tcPr>
            <w:tcW w:type="dxa" w:w="1036"/>
            <w:vAlign w:val="top"/>
          </w:tcPr>
          <w:p>
            <w:pPr>
              <w:spacing w:after="40" w:before="0" w:line="259" w:lineRule="auto"/>
            </w:pPr>
            <w:r>
              <w:rPr>
                <w:rFonts w:ascii="Calibri" w:hAnsi="Calibri"/>
                <w:b w:val="0"/>
                <w:i w:val="0"/>
                <w:color w:val="212121"/>
                <w:sz w:val="16"/>
              </w:rPr>
              <w:t>Specific but uncommon major criteria that support the diagnosis</w:t>
            </w:r>
          </w:p>
        </w:tc>
        <w:tc>
          <w:tcPr>
            <w:tcW w:type="dxa" w:w="1036"/>
            <w:vAlign w:val="top"/>
          </w:tcPr>
          <w:p>
            <w:pPr>
              <w:spacing w:after="40" w:before="0" w:line="259" w:lineRule="auto"/>
            </w:pPr>
            <w:r>
              <w:rPr>
                <w:rFonts w:ascii="Calibri" w:hAnsi="Calibri"/>
                <w:b w:val="0"/>
                <w:i w:val="0"/>
                <w:color w:val="212121"/>
                <w:sz w:val="16"/>
              </w:rPr>
              <w:t>Suspected ARF, especially with carditis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Nodules correlate with more severe carditis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Fever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Usually moderate; a minor Jones criterion (&gt;= 38.5 C in high-risk populations).</w:t>
            </w:r>
          </w:p>
        </w:tc>
      </w:tr>
      <w:tr>
        <w:trPr>
          <w:cantSplit/>
        </w:trPr>
        <w:tc>
          <w:tcPr>
            <w:tcW w:type="dxa" w:w="2304"/>
            <w:vAlign w:val="top"/>
          </w:tcPr>
          <w:p>
            <w:pPr>
              <w:spacing w:after="40" w:before="0" w:line="259" w:lineRule="auto"/>
            </w:pPr>
            <w:r>
              <w:rPr>
                <w:rFonts w:ascii="Calibri" w:hAnsi="Calibri"/>
                <w:b/>
                <w:i w:val="0"/>
                <w:color w:val="212121"/>
                <w:sz w:val="19"/>
              </w:rPr>
              <w:t>Migratory joint pain and swelling (large joints)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Painful, warm, swollen knees, ankles, wrists or elbows that move from joint to joint over days - the commonest presenting feature.</w:t>
            </w:r>
          </w:p>
        </w:tc>
      </w:tr>
      <w:tr>
        <w:trPr>
          <w:cantSplit/>
        </w:trPr>
        <w:tc>
          <w:tcPr>
            <w:tcW w:type="dxa" w:w="2304"/>
            <w:vAlign w:val="top"/>
          </w:tcPr>
          <w:p>
            <w:pPr>
              <w:spacing w:after="40" w:before="0" w:line="259" w:lineRule="auto"/>
            </w:pPr>
            <w:r>
              <w:rPr>
                <w:rFonts w:ascii="Calibri" w:hAnsi="Calibri"/>
                <w:b/>
                <w:i w:val="0"/>
                <w:color w:val="212121"/>
                <w:sz w:val="19"/>
              </w:rPr>
              <w:t>Recent sore throat (1-5 weeks earlier)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preceding streptococcal pharyngitis, often untreated, that triggers the attack after a latent period.</w:t>
            </w:r>
          </w:p>
        </w:tc>
      </w:tr>
      <w:tr>
        <w:trPr>
          <w:cantSplit/>
        </w:trPr>
        <w:tc>
          <w:tcPr>
            <w:tcW w:type="dxa" w:w="2304"/>
            <w:vAlign w:val="top"/>
          </w:tcPr>
          <w:p>
            <w:pPr>
              <w:spacing w:after="40" w:before="0" w:line="259" w:lineRule="auto"/>
            </w:pPr>
            <w:r>
              <w:rPr>
                <w:rFonts w:ascii="Calibri" w:hAnsi="Calibri"/>
                <w:b/>
                <w:i w:val="0"/>
                <w:color w:val="212121"/>
                <w:sz w:val="19"/>
              </w:rPr>
              <w:t>Fatigue, malaise and poor appetite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Non-specific features of the systemic inflammatory illness.</w:t>
            </w:r>
          </w:p>
        </w:tc>
      </w:tr>
      <w:tr>
        <w:trPr>
          <w:cantSplit/>
        </w:trPr>
        <w:tc>
          <w:tcPr>
            <w:tcW w:type="dxa" w:w="2304"/>
            <w:vAlign w:val="top"/>
          </w:tcPr>
          <w:p>
            <w:pPr>
              <w:spacing w:after="40" w:before="0" w:line="259" w:lineRule="auto"/>
            </w:pPr>
            <w:r>
              <w:rPr>
                <w:rFonts w:ascii="Calibri" w:hAnsi="Calibri"/>
                <w:b/>
                <w:i w:val="0"/>
                <w:color w:val="212121"/>
                <w:sz w:val="19"/>
              </w:rPr>
              <w:t>Breathlessness and palpitations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Suggest carditis - the most serious manifestation - from valve regurgitation or heart failure.</w:t>
            </w:r>
          </w:p>
        </w:tc>
      </w:tr>
      <w:tr>
        <w:trPr>
          <w:cantSplit/>
        </w:trPr>
        <w:tc>
          <w:tcPr>
            <w:tcW w:type="dxa" w:w="2304"/>
            <w:vAlign w:val="top"/>
          </w:tcPr>
          <w:p>
            <w:pPr>
              <w:spacing w:after="40" w:before="0" w:line="259" w:lineRule="auto"/>
            </w:pPr>
            <w:r>
              <w:rPr>
                <w:rFonts w:ascii="Calibri" w:hAnsi="Calibri"/>
                <w:b/>
                <w:i w:val="0"/>
                <w:color w:val="212121"/>
                <w:sz w:val="19"/>
              </w:rPr>
              <w:t>Chest pain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May indicate pericarditis or pericardial effusion as part of pancarditis.</w:t>
            </w:r>
          </w:p>
        </w:tc>
      </w:tr>
      <w:tr>
        <w:trPr>
          <w:cantSplit/>
        </w:trPr>
        <w:tc>
          <w:tcPr>
            <w:tcW w:type="dxa" w:w="2304"/>
            <w:vAlign w:val="top"/>
          </w:tcPr>
          <w:p>
            <w:pPr>
              <w:spacing w:after="40" w:before="0" w:line="259" w:lineRule="auto"/>
            </w:pPr>
            <w:r>
              <w:rPr>
                <w:rFonts w:ascii="Calibri" w:hAnsi="Calibri"/>
                <w:b/>
                <w:i w:val="0"/>
                <w:color w:val="212121"/>
                <w:sz w:val="19"/>
              </w:rPr>
              <w:t>Involuntary, purposeless jerky movements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Sydenham chorea; typically appears weeks to months later and disappears during sleep.</w:t>
            </w:r>
          </w:p>
        </w:tc>
      </w:tr>
      <w:tr>
        <w:trPr>
          <w:cantSplit/>
        </w:trPr>
        <w:tc>
          <w:tcPr>
            <w:tcW w:type="dxa" w:w="2304"/>
            <w:vAlign w:val="top"/>
          </w:tcPr>
          <w:p>
            <w:pPr>
              <w:spacing w:after="40" w:before="0" w:line="259" w:lineRule="auto"/>
            </w:pPr>
            <w:r>
              <w:rPr>
                <w:rFonts w:ascii="Calibri" w:hAnsi="Calibri"/>
                <w:b/>
                <w:i w:val="0"/>
                <w:color w:val="212121"/>
                <w:sz w:val="19"/>
              </w:rPr>
              <w:t>Emotional lability and behaviour change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Irritability, restlessness, tearfulness or obsessive-compulsive features accompanying chorea.</w:t>
            </w:r>
          </w:p>
        </w:tc>
      </w:tr>
      <w:tr>
        <w:trPr>
          <w:cantSplit/>
        </w:trPr>
        <w:tc>
          <w:tcPr>
            <w:tcW w:type="dxa" w:w="2304"/>
            <w:vAlign w:val="top"/>
          </w:tcPr>
          <w:p>
            <w:pPr>
              <w:spacing w:after="40" w:before="0" w:line="259" w:lineRule="auto"/>
            </w:pPr>
            <w:r>
              <w:rPr>
                <w:rFonts w:ascii="Calibri" w:hAnsi="Calibri"/>
                <w:b/>
                <w:i w:val="0"/>
                <w:color w:val="212121"/>
                <w:sz w:val="19"/>
              </w:rPr>
              <w:t>Deteriorating handwriting / clumsiness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An early, easily missed sign of chorea, often first noticed by teachers or parents.</w:t>
            </w:r>
          </w:p>
        </w:tc>
      </w:tr>
      <w:tr>
        <w:trPr>
          <w:cantSplit/>
        </w:trPr>
        <w:tc>
          <w:tcPr>
            <w:tcW w:type="dxa" w:w="2304"/>
            <w:vAlign w:val="top"/>
          </w:tcPr>
          <w:p>
            <w:pPr>
              <w:spacing w:after="40" w:before="0" w:line="259" w:lineRule="auto"/>
            </w:pPr>
            <w:r>
              <w:rPr>
                <w:rFonts w:ascii="Calibri" w:hAnsi="Calibri"/>
                <w:b/>
                <w:i w:val="0"/>
                <w:color w:val="212121"/>
                <w:sz w:val="19"/>
              </w:rPr>
              <w:t>Painless lumps under the skin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Subcutaneous nodules over the elbows, knees, wrists, ankles or spine; associated with more severe carditis.</w:t>
            </w:r>
          </w:p>
        </w:tc>
      </w:tr>
      <w:tr>
        <w:trPr>
          <w:cantSplit/>
        </w:trPr>
        <w:tc>
          <w:tcPr>
            <w:tcW w:type="dxa" w:w="2304"/>
            <w:vAlign w:val="top"/>
          </w:tcPr>
          <w:p>
            <w:pPr>
              <w:spacing w:after="40" w:before="0" w:line="259" w:lineRule="auto"/>
            </w:pPr>
            <w:r>
              <w:rPr>
                <w:rFonts w:ascii="Calibri" w:hAnsi="Calibri"/>
                <w:b/>
                <w:i w:val="0"/>
                <w:color w:val="212121"/>
                <w:sz w:val="19"/>
              </w:rPr>
              <w:t>Faint pink ring-shaped rash on the trunk</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Erythema marginatum - non-itchy, evanescent, spares the face; specific but uncommon.</w:t>
            </w:r>
          </w:p>
        </w:tc>
      </w:tr>
      <w:tr>
        <w:trPr>
          <w:cantSplit/>
        </w:trPr>
        <w:tc>
          <w:tcPr>
            <w:tcW w:type="dxa" w:w="2304"/>
            <w:vAlign w:val="top"/>
          </w:tcPr>
          <w:p>
            <w:pPr>
              <w:spacing w:after="40" w:before="0" w:line="259" w:lineRule="auto"/>
            </w:pPr>
            <w:r>
              <w:rPr>
                <w:rFonts w:ascii="Calibri" w:hAnsi="Calibri"/>
                <w:b/>
                <w:i w:val="0"/>
                <w:color w:val="212121"/>
                <w:sz w:val="19"/>
              </w:rPr>
              <w:t>Nosebleeds (epistaxis)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Historically described in active rheumatic fever; non-specific.</w:t>
            </w:r>
          </w:p>
        </w:tc>
      </w:tr>
      <w:tr>
        <w:trPr>
          <w:cantSplit/>
        </w:trPr>
        <w:tc>
          <w:tcPr>
            <w:tcW w:type="dxa" w:w="2304"/>
            <w:vAlign w:val="top"/>
          </w:tcPr>
          <w:p>
            <w:pPr>
              <w:spacing w:after="40" w:before="0" w:line="259" w:lineRule="auto"/>
            </w:pPr>
            <w:r>
              <w:rPr>
                <w:rFonts w:ascii="Calibri" w:hAnsi="Calibri"/>
                <w:b/>
                <w:i w:val="0"/>
                <w:color w:val="212121"/>
                <w:sz w:val="19"/>
              </w:rPr>
              <w:t>Orthopnoea / breathlessness lying flat</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Indicates significant carditis with congestive heart failure.</w:t>
            </w:r>
          </w:p>
        </w:tc>
      </w:tr>
      <w:tr>
        <w:trPr>
          <w:cantSplit/>
        </w:trPr>
        <w:tc>
          <w:tcPr>
            <w:tcW w:type="dxa" w:w="2304"/>
            <w:vAlign w:val="top"/>
          </w:tcPr>
          <w:p>
            <w:pPr>
              <w:spacing w:after="40" w:before="0" w:line="259" w:lineRule="auto"/>
            </w:pPr>
            <w:r>
              <w:rPr>
                <w:rFonts w:ascii="Calibri" w:hAnsi="Calibri"/>
                <w:b/>
                <w:i w:val="0"/>
                <w:color w:val="212121"/>
                <w:sz w:val="19"/>
              </w:rPr>
              <w:t>Abdominal pain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Non-specific; may occur early in an attack or with mesenteric involvement.</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New or changing heart murmur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Apical pansystolic murmur of mitral regurgitation is the hallmark of rheumatic valvulitis.</w:t>
            </w:r>
          </w:p>
        </w:tc>
      </w:tr>
      <w:tr>
        <w:trPr>
          <w:cantSplit/>
        </w:trPr>
        <w:tc>
          <w:tcPr>
            <w:tcW w:type="dxa" w:w="3456"/>
            <w:vAlign w:val="top"/>
          </w:tcPr>
          <w:p>
            <w:pPr>
              <w:spacing w:after="40" w:before="0" w:line="259" w:lineRule="auto"/>
            </w:pPr>
            <w:r>
              <w:rPr>
                <w:rFonts w:ascii="Calibri" w:hAnsi="Calibri"/>
                <w:b/>
                <w:i w:val="0"/>
                <w:color w:val="212121"/>
                <w:sz w:val="19"/>
              </w:rPr>
              <w:t>Tachycardia out of proportion to fever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Persistent resting tachycardia, including during sleep, points to carditis.</w:t>
            </w:r>
          </w:p>
        </w:tc>
      </w:tr>
      <w:tr>
        <w:trPr>
          <w:cantSplit/>
        </w:trPr>
        <w:tc>
          <w:tcPr>
            <w:tcW w:type="dxa" w:w="3456"/>
            <w:vAlign w:val="top"/>
          </w:tcPr>
          <w:p>
            <w:pPr>
              <w:spacing w:after="40" w:before="0" w:line="259" w:lineRule="auto"/>
            </w:pPr>
            <w:r>
              <w:rPr>
                <w:rFonts w:ascii="Calibri" w:hAnsi="Calibri"/>
                <w:b/>
                <w:i w:val="0"/>
                <w:color w:val="212121"/>
                <w:sz w:val="19"/>
              </w:rPr>
              <w:t>Migratory large-joint arthritis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Hot, red, tender, swollen large joints in a fleeting/migratory pattern; non-deforming.</w:t>
            </w:r>
          </w:p>
        </w:tc>
      </w:tr>
      <w:tr>
        <w:trPr>
          <w:cantSplit/>
        </w:trPr>
        <w:tc>
          <w:tcPr>
            <w:tcW w:type="dxa" w:w="3456"/>
            <w:vAlign w:val="top"/>
          </w:tcPr>
          <w:p>
            <w:pPr>
              <w:spacing w:after="40" w:before="0" w:line="259" w:lineRule="auto"/>
            </w:pPr>
            <w:r>
              <w:rPr>
                <w:rFonts w:ascii="Calibri" w:hAnsi="Calibri"/>
                <w:b/>
                <w:i w:val="0"/>
                <w:color w:val="212121"/>
                <w:sz w:val="19"/>
              </w:rPr>
              <w:t>Fever (&gt;= 38.5 C)</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Objective pyrexia supporting an acute inflammatory process.</w:t>
            </w:r>
          </w:p>
        </w:tc>
      </w:tr>
      <w:tr>
        <w:trPr>
          <w:cantSplit/>
        </w:trPr>
        <w:tc>
          <w:tcPr>
            <w:tcW w:type="dxa" w:w="3456"/>
            <w:vAlign w:val="top"/>
          </w:tcPr>
          <w:p>
            <w:pPr>
              <w:spacing w:after="40" w:before="0" w:line="259" w:lineRule="auto"/>
            </w:pPr>
            <w:r>
              <w:rPr>
                <w:rFonts w:ascii="Calibri" w:hAnsi="Calibri"/>
                <w:b/>
                <w:i w:val="0"/>
                <w:color w:val="212121"/>
                <w:sz w:val="19"/>
              </w:rPr>
              <w:t>Sydenham chorea signs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Involuntary movements, 'milkmaid' grip, darting tongue and 'hung-up' knee reflexes; absent in sleep.</w:t>
            </w:r>
          </w:p>
        </w:tc>
      </w:tr>
      <w:tr>
        <w:trPr>
          <w:cantSplit/>
        </w:trPr>
        <w:tc>
          <w:tcPr>
            <w:tcW w:type="dxa" w:w="3456"/>
            <w:vAlign w:val="top"/>
          </w:tcPr>
          <w:p>
            <w:pPr>
              <w:spacing w:after="40" w:before="0" w:line="259" w:lineRule="auto"/>
            </w:pPr>
            <w:r>
              <w:rPr>
                <w:rFonts w:ascii="Calibri" w:hAnsi="Calibri"/>
                <w:b/>
                <w:i w:val="0"/>
                <w:color w:val="212121"/>
                <w:sz w:val="19"/>
              </w:rPr>
              <w:t>Mid-diastolic (Carey-Coombs) or aortic diastolic murmur</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Soft apical mid-diastolic murmur of active mitral valvulitis, or an early-diastolic murmur of aortic regurgitation.</w:t>
            </w:r>
          </w:p>
        </w:tc>
      </w:tr>
      <w:tr>
        <w:trPr>
          <w:cantSplit/>
        </w:trPr>
        <w:tc>
          <w:tcPr>
            <w:tcW w:type="dxa" w:w="3456"/>
            <w:vAlign w:val="top"/>
          </w:tcPr>
          <w:p>
            <w:pPr>
              <w:spacing w:after="40" w:before="0" w:line="259" w:lineRule="auto"/>
            </w:pPr>
            <w:r>
              <w:rPr>
                <w:rFonts w:ascii="Calibri" w:hAnsi="Calibri"/>
                <w:b/>
                <w:i w:val="0"/>
                <w:color w:val="212121"/>
                <w:sz w:val="19"/>
              </w:rPr>
              <w:t>Subcutaneous nodules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Firm, painless, mobile nodules over extensor surfaces and bony prominences; mark severe carditis.</w:t>
            </w:r>
          </w:p>
        </w:tc>
      </w:tr>
      <w:tr>
        <w:trPr>
          <w:cantSplit/>
        </w:trPr>
        <w:tc>
          <w:tcPr>
            <w:tcW w:type="dxa" w:w="3456"/>
            <w:vAlign w:val="top"/>
          </w:tcPr>
          <w:p>
            <w:pPr>
              <w:spacing w:after="40" w:before="0" w:line="259" w:lineRule="auto"/>
            </w:pPr>
            <w:r>
              <w:rPr>
                <w:rFonts w:ascii="Calibri" w:hAnsi="Calibri"/>
                <w:b/>
                <w:i w:val="0"/>
                <w:color w:val="212121"/>
                <w:sz w:val="19"/>
              </w:rPr>
              <w:t>Erythema marginatum</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Pink, non-itchy, annular rash with central clearing on the trunk and proximal limbs.</w:t>
            </w:r>
          </w:p>
        </w:tc>
      </w:tr>
      <w:tr>
        <w:trPr>
          <w:cantSplit/>
        </w:trPr>
        <w:tc>
          <w:tcPr>
            <w:tcW w:type="dxa" w:w="3456"/>
            <w:vAlign w:val="top"/>
          </w:tcPr>
          <w:p>
            <w:pPr>
              <w:spacing w:after="40" w:before="0" w:line="259" w:lineRule="auto"/>
            </w:pPr>
            <w:r>
              <w:rPr>
                <w:rFonts w:ascii="Calibri" w:hAnsi="Calibri"/>
                <w:b/>
                <w:i w:val="0"/>
                <w:color w:val="212121"/>
                <w:sz w:val="19"/>
              </w:rPr>
              <w:t>Pericardial friction rub</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Scratchy rub of pericarditis, part of rheumatic pancarditis.</w:t>
            </w:r>
          </w:p>
        </w:tc>
      </w:tr>
      <w:tr>
        <w:trPr>
          <w:cantSplit/>
        </w:trPr>
        <w:tc>
          <w:tcPr>
            <w:tcW w:type="dxa" w:w="3456"/>
            <w:vAlign w:val="top"/>
          </w:tcPr>
          <w:p>
            <w:pPr>
              <w:spacing w:after="40" w:before="0" w:line="259" w:lineRule="auto"/>
            </w:pPr>
            <w:r>
              <w:rPr>
                <w:rFonts w:ascii="Calibri" w:hAnsi="Calibri"/>
                <w:b/>
                <w:i w:val="0"/>
                <w:color w:val="212121"/>
                <w:sz w:val="19"/>
              </w:rPr>
              <w:t>Signs of congestive heart failure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Raised JVP, basal crepitations, tender hepatomegaly and dependent oedema in severe carditis.</w:t>
            </w:r>
          </w:p>
        </w:tc>
      </w:tr>
      <w:tr>
        <w:trPr>
          <w:cantSplit/>
        </w:trPr>
        <w:tc>
          <w:tcPr>
            <w:tcW w:type="dxa" w:w="3456"/>
            <w:vAlign w:val="top"/>
          </w:tcPr>
          <w:p>
            <w:pPr>
              <w:spacing w:after="40" w:before="0" w:line="259" w:lineRule="auto"/>
            </w:pPr>
            <w:r>
              <w:rPr>
                <w:rFonts w:ascii="Calibri" w:hAnsi="Calibri"/>
                <w:b/>
                <w:i w:val="0"/>
                <w:color w:val="212121"/>
                <w:sz w:val="19"/>
              </w:rPr>
              <w:t>Cardiomegaly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Displaced apex/enlarged heart on examination or chest X-ray in significant carditis.</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carditis / pancarditis (endocardium, myocardium, pericardium)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mitral (and aortic) valvulitis with regurgitation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Pericardial effusion and pericarditis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congestive heart failure in severe carditis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Sydenham chorea and disabling migratory arthritis</w:t>
            </w:r>
          </w:p>
        </w:tc>
        <w:tc>
          <w:tcPr>
            <w:tcW w:type="dxa" w:w="2980"/>
            <w:vAlign w:val="top"/>
          </w:tcPr>
          <w:p>
            <w:pPr>
              <w:spacing w:after="40" w:before="0" w:line="259" w:lineRule="auto"/>
            </w:pPr>
            <w:r>
              <w:rPr>
                <w:rFonts w:ascii="Calibri" w:hAnsi="Calibri"/>
                <w:b w:val="0"/>
                <w:i w:val="0"/>
                <w:color w:val="212121"/>
                <w:sz w:val="19"/>
              </w:rPr>
              <w:t>Direct manifestations of the acute immune-mediated attack</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rheumatic valvular disease (mitral regurgitation, then mitral stenosis; aortic regurgitation)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ARF with cumulative valve damage (from missed prophylaxis or new strep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Atrial fibrillation and other arrhythmias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Increased risk of infective endocarditis on damaged valves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Pulmonary hypertension from long-standing mitral disease</w:t>
            </w:r>
          </w:p>
        </w:tc>
        <w:tc>
          <w:tcPr>
            <w:tcW w:type="dxa" w:w="2980"/>
            <w:vAlign w:val="top"/>
          </w:tcPr>
          <w:p>
            <w:pPr>
              <w:spacing w:after="40" w:before="0" w:line="259" w:lineRule="auto"/>
            </w:pPr>
            <w:r>
              <w:rPr>
                <w:rFonts w:ascii="Calibri" w:hAnsi="Calibri"/>
                <w:b w:val="0"/>
                <w:i w:val="0"/>
                <w:color w:val="212121"/>
                <w:sz w:val="19"/>
              </w:rPr>
              <w:t>Result from healed but scarred valves and repeated attacks (rheumatic heart disease)</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RHD requiring balloon valvotomy, valve repair or replacement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Intractable congestive heart failure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Cardioembolic stroke and systemic embolism (especially with mitral stenosis and atrial fibrillation)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Maternal and fetal complications of RHD in pregnancy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Premature disability and death in young, economically productive adults</w:t>
            </w:r>
          </w:p>
        </w:tc>
        <w:tc>
          <w:tcPr>
            <w:tcW w:type="dxa" w:w="2980"/>
            <w:vAlign w:val="top"/>
          </w:tcPr>
          <w:p>
            <w:pPr>
              <w:spacing w:after="40" w:before="0" w:line="259" w:lineRule="auto"/>
            </w:pPr>
            <w:r>
              <w:rPr>
                <w:rFonts w:ascii="Calibri" w:hAnsi="Calibri"/>
                <w:b w:val="0"/>
                <w:i w:val="0"/>
                <w:color w:val="212121"/>
                <w:sz w:val="19"/>
              </w:rPr>
              <w:t>Irreversible, disabling and fatal end-stage outcomes of chronic rheumatic heart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Rheumatic heart disease (chronic valve disease)</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The defining long-term sequel; carditis in the acute attack, occurring in roughly half to most cases, drives permanent valve damage 10-20 years later.</w:t>
            </w:r>
          </w:p>
          <w:p>
            <w:pPr>
              <w:spacing w:after="40" w:before="0" w:line="259" w:lineRule="auto"/>
            </w:pPr>
            <w:r>
              <w:rPr>
                <w:rFonts w:ascii="Calibri" w:hAnsi="Calibri"/>
                <w:b/>
                <w:i w:val="0"/>
                <w:color w:val="212121"/>
                <w:sz w:val="19"/>
              </w:rPr>
              <w:t>~50-80% (carditis)</w:t>
            </w:r>
          </w:p>
        </w:tc>
      </w:tr>
      <w:tr>
        <w:trPr>
          <w:cantSplit/>
        </w:trPr>
        <w:tc>
          <w:tcPr>
            <w:tcW w:type="dxa" w:w="2232"/>
            <w:vAlign w:val="top"/>
          </w:tcPr>
          <w:p>
            <w:pPr>
              <w:spacing w:after="40" w:before="0" w:line="259" w:lineRule="auto"/>
            </w:pPr>
            <w:r>
              <w:rPr>
                <w:rFonts w:ascii="Calibri" w:hAnsi="Calibri"/>
                <w:b/>
                <w:i w:val="0"/>
                <w:color w:val="212121"/>
                <w:sz w:val="19"/>
              </w:rPr>
              <w:t>Mitral regurgitation and mitral stenosis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The mitral valve is the most commonly affected valve in rheumatic valvulitis.</w:t>
            </w:r>
          </w:p>
          <w:p>
            <w:pPr>
              <w:spacing w:after="40" w:before="0" w:line="259" w:lineRule="auto"/>
            </w:pPr>
            <w:r>
              <w:rPr>
                <w:rFonts w:ascii="Calibri" w:hAnsi="Calibri"/>
                <w:b/>
                <w:i w:val="0"/>
                <w:color w:val="212121"/>
                <w:sz w:val="19"/>
              </w:rPr>
              <w:t>~50-60% of valvulitis</w:t>
            </w:r>
          </w:p>
        </w:tc>
      </w:tr>
      <w:tr>
        <w:trPr>
          <w:cantSplit/>
        </w:trPr>
        <w:tc>
          <w:tcPr>
            <w:tcW w:type="dxa" w:w="2232"/>
            <w:vAlign w:val="top"/>
          </w:tcPr>
          <w:p>
            <w:pPr>
              <w:spacing w:after="40" w:before="0" w:line="259" w:lineRule="auto"/>
            </w:pPr>
            <w:r>
              <w:rPr>
                <w:rFonts w:ascii="Calibri" w:hAnsi="Calibri"/>
                <w:b/>
                <w:i w:val="0"/>
                <w:color w:val="212121"/>
                <w:sz w:val="19"/>
              </w:rPr>
              <w:t>Aortic valve disease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Aortic regurgitation is the next most common rheumatic valve lesion, often with mitral involvement.</w:t>
            </w:r>
          </w:p>
          <w:p>
            <w:pPr>
              <w:spacing w:after="40" w:before="0" w:line="259" w:lineRule="auto"/>
            </w:pPr>
            <w:r>
              <w:rPr>
                <w:rFonts w:ascii="Calibri" w:hAnsi="Calibri"/>
                <w:b/>
                <w:i w:val="0"/>
                <w:color w:val="212121"/>
                <w:sz w:val="19"/>
              </w:rPr>
              <w:t>~20% of valvulitis</w:t>
            </w:r>
          </w:p>
        </w:tc>
      </w:tr>
      <w:tr>
        <w:trPr>
          <w:cantSplit/>
        </w:trPr>
        <w:tc>
          <w:tcPr>
            <w:tcW w:type="dxa" w:w="2232"/>
            <w:vAlign w:val="top"/>
          </w:tcPr>
          <w:p>
            <w:pPr>
              <w:spacing w:after="40" w:before="0" w:line="259" w:lineRule="auto"/>
            </w:pPr>
            <w:r>
              <w:rPr>
                <w:rFonts w:ascii="Calibri" w:hAnsi="Calibri"/>
                <w:b/>
                <w:i w:val="0"/>
                <w:color w:val="212121"/>
                <w:sz w:val="19"/>
              </w:rPr>
              <w:t>Sydenham chorea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Neurological manifestation from basal-ganglia autoimmunity, sometimes the sole feature, commoner in girls.</w:t>
            </w:r>
          </w:p>
          <w:p>
            <w:pPr>
              <w:spacing w:after="40" w:before="0" w:line="259" w:lineRule="auto"/>
            </w:pPr>
            <w:r>
              <w:rPr>
                <w:rFonts w:ascii="Calibri" w:hAnsi="Calibri"/>
                <w:b/>
                <w:i w:val="0"/>
                <w:color w:val="212121"/>
                <w:sz w:val="19"/>
              </w:rPr>
              <w:t>~10-30%</w:t>
            </w:r>
          </w:p>
        </w:tc>
      </w:tr>
      <w:tr>
        <w:trPr>
          <w:cantSplit/>
        </w:trPr>
        <w:tc>
          <w:tcPr>
            <w:tcW w:type="dxa" w:w="2232"/>
            <w:vAlign w:val="top"/>
          </w:tcPr>
          <w:p>
            <w:pPr>
              <w:spacing w:after="40" w:before="0" w:line="259" w:lineRule="auto"/>
            </w:pPr>
            <w:r>
              <w:rPr>
                <w:rFonts w:ascii="Calibri" w:hAnsi="Calibri"/>
                <w:b/>
                <w:i w:val="0"/>
                <w:color w:val="212121"/>
                <w:sz w:val="19"/>
              </w:rPr>
              <w:t>Migratory polyarthritis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The commonest and earliest major manifestation; large-joint, non-deforming and salicylate-responsive.</w:t>
            </w:r>
          </w:p>
          <w:p>
            <w:pPr>
              <w:spacing w:after="40" w:before="0" w:line="259" w:lineRule="auto"/>
            </w:pPr>
            <w:r>
              <w:rPr>
                <w:rFonts w:ascii="Calibri" w:hAnsi="Calibri"/>
                <w:b/>
                <w:i w:val="0"/>
                <w:color w:val="212121"/>
                <w:sz w:val="19"/>
              </w:rPr>
              <w:t>~60-75%</w:t>
            </w:r>
          </w:p>
        </w:tc>
      </w:tr>
      <w:tr>
        <w:trPr>
          <w:cantSplit/>
        </w:trPr>
        <w:tc>
          <w:tcPr>
            <w:tcW w:type="dxa" w:w="2232"/>
            <w:vAlign w:val="top"/>
          </w:tcPr>
          <w:p>
            <w:pPr>
              <w:spacing w:after="40" w:before="0" w:line="259" w:lineRule="auto"/>
            </w:pPr>
            <w:r>
              <w:rPr>
                <w:rFonts w:ascii="Calibri" w:hAnsi="Calibri"/>
                <w:b/>
                <w:i w:val="0"/>
                <w:color w:val="212121"/>
                <w:sz w:val="19"/>
              </w:rPr>
              <w:t>Congestive heart failure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Complicates severe carditis; a leading cause of morbidity in acute and chronic disease.</w:t>
            </w:r>
          </w:p>
          <w:p>
            <w:pPr>
              <w:spacing w:after="40" w:before="0" w:line="259" w:lineRule="auto"/>
            </w:pPr>
            <w:r>
              <w:rPr>
                <w:rFonts w:ascii="Calibri" w:hAnsi="Calibri"/>
                <w:b/>
                <w:i w:val="0"/>
                <w:color w:val="212121"/>
                <w:sz w:val="19"/>
              </w:rPr>
              <w:t>~32% (Eastern India cohort)</w:t>
            </w:r>
          </w:p>
        </w:tc>
      </w:tr>
      <w:tr>
        <w:trPr>
          <w:cantSplit/>
        </w:trPr>
        <w:tc>
          <w:tcPr>
            <w:tcW w:type="dxa" w:w="2232"/>
            <w:vAlign w:val="top"/>
          </w:tcPr>
          <w:p>
            <w:pPr>
              <w:spacing w:after="40" w:before="0" w:line="259" w:lineRule="auto"/>
            </w:pPr>
            <w:r>
              <w:rPr>
                <w:rFonts w:ascii="Calibri" w:hAnsi="Calibri"/>
                <w:b/>
                <w:i w:val="0"/>
                <w:color w:val="212121"/>
                <w:sz w:val="19"/>
              </w:rPr>
              <w:t>Recurrent acute rheumatic fever</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New attacks from further streptococcal infection add cumulative valve damage; preventable with prophylaxis.</w:t>
            </w:r>
          </w:p>
          <w:p>
            <w:pPr>
              <w:spacing w:after="40" w:before="0" w:line="259" w:lineRule="auto"/>
            </w:pPr>
            <w:r>
              <w:rPr>
                <w:rFonts w:ascii="Calibri" w:hAnsi="Calibri"/>
                <w:b/>
                <w:i w:val="0"/>
                <w:color w:val="212121"/>
                <w:sz w:val="19"/>
              </w:rPr>
              <w:t>~16% (Eastern India cohort)</w:t>
            </w:r>
          </w:p>
        </w:tc>
      </w:tr>
      <w:tr>
        <w:trPr>
          <w:cantSplit/>
        </w:trPr>
        <w:tc>
          <w:tcPr>
            <w:tcW w:type="dxa" w:w="2232"/>
            <w:vAlign w:val="top"/>
          </w:tcPr>
          <w:p>
            <w:pPr>
              <w:spacing w:after="40" w:before="0" w:line="259" w:lineRule="auto"/>
            </w:pPr>
            <w:r>
              <w:rPr>
                <w:rFonts w:ascii="Calibri" w:hAnsi="Calibri"/>
                <w:b/>
                <w:i w:val="0"/>
                <w:color w:val="212121"/>
                <w:sz w:val="19"/>
              </w:rPr>
              <w:t>Atrial fibrillation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Common with chronic mitral stenosis and a major source of embolic stroke.</w:t>
            </w:r>
          </w:p>
        </w:tc>
      </w:tr>
      <w:tr>
        <w:trPr>
          <w:cantSplit/>
        </w:trPr>
        <w:tc>
          <w:tcPr>
            <w:tcW w:type="dxa" w:w="2232"/>
            <w:vAlign w:val="top"/>
          </w:tcPr>
          <w:p>
            <w:pPr>
              <w:spacing w:after="40" w:before="0" w:line="259" w:lineRule="auto"/>
            </w:pPr>
            <w:r>
              <w:rPr>
                <w:rFonts w:ascii="Calibri" w:hAnsi="Calibri"/>
                <w:b/>
                <w:i w:val="0"/>
                <w:color w:val="212121"/>
                <w:sz w:val="19"/>
              </w:rPr>
              <w:t>Infective endocarditis</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Damaged rheumatic valves are predisposed to bacterial endocarditis.</w:t>
            </w:r>
          </w:p>
        </w:tc>
      </w:tr>
      <w:tr>
        <w:trPr>
          <w:cantSplit/>
        </w:trPr>
        <w:tc>
          <w:tcPr>
            <w:tcW w:type="dxa" w:w="2232"/>
            <w:vAlign w:val="top"/>
          </w:tcPr>
          <w:p>
            <w:pPr>
              <w:spacing w:after="40" w:before="0" w:line="259" w:lineRule="auto"/>
            </w:pPr>
            <w:r>
              <w:rPr>
                <w:rFonts w:ascii="Calibri" w:hAnsi="Calibri"/>
                <w:b/>
                <w:i w:val="0"/>
                <w:color w:val="212121"/>
                <w:sz w:val="19"/>
              </w:rPr>
              <w:t>Group A streptococcal pharyngitis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The causative antecedent infection; recurrent strep throat sustains first and recurrent attacks.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acute rheumatic fever follows an untreated 'strep' sore throat and is almost entirely preventable by treating the throat infection properly.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Have a persistent or severe sore throat with fever assessed early; complete the FULL 10-day antibiotic course (or the single benzathine penicillin injection) even if the throat improves.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anyone with a past attack or known RHD, keep secondary prophylaxis injections on time (benzathine penicillin every 3-4 weeks) and never skip them - this is the single most important step to prevent recurrence.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household crowding where possible and practise cough/hand hygiene to limit spread of streptococci within families and schools.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warning features that need urgent review: migratory joint pains with fever, breathlessness or palpitations, or new involuntary movements/behaviour change in a child.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Register with a local RHD control programme where available; ensure siblings and close contacts are screened, and inform dentists/surgeons of valve disease for endocarditis precautions.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and 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and teachers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prior ARF/RHD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Poor/rural/tribal families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with an affected relative</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During an active attack with carditis, rest and restrict exertion until inflammation settles (guided by ESR/CRP and clinical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Return to activity gradually as the disease becomes inactive, rather than resuming full exertion abruptly.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significant valve disease or heart failure, avoid strenuous and competitive exertion and follow cardiology advice on safe activity levels.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Once the attack has fully settled and valves are normal or mildly affected, encourage age-appropriate physical activity for general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chronic RHD, tailor activity to valve severity and symptoms, and seek review before pregnancy or major exertion.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acute carditis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recovering from ARF</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chronic RHD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returning to school sport</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a balanced, adequate-protein diet to correct undernutrition and support immune defence against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sufficient calories, micronutrients (including iron) and fruit and vegetables, especially for poor and growing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carditis with heart failure, restrict dietary salt and follow fluid advice from the treating team.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any accompanying anaemia and maintain good general nutrition during and after the attack.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reliance on unregulated 'tonics' or unproven remedies in place of antibiotics and prophylaxis.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Undernourished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Poor/rural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carditis/heart failure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recovering from ARF</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rest and sleep during the acute illness to aid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Improve sleeping arrangements to reduce overcrowding - avoid many people sharing one room or bed where possible - to cut streptococcal spread.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sleeping areas well ventilated.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regular routine for children on long-term prophylaxis to support adherence and wellbeing.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in crowded homes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during an acute attack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Poor/rural households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children away from second-hand tobacco smoke and reduce indoor biomass/cooking smoke through better ventilation.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living with RHD should stop smoking to protect overall cardiovascular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tobacco use in adolescents with a history of ARF or valve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household members to quit smoking to improve the child's respiratory and home environment.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with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RHD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with prior ARF</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Alcohol is not relevant to the children who develop ARF; counselling applies to adults living with RHD.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RHD should keep alcohol within low-risk limits to avoid worsening heart failure and arrhythmia.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on warfarin for valve disease or atrial fibrillation should be especially cautious, as alcohol destabilises anticoagulation.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binge drinking, which can precipitate atrial fibrillation and cardiac decompensation.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chronic RHD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anticoagulation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atrial fibrillation</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Reassure families that Sydenham chorea is usually self-limiting; provide a calm, safe environment and protect the child from injury during movements.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and support the emotional lability, anxiety and obsessive-compulsive features that can accompany chorea, and involve mental-health support when needed.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the psychosocial burden of a chronic illness and years of injections, which affects adherence, schooling and mood.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reminders, school and community support and RHD registers to sustain long-term prophylaxis and follow-up.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depression and anxiety in adolescents and young adults living with RHD.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Sydenham chorea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on long-term prophylaxis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adults with chronic RHD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of affected children</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594238/" TargetMode="External"/><Relationship Id="rId10" Type="http://schemas.openxmlformats.org/officeDocument/2006/relationships/hyperlink" Target="https://www.who.int/news-room/fact-sheets/detail/rheumatic-heart-disease" TargetMode="External"/><Relationship Id="rId11" Type="http://schemas.openxmlformats.org/officeDocument/2006/relationships/hyperlink" Target="https://www.sciencedirect.com/science/article/pii/S0019483225001658" TargetMode="External"/><Relationship Id="rId12" Type="http://schemas.openxmlformats.org/officeDocument/2006/relationships/hyperlink" Target="https://journals.plos.org/plosntds/article?id=10.1371%2Fjournal.pntd.0006577" TargetMode="External"/><Relationship Id="rId13" Type="http://schemas.openxmlformats.org/officeDocument/2006/relationships/hyperlink" Target="https://ijcdw.org/rheumatic-heart-disease-in-children/" TargetMode="External"/><Relationship Id="rId14" Type="http://schemas.openxmlformats.org/officeDocument/2006/relationships/hyperlink" Target="https://www.aafp.org/pubs/afp/issues/2010/0201/p346.html" TargetMode="External"/><Relationship Id="rId15" Type="http://schemas.openxmlformats.org/officeDocument/2006/relationships/hyperlink" Target="https://www.cdc.gov/group-a-strep/hcp/clinical-guidance/acute-rheumatic-fever.html" TargetMode="External"/><Relationship Id="rId16" Type="http://schemas.openxmlformats.org/officeDocument/2006/relationships/hyperlink" Target="https://www.cdc.gov/group-a-strep/hcp/clinical-guidance/diagnosing-acute-rheumatic-fev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