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Valvular Heart Disease (MS/MR/AS/AR)</w:t>
      </w:r>
    </w:p>
    <w:p>
      <w:pPr>
        <w:spacing w:before="0" w:after="160"/>
      </w:pPr>
      <w:r>
        <w:rPr>
          <w:rFonts w:ascii="Calibri" w:hAnsi="Calibri"/>
          <w:b/>
          <w:i w:val="0"/>
          <w:color w:val="212121"/>
          <w:sz w:val="22"/>
        </w:rPr>
        <w:t xml:space="preserve">AKA </w:t>
      </w:r>
      <w:r>
        <w:rPr>
          <w:rFonts w:ascii="Calibri" w:hAnsi="Calibri"/>
          <w:b w:val="0"/>
          <w:i w:val="0"/>
          <w:color w:val="212121"/>
          <w:sz w:val="22"/>
        </w:rPr>
        <w:t>i.e., Heart valve disease, VHD; Rheumatic Heart Disease (RHD); Mitral stenosis (MS), Mitral regurgitation (MR), Aortic stenosis (AS), Aortic regurgitation (AR); “Leaky valve” / “Narrowed (tight) valve”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Valvular heart disease (VHD) is a structural or functional abnormality of one or more of the four cardiac valves (mitral, aortic, tricuspid, pulmonary) that produces either stenosis (narrowing and obstruction to forward flow), regurgitation (incompetent leaflets allowing backflow), or a mixed lesion. In India the dominant cause remains chronic rheumatic heart disease (RHD) following group A streptococcal infection, in which mitral stenosis is the classic lesion; degenerative (calcific) aortic stenosis and mitral regurgitation are rising with population ageing. If untreated, the haemodynamic overload progresses to heart failure, atrial fibrillation, thromboembolic stroke and pulmonary hypertension.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 carries the world's largest burden of rheumatic valvular disease. Of an estimated 33 million people living with RHD globally, about 13.2 million (≈40%) are in India, which also accounts for nearly 120,000 of the world's ~347,000 annual RHD deaths (GBD 2015). ICMR school surveys of children aged 5–14 show a declining but persistent prevalence — from 5.3/1000 (1972–75) to ~0.9/1000 (2000–10), with recent state studies ranging 0.67–4.54/1000 — while echocardiographic screening detects subclinical disease 10–20 times more often. An estimated 2.0–2.5 million Indians live with RHD.</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Valvular heart disease is diagnosed clinically by a characteristic murmur and confirmed and graded by echocardiography, the diagnostic gold standard. Assessment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Transthoracic echocardiography (TTE) with Doppler defines valve morphology, quantifies stenosis (valve area, mean/peak transvalvular gradient, jet velocity) and grades regurgitation (regurgitant volume/fraction, effective regurgitant orifice area, vena contracta, colour-flow jet);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mitral stenosis: mitral valve area ≤ 1.5 cm² (normal 4–5 cm²) with an elevated transmitral gradient;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aortic stenosis: aortic valve area &lt; 1.0 cm², mean gradient ≥ 40 mmHg, or peak jet velocity ≥ 4 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Severe regurgitation (MR/AR): large regurgitant volume/fraction, wide vena contracta and dense continuous-wave Doppler jet;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Auscultation of the characteristic murmur — mid-diastolic rumble with loud S1 and opening snap (MS), ejection systolic murmur radiating to the carotids (AS), apical pansystolic murmur to the axilla (MR), or early diastolic murmur with wide pulse pressure (AR);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ECG (left atrial enlargement / ‘P-mitrale’, atrial fibrillation, LV hypertrophy) and chest X-ray (chamber enlargement, pulmonary congestion, valve calcification) support the diagnosis;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Transoesophageal echocardiography (TEE), stress echocardiography, cardiac CT (calcium score) or cardiac catheterisation reserved for discordant findings or pre-intervention planning.</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Valvular heart disease is classified by the valve and lesion, by aetiology, and by severity/stage:</w:t>
      </w:r>
    </w:p>
    <w:p>
      <w:pPr>
        <w:spacing w:before="0" w:after="80"/>
      </w:pPr>
      <w:r>
        <w:rPr>
          <w:rFonts w:ascii="Calibri" w:hAnsi="Calibri"/>
          <w:b w:val="0"/>
          <w:i w:val="0"/>
          <w:color w:val="212121"/>
          <w:sz w:val="21"/>
        </w:rPr>
        <w:t>(1) By valve and lesion — Mitral stenosis (MS) and mitral regurgitation (MR); aortic stenosis (AS) and aortic regurgitation (AR); with tricuspid and pulmonary lesions and mixed or multi-valve disease also occurring (rheumatic disease frequently produces combined mitral–aortic involvement);</w:t>
      </w:r>
    </w:p>
    <w:p>
      <w:pPr>
        <w:spacing w:before="0" w:after="80"/>
      </w:pPr>
      <w:r>
        <w:rPr>
          <w:rFonts w:ascii="Calibri" w:hAnsi="Calibri"/>
          <w:b w:val="0"/>
          <w:i w:val="0"/>
          <w:color w:val="212121"/>
          <w:sz w:val="21"/>
        </w:rPr>
        <w:t>(2) By aetiology — rheumatic (chronic RHD, the leading Indian cause, classically producing MS), degenerative/calcific (age-related aortic stenosis and mitral annular calcification), congenital (bicuspid aortic valve, the commonest congenital cause of AS), infective (endocarditis), and functional/secondary (annular or ventricular dilation, ischaemic MR after myocardial infarction);</w:t>
      </w:r>
    </w:p>
    <w:p>
      <w:pPr>
        <w:spacing w:before="0" w:after="80"/>
      </w:pPr>
      <w:r>
        <w:rPr>
          <w:rFonts w:ascii="Calibri" w:hAnsi="Calibri"/>
          <w:b w:val="0"/>
          <w:i w:val="0"/>
          <w:color w:val="212121"/>
          <w:sz w:val="21"/>
        </w:rPr>
        <w:t>(3) By severity — mild, moderate or severe, graded on quantitative echocardiographic criteria;</w:t>
      </w:r>
    </w:p>
    <w:p>
      <w:pPr>
        <w:spacing w:before="0" w:after="80"/>
      </w:pPr>
      <w:r>
        <w:rPr>
          <w:rFonts w:ascii="Calibri" w:hAnsi="Calibri"/>
          <w:b w:val="0"/>
          <w:i w:val="0"/>
          <w:color w:val="212121"/>
          <w:sz w:val="21"/>
        </w:rPr>
        <w:t>(4) By ACC/AHA stage — Stage A (at risk), Stage B (progressive), Stage C (asymptomatic severe) and Stage D (symptomatic severe), which guide the timing of valve intervention.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Rheumatic fever (group A streptococcus): Autoimmune valvulitis triggered by streptococcal pharyngitis; repeated attacks scar, thicken and fuse the leaflets and commissures, producing the mitral stenosis that dominates valvular disease in India.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Degenerative / calcific disease: Age-related fibro-calcific thickening of the aortic cusps and mitral annulus, sharing risk factors with atherosclerosis (ageing, hypertension, dyslipidaemia, chronic kidney disease); the leading cause of aortic stenosis in the elderly.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Congenital bicuspid aortic valve: Present in ~1–2% of the population; turbulent flow accelerates cusp calcification, causing aortic stenosis or regurgitation often one to two decades earlier than a normal trileaflet valve.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Infective endocarditis: Microbial colonisation of the leaflets destroys valve tissue and produces acute regurgitation; it also complicates pre-existing rheumatic, degenerative and prosthetic valves.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Functional / secondary regurgitation: Left-ventricular or annular dilation (dilated or ischaemic cardiomyopathy) prevents leaflet coaptation; papillary-muscle dysfunction after myocardial infarction is a common cause of MR.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Aortic root and connective-tissue disease: Aortic root dilation (Marfan syndrome, long-standing hypertension, aneurysm) and myxomatous degeneration (mitral valve prolapse) cause chronic aortic and mitral regurgitation.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(young to middle-aged)</w:t>
            </w:r>
          </w:p>
        </w:tc>
        <w:tc>
          <w:tcPr>
            <w:tcW w:type="dxa" w:w="4276"/>
            <w:vAlign w:val="top"/>
          </w:tcPr>
          <w:p>
            <w:pPr>
              <w:spacing w:after="60" w:line="259" w:lineRule="auto"/>
            </w:pPr>
            <w:r>
              <w:rPr>
                <w:rFonts w:ascii="Calibri" w:hAnsi="Calibri"/>
                <w:b w:val="0"/>
                <w:i w:val="0"/>
                <w:color w:val="212121"/>
                <w:sz w:val="19"/>
              </w:rPr>
              <w:t>Chronic rheumatic mitral stenosis typically becomes symptomatic in the third to fourth decades of life — years after the initial childhood rheumatic fever — as progressive commissural fusion and leaflet scarring obstruct left-atrial emptying.</w:t>
            </w:r>
          </w:p>
          <w:p>
            <w:pPr>
              <w:spacing w:after="40" w:before="60" w:line="259" w:lineRule="auto"/>
            </w:pPr>
            <w:r>
              <w:rPr>
                <w:rFonts w:ascii="Calibri" w:hAnsi="Calibri"/>
                <w:b w:val="0"/>
                <w:i w:val="0"/>
                <w:color w:val="212121"/>
                <w:sz w:val="19"/>
              </w:rPr>
              <w:t>The onset of symptoms in rheumatic mitral stenosis typically occurs between the third and fourth decades of life.</w:t>
            </w:r>
          </w:p>
          <w:p>
            <w:pPr>
              <w:spacing w:after="40" w:line="252" w:lineRule="auto"/>
            </w:pPr>
            <w:hyperlink r:id="rId9">
              <w:r>
                <w:rPr>
                  <w:rFonts w:ascii="Calibri" w:hAnsi="Calibri" w:cs="Calibri"/>
                  <w:sz w:val="18"/>
                  <w:color w:val="1155CC"/>
                  <w:u w:val="single"/>
                </w:rPr>
                <w:t xml:space="preserve">ncbi.nlm.nih.gov — Mitral Stenosis (StatPearls)</w:t>
              </w:r>
            </w:hyperlink>
          </w:p>
          <w:p>
            <w:pPr>
              <w:spacing w:before="60" w:after="40"/>
            </w:pPr>
            <w:r>
              <w:rPr>
                <w:rFonts w:ascii="Calibri" w:hAnsi="Calibri"/>
                <w:b w:val="0"/>
                <w:i w:val="0"/>
                <w:color w:val="5A5A5A"/>
                <w:sz w:val="18"/>
              </w:rPr>
              <w:t>#rheumatic  #mitralstenosis  #youngadults  #commissuralfusion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ageing, degenerative (calcific) aortic stenosis and mitral annular calcification become the dominant valve lesions, driven by cumulative fibro-calcific wear that shares risk factors with atherosclerosis.</w:t>
            </w:r>
          </w:p>
          <w:p>
            <w:pPr>
              <w:spacing w:after="40" w:before="60" w:line="259" w:lineRule="auto"/>
            </w:pPr>
            <w:r>
              <w:rPr>
                <w:rFonts w:ascii="Calibri" w:hAnsi="Calibri"/>
                <w:b w:val="0"/>
                <w:i w:val="0"/>
                <w:color w:val="212121"/>
                <w:sz w:val="19"/>
              </w:rPr>
              <w:t>Calcific aortic stenosis is the leading cause of aortic valve disease in the elderly, and mitral annular calcification increasingly affects older patients in low-rheumatic-prevalence settings.</w:t>
            </w:r>
          </w:p>
          <w:p>
            <w:pPr>
              <w:spacing w:after="40" w:line="252" w:lineRule="auto"/>
            </w:pPr>
            <w:hyperlink r:id="rId10">
              <w:r>
                <w:rPr>
                  <w:rFonts w:ascii="Calibri" w:hAnsi="Calibri" w:cs="Calibri"/>
                  <w:sz w:val="18"/>
                  <w:color w:val="1155CC"/>
                  <w:u w:val="single"/>
                </w:rPr>
                <w:t xml:space="preserve">merckmanuals.com — Mitral/valvular disorders</w:t>
              </w:r>
            </w:hyperlink>
          </w:p>
          <w:p>
            <w:pPr>
              <w:spacing w:before="60" w:after="40"/>
            </w:pPr>
            <w:r>
              <w:rPr>
                <w:rFonts w:ascii="Calibri" w:hAnsi="Calibri"/>
                <w:b w:val="0"/>
                <w:i w:val="0"/>
                <w:color w:val="5A5A5A"/>
                <w:sz w:val="18"/>
              </w:rPr>
              <w:t>#calcificAS  #degenerative  #ageing  #annularcalcification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Rheumatic heart disease — and mitral stenosis in particular — shows a strong female predominance; pregnancy further unmasks or decompensates previously silent mitral stenosis by raising cardiac output.</w:t>
            </w:r>
          </w:p>
          <w:p>
            <w:pPr>
              <w:spacing w:after="40" w:before="60" w:line="259" w:lineRule="auto"/>
            </w:pPr>
            <w:r>
              <w:rPr>
                <w:rFonts w:ascii="Calibri" w:hAnsi="Calibri"/>
                <w:b w:val="0"/>
                <w:i w:val="0"/>
                <w:color w:val="212121"/>
                <w:sz w:val="19"/>
              </w:rPr>
              <w:t>Approximately 80% of mitral stenosis patients worldwide are women, and the risk of developing RHD is about two times higher in females than in males.</w:t>
            </w:r>
          </w:p>
          <w:p>
            <w:pPr>
              <w:spacing w:after="40" w:line="252" w:lineRule="auto"/>
            </w:pPr>
            <w:hyperlink r:id="rId9">
              <w:r>
                <w:rPr>
                  <w:rFonts w:ascii="Calibri" w:hAnsi="Calibri" w:cs="Calibri"/>
                  <w:sz w:val="18"/>
                  <w:color w:val="1155CC"/>
                  <w:u w:val="single"/>
                </w:rPr>
                <w:t xml:space="preserve">ncbi.nlm.nih.gov — Mitral Stenosis (StatPearls)</w:t>
              </w:r>
            </w:hyperlink>
          </w:p>
          <w:p>
            <w:pPr>
              <w:spacing w:before="60" w:after="40"/>
            </w:pPr>
            <w:r>
              <w:rPr>
                <w:rFonts w:ascii="Calibri" w:hAnsi="Calibri"/>
                <w:b w:val="0"/>
                <w:i w:val="0"/>
                <w:color w:val="5A5A5A"/>
                <w:sz w:val="18"/>
              </w:rPr>
              <w:t>#femalepredominance  #mitralstenosis  #pregnancy  #RHD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Bicuspid aortic valve — the commonest congenital cause of aortic stenosis and regurgitation — is roughly twice as common in men, predisposing them to earlier degenerative aortic valve disease.</w:t>
            </w:r>
          </w:p>
          <w:p>
            <w:pPr>
              <w:spacing w:after="40" w:before="60" w:line="259" w:lineRule="auto"/>
            </w:pPr>
            <w:r>
              <w:rPr>
                <w:rFonts w:ascii="Calibri" w:hAnsi="Calibri"/>
                <w:b w:val="0"/>
                <w:i w:val="0"/>
                <w:color w:val="212121"/>
                <w:sz w:val="19"/>
              </w:rPr>
              <w:t>Bicuspid aortic valve occurs in about 1–2% of the population and is roughly twice as common in men as in women.</w:t>
            </w:r>
          </w:p>
          <w:p>
            <w:pPr>
              <w:spacing w:after="40" w:line="252" w:lineRule="auto"/>
            </w:pPr>
            <w:hyperlink r:id="rId11">
              <w:r>
                <w:rPr>
                  <w:rFonts w:ascii="Calibri" w:hAnsi="Calibri" w:cs="Calibri"/>
                  <w:sz w:val="18"/>
                  <w:color w:val="1155CC"/>
                  <w:u w:val="single"/>
                </w:rPr>
                <w:t xml:space="preserve">clevelandclinic.org — Bicuspid aortic valve</w:t>
              </w:r>
            </w:hyperlink>
          </w:p>
          <w:p>
            <w:pPr>
              <w:spacing w:before="60" w:after="40"/>
            </w:pPr>
            <w:r>
              <w:rPr>
                <w:rFonts w:ascii="Calibri" w:hAnsi="Calibri"/>
                <w:b w:val="0"/>
                <w:i w:val="0"/>
                <w:color w:val="5A5A5A"/>
                <w:sz w:val="18"/>
              </w:rPr>
              <w:t>#bicuspid  #aorticstenosis  #congenital  #male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socioeconomic strata</w:t>
            </w:r>
          </w:p>
        </w:tc>
        <w:tc>
          <w:tcPr>
            <w:tcW w:type="dxa" w:w="4276"/>
            <w:vAlign w:val="top"/>
          </w:tcPr>
          <w:p>
            <w:pPr>
              <w:spacing w:after="60" w:line="259" w:lineRule="auto"/>
            </w:pPr>
            <w:r>
              <w:rPr>
                <w:rFonts w:ascii="Calibri" w:hAnsi="Calibri"/>
                <w:b w:val="0"/>
                <w:i w:val="0"/>
                <w:color w:val="212121"/>
                <w:sz w:val="19"/>
              </w:rPr>
              <w:t>Poverty, overcrowding, undernutrition and limited access to healthcare allow untreated streptococcal throat infections and recurrent rheumatic fever, the pathway to chronic rheumatic valve disease.</w:t>
            </w:r>
          </w:p>
          <w:p>
            <w:pPr>
              <w:spacing w:after="40" w:before="60" w:line="259" w:lineRule="auto"/>
            </w:pPr>
            <w:r>
              <w:rPr>
                <w:rFonts w:ascii="Calibri" w:hAnsi="Calibri"/>
                <w:b w:val="0"/>
                <w:i w:val="0"/>
                <w:color w:val="212121"/>
                <w:sz w:val="19"/>
              </w:rPr>
              <w:t>RHD prevalence is closely linked to overcrowding and unhygienic living related to low socio-economic status, with persistent group A streptococcus in the environment.</w:t>
            </w:r>
          </w:p>
          <w:p>
            <w:pPr>
              <w:spacing w:after="40" w:line="252" w:lineRule="auto"/>
            </w:pPr>
            <w:hyperlink r:id="rId12">
              <w:r>
                <w:rPr>
                  <w:rFonts w:ascii="Calibri" w:hAnsi="Calibri" w:cs="Calibri"/>
                  <w:sz w:val="18"/>
                  <w:color w:val="1155CC"/>
                  <w:u w:val="single"/>
                </w:rPr>
                <w:t xml:space="preserve">ijmr.org.in — RF &amp; RHD: the last 50 years</w:t>
              </w:r>
            </w:hyperlink>
          </w:p>
          <w:p>
            <w:pPr>
              <w:spacing w:before="60" w:after="40"/>
            </w:pPr>
            <w:r>
              <w:rPr>
                <w:rFonts w:ascii="Calibri" w:hAnsi="Calibri"/>
                <w:b w:val="0"/>
                <w:i w:val="0"/>
                <w:color w:val="5A5A5A"/>
                <w:sz w:val="18"/>
              </w:rPr>
              <w:t>#poverty  #overcrowding  #socialdeterminants  #rheumatic</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India / South Asia (global RHD hotspot)</w:t>
            </w:r>
          </w:p>
        </w:tc>
        <w:tc>
          <w:tcPr>
            <w:tcW w:type="dxa" w:w="4276"/>
            <w:vAlign w:val="top"/>
          </w:tcPr>
          <w:p>
            <w:pPr>
              <w:spacing w:after="60" w:line="259" w:lineRule="auto"/>
            </w:pPr>
            <w:r>
              <w:rPr>
                <w:rFonts w:ascii="Calibri" w:hAnsi="Calibri"/>
                <w:b w:val="0"/>
                <w:i w:val="0"/>
                <w:color w:val="212121"/>
                <w:sz w:val="19"/>
              </w:rPr>
              <w:t>India sits at the centre of the global rheumatic valve burden, so a large share of the world's mitral stenosis and multi-valve rheumatic disease presents here.</w:t>
            </w:r>
          </w:p>
          <w:p>
            <w:pPr>
              <w:spacing w:after="40" w:before="60" w:line="259" w:lineRule="auto"/>
            </w:pPr>
            <w:r>
              <w:rPr>
                <w:rFonts w:ascii="Calibri" w:hAnsi="Calibri"/>
                <w:b w:val="0"/>
                <w:i w:val="0"/>
                <w:color w:val="212121"/>
                <w:sz w:val="19"/>
              </w:rPr>
              <w:t>Of the world's ~33 million people with RHD, about 13.2 million (≈40%) live in India, which also accounts for nearly 120,000 of ~347,000 global RHD deaths.</w:t>
            </w:r>
          </w:p>
          <w:p>
            <w:pPr>
              <w:spacing w:after="40" w:line="252" w:lineRule="auto"/>
            </w:pPr>
            <w:hyperlink r:id="rId13">
              <w:r>
                <w:rPr>
                  <w:rFonts w:ascii="Calibri" w:hAnsi="Calibri" w:cs="Calibri"/>
                  <w:sz w:val="18"/>
                  <w:color w:val="1155CC"/>
                  <w:u w:val="single"/>
                </w:rPr>
                <w:t xml:space="preserve">nmji.in — RHD in India: declining, but not fast enough</w:t>
              </w:r>
            </w:hyperlink>
          </w:p>
          <w:p>
            <w:pPr>
              <w:spacing w:before="60" w:after="40"/>
            </w:pPr>
            <w:r>
              <w:rPr>
                <w:rFonts w:ascii="Calibri" w:hAnsi="Calibri"/>
                <w:b w:val="0"/>
                <w:i w:val="0"/>
                <w:color w:val="5A5A5A"/>
                <w:sz w:val="18"/>
              </w:rPr>
              <w:t>#India  #globalburden  #RHDhotspot  #GBD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 / setting</w:t>
            </w:r>
          </w:p>
        </w:tc>
        <w:tc>
          <w:tcPr>
            <w:tcW w:type="dxa" w:w="2160"/>
            <w:vAlign w:val="top"/>
          </w:tcPr>
          <w:p>
            <w:pPr>
              <w:spacing w:after="40" w:before="0" w:line="259" w:lineRule="auto"/>
            </w:pPr>
            <w:r>
              <w:rPr>
                <w:rFonts w:ascii="Calibri" w:hAnsi="Calibri"/>
                <w:b w:val="0"/>
                <w:i w:val="0"/>
                <w:color w:val="212121"/>
                <w:sz w:val="19"/>
              </w:rPr>
              <w:t>Rural and urban-slum populations</w:t>
            </w:r>
          </w:p>
        </w:tc>
        <w:tc>
          <w:tcPr>
            <w:tcW w:type="dxa" w:w="4276"/>
            <w:vAlign w:val="top"/>
          </w:tcPr>
          <w:p>
            <w:pPr>
              <w:spacing w:after="60" w:line="259" w:lineRule="auto"/>
            </w:pPr>
            <w:r>
              <w:rPr>
                <w:rFonts w:ascii="Calibri" w:hAnsi="Calibri"/>
                <w:b w:val="0"/>
                <w:i w:val="0"/>
                <w:color w:val="212121"/>
                <w:sz w:val="19"/>
              </w:rPr>
              <w:t>Crowded housing, delayed diagnosis and weaker access to secondary penicillin prophylaxis sustain higher rheumatic fever recurrence and valve damage in rural and slum communities.</w:t>
            </w:r>
          </w:p>
          <w:p>
            <w:pPr>
              <w:spacing w:after="40" w:before="60" w:line="259" w:lineRule="auto"/>
            </w:pPr>
            <w:r>
              <w:rPr>
                <w:rFonts w:ascii="Calibri" w:hAnsi="Calibri"/>
                <w:b w:val="0"/>
                <w:i w:val="0"/>
                <w:color w:val="212121"/>
                <w:sz w:val="19"/>
              </w:rPr>
              <w:t>Recent Indian state surveys report school-child RHD prevalence ranging from 0.67 to 4.54 per 1000, with the highest rates in underserved regions.</w:t>
            </w:r>
          </w:p>
          <w:p>
            <w:pPr>
              <w:spacing w:after="40" w:line="252" w:lineRule="auto"/>
            </w:pPr>
            <w:hyperlink r:id="rId12">
              <w:r>
                <w:rPr>
                  <w:rFonts w:ascii="Calibri" w:hAnsi="Calibri" w:cs="Calibri"/>
                  <w:sz w:val="18"/>
                  <w:color w:val="1155CC"/>
                  <w:u w:val="single"/>
                </w:rPr>
                <w:t xml:space="preserve">ijmr.org.in — RF &amp; RHD: the last 50 years</w:t>
              </w:r>
            </w:hyperlink>
          </w:p>
          <w:p>
            <w:pPr>
              <w:spacing w:before="60" w:after="40"/>
            </w:pPr>
            <w:r>
              <w:rPr>
                <w:rFonts w:ascii="Calibri" w:hAnsi="Calibri"/>
                <w:b w:val="0"/>
                <w:i w:val="0"/>
                <w:color w:val="5A5A5A"/>
                <w:sz w:val="18"/>
              </w:rPr>
              <w:t>#rural  #slum  #healthaccess  #prophylaxisgap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Housing / crowding</w:t>
            </w:r>
          </w:p>
        </w:tc>
        <w:tc>
          <w:tcPr>
            <w:tcW w:type="dxa" w:w="2160"/>
            <w:vAlign w:val="top"/>
          </w:tcPr>
          <w:p>
            <w:pPr>
              <w:spacing w:after="40" w:before="0" w:line="259" w:lineRule="auto"/>
            </w:pPr>
            <w:r>
              <w:rPr>
                <w:rFonts w:ascii="Calibri" w:hAnsi="Calibri"/>
                <w:b w:val="0"/>
                <w:i w:val="0"/>
                <w:color w:val="212121"/>
                <w:sz w:val="19"/>
              </w:rPr>
              <w:t>Overcrowded households</w:t>
            </w:r>
          </w:p>
        </w:tc>
        <w:tc>
          <w:tcPr>
            <w:tcW w:type="dxa" w:w="4276"/>
            <w:vAlign w:val="top"/>
          </w:tcPr>
          <w:p>
            <w:pPr>
              <w:spacing w:after="60" w:line="259" w:lineRule="auto"/>
            </w:pPr>
            <w:r>
              <w:rPr>
                <w:rFonts w:ascii="Calibri" w:hAnsi="Calibri"/>
                <w:b w:val="0"/>
                <w:i w:val="0"/>
                <w:color w:val="212121"/>
                <w:sz w:val="19"/>
              </w:rPr>
              <w:t>Close, crowded living accelerates person-to-person spread of group A streptococcus, driving repeated pharyngitis and rheumatic fever — the upstream cause of rheumatic valve disease.</w:t>
            </w:r>
          </w:p>
          <w:p>
            <w:pPr>
              <w:spacing w:after="40" w:before="60" w:line="259" w:lineRule="auto"/>
            </w:pPr>
            <w:r>
              <w:rPr>
                <w:rFonts w:ascii="Calibri" w:hAnsi="Calibri"/>
                <w:b w:val="0"/>
                <w:i w:val="0"/>
                <w:color w:val="212121"/>
                <w:sz w:val="19"/>
              </w:rPr>
              <w:t>Overcrowding, malnutrition and persistent environmental streptococcus are established drivers of RHD in India.</w:t>
            </w:r>
          </w:p>
          <w:p>
            <w:pPr>
              <w:spacing w:after="40" w:line="252" w:lineRule="auto"/>
            </w:pPr>
            <w:hyperlink r:id="rId12">
              <w:r>
                <w:rPr>
                  <w:rFonts w:ascii="Calibri" w:hAnsi="Calibri" w:cs="Calibri"/>
                  <w:sz w:val="18"/>
                  <w:color w:val="1155CC"/>
                  <w:u w:val="single"/>
                </w:rPr>
                <w:t xml:space="preserve">ijmr.org.in — RF &amp; RHD: the last 50 years</w:t>
              </w:r>
            </w:hyperlink>
          </w:p>
          <w:p>
            <w:pPr>
              <w:spacing w:before="60" w:after="40"/>
            </w:pPr>
            <w:r>
              <w:rPr>
                <w:rFonts w:ascii="Calibri" w:hAnsi="Calibri"/>
                <w:b w:val="0"/>
                <w:i w:val="0"/>
                <w:color w:val="5A5A5A"/>
                <w:sz w:val="18"/>
              </w:rPr>
              <w:t>#crowding  #streptococcus  #transmission  #housing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Untreated sore throat / poor care-seeking</w:t>
            </w:r>
          </w:p>
        </w:tc>
        <w:tc>
          <w:tcPr>
            <w:tcW w:type="dxa" w:w="2160"/>
            <w:vAlign w:val="top"/>
          </w:tcPr>
          <w:p>
            <w:pPr>
              <w:spacing w:after="40" w:before="0" w:line="259" w:lineRule="auto"/>
            </w:pPr>
            <w:r>
              <w:rPr>
                <w:rFonts w:ascii="Calibri" w:hAnsi="Calibri"/>
                <w:b w:val="0"/>
                <w:i w:val="0"/>
                <w:color w:val="212121"/>
                <w:sz w:val="19"/>
              </w:rPr>
              <w:t>Children with recurrent untreated pharyngitis</w:t>
            </w:r>
          </w:p>
        </w:tc>
        <w:tc>
          <w:tcPr>
            <w:tcW w:type="dxa" w:w="4276"/>
            <w:vAlign w:val="top"/>
          </w:tcPr>
          <w:p>
            <w:pPr>
              <w:spacing w:after="60" w:line="259" w:lineRule="auto"/>
            </w:pPr>
            <w:r>
              <w:rPr>
                <w:rFonts w:ascii="Calibri" w:hAnsi="Calibri"/>
                <w:b w:val="0"/>
                <w:i w:val="0"/>
                <w:color w:val="212121"/>
                <w:sz w:val="19"/>
              </w:rPr>
              <w:t>Failure to treat streptococcal sore throat with a full antibiotic course permits rheumatic fever, and missed secondary prophylaxis permits recurrences that progressively scar the valves.</w:t>
            </w:r>
          </w:p>
          <w:p>
            <w:pPr>
              <w:spacing w:after="40" w:before="60" w:line="259" w:lineRule="auto"/>
            </w:pPr>
            <w:r>
              <w:rPr>
                <w:rFonts w:ascii="Calibri" w:hAnsi="Calibri"/>
                <w:b w:val="0"/>
                <w:i w:val="0"/>
                <w:color w:val="212121"/>
                <w:sz w:val="19"/>
              </w:rPr>
              <w:t>Primary prevention — adequate penicillin treatment of strep throat — prevents rheumatic fever, and 3–4-weekly benzathine penicillin prevents recurrent attacks.</w:t>
            </w:r>
          </w:p>
          <w:p>
            <w:pPr>
              <w:spacing w:after="40" w:line="252" w:lineRule="auto"/>
            </w:pPr>
            <w:hyperlink r:id="rId14">
              <w:r>
                <w:rPr>
                  <w:rFonts w:ascii="Calibri" w:hAnsi="Calibri" w:cs="Calibri"/>
                  <w:sz w:val="18"/>
                  <w:color w:val="1155CC"/>
                  <w:u w:val="single"/>
                </w:rPr>
                <w:t xml:space="preserve">who.int — Rheumatic heart disease fact sheet</w:t>
              </w:r>
            </w:hyperlink>
          </w:p>
          <w:p>
            <w:pPr>
              <w:spacing w:before="60" w:after="40"/>
            </w:pPr>
            <w:r>
              <w:rPr>
                <w:rFonts w:ascii="Calibri" w:hAnsi="Calibri"/>
                <w:b w:val="0"/>
                <w:i w:val="0"/>
                <w:color w:val="5A5A5A"/>
                <w:sz w:val="18"/>
              </w:rPr>
              <w:t>#strepthroat  #primaryprevention  #penicillin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Chronic smokers</w:t>
            </w:r>
          </w:p>
        </w:tc>
        <w:tc>
          <w:tcPr>
            <w:tcW w:type="dxa" w:w="4276"/>
            <w:vAlign w:val="top"/>
          </w:tcPr>
          <w:p>
            <w:pPr>
              <w:spacing w:after="60" w:line="259" w:lineRule="auto"/>
            </w:pPr>
            <w:r>
              <w:rPr>
                <w:rFonts w:ascii="Calibri" w:hAnsi="Calibri"/>
                <w:b w:val="0"/>
                <w:i w:val="0"/>
                <w:color w:val="212121"/>
                <w:sz w:val="19"/>
              </w:rPr>
              <w:t>Tobacco promotes vascular inflammation and calcification that accelerate degenerative aortic valve disease, and smoking raises the risk of infective endocarditis on damaged valves.</w:t>
            </w:r>
          </w:p>
          <w:p>
            <w:pPr>
              <w:spacing w:after="40" w:before="60" w:line="259" w:lineRule="auto"/>
            </w:pPr>
            <w:r>
              <w:rPr>
                <w:rFonts w:ascii="Calibri" w:hAnsi="Calibri"/>
                <w:b w:val="0"/>
                <w:i w:val="0"/>
                <w:color w:val="212121"/>
                <w:sz w:val="19"/>
              </w:rPr>
              <w:t>Smoking is a recognised, modifiable risk factor for calcific aortic valve disease alongside age, hypertension and dyslipidaemia.</w:t>
            </w:r>
          </w:p>
          <w:p>
            <w:pPr>
              <w:spacing w:before="60" w:after="40"/>
            </w:pPr>
            <w:r>
              <w:rPr>
                <w:rFonts w:ascii="Calibri" w:hAnsi="Calibri"/>
                <w:b w:val="0"/>
                <w:i w:val="0"/>
                <w:color w:val="5A5A5A"/>
                <w:sz w:val="18"/>
              </w:rPr>
              <w:t>#smoking  #calcification  #aorticstenosis  #endothelium</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Undernourished children; adults with atherogenic diets</w:t>
            </w:r>
          </w:p>
        </w:tc>
        <w:tc>
          <w:tcPr>
            <w:tcW w:type="dxa" w:w="4276"/>
            <w:vAlign w:val="top"/>
          </w:tcPr>
          <w:p>
            <w:pPr>
              <w:spacing w:after="60" w:line="259" w:lineRule="auto"/>
            </w:pPr>
            <w:r>
              <w:rPr>
                <w:rFonts w:ascii="Calibri" w:hAnsi="Calibri"/>
                <w:b w:val="0"/>
                <w:i w:val="0"/>
                <w:color w:val="212121"/>
                <w:sz w:val="19"/>
              </w:rPr>
              <w:t>Childhood undernutrition weakens immune defences against streptococcus and worsens rheumatic risk, while atherogenic (high saturated-fat, high-salt) adult diets fuel the dyslipidaemia and hypertension behind degenerative calcific valve disease.</w:t>
            </w:r>
          </w:p>
          <w:p>
            <w:pPr>
              <w:spacing w:after="40" w:before="60" w:line="259" w:lineRule="auto"/>
            </w:pPr>
            <w:r>
              <w:rPr>
                <w:rFonts w:ascii="Calibri" w:hAnsi="Calibri"/>
                <w:b w:val="0"/>
                <w:i w:val="0"/>
                <w:color w:val="212121"/>
                <w:sz w:val="19"/>
              </w:rPr>
              <w:t>Malnutrition contributing to decreased immune response is cited among the socio-nutritional drivers of RHD in India.</w:t>
            </w:r>
          </w:p>
          <w:p>
            <w:pPr>
              <w:spacing w:after="40" w:line="252" w:lineRule="auto"/>
            </w:pPr>
            <w:hyperlink r:id="rId12">
              <w:r>
                <w:rPr>
                  <w:rFonts w:ascii="Calibri" w:hAnsi="Calibri" w:cs="Calibri"/>
                  <w:sz w:val="18"/>
                  <w:color w:val="1155CC"/>
                  <w:u w:val="single"/>
                </w:rPr>
                <w:t xml:space="preserve">ijmr.org.in — RF &amp; RHD: the last 50 years</w:t>
              </w:r>
            </w:hyperlink>
          </w:p>
          <w:p>
            <w:pPr>
              <w:spacing w:before="60" w:after="40"/>
            </w:pPr>
            <w:r>
              <w:rPr>
                <w:rFonts w:ascii="Calibri" w:hAnsi="Calibri"/>
                <w:b w:val="0"/>
                <w:i w:val="0"/>
                <w:color w:val="5A5A5A"/>
                <w:sz w:val="18"/>
              </w:rPr>
              <w:t>#malnutrition  #immunity  #dyslipidemia  #saltintake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bicuspid aortic valve / rheumatic susceptibility</w:t>
            </w:r>
          </w:p>
        </w:tc>
        <w:tc>
          <w:tcPr>
            <w:tcW w:type="dxa" w:w="4276"/>
            <w:vAlign w:val="top"/>
          </w:tcPr>
          <w:p>
            <w:pPr>
              <w:spacing w:after="60" w:line="259" w:lineRule="auto"/>
            </w:pPr>
            <w:r>
              <w:rPr>
                <w:rFonts w:ascii="Calibri" w:hAnsi="Calibri"/>
                <w:b w:val="0"/>
                <w:i w:val="0"/>
                <w:color w:val="212121"/>
                <w:sz w:val="19"/>
              </w:rPr>
              <w:t>Bicuspid aortic valve clusters in families, and HLA-linked host susceptibility influences who develops rheumatic carditis after streptococcal exposure, so first-degree relatives carry higher risk.</w:t>
            </w:r>
          </w:p>
          <w:p>
            <w:pPr>
              <w:spacing w:after="40" w:before="60" w:line="259" w:lineRule="auto"/>
            </w:pPr>
            <w:r>
              <w:rPr>
                <w:rFonts w:ascii="Calibri" w:hAnsi="Calibri"/>
                <w:b w:val="0"/>
                <w:i w:val="0"/>
                <w:color w:val="212121"/>
                <w:sz w:val="19"/>
              </w:rPr>
              <w:t>Bicuspid aortic valve is the most common congenital heart defect (~1–2% of people) and shows familial clustering.</w:t>
            </w:r>
          </w:p>
          <w:p>
            <w:pPr>
              <w:spacing w:after="40" w:line="252" w:lineRule="auto"/>
            </w:pPr>
            <w:hyperlink r:id="rId11">
              <w:r>
                <w:rPr>
                  <w:rFonts w:ascii="Calibri" w:hAnsi="Calibri" w:cs="Calibri"/>
                  <w:sz w:val="18"/>
                  <w:color w:val="1155CC"/>
                  <w:u w:val="single"/>
                </w:rPr>
                <w:t xml:space="preserve">clevelandclinic.org — Bicuspid aortic valve</w:t>
              </w:r>
            </w:hyperlink>
          </w:p>
          <w:p>
            <w:pPr>
              <w:spacing w:before="60" w:after="40"/>
            </w:pPr>
            <w:r>
              <w:rPr>
                <w:rFonts w:ascii="Calibri" w:hAnsi="Calibri"/>
                <w:b w:val="0"/>
                <w:i w:val="0"/>
                <w:color w:val="5A5A5A"/>
                <w:sz w:val="18"/>
              </w:rPr>
              <w:t>#familyhistory  #bicuspid  #HLA  #geneticsusceptibility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Connective-tissue disorder</w:t>
            </w:r>
          </w:p>
        </w:tc>
        <w:tc>
          <w:tcPr>
            <w:tcW w:type="dxa" w:w="2160"/>
            <w:vAlign w:val="top"/>
          </w:tcPr>
          <w:p>
            <w:pPr>
              <w:spacing w:after="40" w:before="0" w:line="259" w:lineRule="auto"/>
            </w:pPr>
            <w:r>
              <w:rPr>
                <w:rFonts w:ascii="Calibri" w:hAnsi="Calibri"/>
                <w:b w:val="0"/>
                <w:i w:val="0"/>
                <w:color w:val="212121"/>
                <w:sz w:val="19"/>
              </w:rPr>
              <w:t>Marfan syndrome and related disorders</w:t>
            </w:r>
          </w:p>
        </w:tc>
        <w:tc>
          <w:tcPr>
            <w:tcW w:type="dxa" w:w="4276"/>
            <w:vAlign w:val="top"/>
          </w:tcPr>
          <w:p>
            <w:pPr>
              <w:spacing w:after="60" w:line="259" w:lineRule="auto"/>
            </w:pPr>
            <w:r>
              <w:rPr>
                <w:rFonts w:ascii="Calibri" w:hAnsi="Calibri"/>
                <w:b w:val="0"/>
                <w:i w:val="0"/>
                <w:color w:val="212121"/>
                <w:sz w:val="19"/>
              </w:rPr>
              <w:t>Heritable connective-tissue disease weakens the aortic root and valve apparatus, causing aortic root dilation with aortic regurgitation and myxomatous mitral valve prolapse with mitral regurgitation.</w:t>
            </w:r>
          </w:p>
          <w:p>
            <w:pPr>
              <w:spacing w:after="40" w:before="60" w:line="259" w:lineRule="auto"/>
            </w:pPr>
            <w:r>
              <w:rPr>
                <w:rFonts w:ascii="Calibri" w:hAnsi="Calibri"/>
                <w:b w:val="0"/>
                <w:i w:val="0"/>
                <w:color w:val="212121"/>
                <w:sz w:val="19"/>
              </w:rPr>
              <w:t>Aortic root dilation from Marfan syndrome and hypertension is an established non-rheumatic cause of chronic aortic regurgitation.</w:t>
            </w:r>
          </w:p>
          <w:p>
            <w:pPr>
              <w:spacing w:before="60" w:after="40"/>
            </w:pPr>
            <w:r>
              <w:rPr>
                <w:rFonts w:ascii="Calibri" w:hAnsi="Calibri"/>
                <w:b w:val="0"/>
                <w:i w:val="0"/>
                <w:color w:val="5A5A5A"/>
                <w:sz w:val="18"/>
              </w:rPr>
              <w:t>#Marfan  #aorticroot  #mitralprolapse  #connectivetissue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rheumatic fever</w:t>
            </w:r>
          </w:p>
        </w:tc>
        <w:tc>
          <w:tcPr>
            <w:tcW w:type="dxa" w:w="2160"/>
            <w:vAlign w:val="top"/>
          </w:tcPr>
          <w:p>
            <w:pPr>
              <w:spacing w:after="40" w:before="0" w:line="259" w:lineRule="auto"/>
            </w:pPr>
            <w:r>
              <w:rPr>
                <w:rFonts w:ascii="Calibri" w:hAnsi="Calibri"/>
                <w:b w:val="0"/>
                <w:i w:val="0"/>
                <w:color w:val="212121"/>
                <w:sz w:val="19"/>
              </w:rPr>
              <w:t>Patients with previous acute rheumatic fever</w:t>
            </w:r>
          </w:p>
        </w:tc>
        <w:tc>
          <w:tcPr>
            <w:tcW w:type="dxa" w:w="4276"/>
            <w:vAlign w:val="top"/>
          </w:tcPr>
          <w:p>
            <w:pPr>
              <w:spacing w:after="60" w:line="259" w:lineRule="auto"/>
            </w:pPr>
            <w:r>
              <w:rPr>
                <w:rFonts w:ascii="Calibri" w:hAnsi="Calibri"/>
                <w:b w:val="0"/>
                <w:i w:val="0"/>
                <w:color w:val="212121"/>
                <w:sz w:val="19"/>
              </w:rPr>
              <w:t>A single or recurrent attack of acute rheumatic fever is the direct antecedent of chronic rheumatic valve disease; each recurrence adds cumulative valve scarring.</w:t>
            </w:r>
          </w:p>
          <w:p>
            <w:pPr>
              <w:spacing w:after="40" w:before="60" w:line="259" w:lineRule="auto"/>
            </w:pPr>
            <w:r>
              <w:rPr>
                <w:rFonts w:ascii="Calibri" w:hAnsi="Calibri"/>
                <w:b w:val="0"/>
                <w:i w:val="0"/>
                <w:color w:val="212121"/>
                <w:sz w:val="19"/>
              </w:rPr>
              <w:t>Mitral valve involvement occurs in 90–95% of rheumatic cases, with the aortic valve additionally involved in about 20–25% and isolated aortic disease in under 5–8%.</w:t>
            </w:r>
          </w:p>
          <w:p>
            <w:pPr>
              <w:spacing w:after="40" w:line="252" w:lineRule="auto"/>
            </w:pPr>
            <w:hyperlink r:id="rId12">
              <w:r>
                <w:rPr>
                  <w:rFonts w:ascii="Calibri" w:hAnsi="Calibri" w:cs="Calibri"/>
                  <w:sz w:val="18"/>
                  <w:color w:val="1155CC"/>
                  <w:u w:val="single"/>
                </w:rPr>
                <w:t xml:space="preserve">ijmr.org.in — RF &amp; RHD: the last 50 years</w:t>
              </w:r>
            </w:hyperlink>
          </w:p>
          <w:p>
            <w:pPr>
              <w:spacing w:before="60" w:after="40"/>
            </w:pPr>
            <w:r>
              <w:rPr>
                <w:rFonts w:ascii="Calibri" w:hAnsi="Calibri"/>
                <w:b w:val="0"/>
                <w:i w:val="0"/>
                <w:color w:val="5A5A5A"/>
                <w:sz w:val="18"/>
              </w:rPr>
              <w:t>#rheumaticfever  #mitralvalve  #recurrence  #carditis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with rheumatic valve disease</w:t>
            </w:r>
          </w:p>
        </w:tc>
        <w:tc>
          <w:tcPr>
            <w:tcW w:type="dxa" w:w="4276"/>
            <w:vAlign w:val="top"/>
          </w:tcPr>
          <w:p>
            <w:pPr>
              <w:spacing w:after="60" w:line="259" w:lineRule="auto"/>
            </w:pPr>
            <w:r>
              <w:rPr>
                <w:rFonts w:ascii="Calibri" w:hAnsi="Calibri"/>
                <w:b w:val="0"/>
                <w:i w:val="0"/>
                <w:color w:val="212121"/>
                <w:sz w:val="19"/>
              </w:rPr>
              <w:t>The 40–50% rise in cardiac output and heart rate during pregnancy dramatically increases the transmitral gradient in mitral stenosis, precipitating pulmonary congestion, atrial fibrillation and heart failure.</w:t>
            </w:r>
          </w:p>
          <w:p>
            <w:pPr>
              <w:spacing w:after="40" w:before="60" w:line="259" w:lineRule="auto"/>
            </w:pPr>
            <w:r>
              <w:rPr>
                <w:rFonts w:ascii="Calibri" w:hAnsi="Calibri"/>
                <w:b w:val="0"/>
                <w:i w:val="0"/>
                <w:color w:val="212121"/>
                <w:sz w:val="19"/>
              </w:rPr>
              <w:t>In India, RHD contributes to about 69% of cardiac disorders seen in pregnancy, with mitral stenosis the predominant lesion (~50% of affected pregnancies).</w:t>
            </w:r>
          </w:p>
          <w:p>
            <w:pPr>
              <w:spacing w:after="40" w:line="252" w:lineRule="auto"/>
            </w:pPr>
            <w:hyperlink r:id="rId15">
              <w:r>
                <w:rPr>
                  <w:rFonts w:ascii="Calibri" w:hAnsi="Calibri" w:cs="Calibri"/>
                  <w:sz w:val="18"/>
                  <w:color w:val="1155CC"/>
                  <w:u w:val="single"/>
                </w:rPr>
                <w:t xml:space="preserve">indianheartjournal.com — RHD in pregnancy</w:t>
              </w:r>
            </w:hyperlink>
          </w:p>
          <w:p>
            <w:pPr>
              <w:spacing w:before="60" w:after="40"/>
            </w:pPr>
            <w:r>
              <w:rPr>
                <w:rFonts w:ascii="Calibri" w:hAnsi="Calibri"/>
                <w:b w:val="0"/>
                <w:i w:val="0"/>
                <w:color w:val="5A5A5A"/>
                <w:sz w:val="18"/>
              </w:rPr>
              <w:t>#pregnancy  #mitralstenosis  #maternalheart  #decompensation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Atrial fibrillation</w:t>
            </w:r>
          </w:p>
        </w:tc>
        <w:tc>
          <w:tcPr>
            <w:tcW w:type="dxa" w:w="2160"/>
            <w:vAlign w:val="top"/>
          </w:tcPr>
          <w:p>
            <w:pPr>
              <w:spacing w:after="40" w:before="0" w:line="259" w:lineRule="auto"/>
            </w:pPr>
            <w:r>
              <w:rPr>
                <w:rFonts w:ascii="Calibri" w:hAnsi="Calibri"/>
                <w:b w:val="0"/>
                <w:i w:val="0"/>
                <w:color w:val="212121"/>
                <w:sz w:val="19"/>
              </w:rPr>
              <w:t>Valve patients who develop AF</w:t>
            </w:r>
          </w:p>
        </w:tc>
        <w:tc>
          <w:tcPr>
            <w:tcW w:type="dxa" w:w="4276"/>
            <w:vAlign w:val="top"/>
          </w:tcPr>
          <w:p>
            <w:pPr>
              <w:spacing w:after="60" w:line="259" w:lineRule="auto"/>
            </w:pPr>
            <w:r>
              <w:rPr>
                <w:rFonts w:ascii="Calibri" w:hAnsi="Calibri"/>
                <w:b w:val="0"/>
                <w:i w:val="0"/>
                <w:color w:val="212121"/>
                <w:sz w:val="19"/>
              </w:rPr>
              <w:t>Left-atrial enlargement from mitral disease predisposes to atrial fibrillation, which abolishes atrial contribution to filling, worsens symptoms and creates left-atrial thrombus and systemic embolism risk.</w:t>
            </w:r>
          </w:p>
          <w:p>
            <w:pPr>
              <w:spacing w:after="40" w:before="60" w:line="259" w:lineRule="auto"/>
            </w:pPr>
            <w:r>
              <w:rPr>
                <w:rFonts w:ascii="Calibri" w:hAnsi="Calibri"/>
                <w:b w:val="0"/>
                <w:i w:val="0"/>
                <w:color w:val="212121"/>
                <w:sz w:val="19"/>
              </w:rPr>
              <w:t>In untreated mitral stenosis, atrial fibrillation carries roughly a 5% annual risk of stroke from systemic embolism.</w:t>
            </w:r>
          </w:p>
          <w:p>
            <w:pPr>
              <w:spacing w:after="40" w:line="252" w:lineRule="auto"/>
            </w:pPr>
            <w:hyperlink r:id="rId10">
              <w:r>
                <w:rPr>
                  <w:rFonts w:ascii="Calibri" w:hAnsi="Calibri" w:cs="Calibri"/>
                  <w:sz w:val="18"/>
                  <w:color w:val="1155CC"/>
                  <w:u w:val="single"/>
                </w:rPr>
                <w:t xml:space="preserve">merckmanuals.com — Mitral stenosis</w:t>
              </w:r>
            </w:hyperlink>
          </w:p>
          <w:p>
            <w:pPr>
              <w:spacing w:before="60" w:after="40"/>
            </w:pPr>
            <w:r>
              <w:rPr>
                <w:rFonts w:ascii="Calibri" w:hAnsi="Calibri"/>
                <w:b w:val="0"/>
                <w:i w:val="0"/>
                <w:color w:val="5A5A5A"/>
                <w:sz w:val="18"/>
              </w:rPr>
              <w:t>#atrialfibrillation  #thromboembolism  #stroke  #anticoagulation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CKD / dialysis patients</w:t>
            </w:r>
          </w:p>
        </w:tc>
        <w:tc>
          <w:tcPr>
            <w:tcW w:type="dxa" w:w="4276"/>
            <w:vAlign w:val="top"/>
          </w:tcPr>
          <w:p>
            <w:pPr>
              <w:spacing w:after="60" w:line="259" w:lineRule="auto"/>
            </w:pPr>
            <w:r>
              <w:rPr>
                <w:rFonts w:ascii="Calibri" w:hAnsi="Calibri"/>
                <w:b w:val="0"/>
                <w:i w:val="0"/>
                <w:color w:val="212121"/>
                <w:sz w:val="19"/>
              </w:rPr>
              <w:t>Disordered calcium–phosphate metabolism in chronic kidney disease accelerates valvular and annular calcification, producing early and rapidly progressive aortic stenosis.</w:t>
            </w:r>
          </w:p>
          <w:p>
            <w:pPr>
              <w:spacing w:after="40" w:before="60" w:line="259" w:lineRule="auto"/>
            </w:pPr>
            <w:r>
              <w:rPr>
                <w:rFonts w:ascii="Calibri" w:hAnsi="Calibri"/>
                <w:b w:val="0"/>
                <w:i w:val="0"/>
                <w:color w:val="212121"/>
                <w:sz w:val="19"/>
              </w:rPr>
              <w:t>CKD is a recognised accelerant of calcific aortic valve disease, sharing metabolic risk with atherosclerosis.</w:t>
            </w:r>
          </w:p>
          <w:p>
            <w:pPr>
              <w:spacing w:before="60" w:after="40"/>
            </w:pPr>
            <w:r>
              <w:rPr>
                <w:rFonts w:ascii="Calibri" w:hAnsi="Calibri"/>
                <w:b w:val="0"/>
                <w:i w:val="0"/>
                <w:color w:val="5A5A5A"/>
                <w:sz w:val="18"/>
              </w:rPr>
              <w:t>#CKD  #calcification  #aorticstenosis  #mineralmetabolism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Infective endocarditis</w:t>
            </w:r>
          </w:p>
        </w:tc>
        <w:tc>
          <w:tcPr>
            <w:tcW w:type="dxa" w:w="2160"/>
            <w:vAlign w:val="top"/>
          </w:tcPr>
          <w:p>
            <w:pPr>
              <w:spacing w:after="40" w:before="0" w:line="259" w:lineRule="auto"/>
            </w:pPr>
            <w:r>
              <w:rPr>
                <w:rFonts w:ascii="Calibri" w:hAnsi="Calibri"/>
                <w:b w:val="0"/>
                <w:i w:val="0"/>
                <w:color w:val="212121"/>
                <w:sz w:val="19"/>
              </w:rPr>
              <w:t>Patients with prior/prosthetic valves, IV drug use, poor dental health</w:t>
            </w:r>
          </w:p>
        </w:tc>
        <w:tc>
          <w:tcPr>
            <w:tcW w:type="dxa" w:w="4276"/>
            <w:vAlign w:val="top"/>
          </w:tcPr>
          <w:p>
            <w:pPr>
              <w:spacing w:after="60" w:line="259" w:lineRule="auto"/>
            </w:pPr>
            <w:r>
              <w:rPr>
                <w:rFonts w:ascii="Calibri" w:hAnsi="Calibri"/>
                <w:b w:val="0"/>
                <w:i w:val="0"/>
                <w:color w:val="212121"/>
                <w:sz w:val="19"/>
              </w:rPr>
              <w:t>Abnormal, prosthetic or previously damaged valves are prime sites for microbial vegetations; poor oral hygiene and injection drug use seed the bloodstream and destroy valve tissue, causing acute regurgitation.</w:t>
            </w:r>
          </w:p>
          <w:p>
            <w:pPr>
              <w:spacing w:after="40" w:before="60" w:line="259" w:lineRule="auto"/>
            </w:pPr>
            <w:r>
              <w:rPr>
                <w:rFonts w:ascii="Calibri" w:hAnsi="Calibri"/>
                <w:b w:val="0"/>
                <w:i w:val="0"/>
                <w:color w:val="212121"/>
                <w:sz w:val="19"/>
              </w:rPr>
              <w:t>Infective endocarditis both complicates pre-existing valve disease and is an independent cause of acute severe regurgitation.</w:t>
            </w:r>
          </w:p>
          <w:p>
            <w:pPr>
              <w:spacing w:before="60" w:after="40"/>
            </w:pPr>
            <w:r>
              <w:rPr>
                <w:rFonts w:ascii="Calibri" w:hAnsi="Calibri"/>
                <w:b w:val="0"/>
                <w:i w:val="0"/>
                <w:color w:val="5A5A5A"/>
                <w:sz w:val="18"/>
              </w:rPr>
              <w:t>#endocarditis  #prosthesis  #dentalhealth  #vegetations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tolerance is a key clinical marker of valve severity (exertional dyspnoea, angina and syncope signal decompensation). Regular moderate activity maintains cardiorespiratory fitness in mild disease, but strenuous exertion is hazardous in severe aortic stenosis.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Atherogenic, high-salt diets promote the hypertension, dyslipidaemia and obesity that drive degenerative calcific aortic valve disease and worsen heart-failure congestion; childhood undernutrition raises rheumatic susceptibility.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Paroxysmal nocturnal dyspnoea and orthopnoea are cardinal nocturnal symptoms of valvular heart failure; coexisting obstructive sleep apnoea aggravates pulmonary hypertension and atrial fibrillation.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accelerates aortic valve calcification and endothelial damage and increases the risk of infective endocarditis on abnormal valves.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use precipitates atrial fibrillation and alcoholic cardiomyopathy with functional mitral regurgitation, and complicates anticoagulation control.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valve disease, lifelong penicillin prophylaxis and anticoagulation impose psychological burden; depression and poor coping reduce adherence to prophylaxis and follow-up.</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Fluid and sodium balance materially affect congestion in valvular heart failure; both overload and excessive diuresis (low preload in tight mitral/aortic stenosis) are poorly tolerated.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Excess caffeine can trigger palpitations and precipitate or worsen atrial fibrillation in patients with enlarged, scarred atria.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Oral/dental hygiene is central to preventing infective endocarditis on abnormal valves, and prompt hygienic care of streptococcal throat infection prevents rheumatic fever — the root cause of most Indian valve disease.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Anaemia, pregnancy, fever/sepsis, thyrotoxicosis, tachyarrhythmia and fluid overload acutely raise cardiac demand and can precipitate pulmonary oedema or decompensation in fixed valve lesions.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Functional capacity (NYHA class / METs)</w:t>
            </w:r>
          </w:p>
        </w:tc>
        <w:tc>
          <w:tcPr>
            <w:tcW w:type="dxa" w:w="1655"/>
            <w:vAlign w:val="top"/>
          </w:tcPr>
          <w:p>
            <w:pPr>
              <w:spacing w:after="40" w:before="0" w:line="259" w:lineRule="auto"/>
            </w:pPr>
            <w:r>
              <w:rPr>
                <w:rFonts w:ascii="Calibri" w:hAnsi="Calibri"/>
                <w:b w:val="0"/>
                <w:i w:val="0"/>
                <w:color w:val="212121"/>
                <w:sz w:val="19"/>
              </w:rPr>
              <w:t>All valve patients</w:t>
            </w:r>
          </w:p>
        </w:tc>
        <w:tc>
          <w:tcPr>
            <w:tcW w:type="dxa" w:w="1512"/>
            <w:vAlign w:val="top"/>
          </w:tcPr>
          <w:p>
            <w:pPr>
              <w:spacing w:after="40" w:before="0" w:line="259" w:lineRule="auto"/>
            </w:pPr>
            <w:r>
              <w:rPr>
                <w:rFonts w:ascii="Calibri" w:hAnsi="Calibri"/>
                <w:b w:val="0"/>
                <w:i w:val="0"/>
                <w:color w:val="212121"/>
                <w:sz w:val="19"/>
              </w:rPr>
              <w:t>NYHA I (asymptomatic, &gt; 5 METs)</w:t>
            </w:r>
          </w:p>
        </w:tc>
        <w:tc>
          <w:tcPr>
            <w:tcW w:type="dxa" w:w="1512"/>
            <w:vAlign w:val="top"/>
          </w:tcPr>
          <w:p>
            <w:pPr>
              <w:spacing w:after="40" w:before="0" w:line="259" w:lineRule="auto"/>
            </w:pPr>
            <w:r>
              <w:rPr>
                <w:rFonts w:ascii="Calibri" w:hAnsi="Calibri"/>
                <w:b w:val="0"/>
                <w:i w:val="0"/>
                <w:color w:val="212121"/>
                <w:sz w:val="19"/>
              </w:rPr>
              <w:t>NYHA III–IV; breathless at rest or minimal exertion</w:t>
            </w:r>
          </w:p>
        </w:tc>
        <w:tc>
          <w:tcPr>
            <w:tcW w:type="dxa" w:w="1468"/>
            <w:vAlign w:val="top"/>
          </w:tcPr>
          <w:p>
            <w:pPr>
              <w:spacing w:after="40" w:before="0" w:line="259" w:lineRule="auto"/>
            </w:pPr>
            <w:r>
              <w:rPr>
                <w:rFonts w:ascii="Calibri" w:hAnsi="Calibri"/>
                <w:b w:val="0"/>
                <w:i w:val="0"/>
                <w:color w:val="212121"/>
                <w:sz w:val="19"/>
              </w:rPr>
              <w:t>Falling exercise tolerance often marks progression to severe symptomatic disease requiring intervention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degenerative-VHD risk</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25 kg/m²</w:t>
            </w:r>
          </w:p>
        </w:tc>
        <w:tc>
          <w:tcPr>
            <w:tcW w:type="dxa" w:w="1468"/>
            <w:vAlign w:val="top"/>
          </w:tcPr>
          <w:p>
            <w:pPr>
              <w:spacing w:after="40" w:before="0" w:line="259" w:lineRule="auto"/>
            </w:pPr>
            <w:r>
              <w:rPr>
                <w:rFonts w:ascii="Calibri" w:hAnsi="Calibri"/>
                <w:b w:val="0"/>
                <w:i w:val="0"/>
                <w:color w:val="212121"/>
                <w:sz w:val="19"/>
              </w:rPr>
              <w:t>Obesity fuels hypertension and dyslipidaemia that accelerate calcific valve disease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sodium (per day)</w:t>
            </w:r>
          </w:p>
        </w:tc>
        <w:tc>
          <w:tcPr>
            <w:tcW w:type="dxa" w:w="1655"/>
            <w:vAlign w:val="top"/>
          </w:tcPr>
          <w:p>
            <w:pPr>
              <w:spacing w:after="40" w:before="0" w:line="259" w:lineRule="auto"/>
            </w:pPr>
            <w:r>
              <w:rPr>
                <w:rFonts w:ascii="Calibri" w:hAnsi="Calibri"/>
                <w:b w:val="0"/>
                <w:i w:val="0"/>
                <w:color w:val="212121"/>
                <w:sz w:val="19"/>
              </w:rPr>
              <w:t>Valve disease with heart failure</w:t>
            </w:r>
          </w:p>
        </w:tc>
        <w:tc>
          <w:tcPr>
            <w:tcW w:type="dxa" w:w="1512"/>
            <w:vAlign w:val="top"/>
          </w:tcPr>
          <w:p>
            <w:pPr>
              <w:spacing w:after="40" w:before="0" w:line="259" w:lineRule="auto"/>
            </w:pPr>
            <w:r>
              <w:rPr>
                <w:rFonts w:ascii="Calibri" w:hAnsi="Calibri"/>
                <w:b w:val="0"/>
                <w:i w:val="0"/>
                <w:color w:val="212121"/>
                <w:sz w:val="19"/>
              </w:rPr>
              <w:t>&lt; 2 g sodium (&lt; 5 g salt)/day</w:t>
            </w:r>
          </w:p>
        </w:tc>
        <w:tc>
          <w:tcPr>
            <w:tcW w:type="dxa" w:w="1512"/>
            <w:vAlign w:val="top"/>
          </w:tcPr>
          <w:p>
            <w:pPr>
              <w:spacing w:after="40" w:before="0" w:line="259" w:lineRule="auto"/>
            </w:pPr>
            <w:r>
              <w:rPr>
                <w:rFonts w:ascii="Calibri" w:hAnsi="Calibri"/>
                <w:b w:val="0"/>
                <w:i w:val="0"/>
                <w:color w:val="212121"/>
                <w:sz w:val="19"/>
              </w:rPr>
              <w:t>High-salt / processed-food diet</w:t>
            </w:r>
          </w:p>
        </w:tc>
        <w:tc>
          <w:tcPr>
            <w:tcW w:type="dxa" w:w="1468"/>
            <w:vAlign w:val="top"/>
          </w:tcPr>
          <w:p>
            <w:pPr>
              <w:spacing w:after="40" w:before="0" w:line="259" w:lineRule="auto"/>
            </w:pPr>
            <w:r>
              <w:rPr>
                <w:rFonts w:ascii="Calibri" w:hAnsi="Calibri"/>
                <w:b w:val="0"/>
                <w:i w:val="0"/>
                <w:color w:val="212121"/>
                <w:sz w:val="19"/>
              </w:rPr>
              <w:t>Salt restriction limits congestion and pulmonary oedema</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LDL cholesterol (mg/dL)</w:t>
            </w:r>
          </w:p>
        </w:tc>
        <w:tc>
          <w:tcPr>
            <w:tcW w:type="dxa" w:w="1655"/>
            <w:vAlign w:val="top"/>
          </w:tcPr>
          <w:p>
            <w:pPr>
              <w:spacing w:after="40" w:before="0" w:line="259" w:lineRule="auto"/>
            </w:pPr>
            <w:r>
              <w:rPr>
                <w:rFonts w:ascii="Calibri" w:hAnsi="Calibri"/>
                <w:b w:val="0"/>
                <w:i w:val="0"/>
                <w:color w:val="212121"/>
                <w:sz w:val="19"/>
              </w:rPr>
              <w:t>Calcific aortic stenosis risk</w:t>
            </w:r>
          </w:p>
        </w:tc>
        <w:tc>
          <w:tcPr>
            <w:tcW w:type="dxa" w:w="1512"/>
            <w:vAlign w:val="top"/>
          </w:tcPr>
          <w:p>
            <w:pPr>
              <w:spacing w:after="40" w:before="0" w:line="259" w:lineRule="auto"/>
            </w:pPr>
            <w:r>
              <w:rPr>
                <w:rFonts w:ascii="Calibri" w:hAnsi="Calibri"/>
                <w:b w:val="0"/>
                <w:i w:val="0"/>
                <w:color w:val="212121"/>
                <w:sz w:val="19"/>
              </w:rPr>
              <w:t>&lt; 100 mg/dL</w:t>
            </w:r>
          </w:p>
        </w:tc>
        <w:tc>
          <w:tcPr>
            <w:tcW w:type="dxa" w:w="1512"/>
            <w:vAlign w:val="top"/>
          </w:tcPr>
          <w:p>
            <w:pPr>
              <w:spacing w:after="40" w:before="0" w:line="259" w:lineRule="auto"/>
            </w:pPr>
            <w:r>
              <w:rPr>
                <w:rFonts w:ascii="Calibri" w:hAnsi="Calibri"/>
                <w:b w:val="0"/>
                <w:i w:val="0"/>
                <w:color w:val="212121"/>
                <w:sz w:val="19"/>
              </w:rPr>
              <w:t>≥ 130 mg/dL</w:t>
            </w:r>
          </w:p>
        </w:tc>
        <w:tc>
          <w:tcPr>
            <w:tcW w:type="dxa" w:w="1468"/>
            <w:vAlign w:val="top"/>
          </w:tcPr>
          <w:p>
            <w:pPr>
              <w:spacing w:after="40" w:before="0" w:line="259" w:lineRule="auto"/>
            </w:pPr>
            <w:r>
              <w:rPr>
                <w:rFonts w:ascii="Calibri" w:hAnsi="Calibri"/>
                <w:b w:val="0"/>
                <w:i w:val="0"/>
                <w:color w:val="212121"/>
                <w:sz w:val="19"/>
              </w:rPr>
              <w:t>Dyslipidaemia is a shared driver of aortic valve calcification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valve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Smoking accelerates valve calcification and endocarditis risk</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 AF-prone valve patients</w:t>
            </w:r>
          </w:p>
        </w:tc>
        <w:tc>
          <w:tcPr>
            <w:tcW w:type="dxa" w:w="1512"/>
            <w:vAlign w:val="top"/>
          </w:tcPr>
          <w:p>
            <w:pPr>
              <w:spacing w:after="40" w:before="0" w:line="259" w:lineRule="auto"/>
            </w:pPr>
            <w:r>
              <w:rPr>
                <w:rFonts w:ascii="Calibri" w:hAnsi="Calibri"/>
                <w:b w:val="0"/>
                <w:i w:val="0"/>
                <w:color w:val="212121"/>
                <w:sz w:val="19"/>
              </w:rPr>
              <w:t>≤ 7 drinks/week (or nil)</w:t>
            </w:r>
          </w:p>
        </w:tc>
        <w:tc>
          <w:tcPr>
            <w:tcW w:type="dxa" w:w="1512"/>
            <w:vAlign w:val="top"/>
          </w:tcPr>
          <w:p>
            <w:pPr>
              <w:spacing w:after="40" w:before="0" w:line="259" w:lineRule="auto"/>
            </w:pPr>
            <w:r>
              <w:rPr>
                <w:rFonts w:ascii="Calibri" w:hAnsi="Calibri"/>
                <w:b w:val="0"/>
                <w:i w:val="0"/>
                <w:color w:val="212121"/>
                <w:sz w:val="19"/>
              </w:rPr>
              <w:t>&gt; 14 drinks/week or binge use</w:t>
            </w:r>
          </w:p>
        </w:tc>
        <w:tc>
          <w:tcPr>
            <w:tcW w:type="dxa" w:w="1468"/>
            <w:vAlign w:val="top"/>
          </w:tcPr>
          <w:p>
            <w:pPr>
              <w:spacing w:after="40" w:before="0" w:line="259" w:lineRule="auto"/>
            </w:pPr>
            <w:r>
              <w:rPr>
                <w:rFonts w:ascii="Calibri" w:hAnsi="Calibri"/>
                <w:b w:val="0"/>
                <w:i w:val="0"/>
                <w:color w:val="212121"/>
                <w:sz w:val="19"/>
              </w:rPr>
              <w:t>Alcohol precipitates atrial fibrillation and functional MR</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Quantity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Orthopnoea / PND disrupting sleep</w:t>
            </w:r>
          </w:p>
        </w:tc>
        <w:tc>
          <w:tcPr>
            <w:tcW w:type="dxa" w:w="1468"/>
            <w:vAlign w:val="top"/>
          </w:tcPr>
          <w:p>
            <w:pPr>
              <w:spacing w:after="40" w:before="0" w:line="259" w:lineRule="auto"/>
            </w:pPr>
            <w:r>
              <w:rPr>
                <w:rFonts w:ascii="Calibri" w:hAnsi="Calibri"/>
                <w:b w:val="0"/>
                <w:i w:val="0"/>
                <w:color w:val="212121"/>
                <w:sz w:val="19"/>
              </w:rPr>
              <w:t>Nocturnal breathlessness signals pulmonary congestion</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Women, pregnancy, mitral stenosis</w:t>
            </w:r>
          </w:p>
        </w:tc>
        <w:tc>
          <w:tcPr>
            <w:tcW w:type="dxa" w:w="1512"/>
            <w:vAlign w:val="top"/>
          </w:tcPr>
          <w:p>
            <w:pPr>
              <w:spacing w:after="40" w:before="0" w:line="259" w:lineRule="auto"/>
            </w:pPr>
            <w:r>
              <w:rPr>
                <w:rFonts w:ascii="Calibri" w:hAnsi="Calibri"/>
                <w:b w:val="0"/>
                <w:i w:val="0"/>
                <w:color w:val="212121"/>
                <w:sz w:val="19"/>
              </w:rPr>
              <w:t>≥ 12 g/dL (≥ 11 in pregnancy)</w:t>
            </w:r>
          </w:p>
        </w:tc>
        <w:tc>
          <w:tcPr>
            <w:tcW w:type="dxa" w:w="1512"/>
            <w:vAlign w:val="top"/>
          </w:tcPr>
          <w:p>
            <w:pPr>
              <w:spacing w:after="40" w:before="0" w:line="259" w:lineRule="auto"/>
            </w:pPr>
            <w:r>
              <w:rPr>
                <w:rFonts w:ascii="Calibri" w:hAnsi="Calibri"/>
                <w:b w:val="0"/>
                <w:i w:val="0"/>
                <w:color w:val="212121"/>
                <w:sz w:val="19"/>
              </w:rPr>
              <w:t>&lt; 10 g/dL</w:t>
            </w:r>
          </w:p>
        </w:tc>
        <w:tc>
          <w:tcPr>
            <w:tcW w:type="dxa" w:w="1468"/>
            <w:vAlign w:val="top"/>
          </w:tcPr>
          <w:p>
            <w:pPr>
              <w:spacing w:after="40" w:before="0" w:line="259" w:lineRule="auto"/>
            </w:pPr>
            <w:r>
              <w:rPr>
                <w:rFonts w:ascii="Calibri" w:hAnsi="Calibri"/>
                <w:b w:val="0"/>
                <w:i w:val="0"/>
                <w:color w:val="212121"/>
                <w:sz w:val="19"/>
              </w:rPr>
              <w:t>Anaemia raises cardiac output and can decompensate mitral stenosis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 (AF/rate control)</w:t>
            </w:r>
          </w:p>
        </w:tc>
        <w:tc>
          <w:tcPr>
            <w:tcW w:type="dxa" w:w="1655"/>
            <w:vAlign w:val="top"/>
          </w:tcPr>
          <w:p>
            <w:pPr>
              <w:spacing w:after="40" w:before="0" w:line="259" w:lineRule="auto"/>
            </w:pPr>
            <w:r>
              <w:rPr>
                <w:rFonts w:ascii="Calibri" w:hAnsi="Calibri"/>
                <w:b w:val="0"/>
                <w:i w:val="0"/>
                <w:color w:val="212121"/>
                <w:sz w:val="19"/>
              </w:rPr>
              <w:t>Mitral stenosis with AF</w:t>
            </w:r>
          </w:p>
        </w:tc>
        <w:tc>
          <w:tcPr>
            <w:tcW w:type="dxa" w:w="1512"/>
            <w:vAlign w:val="top"/>
          </w:tcPr>
          <w:p>
            <w:pPr>
              <w:spacing w:after="40" w:before="0" w:line="259" w:lineRule="auto"/>
            </w:pPr>
            <w:r>
              <w:rPr>
                <w:rFonts w:ascii="Calibri" w:hAnsi="Calibri"/>
                <w:b w:val="0"/>
                <w:i w:val="0"/>
                <w:color w:val="212121"/>
                <w:sz w:val="19"/>
              </w:rPr>
              <w:t>60–80 bpm at rest</w:t>
            </w:r>
          </w:p>
        </w:tc>
        <w:tc>
          <w:tcPr>
            <w:tcW w:type="dxa" w:w="1512"/>
            <w:vAlign w:val="top"/>
          </w:tcPr>
          <w:p>
            <w:pPr>
              <w:spacing w:after="40" w:before="0" w:line="259" w:lineRule="auto"/>
            </w:pPr>
            <w:r>
              <w:rPr>
                <w:rFonts w:ascii="Calibri" w:hAnsi="Calibri"/>
                <w:b w:val="0"/>
                <w:i w:val="0"/>
                <w:color w:val="212121"/>
                <w:sz w:val="19"/>
              </w:rPr>
              <w:t>&gt; 100 bpm / uncontrolled AF</w:t>
            </w:r>
          </w:p>
        </w:tc>
        <w:tc>
          <w:tcPr>
            <w:tcW w:type="dxa" w:w="1468"/>
            <w:vAlign w:val="top"/>
          </w:tcPr>
          <w:p>
            <w:pPr>
              <w:spacing w:after="40" w:before="0" w:line="259" w:lineRule="auto"/>
            </w:pPr>
            <w:r>
              <w:rPr>
                <w:rFonts w:ascii="Calibri" w:hAnsi="Calibri"/>
                <w:b w:val="0"/>
                <w:i w:val="0"/>
                <w:color w:val="212121"/>
                <w:sz w:val="19"/>
              </w:rPr>
              <w:t>Tachycardia shortens diastolic filling and raises transmitral gradient</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Secondary penicillin prophylaxis adherence</w:t>
            </w:r>
          </w:p>
        </w:tc>
        <w:tc>
          <w:tcPr>
            <w:tcW w:type="dxa" w:w="1655"/>
            <w:vAlign w:val="top"/>
          </w:tcPr>
          <w:p>
            <w:pPr>
              <w:spacing w:after="40" w:before="0" w:line="259" w:lineRule="auto"/>
            </w:pPr>
            <w:r>
              <w:rPr>
                <w:rFonts w:ascii="Calibri" w:hAnsi="Calibri"/>
                <w:b w:val="0"/>
                <w:i w:val="0"/>
                <w:color w:val="212121"/>
                <w:sz w:val="19"/>
              </w:rPr>
              <w:t>RHD patients</w:t>
            </w:r>
          </w:p>
        </w:tc>
        <w:tc>
          <w:tcPr>
            <w:tcW w:type="dxa" w:w="1512"/>
            <w:vAlign w:val="top"/>
          </w:tcPr>
          <w:p>
            <w:pPr>
              <w:spacing w:after="40" w:before="0" w:line="259" w:lineRule="auto"/>
            </w:pPr>
            <w:r>
              <w:rPr>
                <w:rFonts w:ascii="Calibri" w:hAnsi="Calibri"/>
                <w:b w:val="0"/>
                <w:i w:val="0"/>
                <w:color w:val="212121"/>
                <w:sz w:val="19"/>
              </w:rPr>
              <w:t>On-time benzathine penicillin every 3–4 weeks</w:t>
            </w:r>
          </w:p>
        </w:tc>
        <w:tc>
          <w:tcPr>
            <w:tcW w:type="dxa" w:w="1512"/>
            <w:vAlign w:val="top"/>
          </w:tcPr>
          <w:p>
            <w:pPr>
              <w:spacing w:after="40" w:before="0" w:line="259" w:lineRule="auto"/>
            </w:pPr>
            <w:r>
              <w:rPr>
                <w:rFonts w:ascii="Calibri" w:hAnsi="Calibri"/>
                <w:b w:val="0"/>
                <w:i w:val="0"/>
                <w:color w:val="212121"/>
                <w:sz w:val="19"/>
              </w:rPr>
              <w:t>Missed / irregular injections</w:t>
            </w:r>
          </w:p>
        </w:tc>
        <w:tc>
          <w:tcPr>
            <w:tcW w:type="dxa" w:w="1468"/>
            <w:vAlign w:val="top"/>
          </w:tcPr>
          <w:p>
            <w:pPr>
              <w:spacing w:after="60" w:line="259" w:lineRule="auto"/>
            </w:pPr>
            <w:r>
              <w:rPr>
                <w:rFonts w:ascii="Calibri" w:hAnsi="Calibri"/>
                <w:b w:val="0"/>
                <w:i w:val="0"/>
                <w:color w:val="212121"/>
                <w:sz w:val="19"/>
              </w:rPr>
              <w:t>Adherence prevents recurrent rheumatic fever and further valve damage</w:t>
            </w:r>
          </w:p>
          <w:p>
            <w:pPr>
              <w:spacing w:after="40" w:line="252" w:lineRule="auto"/>
            </w:pPr>
            <w:hyperlink r:id="rId14">
              <w:r>
                <w:rPr>
                  <w:rFonts w:ascii="Calibri" w:hAnsi="Calibri" w:cs="Calibri"/>
                  <w:sz w:val="18"/>
                  <w:color w:val="1155CC"/>
                  <w:u w:val="single"/>
                </w:rPr>
                <w:t xml:space="preserve">https://www.who.int/news-room/fact-sheets/detail/rheumatic-heart-disease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Dental review / oral health</w:t>
            </w:r>
          </w:p>
        </w:tc>
        <w:tc>
          <w:tcPr>
            <w:tcW w:type="dxa" w:w="1655"/>
            <w:vAlign w:val="top"/>
          </w:tcPr>
          <w:p>
            <w:pPr>
              <w:spacing w:after="40" w:before="0" w:line="259" w:lineRule="auto"/>
            </w:pPr>
            <w:r>
              <w:rPr>
                <w:rFonts w:ascii="Calibri" w:hAnsi="Calibri"/>
                <w:b w:val="0"/>
                <w:i w:val="0"/>
                <w:color w:val="212121"/>
                <w:sz w:val="19"/>
              </w:rPr>
              <w:t>All valve &amp; prosthesis patients</w:t>
            </w:r>
          </w:p>
        </w:tc>
        <w:tc>
          <w:tcPr>
            <w:tcW w:type="dxa" w:w="1512"/>
            <w:vAlign w:val="top"/>
          </w:tcPr>
          <w:p>
            <w:pPr>
              <w:spacing w:after="40" w:before="0" w:line="259" w:lineRule="auto"/>
            </w:pPr>
            <w:r>
              <w:rPr>
                <w:rFonts w:ascii="Calibri" w:hAnsi="Calibri"/>
                <w:b w:val="0"/>
                <w:i w:val="0"/>
                <w:color w:val="212121"/>
                <w:sz w:val="19"/>
              </w:rPr>
              <w:t>Routine dental care; good oral hygiene</w:t>
            </w:r>
          </w:p>
        </w:tc>
        <w:tc>
          <w:tcPr>
            <w:tcW w:type="dxa" w:w="1512"/>
            <w:vAlign w:val="top"/>
          </w:tcPr>
          <w:p>
            <w:pPr>
              <w:spacing w:after="40" w:before="0" w:line="259" w:lineRule="auto"/>
            </w:pPr>
            <w:r>
              <w:rPr>
                <w:rFonts w:ascii="Calibri" w:hAnsi="Calibri"/>
                <w:b w:val="0"/>
                <w:i w:val="0"/>
                <w:color w:val="212121"/>
                <w:sz w:val="19"/>
              </w:rPr>
              <w:t>Untreated dental sepsis / poor oral hygiene</w:t>
            </w:r>
          </w:p>
        </w:tc>
        <w:tc>
          <w:tcPr>
            <w:tcW w:type="dxa" w:w="1468"/>
            <w:vAlign w:val="top"/>
          </w:tcPr>
          <w:p>
            <w:pPr>
              <w:spacing w:after="40" w:before="0" w:line="259" w:lineRule="auto"/>
            </w:pPr>
            <w:r>
              <w:rPr>
                <w:rFonts w:ascii="Calibri" w:hAnsi="Calibri"/>
                <w:b w:val="0"/>
                <w:i w:val="0"/>
                <w:color w:val="212121"/>
                <w:sz w:val="19"/>
              </w:rPr>
              <w:t>Reduces the risk of infective endocarditis on abnormal valves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INR (if on vitamin-K antagonist)</w:t>
            </w:r>
          </w:p>
        </w:tc>
        <w:tc>
          <w:tcPr>
            <w:tcW w:type="dxa" w:w="1655"/>
            <w:vAlign w:val="top"/>
          </w:tcPr>
          <w:p>
            <w:pPr>
              <w:spacing w:after="40" w:before="0" w:line="259" w:lineRule="auto"/>
            </w:pPr>
            <w:r>
              <w:rPr>
                <w:rFonts w:ascii="Calibri" w:hAnsi="Calibri"/>
                <w:b w:val="0"/>
                <w:i w:val="0"/>
                <w:color w:val="212121"/>
                <w:sz w:val="19"/>
              </w:rPr>
              <w:t>Mechanical valve / valvular AF</w:t>
            </w:r>
          </w:p>
        </w:tc>
        <w:tc>
          <w:tcPr>
            <w:tcW w:type="dxa" w:w="1512"/>
            <w:vAlign w:val="top"/>
          </w:tcPr>
          <w:p>
            <w:pPr>
              <w:spacing w:after="40" w:before="0" w:line="259" w:lineRule="auto"/>
            </w:pPr>
            <w:r>
              <w:rPr>
                <w:rFonts w:ascii="Calibri" w:hAnsi="Calibri"/>
                <w:b w:val="0"/>
                <w:i w:val="0"/>
                <w:color w:val="212121"/>
                <w:sz w:val="19"/>
              </w:rPr>
              <w:t>Target range per valve type (often 2.5–3.5)</w:t>
            </w:r>
          </w:p>
        </w:tc>
        <w:tc>
          <w:tcPr>
            <w:tcW w:type="dxa" w:w="1512"/>
            <w:vAlign w:val="top"/>
          </w:tcPr>
          <w:p>
            <w:pPr>
              <w:spacing w:after="40" w:before="0" w:line="259" w:lineRule="auto"/>
            </w:pPr>
            <w:r>
              <w:rPr>
                <w:rFonts w:ascii="Calibri" w:hAnsi="Calibri"/>
                <w:b w:val="0"/>
                <w:i w:val="0"/>
                <w:color w:val="212121"/>
                <w:sz w:val="19"/>
              </w:rPr>
              <w:t>Sub- or supra-therapeutic INR</w:t>
            </w:r>
          </w:p>
        </w:tc>
        <w:tc>
          <w:tcPr>
            <w:tcW w:type="dxa" w:w="1468"/>
            <w:vAlign w:val="top"/>
          </w:tcPr>
          <w:p>
            <w:pPr>
              <w:spacing w:after="40" w:before="0" w:line="259" w:lineRule="auto"/>
            </w:pPr>
            <w:r>
              <w:rPr>
                <w:rFonts w:ascii="Calibri" w:hAnsi="Calibri"/>
                <w:b w:val="0"/>
                <w:i w:val="0"/>
                <w:color w:val="212121"/>
                <w:sz w:val="19"/>
              </w:rPr>
              <w:t>Poor control risks valve thrombosis, embolism or bleeding</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Valve area, gradient, regurgitant severity</w:t>
            </w:r>
          </w:p>
        </w:tc>
        <w:tc>
          <w:tcPr>
            <w:tcW w:type="dxa" w:w="892"/>
            <w:vAlign w:val="top"/>
          </w:tcPr>
          <w:p>
            <w:pPr>
              <w:spacing w:after="40" w:before="0" w:line="259" w:lineRule="auto"/>
            </w:pPr>
            <w:r>
              <w:rPr>
                <w:rFonts w:ascii="Calibri" w:hAnsi="Calibri"/>
                <w:b w:val="0"/>
                <w:i w:val="0"/>
                <w:color w:val="212121"/>
                <w:sz w:val="16"/>
              </w:rPr>
              <w:t>Transthoracic Echocardiography (TTE) with Doppler</w:t>
            </w:r>
          </w:p>
        </w:tc>
        <w:tc>
          <w:tcPr>
            <w:tcW w:type="dxa" w:w="950"/>
            <w:vAlign w:val="top"/>
          </w:tcPr>
          <w:p>
            <w:pPr>
              <w:spacing w:after="40" w:before="0" w:line="259" w:lineRule="auto"/>
            </w:pPr>
            <w:r>
              <w:rPr>
                <w:rFonts w:ascii="Calibri" w:hAnsi="Calibri"/>
                <w:b w:val="0"/>
                <w:i w:val="0"/>
                <w:color w:val="212121"/>
                <w:sz w:val="16"/>
              </w:rPr>
              <w:t>MV area 4–5 cm²; AV area 3–4 cm²; no significant regurgitation</w:t>
            </w:r>
          </w:p>
        </w:tc>
        <w:tc>
          <w:tcPr>
            <w:tcW w:type="dxa" w:w="950"/>
            <w:vAlign w:val="top"/>
          </w:tcPr>
          <w:p>
            <w:pPr>
              <w:spacing w:after="40" w:before="0" w:line="259" w:lineRule="auto"/>
            </w:pPr>
            <w:r>
              <w:rPr>
                <w:rFonts w:ascii="Calibri" w:hAnsi="Calibri"/>
                <w:b w:val="0"/>
                <w:i w:val="0"/>
                <w:color w:val="212121"/>
                <w:sz w:val="16"/>
              </w:rPr>
              <w:t>Severe MS ≤ 1.5 cm²; severe AS &lt; 1.0 cm² / mean gradient ≥ 40 mmHg; severe MR/AR</w:t>
            </w:r>
          </w:p>
        </w:tc>
        <w:tc>
          <w:tcPr>
            <w:tcW w:type="dxa" w:w="1036"/>
            <w:vAlign w:val="top"/>
          </w:tcPr>
          <w:p>
            <w:pPr>
              <w:spacing w:after="40" w:before="0" w:line="259" w:lineRule="auto"/>
            </w:pPr>
            <w:r>
              <w:rPr>
                <w:rFonts w:ascii="Calibri" w:hAnsi="Calibri"/>
                <w:b w:val="0"/>
                <w:i w:val="0"/>
                <w:color w:val="212121"/>
                <w:sz w:val="16"/>
              </w:rPr>
              <w:t>Confirms lesion, quantifies severity and chamber effect; primary diagnostic and monitoring tool</w:t>
            </w:r>
          </w:p>
        </w:tc>
        <w:tc>
          <w:tcPr>
            <w:tcW w:type="dxa" w:w="1036"/>
            <w:vAlign w:val="top"/>
          </w:tcPr>
          <w:p>
            <w:pPr>
              <w:spacing w:after="40" w:before="0" w:line="259" w:lineRule="auto"/>
            </w:pPr>
            <w:r>
              <w:rPr>
                <w:rFonts w:ascii="Calibri" w:hAnsi="Calibri"/>
                <w:b w:val="0"/>
                <w:i w:val="0"/>
                <w:color w:val="212121"/>
                <w:sz w:val="16"/>
              </w:rPr>
              <w:t>All suspected/known valve disease, murmurs, RHD, breathless patients</w:t>
            </w:r>
          </w:p>
        </w:tc>
        <w:tc>
          <w:tcPr>
            <w:tcW w:type="dxa" w:w="720"/>
            <w:vAlign w:val="top"/>
          </w:tcPr>
          <w:p>
            <w:pPr>
              <w:spacing w:after="40" w:before="0" w:line="259" w:lineRule="auto"/>
            </w:pPr>
            <w:r>
              <w:rPr>
                <w:rFonts w:ascii="Calibri" w:hAnsi="Calibri"/>
                <w:b w:val="0"/>
                <w:i w:val="0"/>
                <w:color w:val="212121"/>
                <w:sz w:val="16"/>
              </w:rPr>
              <w:t>Physical activity; 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Repeat interval set by severity and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Valve morphology, LA thrombus, vegetations</w:t>
            </w:r>
          </w:p>
        </w:tc>
        <w:tc>
          <w:tcPr>
            <w:tcW w:type="dxa" w:w="892"/>
            <w:vAlign w:val="top"/>
          </w:tcPr>
          <w:p>
            <w:pPr>
              <w:spacing w:after="40" w:before="0" w:line="259" w:lineRule="auto"/>
            </w:pPr>
            <w:r>
              <w:rPr>
                <w:rFonts w:ascii="Calibri" w:hAnsi="Calibri"/>
                <w:b w:val="0"/>
                <w:i w:val="0"/>
                <w:color w:val="212121"/>
                <w:sz w:val="16"/>
              </w:rPr>
              <w:t>Transoesophageal Echocardiography (TEE)</w:t>
            </w:r>
          </w:p>
        </w:tc>
        <w:tc>
          <w:tcPr>
            <w:tcW w:type="dxa" w:w="950"/>
            <w:vAlign w:val="top"/>
          </w:tcPr>
          <w:p>
            <w:pPr>
              <w:spacing w:after="40" w:before="0" w:line="259" w:lineRule="auto"/>
            </w:pPr>
            <w:r>
              <w:rPr>
                <w:rFonts w:ascii="Calibri" w:hAnsi="Calibri"/>
                <w:b w:val="0"/>
                <w:i w:val="0"/>
                <w:color w:val="212121"/>
                <w:sz w:val="16"/>
              </w:rPr>
              <w:t>No thrombus / vegetation; suitable anatomy</w:t>
            </w:r>
          </w:p>
        </w:tc>
        <w:tc>
          <w:tcPr>
            <w:tcW w:type="dxa" w:w="950"/>
            <w:vAlign w:val="top"/>
          </w:tcPr>
          <w:p>
            <w:pPr>
              <w:spacing w:after="40" w:before="0" w:line="259" w:lineRule="auto"/>
            </w:pPr>
            <w:r>
              <w:rPr>
                <w:rFonts w:ascii="Calibri" w:hAnsi="Calibri"/>
                <w:b w:val="0"/>
                <w:i w:val="0"/>
                <w:color w:val="212121"/>
                <w:sz w:val="16"/>
              </w:rPr>
              <w:t>Left-atrial appendage thrombus, vegetations, unsuitable valve</w:t>
            </w:r>
          </w:p>
        </w:tc>
        <w:tc>
          <w:tcPr>
            <w:tcW w:type="dxa" w:w="1036"/>
            <w:vAlign w:val="top"/>
          </w:tcPr>
          <w:p>
            <w:pPr>
              <w:spacing w:after="40" w:before="0" w:line="259" w:lineRule="auto"/>
            </w:pPr>
            <w:r>
              <w:rPr>
                <w:rFonts w:ascii="Calibri" w:hAnsi="Calibri"/>
                <w:b w:val="0"/>
                <w:i w:val="0"/>
                <w:color w:val="212121"/>
                <w:sz w:val="16"/>
              </w:rPr>
              <w:t>Higher-resolution assessment before balloon valvotomy, surgery or when endocarditis suspected</w:t>
            </w:r>
          </w:p>
        </w:tc>
        <w:tc>
          <w:tcPr>
            <w:tcW w:type="dxa" w:w="1036"/>
            <w:vAlign w:val="top"/>
          </w:tcPr>
          <w:p>
            <w:pPr>
              <w:spacing w:after="40" w:before="0" w:line="259" w:lineRule="auto"/>
            </w:pPr>
            <w:r>
              <w:rPr>
                <w:rFonts w:ascii="Calibri" w:hAnsi="Calibri"/>
                <w:b w:val="0"/>
                <w:i w:val="0"/>
                <w:color w:val="212121"/>
                <w:sz w:val="16"/>
              </w:rPr>
              <w:t>Pre-intervention MS, suspected endocarditis, AF with embolism</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Semi-invasive; needs sedation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Rhythm, LA enlargement, LVH</w:t>
            </w:r>
          </w:p>
        </w:tc>
        <w:tc>
          <w:tcPr>
            <w:tcW w:type="dxa" w:w="892"/>
            <w:vAlign w:val="top"/>
          </w:tcPr>
          <w:p>
            <w:pPr>
              <w:spacing w:after="40" w:before="0" w:line="259" w:lineRule="auto"/>
            </w:pPr>
            <w:r>
              <w:rPr>
                <w:rFonts w:ascii="Calibri" w:hAnsi="Calibri"/>
                <w:b w:val="0"/>
                <w:i w:val="0"/>
                <w:color w:val="212121"/>
                <w:sz w:val="16"/>
              </w:rPr>
              <w:t>Electrocardiogram (ECG)</w:t>
            </w:r>
          </w:p>
        </w:tc>
        <w:tc>
          <w:tcPr>
            <w:tcW w:type="dxa" w:w="950"/>
            <w:vAlign w:val="top"/>
          </w:tcPr>
          <w:p>
            <w:pPr>
              <w:spacing w:after="40" w:before="0" w:line="259" w:lineRule="auto"/>
            </w:pPr>
            <w:r>
              <w:rPr>
                <w:rFonts w:ascii="Calibri" w:hAnsi="Calibri"/>
                <w:b w:val="0"/>
                <w:i w:val="0"/>
                <w:color w:val="212121"/>
                <w:sz w:val="16"/>
              </w:rPr>
              <w:t>Sinus rhythm; normal axis/voltage</w:t>
            </w:r>
          </w:p>
        </w:tc>
        <w:tc>
          <w:tcPr>
            <w:tcW w:type="dxa" w:w="950"/>
            <w:vAlign w:val="top"/>
          </w:tcPr>
          <w:p>
            <w:pPr>
              <w:spacing w:after="40" w:before="0" w:line="259" w:lineRule="auto"/>
            </w:pPr>
            <w:r>
              <w:rPr>
                <w:rFonts w:ascii="Calibri" w:hAnsi="Calibri"/>
                <w:b w:val="0"/>
                <w:i w:val="0"/>
                <w:color w:val="212121"/>
                <w:sz w:val="16"/>
              </w:rPr>
              <w:t>'P-mitrale', atrial fibrillation, LV/RV hypertrophy, RV strain</w:t>
            </w:r>
          </w:p>
        </w:tc>
        <w:tc>
          <w:tcPr>
            <w:tcW w:type="dxa" w:w="1036"/>
            <w:vAlign w:val="top"/>
          </w:tcPr>
          <w:p>
            <w:pPr>
              <w:spacing w:after="40" w:before="0" w:line="259" w:lineRule="auto"/>
            </w:pPr>
            <w:r>
              <w:rPr>
                <w:rFonts w:ascii="Calibri" w:hAnsi="Calibri"/>
                <w:b w:val="0"/>
                <w:i w:val="0"/>
                <w:color w:val="212121"/>
                <w:sz w:val="16"/>
              </w:rPr>
              <w:t>Detects atrial fibrillation and chamber overload complicating valve disease</w:t>
            </w:r>
          </w:p>
        </w:tc>
        <w:tc>
          <w:tcPr>
            <w:tcW w:type="dxa" w:w="1036"/>
            <w:vAlign w:val="top"/>
          </w:tcPr>
          <w:p>
            <w:pPr>
              <w:spacing w:after="40" w:before="0" w:line="259" w:lineRule="auto"/>
            </w:pPr>
            <w:r>
              <w:rPr>
                <w:rFonts w:ascii="Calibri" w:hAnsi="Calibri"/>
                <w:b w:val="0"/>
                <w:i w:val="0"/>
                <w:color w:val="212121"/>
                <w:sz w:val="16"/>
              </w:rPr>
              <w:t>All valve patients, palpitations, pre-op</w:t>
            </w:r>
          </w:p>
        </w:tc>
        <w:tc>
          <w:tcPr>
            <w:tcW w:type="dxa" w:w="720"/>
            <w:vAlign w:val="top"/>
          </w:tcPr>
          <w:p>
            <w:pPr>
              <w:spacing w:after="40" w:before="0" w:line="259" w:lineRule="auto"/>
            </w:pPr>
            <w:r>
              <w:rPr>
                <w:rFonts w:ascii="Calibri" w:hAnsi="Calibri"/>
                <w:b w:val="0"/>
                <w:i w:val="0"/>
                <w:color w:val="212121"/>
                <w:sz w:val="16"/>
              </w:rPr>
              <w:t>Caffeine;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AF markedly raises embolic risk</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Cardiac silhouette, pulmonary congestion, calcification</w:t>
            </w:r>
          </w:p>
        </w:tc>
        <w:tc>
          <w:tcPr>
            <w:tcW w:type="dxa" w:w="892"/>
            <w:vAlign w:val="top"/>
          </w:tcPr>
          <w:p>
            <w:pPr>
              <w:spacing w:after="40" w:before="0" w:line="259" w:lineRule="auto"/>
            </w:pPr>
            <w:r>
              <w:rPr>
                <w:rFonts w:ascii="Calibri" w:hAnsi="Calibri"/>
                <w:b w:val="0"/>
                <w:i w:val="0"/>
                <w:color w:val="212121"/>
                <w:sz w:val="16"/>
              </w:rPr>
              <w:t>Chest X-ray (PA)</w:t>
            </w:r>
          </w:p>
        </w:tc>
        <w:tc>
          <w:tcPr>
            <w:tcW w:type="dxa" w:w="950"/>
            <w:vAlign w:val="top"/>
          </w:tcPr>
          <w:p>
            <w:pPr>
              <w:spacing w:after="40" w:before="0" w:line="259" w:lineRule="auto"/>
            </w:pPr>
            <w:r>
              <w:rPr>
                <w:rFonts w:ascii="Calibri" w:hAnsi="Calibri"/>
                <w:b w:val="0"/>
                <w:i w:val="0"/>
                <w:color w:val="212121"/>
                <w:sz w:val="16"/>
              </w:rPr>
              <w:t>Normal cardiothoracic ratio; clear lung fields</w:t>
            </w:r>
          </w:p>
        </w:tc>
        <w:tc>
          <w:tcPr>
            <w:tcW w:type="dxa" w:w="950"/>
            <w:vAlign w:val="top"/>
          </w:tcPr>
          <w:p>
            <w:pPr>
              <w:spacing w:after="40" w:before="0" w:line="259" w:lineRule="auto"/>
            </w:pPr>
            <w:r>
              <w:rPr>
                <w:rFonts w:ascii="Calibri" w:hAnsi="Calibri"/>
                <w:b w:val="0"/>
                <w:i w:val="0"/>
                <w:color w:val="212121"/>
                <w:sz w:val="16"/>
              </w:rPr>
              <w:t>LA/chamber enlargement, Kerley B lines, pulmonary congestion, valve calcification</w:t>
            </w:r>
          </w:p>
        </w:tc>
        <w:tc>
          <w:tcPr>
            <w:tcW w:type="dxa" w:w="1036"/>
            <w:vAlign w:val="top"/>
          </w:tcPr>
          <w:p>
            <w:pPr>
              <w:spacing w:after="40" w:before="0" w:line="259" w:lineRule="auto"/>
            </w:pPr>
            <w:r>
              <w:rPr>
                <w:rFonts w:ascii="Calibri" w:hAnsi="Calibri"/>
                <w:b w:val="0"/>
                <w:i w:val="0"/>
                <w:color w:val="212121"/>
                <w:sz w:val="16"/>
              </w:rPr>
              <w:t>Shows chamber enlargement and pulmonary venous congestion of decompensation</w:t>
            </w:r>
          </w:p>
        </w:tc>
        <w:tc>
          <w:tcPr>
            <w:tcW w:type="dxa" w:w="1036"/>
            <w:vAlign w:val="top"/>
          </w:tcPr>
          <w:p>
            <w:pPr>
              <w:spacing w:after="40" w:before="0" w:line="259" w:lineRule="auto"/>
            </w:pPr>
            <w:r>
              <w:rPr>
                <w:rFonts w:ascii="Calibri" w:hAnsi="Calibri"/>
                <w:b w:val="0"/>
                <w:i w:val="0"/>
                <w:color w:val="212121"/>
                <w:sz w:val="16"/>
              </w:rPr>
              <w:t>Breathless valve patients, heart failure</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Low cost, widely available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BNP / NT-proBNP</w:t>
            </w:r>
          </w:p>
        </w:tc>
        <w:tc>
          <w:tcPr>
            <w:tcW w:type="dxa" w:w="892"/>
            <w:vAlign w:val="top"/>
          </w:tcPr>
          <w:p>
            <w:pPr>
              <w:spacing w:after="40" w:before="0" w:line="259" w:lineRule="auto"/>
            </w:pPr>
            <w:r>
              <w:rPr>
                <w:rFonts w:ascii="Calibri" w:hAnsi="Calibri"/>
                <w:b w:val="0"/>
                <w:i w:val="0"/>
                <w:color w:val="212121"/>
                <w:sz w:val="16"/>
              </w:rPr>
              <w:t>Natriuretic peptide</w:t>
            </w:r>
          </w:p>
        </w:tc>
        <w:tc>
          <w:tcPr>
            <w:tcW w:type="dxa" w:w="950"/>
            <w:vAlign w:val="top"/>
          </w:tcPr>
          <w:p>
            <w:pPr>
              <w:spacing w:after="40" w:before="0" w:line="259" w:lineRule="auto"/>
            </w:pPr>
            <w:r>
              <w:rPr>
                <w:rFonts w:ascii="Calibri" w:hAnsi="Calibri"/>
                <w:b w:val="0"/>
                <w:i w:val="0"/>
                <w:color w:val="212121"/>
                <w:sz w:val="16"/>
              </w:rPr>
              <w:t>BNP &lt; 100 pg/mL; NT-proBNP &lt; 125 pg/mL</w:t>
            </w:r>
          </w:p>
        </w:tc>
        <w:tc>
          <w:tcPr>
            <w:tcW w:type="dxa" w:w="950"/>
            <w:vAlign w:val="top"/>
          </w:tcPr>
          <w:p>
            <w:pPr>
              <w:spacing w:after="40" w:before="0" w:line="259" w:lineRule="auto"/>
            </w:pPr>
            <w:r>
              <w:rPr>
                <w:rFonts w:ascii="Calibri" w:hAnsi="Calibri"/>
                <w:b w:val="0"/>
                <w:i w:val="0"/>
                <w:color w:val="212121"/>
                <w:sz w:val="16"/>
              </w:rPr>
              <w:t>Elevated and rising</w:t>
            </w:r>
          </w:p>
        </w:tc>
        <w:tc>
          <w:tcPr>
            <w:tcW w:type="dxa" w:w="1036"/>
            <w:vAlign w:val="top"/>
          </w:tcPr>
          <w:p>
            <w:pPr>
              <w:spacing w:after="40" w:before="0" w:line="259" w:lineRule="auto"/>
            </w:pPr>
            <w:r>
              <w:rPr>
                <w:rFonts w:ascii="Calibri" w:hAnsi="Calibri"/>
                <w:b w:val="0"/>
                <w:i w:val="0"/>
                <w:color w:val="212121"/>
                <w:sz w:val="16"/>
              </w:rPr>
              <w:t>Reflects haemodynamic overload and heart-failure severity; aids timing of intervention</w:t>
            </w:r>
          </w:p>
        </w:tc>
        <w:tc>
          <w:tcPr>
            <w:tcW w:type="dxa" w:w="1036"/>
            <w:vAlign w:val="top"/>
          </w:tcPr>
          <w:p>
            <w:pPr>
              <w:spacing w:after="40" w:before="0" w:line="259" w:lineRule="auto"/>
            </w:pPr>
            <w:r>
              <w:rPr>
                <w:rFonts w:ascii="Calibri" w:hAnsi="Calibri"/>
                <w:b w:val="0"/>
                <w:i w:val="0"/>
                <w:color w:val="212121"/>
                <w:sz w:val="16"/>
              </w:rPr>
              <w:t>Symptomatic valve disease, monitoring</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Rises with age and renal impairment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ASO titre, ESR/CRP</w:t>
            </w:r>
          </w:p>
        </w:tc>
        <w:tc>
          <w:tcPr>
            <w:tcW w:type="dxa" w:w="892"/>
            <w:vAlign w:val="top"/>
          </w:tcPr>
          <w:p>
            <w:pPr>
              <w:spacing w:after="40" w:before="0" w:line="259" w:lineRule="auto"/>
            </w:pPr>
            <w:r>
              <w:rPr>
                <w:rFonts w:ascii="Calibri" w:hAnsi="Calibri"/>
                <w:b w:val="0"/>
                <w:i w:val="0"/>
                <w:color w:val="212121"/>
                <w:sz w:val="16"/>
              </w:rPr>
              <w:t>Streptococcal/inflammatory markers</w:t>
            </w:r>
          </w:p>
        </w:tc>
        <w:tc>
          <w:tcPr>
            <w:tcW w:type="dxa" w:w="950"/>
            <w:vAlign w:val="top"/>
          </w:tcPr>
          <w:p>
            <w:pPr>
              <w:spacing w:after="40" w:before="0" w:line="259" w:lineRule="auto"/>
            </w:pPr>
            <w:r>
              <w:rPr>
                <w:rFonts w:ascii="Calibri" w:hAnsi="Calibri"/>
                <w:b w:val="0"/>
                <w:i w:val="0"/>
                <w:color w:val="212121"/>
                <w:sz w:val="16"/>
              </w:rPr>
              <w:t>ASO not elevated; ESR/CRP normal</w:t>
            </w:r>
          </w:p>
        </w:tc>
        <w:tc>
          <w:tcPr>
            <w:tcW w:type="dxa" w:w="950"/>
            <w:vAlign w:val="top"/>
          </w:tcPr>
          <w:p>
            <w:pPr>
              <w:spacing w:after="40" w:before="0" w:line="259" w:lineRule="auto"/>
            </w:pPr>
            <w:r>
              <w:rPr>
                <w:rFonts w:ascii="Calibri" w:hAnsi="Calibri"/>
                <w:b w:val="0"/>
                <w:i w:val="0"/>
                <w:color w:val="212121"/>
                <w:sz w:val="16"/>
              </w:rPr>
              <w:t>Raised ASO/anti-DNase B; elevated ESR/CRP in acute rheumatic activity</w:t>
            </w:r>
          </w:p>
        </w:tc>
        <w:tc>
          <w:tcPr>
            <w:tcW w:type="dxa" w:w="1036"/>
            <w:vAlign w:val="top"/>
          </w:tcPr>
          <w:p>
            <w:pPr>
              <w:spacing w:after="40" w:before="0" w:line="259" w:lineRule="auto"/>
            </w:pPr>
            <w:r>
              <w:rPr>
                <w:rFonts w:ascii="Calibri" w:hAnsi="Calibri"/>
                <w:b w:val="0"/>
                <w:i w:val="0"/>
                <w:color w:val="212121"/>
                <w:sz w:val="16"/>
              </w:rPr>
              <w:t>Support evidence of recent streptococcal infection and active rheumatic carditis (Jones criteria)</w:t>
            </w:r>
          </w:p>
        </w:tc>
        <w:tc>
          <w:tcPr>
            <w:tcW w:type="dxa" w:w="1036"/>
            <w:vAlign w:val="top"/>
          </w:tcPr>
          <w:p>
            <w:pPr>
              <w:spacing w:after="40" w:before="0" w:line="259" w:lineRule="auto"/>
            </w:pPr>
            <w:r>
              <w:rPr>
                <w:rFonts w:ascii="Calibri" w:hAnsi="Calibri"/>
                <w:b w:val="0"/>
                <w:i w:val="0"/>
                <w:color w:val="212121"/>
                <w:sz w:val="16"/>
              </w:rPr>
              <w:t>Suspected acute rheumatic fever, young RHD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 (RF)</w:t>
            </w:r>
          </w:p>
        </w:tc>
        <w:tc>
          <w:tcPr>
            <w:tcW w:type="dxa" w:w="720"/>
            <w:vAlign w:val="top"/>
          </w:tcPr>
          <w:p>
            <w:pPr>
              <w:spacing w:after="40" w:before="0" w:line="259" w:lineRule="auto"/>
            </w:pPr>
            <w:r>
              <w:rPr>
                <w:rFonts w:ascii="Calibri" w:hAnsi="Calibri"/>
                <w:b w:val="0"/>
                <w:i w:val="0"/>
                <w:color w:val="212121"/>
                <w:sz w:val="16"/>
              </w:rPr>
              <w:t>Support, not stand-alone, for RF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Blood cultures</w:t>
            </w:r>
          </w:p>
        </w:tc>
        <w:tc>
          <w:tcPr>
            <w:tcW w:type="dxa" w:w="892"/>
            <w:vAlign w:val="top"/>
          </w:tcPr>
          <w:p>
            <w:pPr>
              <w:spacing w:after="40" w:before="0" w:line="259" w:lineRule="auto"/>
            </w:pPr>
            <w:r>
              <w:rPr>
                <w:rFonts w:ascii="Calibri" w:hAnsi="Calibri"/>
                <w:b w:val="0"/>
                <w:i w:val="0"/>
                <w:color w:val="212121"/>
                <w:sz w:val="16"/>
              </w:rPr>
              <w:t>Blood culture set</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Sustained bacteraemia (e.g., viridans streptococci, Staphylococcus aureus)</w:t>
            </w:r>
          </w:p>
        </w:tc>
        <w:tc>
          <w:tcPr>
            <w:tcW w:type="dxa" w:w="1036"/>
            <w:vAlign w:val="top"/>
          </w:tcPr>
          <w:p>
            <w:pPr>
              <w:spacing w:after="40" w:before="0" w:line="259" w:lineRule="auto"/>
            </w:pPr>
            <w:r>
              <w:rPr>
                <w:rFonts w:ascii="Calibri" w:hAnsi="Calibri"/>
                <w:b w:val="0"/>
                <w:i w:val="0"/>
                <w:color w:val="212121"/>
                <w:sz w:val="16"/>
              </w:rPr>
              <w:t>Identifies causative organism in infective endocarditis complicating valve disease</w:t>
            </w:r>
          </w:p>
        </w:tc>
        <w:tc>
          <w:tcPr>
            <w:tcW w:type="dxa" w:w="1036"/>
            <w:vAlign w:val="top"/>
          </w:tcPr>
          <w:p>
            <w:pPr>
              <w:spacing w:after="40" w:before="0" w:line="259" w:lineRule="auto"/>
            </w:pPr>
            <w:r>
              <w:rPr>
                <w:rFonts w:ascii="Calibri" w:hAnsi="Calibri"/>
                <w:b w:val="0"/>
                <w:i w:val="0"/>
                <w:color w:val="212121"/>
                <w:sz w:val="16"/>
              </w:rPr>
              <w:t>Fever with new/changed murmur, prosthesis, IVDU</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 (IE)</w:t>
            </w:r>
          </w:p>
        </w:tc>
        <w:tc>
          <w:tcPr>
            <w:tcW w:type="dxa" w:w="720"/>
            <w:vAlign w:val="top"/>
          </w:tcPr>
          <w:p>
            <w:pPr>
              <w:spacing w:after="40" w:before="0" w:line="259" w:lineRule="auto"/>
            </w:pPr>
            <w:r>
              <w:rPr>
                <w:rFonts w:ascii="Calibri" w:hAnsi="Calibri"/>
                <w:b w:val="0"/>
                <w:i w:val="0"/>
                <w:color w:val="212121"/>
                <w:sz w:val="16"/>
              </w:rPr>
              <w:t>Three sets before antibiotics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Haemodynamic</w:t>
            </w:r>
          </w:p>
        </w:tc>
        <w:tc>
          <w:tcPr>
            <w:tcW w:type="dxa" w:w="1036"/>
            <w:vAlign w:val="top"/>
          </w:tcPr>
          <w:p>
            <w:pPr>
              <w:spacing w:after="40" w:before="0" w:line="259" w:lineRule="auto"/>
            </w:pPr>
            <w:r>
              <w:rPr>
                <w:rFonts w:ascii="Calibri" w:hAnsi="Calibri"/>
                <w:b w:val="0"/>
                <w:i w:val="0"/>
                <w:color w:val="212121"/>
                <w:sz w:val="16"/>
              </w:rPr>
              <w:t>Chamber pressures, gradients, coronaries</w:t>
            </w:r>
          </w:p>
        </w:tc>
        <w:tc>
          <w:tcPr>
            <w:tcW w:type="dxa" w:w="892"/>
            <w:vAlign w:val="top"/>
          </w:tcPr>
          <w:p>
            <w:pPr>
              <w:spacing w:after="40" w:before="0" w:line="259" w:lineRule="auto"/>
            </w:pPr>
            <w:r>
              <w:rPr>
                <w:rFonts w:ascii="Calibri" w:hAnsi="Calibri"/>
                <w:b w:val="0"/>
                <w:i w:val="0"/>
                <w:color w:val="212121"/>
                <w:sz w:val="16"/>
              </w:rPr>
              <w:t>Cardiac catheterisation / coronary angiography</w:t>
            </w:r>
          </w:p>
        </w:tc>
        <w:tc>
          <w:tcPr>
            <w:tcW w:type="dxa" w:w="950"/>
            <w:vAlign w:val="top"/>
          </w:tcPr>
          <w:p>
            <w:pPr>
              <w:spacing w:after="40" w:before="0" w:line="259" w:lineRule="auto"/>
            </w:pPr>
            <w:r>
              <w:rPr>
                <w:rFonts w:ascii="Calibri" w:hAnsi="Calibri"/>
                <w:b w:val="0"/>
                <w:i w:val="0"/>
                <w:color w:val="212121"/>
                <w:sz w:val="16"/>
              </w:rPr>
              <w:t>Normal pressures/gradients; patent coronaries</w:t>
            </w:r>
          </w:p>
        </w:tc>
        <w:tc>
          <w:tcPr>
            <w:tcW w:type="dxa" w:w="950"/>
            <w:vAlign w:val="top"/>
          </w:tcPr>
          <w:p>
            <w:pPr>
              <w:spacing w:after="40" w:before="0" w:line="259" w:lineRule="auto"/>
            </w:pPr>
            <w:r>
              <w:rPr>
                <w:rFonts w:ascii="Calibri" w:hAnsi="Calibri"/>
                <w:b w:val="0"/>
                <w:i w:val="0"/>
                <w:color w:val="212121"/>
                <w:sz w:val="16"/>
              </w:rPr>
              <w:t>High transvalvular gradient; coexistent coronary disease</w:t>
            </w:r>
          </w:p>
        </w:tc>
        <w:tc>
          <w:tcPr>
            <w:tcW w:type="dxa" w:w="1036"/>
            <w:vAlign w:val="top"/>
          </w:tcPr>
          <w:p>
            <w:pPr>
              <w:spacing w:after="40" w:before="0" w:line="259" w:lineRule="auto"/>
            </w:pPr>
            <w:r>
              <w:rPr>
                <w:rFonts w:ascii="Calibri" w:hAnsi="Calibri"/>
                <w:b w:val="0"/>
                <w:i w:val="0"/>
                <w:color w:val="212121"/>
                <w:sz w:val="16"/>
              </w:rPr>
              <w:t>Resolves discordant echo findings and screens coronaries before valve surgery</w:t>
            </w:r>
          </w:p>
        </w:tc>
        <w:tc>
          <w:tcPr>
            <w:tcW w:type="dxa" w:w="1036"/>
            <w:vAlign w:val="top"/>
          </w:tcPr>
          <w:p>
            <w:pPr>
              <w:spacing w:after="40" w:before="0" w:line="259" w:lineRule="auto"/>
            </w:pPr>
            <w:r>
              <w:rPr>
                <w:rFonts w:ascii="Calibri" w:hAnsi="Calibri"/>
                <w:b w:val="0"/>
                <w:i w:val="0"/>
                <w:color w:val="212121"/>
                <w:sz w:val="16"/>
              </w:rPr>
              <w:t>Pre-operative adults, discordant severity</w:t>
            </w:r>
          </w:p>
        </w:tc>
        <w:tc>
          <w:tcPr>
            <w:tcW w:type="dxa" w:w="720"/>
            <w:vAlign w:val="top"/>
          </w:tcPr>
          <w:p>
            <w:pPr>
              <w:spacing w:after="40" w:before="0" w:line="259" w:lineRule="auto"/>
            </w:pPr>
            <w:r>
              <w:rPr>
                <w:rFonts w:ascii="Calibri" w:hAnsi="Calibri"/>
                <w:b w:val="0"/>
                <w:i w:val="0"/>
                <w:color w:val="212121"/>
                <w:sz w:val="16"/>
              </w:rPr>
              <w:t>Food; Smoking</w:t>
            </w:r>
          </w:p>
        </w:tc>
        <w:tc>
          <w:tcPr>
            <w:tcW w:type="dxa" w:w="720"/>
            <w:vAlign w:val="top"/>
          </w:tcPr>
          <w:p>
            <w:pPr>
              <w:spacing w:after="40" w:before="0" w:line="259" w:lineRule="auto"/>
            </w:pPr>
            <w:r>
              <w:rPr>
                <w:rFonts w:ascii="Calibri" w:hAnsi="Calibri"/>
                <w:b w:val="0"/>
                <w:i w:val="0"/>
                <w:color w:val="212121"/>
                <w:sz w:val="16"/>
              </w:rPr>
              <w:t>Pre-intervention</w:t>
            </w:r>
          </w:p>
        </w:tc>
        <w:tc>
          <w:tcPr>
            <w:tcW w:type="dxa" w:w="720"/>
            <w:vAlign w:val="top"/>
          </w:tcPr>
          <w:p>
            <w:pPr>
              <w:spacing w:after="40" w:before="0" w:line="259" w:lineRule="auto"/>
            </w:pPr>
            <w:r>
              <w:rPr>
                <w:rFonts w:ascii="Calibri" w:hAnsi="Calibri"/>
                <w:b w:val="0"/>
                <w:i w:val="0"/>
                <w:color w:val="212121"/>
                <w:sz w:val="16"/>
              </w:rPr>
              <w:t>Invasive; reserved for selected cases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Exertional dyspnoea, orthopnoea, palpitations, syncope, chest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Symptom onset marks haemodynamically significant disease and guides intervention timing</w:t>
            </w:r>
          </w:p>
        </w:tc>
        <w:tc>
          <w:tcPr>
            <w:tcW w:type="dxa" w:w="1036"/>
            <w:vAlign w:val="top"/>
          </w:tcPr>
          <w:p>
            <w:pPr>
              <w:spacing w:after="40" w:before="0" w:line="259" w:lineRule="auto"/>
            </w:pPr>
            <w:r>
              <w:rPr>
                <w:rFonts w:ascii="Calibri" w:hAnsi="Calibri"/>
                <w:b w:val="0"/>
                <w:i w:val="0"/>
                <w:color w:val="212121"/>
                <w:sz w:val="16"/>
              </w:rPr>
              <w:t>Adults with murmur, known RHD, breathless patients</w:t>
            </w:r>
          </w:p>
        </w:tc>
        <w:tc>
          <w:tcPr>
            <w:tcW w:type="dxa" w:w="720"/>
            <w:vAlign w:val="top"/>
          </w:tcPr>
          <w:p>
            <w:pPr>
              <w:spacing w:after="40" w:before="0" w:line="259" w:lineRule="auto"/>
            </w:pPr>
            <w:r>
              <w:rPr>
                <w:rFonts w:ascii="Calibri" w:hAnsi="Calibri"/>
                <w:b w:val="0"/>
                <w:i w:val="0"/>
                <w:color w:val="212121"/>
                <w:sz w:val="16"/>
              </w:rPr>
              <w:t>Physical activity;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Syncope/angina in AS is an ominous triad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Past history</w:t>
            </w:r>
          </w:p>
        </w:tc>
        <w:tc>
          <w:tcPr>
            <w:tcW w:type="dxa" w:w="979"/>
            <w:vAlign w:val="top"/>
          </w:tcPr>
          <w:p>
            <w:pPr>
              <w:spacing w:after="40" w:before="0" w:line="259" w:lineRule="auto"/>
            </w:pPr>
            <w:r>
              <w:rPr>
                <w:rFonts w:ascii="Calibri" w:hAnsi="Calibri"/>
                <w:b w:val="0"/>
                <w:i w:val="0"/>
                <w:color w:val="212121"/>
                <w:sz w:val="16"/>
              </w:rPr>
              <w:t>Prior rheumatic fever / recurrent sore throat / migratory joint pains</w:t>
            </w:r>
          </w:p>
        </w:tc>
        <w:tc>
          <w:tcPr>
            <w:tcW w:type="dxa" w:w="950"/>
            <w:vAlign w:val="top"/>
          </w:tcPr>
          <w:p>
            <w:pPr>
              <w:spacing w:after="40" w:before="0" w:line="259" w:lineRule="auto"/>
            </w:pPr>
            <w:r>
              <w:rPr>
                <w:rFonts w:ascii="Calibri" w:hAnsi="Calibri"/>
                <w:b w:val="0"/>
                <w:i w:val="0"/>
                <w:color w:val="212121"/>
                <w:sz w:val="16"/>
              </w:rPr>
              <w:t>No such history</w:t>
            </w:r>
          </w:p>
        </w:tc>
        <w:tc>
          <w:tcPr>
            <w:tcW w:type="dxa" w:w="950"/>
            <w:vAlign w:val="top"/>
          </w:tcPr>
          <w:p>
            <w:pPr>
              <w:spacing w:after="40" w:before="0" w:line="259" w:lineRule="auto"/>
            </w:pPr>
            <w:r>
              <w:rPr>
                <w:rFonts w:ascii="Calibri" w:hAnsi="Calibri"/>
                <w:b w:val="0"/>
                <w:i w:val="0"/>
                <w:color w:val="212121"/>
                <w:sz w:val="16"/>
              </w:rPr>
              <w:t>Documented or probable rheumatic fever, recurrent pharyngitis</w:t>
            </w:r>
          </w:p>
        </w:tc>
        <w:tc>
          <w:tcPr>
            <w:tcW w:type="dxa" w:w="1036"/>
            <w:vAlign w:val="top"/>
          </w:tcPr>
          <w:p>
            <w:pPr>
              <w:spacing w:after="40" w:before="0" w:line="259" w:lineRule="auto"/>
            </w:pPr>
            <w:r>
              <w:rPr>
                <w:rFonts w:ascii="Calibri" w:hAnsi="Calibri"/>
                <w:b w:val="0"/>
                <w:i w:val="0"/>
                <w:color w:val="212121"/>
                <w:sz w:val="16"/>
              </w:rPr>
              <w:t>Establishes rheumatic aetiology and need for secondary penicillin prophylaxis</w:t>
            </w:r>
          </w:p>
        </w:tc>
        <w:tc>
          <w:tcPr>
            <w:tcW w:type="dxa" w:w="1036"/>
            <w:vAlign w:val="top"/>
          </w:tcPr>
          <w:p>
            <w:pPr>
              <w:spacing w:after="40" w:before="0" w:line="259" w:lineRule="auto"/>
            </w:pPr>
            <w:r>
              <w:rPr>
                <w:rFonts w:ascii="Calibri" w:hAnsi="Calibri"/>
                <w:b w:val="0"/>
                <w:i w:val="0"/>
                <w:color w:val="212121"/>
                <w:sz w:val="16"/>
              </w:rPr>
              <w:t>Young valve patients, low-SES, RHD</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Ask about penicillin prophylaxis adherence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Auscultation</w:t>
            </w:r>
          </w:p>
        </w:tc>
        <w:tc>
          <w:tcPr>
            <w:tcW w:type="dxa" w:w="950"/>
            <w:vAlign w:val="top"/>
          </w:tcPr>
          <w:p>
            <w:pPr>
              <w:spacing w:after="40" w:before="0" w:line="259" w:lineRule="auto"/>
            </w:pPr>
            <w:r>
              <w:rPr>
                <w:rFonts w:ascii="Calibri" w:hAnsi="Calibri"/>
                <w:b w:val="0"/>
                <w:i w:val="0"/>
                <w:color w:val="212121"/>
                <w:sz w:val="16"/>
              </w:rPr>
              <w:t>Cardiac auscultation</w:t>
            </w:r>
          </w:p>
        </w:tc>
        <w:tc>
          <w:tcPr>
            <w:tcW w:type="dxa" w:w="979"/>
            <w:vAlign w:val="top"/>
          </w:tcPr>
          <w:p>
            <w:pPr>
              <w:spacing w:after="40" w:before="0" w:line="259" w:lineRule="auto"/>
            </w:pPr>
            <w:r>
              <w:rPr>
                <w:rFonts w:ascii="Calibri" w:hAnsi="Calibri"/>
                <w:b w:val="0"/>
                <w:i w:val="0"/>
                <w:color w:val="212121"/>
                <w:sz w:val="16"/>
              </w:rPr>
              <w:t>Murmur, opening snap, S1/S2, thrills</w:t>
            </w:r>
          </w:p>
        </w:tc>
        <w:tc>
          <w:tcPr>
            <w:tcW w:type="dxa" w:w="950"/>
            <w:vAlign w:val="top"/>
          </w:tcPr>
          <w:p>
            <w:pPr>
              <w:spacing w:after="40" w:before="0" w:line="259" w:lineRule="auto"/>
            </w:pPr>
            <w:r>
              <w:rPr>
                <w:rFonts w:ascii="Calibri" w:hAnsi="Calibri"/>
                <w:b w:val="0"/>
                <w:i w:val="0"/>
                <w:color w:val="212121"/>
                <w:sz w:val="16"/>
              </w:rPr>
              <w:t>Normal heart sounds, no murmur</w:t>
            </w:r>
          </w:p>
        </w:tc>
        <w:tc>
          <w:tcPr>
            <w:tcW w:type="dxa" w:w="950"/>
            <w:vAlign w:val="top"/>
          </w:tcPr>
          <w:p>
            <w:pPr>
              <w:spacing w:after="40" w:before="0" w:line="259" w:lineRule="auto"/>
            </w:pPr>
            <w:r>
              <w:rPr>
                <w:rFonts w:ascii="Calibri" w:hAnsi="Calibri"/>
                <w:b w:val="0"/>
                <w:i w:val="0"/>
                <w:color w:val="212121"/>
                <w:sz w:val="16"/>
              </w:rPr>
              <w:t>Mid-diastolic rumble + loud S1/opening snap (MS); ejection systolic murmur to carotids (AS); apical pansystolic to axilla (MR); early diastolic + wide pulse pressure (AR)</w:t>
            </w:r>
          </w:p>
        </w:tc>
        <w:tc>
          <w:tcPr>
            <w:tcW w:type="dxa" w:w="1036"/>
            <w:vAlign w:val="top"/>
          </w:tcPr>
          <w:p>
            <w:pPr>
              <w:spacing w:after="40" w:before="0" w:line="259" w:lineRule="auto"/>
            </w:pPr>
            <w:r>
              <w:rPr>
                <w:rFonts w:ascii="Calibri" w:hAnsi="Calibri"/>
                <w:b w:val="0"/>
                <w:i w:val="0"/>
                <w:color w:val="212121"/>
                <w:sz w:val="16"/>
              </w:rPr>
              <w:t>Localises the affected valve and lesion type before echocardiography</w:t>
            </w:r>
          </w:p>
        </w:tc>
        <w:tc>
          <w:tcPr>
            <w:tcW w:type="dxa" w:w="1036"/>
            <w:vAlign w:val="top"/>
          </w:tcPr>
          <w:p>
            <w:pPr>
              <w:spacing w:after="40" w:before="0" w:line="259" w:lineRule="auto"/>
            </w:pPr>
            <w:r>
              <w:rPr>
                <w:rFonts w:ascii="Calibri" w:hAnsi="Calibri"/>
                <w:b w:val="0"/>
                <w:i w:val="0"/>
                <w:color w:val="212121"/>
                <w:sz w:val="16"/>
              </w:rPr>
              <w:t>All patients with suspected VHD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 diagnostic</w:t>
            </w:r>
          </w:p>
        </w:tc>
        <w:tc>
          <w:tcPr>
            <w:tcW w:type="dxa" w:w="720"/>
            <w:vAlign w:val="top"/>
          </w:tcPr>
          <w:p>
            <w:pPr>
              <w:spacing w:after="40" w:before="0" w:line="259" w:lineRule="auto"/>
            </w:pPr>
            <w:r>
              <w:rPr>
                <w:rFonts w:ascii="Calibri" w:hAnsi="Calibri"/>
                <w:b w:val="0"/>
                <w:i w:val="0"/>
                <w:color w:val="212121"/>
                <w:sz w:val="16"/>
              </w:rPr>
              <w:t>Position/manoeuvres accentuate specific murmurs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Peripheral signs</w:t>
            </w:r>
          </w:p>
        </w:tc>
        <w:tc>
          <w:tcPr>
            <w:tcW w:type="dxa" w:w="979"/>
            <w:vAlign w:val="top"/>
          </w:tcPr>
          <w:p>
            <w:pPr>
              <w:spacing w:after="40" w:before="0" w:line="259" w:lineRule="auto"/>
            </w:pPr>
            <w:r>
              <w:rPr>
                <w:rFonts w:ascii="Calibri" w:hAnsi="Calibri"/>
                <w:b w:val="0"/>
                <w:i w:val="0"/>
                <w:color w:val="212121"/>
                <w:sz w:val="16"/>
              </w:rPr>
              <w:t>Pulse character, malar flush, JVP, oedema, peripheral stigmata</w:t>
            </w:r>
          </w:p>
        </w:tc>
        <w:tc>
          <w:tcPr>
            <w:tcW w:type="dxa" w:w="950"/>
            <w:vAlign w:val="top"/>
          </w:tcPr>
          <w:p>
            <w:pPr>
              <w:spacing w:after="40" w:before="0" w:line="259" w:lineRule="auto"/>
            </w:pPr>
            <w:r>
              <w:rPr>
                <w:rFonts w:ascii="Calibri" w:hAnsi="Calibri"/>
                <w:b w:val="0"/>
                <w:i w:val="0"/>
                <w:color w:val="212121"/>
                <w:sz w:val="16"/>
              </w:rPr>
              <w:t>Regular pulse, normal JVP, no oedema</w:t>
            </w:r>
          </w:p>
        </w:tc>
        <w:tc>
          <w:tcPr>
            <w:tcW w:type="dxa" w:w="950"/>
            <w:vAlign w:val="top"/>
          </w:tcPr>
          <w:p>
            <w:pPr>
              <w:spacing w:after="40" w:before="0" w:line="259" w:lineRule="auto"/>
            </w:pPr>
            <w:r>
              <w:rPr>
                <w:rFonts w:ascii="Calibri" w:hAnsi="Calibri"/>
                <w:b w:val="0"/>
                <w:i w:val="0"/>
                <w:color w:val="212121"/>
                <w:sz w:val="16"/>
              </w:rPr>
              <w:t>Irregularly irregular pulse (AF), malar flush (MS), collapsing/slow-rising pulse, raised JVP, pedal oedema, splinter haemorrhages (IE)</w:t>
            </w:r>
          </w:p>
        </w:tc>
        <w:tc>
          <w:tcPr>
            <w:tcW w:type="dxa" w:w="1036"/>
            <w:vAlign w:val="top"/>
          </w:tcPr>
          <w:p>
            <w:pPr>
              <w:spacing w:after="40" w:before="0" w:line="259" w:lineRule="auto"/>
            </w:pPr>
            <w:r>
              <w:rPr>
                <w:rFonts w:ascii="Calibri" w:hAnsi="Calibri"/>
                <w:b w:val="0"/>
                <w:i w:val="0"/>
                <w:color w:val="212121"/>
                <w:sz w:val="16"/>
              </w:rPr>
              <w:t>Reveals atrial fibrillation, pulmonary hypertension, right heart failure and endocarditis</w:t>
            </w:r>
          </w:p>
        </w:tc>
        <w:tc>
          <w:tcPr>
            <w:tcW w:type="dxa" w:w="1036"/>
            <w:vAlign w:val="top"/>
          </w:tcPr>
          <w:p>
            <w:pPr>
              <w:spacing w:after="40" w:before="0" w:line="259" w:lineRule="auto"/>
            </w:pPr>
            <w:r>
              <w:rPr>
                <w:rFonts w:ascii="Calibri" w:hAnsi="Calibri"/>
                <w:b w:val="0"/>
                <w:i w:val="0"/>
                <w:color w:val="212121"/>
                <w:sz w:val="16"/>
              </w:rPr>
              <w:t>Advanced valve disease, decompensation</w:t>
            </w:r>
          </w:p>
        </w:tc>
        <w:tc>
          <w:tcPr>
            <w:tcW w:type="dxa" w:w="720"/>
            <w:vAlign w:val="top"/>
          </w:tcPr>
          <w:p>
            <w:pPr>
              <w:spacing w:after="40" w:before="0" w:line="259" w:lineRule="auto"/>
            </w:pPr>
            <w:r>
              <w:rPr>
                <w:rFonts w:ascii="Calibri" w:hAnsi="Calibri"/>
                <w:b w:val="0"/>
                <w:i w:val="0"/>
                <w:color w:val="212121"/>
                <w:sz w:val="16"/>
              </w:rPr>
              <w:t>Water; 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Malar flush and irregular pulse suggest severe mitral stenosis with AF</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 obstetric history</w:t>
            </w:r>
          </w:p>
        </w:tc>
        <w:tc>
          <w:tcPr>
            <w:tcW w:type="dxa" w:w="979"/>
            <w:vAlign w:val="top"/>
          </w:tcPr>
          <w:p>
            <w:pPr>
              <w:spacing w:after="40" w:before="0" w:line="259" w:lineRule="auto"/>
            </w:pPr>
            <w:r>
              <w:rPr>
                <w:rFonts w:ascii="Calibri" w:hAnsi="Calibri"/>
                <w:b w:val="0"/>
                <w:i w:val="0"/>
                <w:color w:val="212121"/>
                <w:sz w:val="16"/>
              </w:rPr>
              <w:t>Family bicuspid/valve disease; pregnancy status and tolerance</w:t>
            </w:r>
          </w:p>
        </w:tc>
        <w:tc>
          <w:tcPr>
            <w:tcW w:type="dxa" w:w="950"/>
            <w:vAlign w:val="top"/>
          </w:tcPr>
          <w:p>
            <w:pPr>
              <w:spacing w:after="40" w:before="0" w:line="259" w:lineRule="auto"/>
            </w:pPr>
            <w:r>
              <w:rPr>
                <w:rFonts w:ascii="Calibri" w:hAnsi="Calibri"/>
                <w:b w:val="0"/>
                <w:i w:val="0"/>
                <w:color w:val="212121"/>
                <w:sz w:val="16"/>
              </w:rPr>
              <w:t>No family valve disease; well-tolerated pregnancy</w:t>
            </w:r>
          </w:p>
        </w:tc>
        <w:tc>
          <w:tcPr>
            <w:tcW w:type="dxa" w:w="950"/>
            <w:vAlign w:val="top"/>
          </w:tcPr>
          <w:p>
            <w:pPr>
              <w:spacing w:after="40" w:before="0" w:line="259" w:lineRule="auto"/>
            </w:pPr>
            <w:r>
              <w:rPr>
                <w:rFonts w:ascii="Calibri" w:hAnsi="Calibri"/>
                <w:b w:val="0"/>
                <w:i w:val="0"/>
                <w:color w:val="212121"/>
                <w:sz w:val="16"/>
              </w:rPr>
              <w:t>Familial bicuspid/aortopathy; breathlessness worsening in pregnancy</w:t>
            </w:r>
          </w:p>
        </w:tc>
        <w:tc>
          <w:tcPr>
            <w:tcW w:type="dxa" w:w="1036"/>
            <w:vAlign w:val="top"/>
          </w:tcPr>
          <w:p>
            <w:pPr>
              <w:spacing w:after="40" w:before="0" w:line="259" w:lineRule="auto"/>
            </w:pPr>
            <w:r>
              <w:rPr>
                <w:rFonts w:ascii="Calibri" w:hAnsi="Calibri"/>
                <w:b w:val="0"/>
                <w:i w:val="0"/>
                <w:color w:val="212121"/>
                <w:sz w:val="16"/>
              </w:rPr>
              <w:t>Flags congenital predisposition and pregnancy-related decompensation risk</w:t>
            </w:r>
          </w:p>
        </w:tc>
        <w:tc>
          <w:tcPr>
            <w:tcW w:type="dxa" w:w="1036"/>
            <w:vAlign w:val="top"/>
          </w:tcPr>
          <w:p>
            <w:pPr>
              <w:spacing w:after="40" w:before="0" w:line="259" w:lineRule="auto"/>
            </w:pPr>
            <w:r>
              <w:rPr>
                <w:rFonts w:ascii="Calibri" w:hAnsi="Calibri"/>
                <w:b w:val="0"/>
                <w:i w:val="0"/>
                <w:color w:val="212121"/>
                <w:sz w:val="16"/>
              </w:rPr>
              <w:t>Young adults, women of child-bearing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Risk-stratifying</w:t>
            </w:r>
          </w:p>
        </w:tc>
        <w:tc>
          <w:tcPr>
            <w:tcW w:type="dxa" w:w="720"/>
            <w:vAlign w:val="top"/>
          </w:tcPr>
          <w:p>
            <w:pPr>
              <w:spacing w:after="40" w:before="0" w:line="259" w:lineRule="auto"/>
            </w:pPr>
            <w:r>
              <w:rPr>
                <w:rFonts w:ascii="Calibri" w:hAnsi="Calibri"/>
                <w:b w:val="0"/>
                <w:i w:val="0"/>
                <w:color w:val="212121"/>
                <w:sz w:val="16"/>
              </w:rPr>
              <w:t>RHD is the leading cardiac disease in Indian pregnancy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Exertional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exertion from raised left-atrial and pulmonary venous pressure; usually the earliest symptom.</w:t>
            </w:r>
          </w:p>
        </w:tc>
      </w:tr>
      <w:tr>
        <w:trPr>
          <w:cantSplit/>
        </w:trPr>
        <w:tc>
          <w:tcPr>
            <w:tcW w:type="dxa" w:w="2304"/>
            <w:vAlign w:val="top"/>
          </w:tcPr>
          <w:p>
            <w:pPr>
              <w:spacing w:after="40" w:before="0" w:line="259" w:lineRule="auto"/>
            </w:pPr>
            <w:r>
              <w:rPr>
                <w:rFonts w:ascii="Calibri" w:hAnsi="Calibri"/>
                <w:b/>
                <w:i w:val="0"/>
                <w:color w:val="212121"/>
                <w:sz w:val="19"/>
              </w:rPr>
              <w:t>Orthopnoea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Breathlessness on lying flat due to redistribution of pulmonary congestion.</w:t>
            </w:r>
          </w:p>
        </w:tc>
      </w:tr>
      <w:tr>
        <w:trPr>
          <w:cantSplit/>
        </w:trPr>
        <w:tc>
          <w:tcPr>
            <w:tcW w:type="dxa" w:w="2304"/>
            <w:vAlign w:val="top"/>
          </w:tcPr>
          <w:p>
            <w:pPr>
              <w:spacing w:after="40" w:before="0" w:line="259" w:lineRule="auto"/>
            </w:pPr>
            <w:r>
              <w:rPr>
                <w:rFonts w:ascii="Calibri" w:hAnsi="Calibri"/>
                <w:b/>
                <w:i w:val="0"/>
                <w:color w:val="212121"/>
                <w:sz w:val="19"/>
              </w:rPr>
              <w:t>Paroxysmal nocturnal dyspnoea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Sudden nocturnal breathlessness from nocturnal fluid shifts and pulmonary oedema.</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cardiac output limits effort capacity, especially in mitral and aortic stenosis.</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reflect new atrial fibrillation from left-atrial enlargement.</w:t>
            </w:r>
          </w:p>
        </w:tc>
      </w:tr>
      <w:tr>
        <w:trPr>
          <w:cantSplit/>
        </w:trPr>
        <w:tc>
          <w:tcPr>
            <w:tcW w:type="dxa" w:w="2304"/>
            <w:vAlign w:val="top"/>
          </w:tcPr>
          <w:p>
            <w:pPr>
              <w:spacing w:after="40" w:before="0" w:line="259" w:lineRule="auto"/>
            </w:pPr>
            <w:r>
              <w:rPr>
                <w:rFonts w:ascii="Calibri" w:hAnsi="Calibri"/>
                <w:b/>
                <w:i w:val="0"/>
                <w:color w:val="212121"/>
                <w:sz w:val="19"/>
              </w:rPr>
              <w:t>Pedal oedema / abdominal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Signs of right heart failure and systemic venous congestion in advanced disease.</w:t>
            </w:r>
          </w:p>
        </w:tc>
      </w:tr>
      <w:tr>
        <w:trPr>
          <w:cantSplit/>
        </w:trPr>
        <w:tc>
          <w:tcPr>
            <w:tcW w:type="dxa" w:w="2304"/>
            <w:vAlign w:val="top"/>
          </w:tcPr>
          <w:p>
            <w:pPr>
              <w:spacing w:after="40" w:before="0" w:line="259" w:lineRule="auto"/>
            </w:pPr>
            <w:r>
              <w:rPr>
                <w:rFonts w:ascii="Calibri" w:hAnsi="Calibri"/>
                <w:b/>
                <w:i w:val="0"/>
                <w:color w:val="212121"/>
                <w:sz w:val="19"/>
              </w:rPr>
              <w:t>Exertional chest pain / angina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Typical of severe aortic stenosis from raised LV oxygen demand and reduced coronary perfusion.</w:t>
            </w:r>
          </w:p>
        </w:tc>
      </w:tr>
      <w:tr>
        <w:trPr>
          <w:cantSplit/>
        </w:trPr>
        <w:tc>
          <w:tcPr>
            <w:tcW w:type="dxa" w:w="2304"/>
            <w:vAlign w:val="top"/>
          </w:tcPr>
          <w:p>
            <w:pPr>
              <w:spacing w:after="40" w:before="0" w:line="259" w:lineRule="auto"/>
            </w:pPr>
            <w:r>
              <w:rPr>
                <w:rFonts w:ascii="Calibri" w:hAnsi="Calibri"/>
                <w:b/>
                <w:i w:val="0"/>
                <w:color w:val="212121"/>
                <w:sz w:val="19"/>
              </w:rPr>
              <w:t>Exertional syncope or presyncope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red-flag symptom of severe aortic stenosis due to fixed outflow obstruction.</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Coughing blood from ruptured bronchial or pulmonary vessels under high left-atrial pressure in mitral stenosis.</w:t>
            </w:r>
          </w:p>
        </w:tc>
      </w:tr>
      <w:tr>
        <w:trPr>
          <w:cantSplit/>
        </w:trPr>
        <w:tc>
          <w:tcPr>
            <w:tcW w:type="dxa" w:w="2304"/>
            <w:vAlign w:val="top"/>
          </w:tcPr>
          <w:p>
            <w:pPr>
              <w:spacing w:after="40" w:before="0" w:line="259" w:lineRule="auto"/>
            </w:pPr>
            <w:r>
              <w:rPr>
                <w:rFonts w:ascii="Calibri" w:hAnsi="Calibri"/>
                <w:b/>
                <w:i w:val="0"/>
                <w:color w:val="212121"/>
                <w:sz w:val="19"/>
              </w:rPr>
              <w:t>Cough / wheeze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Pulmonary congestion and, in severe MS, an enlarged left atrium irritating the airways ('cardiac asthma').</w:t>
            </w:r>
          </w:p>
        </w:tc>
      </w:tr>
      <w:tr>
        <w:trPr>
          <w:cantSplit/>
        </w:trPr>
        <w:tc>
          <w:tcPr>
            <w:tcW w:type="dxa" w:w="2304"/>
            <w:vAlign w:val="top"/>
          </w:tcPr>
          <w:p>
            <w:pPr>
              <w:spacing w:after="40" w:before="0" w:line="259" w:lineRule="auto"/>
            </w:pPr>
            <w:r>
              <w:rPr>
                <w:rFonts w:ascii="Calibri" w:hAnsi="Calibri"/>
                <w:b/>
                <w:i w:val="0"/>
                <w:color w:val="212121"/>
                <w:sz w:val="19"/>
              </w:rPr>
              <w:t>Hoarseness of voice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Ortner syndrome — an enlarged left atrium compressing the left recurrent laryngeal nerve.</w:t>
            </w:r>
          </w:p>
        </w:tc>
      </w:tr>
      <w:tr>
        <w:trPr>
          <w:cantSplit/>
        </w:trPr>
        <w:tc>
          <w:tcPr>
            <w:tcW w:type="dxa" w:w="2304"/>
            <w:vAlign w:val="top"/>
          </w:tcPr>
          <w:p>
            <w:pPr>
              <w:spacing w:after="40" w:before="0" w:line="259" w:lineRule="auto"/>
            </w:pPr>
            <w:r>
              <w:rPr>
                <w:rFonts w:ascii="Calibri" w:hAnsi="Calibri"/>
                <w:b/>
                <w:i w:val="0"/>
                <w:color w:val="212121"/>
                <w:sz w:val="19"/>
              </w:rPr>
              <w:t>Focal neurological deficit (embolic stroke)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Presenting event when left-atrial thrombus embolises, typically in mitral stenosis with atrial fibrillation.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Mid-diastolic rumbling murmur with loud S1 and opening snap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Classic apical auscultatory signature of mitral stenosis, best heard in the left lateral position.</w:t>
            </w:r>
          </w:p>
        </w:tc>
      </w:tr>
      <w:tr>
        <w:trPr>
          <w:cantSplit/>
        </w:trPr>
        <w:tc>
          <w:tcPr>
            <w:tcW w:type="dxa" w:w="3456"/>
            <w:vAlign w:val="top"/>
          </w:tcPr>
          <w:p>
            <w:pPr>
              <w:spacing w:after="40" w:before="0" w:line="259" w:lineRule="auto"/>
            </w:pPr>
            <w:r>
              <w:rPr>
                <w:rFonts w:ascii="Calibri" w:hAnsi="Calibri"/>
                <w:b/>
                <w:i w:val="0"/>
                <w:color w:val="212121"/>
                <w:sz w:val="19"/>
              </w:rPr>
              <w:t>Ejection systolic murmur radiating to the carotids with slow-rising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of aortic stenosis; a soft/absent A2 indicates severe disease.</w:t>
            </w:r>
          </w:p>
        </w:tc>
      </w:tr>
      <w:tr>
        <w:trPr>
          <w:cantSplit/>
        </w:trPr>
        <w:tc>
          <w:tcPr>
            <w:tcW w:type="dxa" w:w="3456"/>
            <w:vAlign w:val="top"/>
          </w:tcPr>
          <w:p>
            <w:pPr>
              <w:spacing w:after="40" w:before="0" w:line="259" w:lineRule="auto"/>
            </w:pPr>
            <w:r>
              <w:rPr>
                <w:rFonts w:ascii="Calibri" w:hAnsi="Calibri"/>
                <w:b/>
                <w:i w:val="0"/>
                <w:color w:val="212121"/>
                <w:sz w:val="19"/>
              </w:rPr>
              <w:t>Apical pansystolic murmur radiating to the axilla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Characteristic of mitral regurgitation, often with a soft S1 and displaced apex.</w:t>
            </w:r>
          </w:p>
        </w:tc>
      </w:tr>
      <w:tr>
        <w:trPr>
          <w:cantSplit/>
        </w:trPr>
        <w:tc>
          <w:tcPr>
            <w:tcW w:type="dxa" w:w="3456"/>
            <w:vAlign w:val="top"/>
          </w:tcPr>
          <w:p>
            <w:pPr>
              <w:spacing w:after="40" w:before="0" w:line="259" w:lineRule="auto"/>
            </w:pPr>
            <w:r>
              <w:rPr>
                <w:rFonts w:ascii="Calibri" w:hAnsi="Calibri"/>
                <w:b/>
                <w:i w:val="0"/>
                <w:color w:val="212121"/>
                <w:sz w:val="19"/>
              </w:rPr>
              <w:t>Early diastolic murmur with wide pulse pressure / collapsing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chronic aortic regurgitation (Corrigan's/water-hammer pulse).</w:t>
            </w:r>
          </w:p>
        </w:tc>
      </w:tr>
      <w:tr>
        <w:trPr>
          <w:cantSplit/>
        </w:trPr>
        <w:tc>
          <w:tcPr>
            <w:tcW w:type="dxa" w:w="3456"/>
            <w:vAlign w:val="top"/>
          </w:tcPr>
          <w:p>
            <w:pPr>
              <w:spacing w:after="40" w:before="0" w:line="259" w:lineRule="auto"/>
            </w:pPr>
            <w:r>
              <w:rPr>
                <w:rFonts w:ascii="Calibri" w:hAnsi="Calibri"/>
                <w:b/>
                <w:i w:val="0"/>
                <w:color w:val="212121"/>
                <w:sz w:val="19"/>
              </w:rPr>
              <w:t>Irregularly irregular pulse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Atrial fibrillation, a frequent complication of mitral and other left-sided valve disease.</w:t>
            </w:r>
          </w:p>
        </w:tc>
      </w:tr>
      <w:tr>
        <w:trPr>
          <w:cantSplit/>
        </w:trPr>
        <w:tc>
          <w:tcPr>
            <w:tcW w:type="dxa" w:w="3456"/>
            <w:vAlign w:val="top"/>
          </w:tcPr>
          <w:p>
            <w:pPr>
              <w:spacing w:after="40" w:before="0" w:line="259" w:lineRule="auto"/>
            </w:pPr>
            <w:r>
              <w:rPr>
                <w:rFonts w:ascii="Calibri" w:hAnsi="Calibri"/>
                <w:b/>
                <w:i w:val="0"/>
                <w:color w:val="212121"/>
                <w:sz w:val="19"/>
              </w:rPr>
              <w:t>Malar flush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Plum-coloured cheeks of severe mitral stenosis with low cardiac output and pulmonary hypertension.</w:t>
            </w:r>
          </w:p>
        </w:tc>
      </w:tr>
      <w:tr>
        <w:trPr>
          <w:cantSplit/>
        </w:trPr>
        <w:tc>
          <w:tcPr>
            <w:tcW w:type="dxa" w:w="3456"/>
            <w:vAlign w:val="top"/>
          </w:tcPr>
          <w:p>
            <w:pPr>
              <w:spacing w:after="40" w:before="0" w:line="259" w:lineRule="auto"/>
            </w:pPr>
            <w:r>
              <w:rPr>
                <w:rFonts w:ascii="Calibri" w:hAnsi="Calibri"/>
                <w:b/>
                <w:i w:val="0"/>
                <w:color w:val="212121"/>
                <w:sz w:val="19"/>
              </w:rPr>
              <w:t>Raised jugular venous pressure and pedal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 right heart failure and systemic venous congestion in advanced valve disease.</w:t>
            </w:r>
          </w:p>
        </w:tc>
      </w:tr>
      <w:tr>
        <w:trPr>
          <w:cantSplit/>
        </w:trPr>
        <w:tc>
          <w:tcPr>
            <w:tcW w:type="dxa" w:w="3456"/>
            <w:vAlign w:val="top"/>
          </w:tcPr>
          <w:p>
            <w:pPr>
              <w:spacing w:after="40" w:before="0" w:line="259" w:lineRule="auto"/>
            </w:pPr>
            <w:r>
              <w:rPr>
                <w:rFonts w:ascii="Calibri" w:hAnsi="Calibri"/>
                <w:b/>
                <w:i w:val="0"/>
                <w:color w:val="212121"/>
                <w:sz w:val="19"/>
              </w:rPr>
              <w:t>Loud/palpable P2 and right ventricular heave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Signs of pulmonary hypertension secondary to chronic left-sided valve disease.</w:t>
            </w:r>
          </w:p>
        </w:tc>
      </w:tr>
      <w:tr>
        <w:trPr>
          <w:cantSplit/>
        </w:trPr>
        <w:tc>
          <w:tcPr>
            <w:tcW w:type="dxa" w:w="3456"/>
            <w:vAlign w:val="top"/>
          </w:tcPr>
          <w:p>
            <w:pPr>
              <w:spacing w:after="40" w:before="0" w:line="259" w:lineRule="auto"/>
            </w:pPr>
            <w:r>
              <w:rPr>
                <w:rFonts w:ascii="Calibri" w:hAnsi="Calibri"/>
                <w:b/>
                <w:i w:val="0"/>
                <w:color w:val="212121"/>
                <w:sz w:val="19"/>
              </w:rPr>
              <w:t>Displaced, heaving or hyperdynamic apex beat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LV hypertrophy (pressure overload, AS) or dilation (volume overload, MR/AR).</w:t>
            </w:r>
          </w:p>
        </w:tc>
      </w:tr>
      <w:tr>
        <w:trPr>
          <w:cantSplit/>
        </w:trPr>
        <w:tc>
          <w:tcPr>
            <w:tcW w:type="dxa" w:w="3456"/>
            <w:vAlign w:val="top"/>
          </w:tcPr>
          <w:p>
            <w:pPr>
              <w:spacing w:after="40" w:before="0" w:line="259" w:lineRule="auto"/>
            </w:pPr>
            <w:r>
              <w:rPr>
                <w:rFonts w:ascii="Calibri" w:hAnsi="Calibri"/>
                <w:b/>
                <w:i w:val="0"/>
                <w:color w:val="212121"/>
                <w:sz w:val="19"/>
              </w:rPr>
              <w:t>Peripheral stigmata of endocarditis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Splinter haemorrhages, Osler nodes, Janeway lesions and Roth spots suggest infective endocarditis on a valve.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Congestive heart failure (left- then right-sided) from chronic pressure/volume overload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Atrial fibrillation and other atrial tachyarrhythmias from left-atrial enlargement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pulmonary oedema, often precipitated by tachycardia, anaemia, pregnancy or infection</w:t>
            </w:r>
          </w:p>
        </w:tc>
        <w:tc>
          <w:tcPr>
            <w:tcW w:type="dxa" w:w="2980"/>
            <w:vAlign w:val="top"/>
          </w:tcPr>
          <w:p>
            <w:pPr>
              <w:spacing w:after="40" w:before="0" w:line="259" w:lineRule="auto"/>
            </w:pPr>
            <w:r>
              <w:rPr>
                <w:rFonts w:ascii="Calibri" w:hAnsi="Calibri"/>
                <w:b w:val="0"/>
                <w:i w:val="0"/>
                <w:color w:val="212121"/>
                <w:sz w:val="19"/>
              </w:rPr>
              <w:t>Direct haemodynamic consequences of obstructed or incompetent valves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arterial hypertension progressing to right ventricular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Systemic thromboembolism and embolic (cardioembolic) stroke, especially with AF and mitral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Infective endocarditis on the abnormal or prosthetic valve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Haemoptysis and recurrent chest infections from pulmonary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rheumatic fever with further valve damage</w:t>
            </w:r>
          </w:p>
        </w:tc>
        <w:tc>
          <w:tcPr>
            <w:tcW w:type="dxa" w:w="2980"/>
            <w:vAlign w:val="top"/>
          </w:tcPr>
          <w:p>
            <w:pPr>
              <w:spacing w:after="40" w:before="0" w:line="259" w:lineRule="auto"/>
            </w:pPr>
            <w:r>
              <w:rPr>
                <w:rFonts w:ascii="Calibri" w:hAnsi="Calibri"/>
                <w:b w:val="0"/>
                <w:i w:val="0"/>
                <w:color w:val="212121"/>
                <w:sz w:val="19"/>
              </w:rPr>
              <w:t>Result from sustained congestion, stasis, and vulnerability of the damaged valve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Intractable (end-stage) heart failure and cardiac cachexia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Prosthesis-related problems after valve replacement (thrombosis, bleeding on anticoagulation, prosthetic endocarditis, structural degeneration)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 (notably in severe symptomatic aortic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maternal and fetal outcomes in pregnancy (heart failure, preterm birth, low birth weight, maternal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from stroke or chronic heart failure</w:t>
            </w:r>
          </w:p>
        </w:tc>
        <w:tc>
          <w:tcPr>
            <w:tcW w:type="dxa" w:w="2980"/>
            <w:vAlign w:val="top"/>
          </w:tcPr>
          <w:p>
            <w:pPr>
              <w:spacing w:after="40" w:before="0" w:line="259" w:lineRule="auto"/>
            </w:pPr>
            <w:r>
              <w:rPr>
                <w:rFonts w:ascii="Calibri" w:hAnsi="Calibri"/>
                <w:b w:val="0"/>
                <w:i w:val="0"/>
                <w:color w:val="212121"/>
                <w:sz w:val="19"/>
              </w:rPr>
              <w:t>Irreversible, disabling outcomes of longstanding or advanced valve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Atrial fibrillation</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Left-atrial enlargement from mitral disease predisposes to AF, which worsens symptoms and drives thromboembolism.</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Chronic pressure/volume overload culminates in left- and right-sided heart failure.</w:t>
            </w:r>
          </w:p>
        </w:tc>
      </w:tr>
      <w:tr>
        <w:trPr>
          <w:cantSplit/>
        </w:trPr>
        <w:tc>
          <w:tcPr>
            <w:tcW w:type="dxa" w:w="2232"/>
            <w:vAlign w:val="top"/>
          </w:tcPr>
          <w:p>
            <w:pPr>
              <w:spacing w:after="40" w:before="0" w:line="259" w:lineRule="auto"/>
            </w:pPr>
            <w:r>
              <w:rPr>
                <w:rFonts w:ascii="Calibri" w:hAnsi="Calibri"/>
                <w:b/>
                <w:i w:val="0"/>
                <w:color w:val="212121"/>
                <w:sz w:val="19"/>
              </w:rPr>
              <w:t>Pulmonary hypertension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Back-transmitted left-atrial pressure raises pulmonary pressures and strains the right ventricle.</w:t>
            </w:r>
          </w:p>
        </w:tc>
      </w:tr>
      <w:tr>
        <w:trPr>
          <w:cantSplit/>
        </w:trPr>
        <w:tc>
          <w:tcPr>
            <w:tcW w:type="dxa" w:w="2232"/>
            <w:vAlign w:val="top"/>
          </w:tcPr>
          <w:p>
            <w:pPr>
              <w:spacing w:after="40" w:before="0" w:line="259" w:lineRule="auto"/>
            </w:pPr>
            <w:r>
              <w:rPr>
                <w:rFonts w:ascii="Calibri" w:hAnsi="Calibri"/>
                <w:b/>
                <w:i w:val="0"/>
                <w:color w:val="212121"/>
                <w:sz w:val="19"/>
              </w:rPr>
              <w:t>Systemic embolism / stroke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Left-atrial thrombus in mitral stenosis with AF embolises to the brain and periphery.</w:t>
            </w:r>
          </w:p>
          <w:p>
            <w:pPr>
              <w:spacing w:after="40" w:before="0" w:line="259" w:lineRule="auto"/>
            </w:pPr>
            <w:r>
              <w:rPr>
                <w:rFonts w:ascii="Calibri" w:hAnsi="Calibri"/>
                <w:b/>
                <w:i w:val="0"/>
                <w:color w:val="212121"/>
                <w:sz w:val="19"/>
              </w:rPr>
              <w:t>~5% annual stroke risk in untreated MS with AF</w:t>
            </w:r>
          </w:p>
        </w:tc>
      </w:tr>
      <w:tr>
        <w:trPr>
          <w:cantSplit/>
        </w:trPr>
        <w:tc>
          <w:tcPr>
            <w:tcW w:type="dxa" w:w="2232"/>
            <w:vAlign w:val="top"/>
          </w:tcPr>
          <w:p>
            <w:pPr>
              <w:spacing w:after="40" w:before="0" w:line="259" w:lineRule="auto"/>
            </w:pPr>
            <w:r>
              <w:rPr>
                <w:rFonts w:ascii="Calibri" w:hAnsi="Calibri"/>
                <w:b/>
                <w:i w:val="0"/>
                <w:color w:val="212121"/>
                <w:sz w:val="19"/>
              </w:rPr>
              <w:t>Infective endocarditis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Abnormal and prosthetic valves are prone to microbial vegetations and tissue destruction.</w:t>
            </w:r>
          </w:p>
        </w:tc>
      </w:tr>
      <w:tr>
        <w:trPr>
          <w:cantSplit/>
        </w:trPr>
        <w:tc>
          <w:tcPr>
            <w:tcW w:type="dxa" w:w="2232"/>
            <w:vAlign w:val="top"/>
          </w:tcPr>
          <w:p>
            <w:pPr>
              <w:spacing w:after="40" w:before="0" w:line="259" w:lineRule="auto"/>
            </w:pPr>
            <w:r>
              <w:rPr>
                <w:rFonts w:ascii="Calibri" w:hAnsi="Calibri"/>
                <w:b/>
                <w:i w:val="0"/>
                <w:color w:val="212121"/>
                <w:sz w:val="19"/>
              </w:rPr>
              <w:t>Recurrent rheumatic fever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Missed penicillin prophylaxis allows recurrences that add cumulative valve damage.</w:t>
            </w:r>
          </w:p>
        </w:tc>
      </w:tr>
      <w:tr>
        <w:trPr>
          <w:cantSplit/>
        </w:trPr>
        <w:tc>
          <w:tcPr>
            <w:tcW w:type="dxa" w:w="2232"/>
            <w:vAlign w:val="top"/>
          </w:tcPr>
          <w:p>
            <w:pPr>
              <w:spacing w:after="40" w:before="0" w:line="259" w:lineRule="auto"/>
            </w:pPr>
            <w:r>
              <w:rPr>
                <w:rFonts w:ascii="Calibri" w:hAnsi="Calibri"/>
                <w:b/>
                <w:i w:val="0"/>
                <w:color w:val="212121"/>
                <w:sz w:val="19"/>
              </w:rPr>
              <w:t>Rheumatic disease in pregnancy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RHD is the leading cardiac disease complicating Indian pregnancies, dominated by mitral stenosis.</w:t>
            </w:r>
          </w:p>
          <w:p>
            <w:pPr>
              <w:spacing w:after="40" w:before="0" w:line="259" w:lineRule="auto"/>
            </w:pPr>
            <w:r>
              <w:rPr>
                <w:rFonts w:ascii="Calibri" w:hAnsi="Calibri"/>
                <w:b/>
                <w:i w:val="0"/>
                <w:color w:val="212121"/>
                <w:sz w:val="19"/>
              </w:rPr>
              <w:t>~69% of cardiac disease in pregnancy (India)</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Indian patients; raises cardiac output and can decompensate fixed valve lesions.</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Disordered mineral metabolism accelerates valve calcification and aortic stenosis.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every sore throat in children promptly — a full course of penicillin for streptococcal pharyngitis prevents rheumatic fever, the root cause of most Indian valve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rheumatic fever or RHD is diagnosed, take secondary prophylaxis (benzathine penicillin every 3–4 weeks) without missing doses, for the full recommended duration.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 breathlessness on exertion, orthopnoea, palpitations, chest pain, fainting or swelling of the feet — and seek timely cardiac review and echocardiography.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oral and dental hygiene and complete recommended dental care to reduce the risk of infective endocarditis on an abnormal valve.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known valve disease should seek pre-pregnancy cardiac counselling, as pregnancy can dangerously decompensate mitral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with periodic echocardiography so that the correct timing of valve intervention is not missed.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Low-SES / crowded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Known RHD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child-bearing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valve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individualised, symptom-guided activity advice from the treating cardiologist rather than a fixed exercise target.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strenuous, competitive or heavy isometric exertion in severe aortic stenosis or symptomatic disease, where it can trigger syncope or sudden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mild, asymptomatic disease, maintain regular light-to-moderate aerobic activity (e.g., walking) to preserve fitness.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and report any exertional chest pain, blackout, undue breathlessness or palpitations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supervised cardiac rehabilitation where available after valve surgery or intervention.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valvular heart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aortic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Post-valve-surgery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Restrict dietary salt (&lt; 5 g/day) to limit fluid retention and pulmonary congestion in valve-related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heart-healthy diet (whole grains, pulses, vegetables, fruit, nuts) that controls blood pressure and cholesterol and slows degenerative valve calcification.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childhood and maternal nutrition to support immune defence against streptococcal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and prevent anaemia with an iron- and folate-rich diet, as anaemia can decompensate mitral stenosis.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fluid intake as advised when heart failure is present, avoiding both overload and excessive restriction.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on warfarin, keep vitamin-K-rich (green leafy) vegetable intake consistent rather than fluctuating.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Valve disease with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Degenerative-VHD 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orthopnoea or paroxysmal nocturnal dyspnoea promptly — they signal worsening pulmonary congestion.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 elevated on extra pillows if breathless when lying flat.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which aggravates pulmonary hypertension and atrial 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7–9 hour sleep schedule to support cardiovascular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Symptomatic valve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pulmonary hypertension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tobacco accelerates aortic valve calcification and endothelial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contributes to vascular and valvular injury.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to sustain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Quitting also lowers the risk of infective endocarditis and post-operative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valve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Calcific aortic stenosis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limit alcohol, which can precipitate atrial fibrillation in patients with enlarged atria.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if there is alcohol-related (dilated) cardiomyopathy causing functional mitral regurgitation.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interacts with warfarin and destabilises INR — keep intake minimal and consistent if anticoagulated.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dependence, as ongoing heavy use worsens heart failure and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AF-prone valve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Heart-failure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and depression that commonly accompany chronic valve disease, lifelong prophylaxis and 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education and reminders to sustain adherence to penicillin prophylaxis, medication and follow-up.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peer-support or counselling, especially for young patients facing valve surgery or pregnancy decisions.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at review visits, as poor mental health reduces self-care and prophylaxis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RHD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prophylaxis/anticoagulation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 and post-surgical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430742/" TargetMode="External"/><Relationship Id="rId10" Type="http://schemas.openxmlformats.org/officeDocument/2006/relationships/hyperlink" Target="https://www.merckmanuals.com/professional/cardiovascular-disorders/valvular-disorders/mitral-stenosis" TargetMode="External"/><Relationship Id="rId11" Type="http://schemas.openxmlformats.org/officeDocument/2006/relationships/hyperlink" Target="https://my.clevelandclinic.org/health/diseases/16780-bicuspid-aortic-valve-disease" TargetMode="External"/><Relationship Id="rId12" Type="http://schemas.openxmlformats.org/officeDocument/2006/relationships/hyperlink" Target="https://ijmr.org.in/rheumatic-fever-rheumatic-heart-disease-the-last-50-years/" TargetMode="External"/><Relationship Id="rId13" Type="http://schemas.openxmlformats.org/officeDocument/2006/relationships/hyperlink" Target="https://nmji.in/rheumatic-heart-disease-in-india-declining-but-not-fast-enough/" TargetMode="External"/><Relationship Id="rId14" Type="http://schemas.openxmlformats.org/officeDocument/2006/relationships/hyperlink" Target="https://www.who.int/news-room/fact-sheets/detail/rheumatic-heart-disease" TargetMode="External"/><Relationship Id="rId15" Type="http://schemas.openxmlformats.org/officeDocument/2006/relationships/hyperlink" Target="https://indianheartjournal.com/wp-content/themes/ihj/pdfs/article_1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