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Cardiomyopathy (dilated/hypertrophic/restrictive)</w:t>
      </w:r>
    </w:p>
    <w:p>
      <w:pPr>
        <w:spacing w:before="0" w:after="160"/>
      </w:pPr>
      <w:r>
        <w:rPr>
          <w:rFonts w:ascii="Calibri" w:hAnsi="Calibri"/>
          <w:b/>
          <w:i w:val="0"/>
          <w:color w:val="212121"/>
          <w:sz w:val="22"/>
        </w:rPr>
        <w:t xml:space="preserve">AKA </w:t>
      </w:r>
      <w:r>
        <w:rPr>
          <w:rFonts w:ascii="Calibri" w:hAnsi="Calibri"/>
          <w:b w:val="0"/>
          <w:i w:val="0"/>
          <w:color w:val="212121"/>
          <w:sz w:val="22"/>
        </w:rPr>
        <w:t>i.e., Heart-muscle disease; DCM (dilated cardiomyopathy); HCM / HOCM (hypertrophic / hypertrophic obstructive cardiomyopathy); RCM (restrictive cardiomyopathy); includes tropical endomyocardial fibrosis (EMF), peripartum cardiomyopathy (PPCM) and alcoholic cardiomyopathy; lay terms - 'enlarged heart', 'thickened heart muscle', 'stiff heart'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Cardiomyopathies are a heterogeneous group of diseases of the myocardium (heart muscle) itself, producing mechanical and/or electrical dysfunction of the heart in the absence of coronary artery disease, hypertension, valvular disease or congenital heart disease sufficient to explain the abnormality. They are grouped by their dominant structural-functional phenotype into three main types: dilated cardiomyopathy (DCM) - dilatation and impaired systolic contraction of one or both ventricles; hypertrophic cardiomyopathy (HCM) - inappropriate, usually asymmetrical, left ventricular hypertrophy with a preserved or supranormal ejection fraction and often diastolic dysfunction; and restrictive cardiomyopathy (RCM) - stiff, non-dilated ventricles with impaired diastolic filling and preserved (or near-preserved) systolic function. Aetiology may be genetic (sarcomere/cytoskeletal mutations), acquired (alcohol, infection/myocarditis, peripartum, infiltrative or nutritional) or mixed, and all three types are important causes of heart failure, arrhythmia, thromboembolism and sudden cardiac death, frequently in young and middle-aged adults.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Cardiomyopathies are a leading cause of non-ischaemic heart failure and of sudden cardiac death in young Indians, and dilated cardiomyopathy is the commonest morphological type seen in Indian heart-failure practice. Dilated cardiomyopathy has a classically cited prevalence of about 36 per 100,000 population (contemporary estimates suggest it is considerably higher) and is more common in men. Hypertrophic cardiomyopathy affects roughly 1 in 500 adults and is the single most common identifiable cause of sudden cardiac death in apparently healthy people under 35, including trained athletes. India carries a distinctive genetic burden: the South Asian-specific MYBPC3 25-base-pair (delta-25bp) intronic deletion is carried by about 4-6% of people of South Asian ancestry - an estimated 100 million people worldwide - and acts as a risk allele for hypertrophic, dilated and restrictive cardiomyopathy and heart failure (odds ratio around 7 for HCM). Restrictive disease in India was historically dominated by tropical endomyocardial fibrosis (EMF), once endemic to coastal South India and especially Kerala, where it accounted for about 2.5% of all cardiac admissions in patients under 40 years in the 1970s-1980s, though it is now a vanishing disease. Peripartum cardiomyopathy remains an important cause of maternal cardiac failure, reported at about 1 case per 1,374 live births in a South Indian tertiary-hospital series.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blood test for cardiomyopathy; diagnosis rests on demonstrating a characteristic structural-functional abnormality of the myocardium (chiefly by echocardiography and cardiac MRI) after excluding coronary, hypertensive, valvular and congenital disease of sufficient severity to explain it, supported by ECG, biomarkers, and family and genetic evaluation. Type-specific criteria are applied: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Dilated cardiomyopathy (DCM): left ventricular (or biventricular) dilatation with global systolic impairment - left ventricular ejection fraction (LVEF) below about 40-45% and increased LV end-diastolic dimension - not explained by abnormal loading conditions or coronary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Hypertrophic cardiomyopathy (HCM): maximal left ventricular wall thickness of 15 mm or more (or &gt;= 13 mm with a positive family history or a pathogenic sarcomere variant) on echocardiography or cardiac MRI, in the absence of another cause of that degree of hypertrophy; a resting or provoked left ventricular outflow tract (LVOT) gradient &gt;= 30 mmHg defines the obstructive form (HOCM).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Restrictive cardiomyopathy (RCM): non-dilated, non-hypertrophied ventricles with preserved or near-preserved ejection fraction but marked diastolic dysfunction (restrictive filling pattern), usually with biatrial enlargement; look actively for an underlying infiltrative or storage cause (amyloidosis, sarcoidosis, haemochromatosis, endomyocardial fibrosis).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Electrocardiography (ECG) is almost always abnormal: LV hypertrophy with deep septal Q waves and repolarisation changes in HCM; nonspecific ST-T changes, poor R-wave progression, bundle branch block or atrial fibrillation in DCM; and characteristically low QRS voltages with a 'pseudo-infarct' pattern in cardiac amyloidosis.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Cardiac biomarkers (NT-proBNP/BNP raised in heart failure; troponin may be raised in myocarditis or infiltration) support the diagnosis and stratify risk but are not themselves diagnostic.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Cardiac MRI with late gadolinium enhancement (LGE) characterises fibrosis and infiltration, differentiates phenotypes and aids risk stratification; endomyocardial biopsy, genetic testing (sarcomere and cytoskeletal gene panels) and cascade family screening are used in selected cases, and coronary angiography/CT is performed to exclude ischaemic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Cardiomyopathies are classified both by their dominant morphofunctional phenotype and by aetiology (genetic, acquired or mixed; primary - confined to the heart - versus secondary to a systemic disease):</w:t>
      </w:r>
    </w:p>
    <w:p>
      <w:pPr>
        <w:spacing w:before="0" w:after="80"/>
      </w:pPr>
      <w:r>
        <w:rPr>
          <w:rFonts w:ascii="Calibri" w:hAnsi="Calibri"/>
          <w:b w:val="0"/>
          <w:i w:val="0"/>
          <w:color w:val="212121"/>
          <w:sz w:val="21"/>
        </w:rPr>
        <w:t>(1) Dilated cardiomyopathy (DCM) - dilatation and systolic dysfunction of the left or both ventricles. Causes include idiopathic/genetic (mutations in titin, lamin A/C, desmin, myosin and other cytoskeletal genes), and acquired forms: alcoholic, peripartum, viral/Chagas myocarditis, tachycardia-induced, HIV-related, chemotherapy-related (anthracyclines, trastuzumab) and nutritional (thiamine/selenium deficiency). It is the commonest type and the leading cardiomyopathic cause of heart failure and transplantation.</w:t>
      </w:r>
    </w:p>
    <w:p>
      <w:pPr>
        <w:spacing w:before="0" w:after="80"/>
      </w:pPr>
      <w:r>
        <w:rPr>
          <w:rFonts w:ascii="Calibri" w:hAnsi="Calibri"/>
          <w:b w:val="0"/>
          <w:i w:val="0"/>
          <w:color w:val="212121"/>
          <w:sz w:val="21"/>
        </w:rPr>
        <w:t>(2) Hypertrophic cardiomyopathy (HCM) - unexplained, usually asymmetrical septal, left ventricular hypertrophy. It is the prototypical genetic cardiomyopathy, inherited in an autosomal dominant pattern, caused mainly by sarcomere protein gene mutations (most commonly MYH7 and MYBPC3). It is subdivided into obstructive (HOCM, with dynamic LVOT obstruction and systolic anterior motion of the mitral valve) and non-obstructive forms, and is the leading cause of sudden cardiac death in the young.</w:t>
      </w:r>
    </w:p>
    <w:p>
      <w:pPr>
        <w:spacing w:before="0" w:after="80"/>
      </w:pPr>
      <w:r>
        <w:rPr>
          <w:rFonts w:ascii="Calibri" w:hAnsi="Calibri"/>
          <w:b w:val="0"/>
          <w:i w:val="0"/>
          <w:color w:val="212121"/>
          <w:sz w:val="21"/>
        </w:rPr>
        <w:t>(3) Restrictive cardiomyopathy (RCM) - impaired ventricular filling with normal or reduced diastolic volume and preserved systolic function. Causes include infiltrative disease (amyloidosis - the commonest cause in developed countries, sarcoidosis), storage disease (haemochromatosis, Fabry, glycogen storage), endomyocardial disease (endomyocardial fibrosis, hypereosinophilic/Loffler endocarditis) and idiopathic/familial forms. It carries the worst prognosis of the three.</w:t>
      </w:r>
    </w:p>
    <w:p>
      <w:pPr>
        <w:spacing w:before="0" w:after="80"/>
      </w:pPr>
      <w:r>
        <w:rPr>
          <w:rFonts w:ascii="Calibri" w:hAnsi="Calibri"/>
          <w:b w:val="0"/>
          <w:i w:val="0"/>
          <w:color w:val="212121"/>
          <w:sz w:val="21"/>
        </w:rPr>
        <w:t>(4) Arrhythmogenic and unclassified cardiomyopathies - arrhythmogenic right ventricular cardiomyopathy (ARVC), left-ventricular non-compaction and stress (Takotsubo) cardiomyopathy are additional recognised entities; they are frequently listed separately from the three classical phenotypes but overlap with them clinically and genetically.</w:t>
      </w:r>
    </w:p>
    <w:p>
      <w:pPr>
        <w:spacing w:before="0" w:after="80"/>
      </w:pPr>
      <w:r>
        <w:rPr>
          <w:rFonts w:ascii="Calibri" w:hAnsi="Calibri"/>
          <w:b w:val="0"/>
          <w:i w:val="0"/>
          <w:color w:val="212121"/>
          <w:sz w:val="21"/>
        </w:rPr>
        <w:t>(5) Tropical endomyocardial fibrosis (EMF) - a regionally important restrictive cardiomyopathy of the developing world, historically endemic to coastal South India (Kerala) and equatorial Africa, characterised by dense fibrosis of the ventricular apex and inflow, tethering of the atrioventricular valves and progressive restrictive physiology; strongly linked to poverty, eosinophilia and dietary factors and now much less common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 familial: Inherited mutations in sarcomere genes (MYH7, MYBPC3, TNNT2, TPM1) cause most HCM, while mutations in cytoskeletal and sarcomere genes (titin/TTN, lamin A/C, desmin) underlie a large share of DCM; the South Asian MYBPC3 delta-25bp deletion is a common regional risk allele. Many cardiomyopathies are autosomal dominant with variable, often incomplete, penetrance.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Toxic - alcohol and drugs: Chronic heavy alcohol intake is a major, potentially reversible cause of dilated cardiomyopathy; cardiotoxic drugs (anthracyclines, trastuzumab, some tyrosine-kinase inhibitors) and stimulants (cocaine, amphetamines) also injure the myocardium.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Infective / inflammatory myocarditis: Viral myocarditis and, in endemic regions, Chagas disease and other infections can trigger dilated cardiomyopathy; hypereosinophilic and autoimmune inflammation can cause endomyocardial/restrictive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Peripartum and hormonal: Peripartum cardiomyopathy develops in late pregnancy or the early post-partum period through vascular-hormonal (prolactin/sFlt-1) and haemodynamic stress, especially with hypertension, pre-eclampsia, multiparity, twin pregnancy and anaemia.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Infiltrative, storage and nutritional: Amyloidosis, sarcoidosis, haemochromatosis (iron overload) and Fabry disease infiltrate or overload the myocardium (mainly RCM), while thiamine deficiency (wet beriberi) and selenium deficiency cause high-output/dilated disease - relevant where diets are cereal-heavy or alcohol-related.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Tropical / environmental (EMF): Endomyocardial fibrosis is linked to poverty, chronic eosinophilia, parasitic infection and dietary factors (cassava/tapioca, magnesium deficiency, cerium) in equatorial regions including coastal South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myocardial stress: Sustained tachyarrhythmia (tachycardia-induced cardiomyopathy), long-standing severe hypertension, thyroid dysfunction and diabetes (diabetic cardiomyopathy) can each produce or accelerate a cardiomyopathic phenotype.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(dilated cardiomyopathy)</w:t>
            </w:r>
          </w:p>
        </w:tc>
        <w:tc>
          <w:tcPr>
            <w:tcW w:type="dxa" w:w="4276"/>
            <w:vAlign w:val="top"/>
          </w:tcPr>
          <w:p>
            <w:pPr>
              <w:spacing w:after="60" w:line="259" w:lineRule="auto"/>
            </w:pPr>
            <w:r>
              <w:rPr>
                <w:rFonts w:ascii="Calibri" w:hAnsi="Calibri"/>
                <w:b w:val="0"/>
                <w:i w:val="0"/>
                <w:color w:val="212121"/>
                <w:sz w:val="19"/>
              </w:rPr>
              <w:t>Dilated cardiomyopathy most often becomes symptomatic in the third to sixth decades, when genetic predisposition combines with cumulative exposure to alcohol, viral illness, hypertension and toxins to produce progressive systolic heart failure. Works by dilating and weakening the ventricle so it can no longer pump effectively.</w:t>
            </w:r>
          </w:p>
          <w:p>
            <w:pPr>
              <w:spacing w:after="40" w:before="60" w:line="259" w:lineRule="auto"/>
            </w:pPr>
            <w:r>
              <w:rPr>
                <w:rFonts w:ascii="Calibri" w:hAnsi="Calibri"/>
                <w:b w:val="0"/>
                <w:i w:val="0"/>
                <w:color w:val="212121"/>
                <w:sz w:val="19"/>
              </w:rPr>
              <w:t>DCM has a classically cited prevalence of about 36 per 100,000, is more common in men than women, and nearly 50% of patients die within 5 years of diagnosis.</w:t>
            </w:r>
          </w:p>
          <w:p>
            <w:pPr>
              <w:spacing w:after="40" w:line="252" w:lineRule="auto"/>
            </w:pPr>
            <w:hyperlink r:id="rId9">
              <w:r>
                <w:rPr>
                  <w:rFonts w:ascii="Calibri" w:hAnsi="Calibri" w:cs="Calibri"/>
                  <w:sz w:val="18"/>
                  <w:color w:val="1155CC"/>
                  <w:u w:val="single"/>
                </w:rPr>
                <w:t xml:space="preserve">ncbi.nlm.nih.gov/books/NBK441911 - Dilated Cardiomyopathy (StatPearls)</w:t>
              </w:r>
            </w:hyperlink>
          </w:p>
          <w:p>
            <w:pPr>
              <w:spacing w:before="60" w:after="40"/>
            </w:pPr>
            <w:r>
              <w:rPr>
                <w:rFonts w:ascii="Calibri" w:hAnsi="Calibri"/>
                <w:b w:val="0"/>
                <w:i w:val="0"/>
                <w:color w:val="5A5A5A"/>
                <w:sz w:val="18"/>
              </w:rPr>
              <w:t>#dilatedcardiomyopathy  #heartfailure  #systolicdysfunction  #middleage  #DCM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and young adults / athletes (HCM)</w:t>
            </w:r>
          </w:p>
        </w:tc>
        <w:tc>
          <w:tcPr>
            <w:tcW w:type="dxa" w:w="4276"/>
            <w:vAlign w:val="top"/>
          </w:tcPr>
          <w:p>
            <w:pPr>
              <w:spacing w:after="60" w:line="259" w:lineRule="auto"/>
            </w:pPr>
            <w:r>
              <w:rPr>
                <w:rFonts w:ascii="Calibri" w:hAnsi="Calibri"/>
                <w:b w:val="0"/>
                <w:i w:val="0"/>
                <w:color w:val="212121"/>
                <w:sz w:val="19"/>
              </w:rPr>
              <w:t>Hypertrophic cardiomyopathy is a genetic disease often expressed at puberty; the thickened, disarrayed myocardium is electrically unstable and prone to ventricular arrhythmia, so the first presentation may be exertional syncope or sudden death in an apparently fit young person or competitive athlete.</w:t>
            </w:r>
          </w:p>
          <w:p>
            <w:pPr>
              <w:spacing w:after="40" w:before="60" w:line="259" w:lineRule="auto"/>
            </w:pPr>
            <w:r>
              <w:rPr>
                <w:rFonts w:ascii="Calibri" w:hAnsi="Calibri"/>
                <w:b w:val="0"/>
                <w:i w:val="0"/>
                <w:color w:val="212121"/>
                <w:sz w:val="19"/>
              </w:rPr>
              <w:t>HCM affects about 1 in 500 adults and is the most common identifiable cause of sudden cardiac death in healthy people younger than 35, including well-trained athletes; up to 50% of those with HCM are asymptomatic.</w:t>
            </w:r>
          </w:p>
          <w:p>
            <w:pPr>
              <w:spacing w:after="40" w:line="252" w:lineRule="auto"/>
            </w:pPr>
            <w:hyperlink r:id="rId10">
              <w:r>
                <w:rPr>
                  <w:rFonts w:ascii="Calibri" w:hAnsi="Calibri" w:cs="Calibri"/>
                  <w:sz w:val="18"/>
                  <w:color w:val="1155CC"/>
                  <w:u w:val="single"/>
                </w:rPr>
                <w:t xml:space="preserve">ncbi.nlm.nih.gov/books/NBK430788 - Hypertrophic Cardiomyopathy (StatPearls)</w:t>
              </w:r>
            </w:hyperlink>
          </w:p>
          <w:p>
            <w:pPr>
              <w:spacing w:before="60" w:after="40"/>
            </w:pPr>
            <w:r>
              <w:rPr>
                <w:rFonts w:ascii="Calibri" w:hAnsi="Calibri"/>
                <w:b w:val="0"/>
                <w:i w:val="0"/>
                <w:color w:val="5A5A5A"/>
                <w:sz w:val="18"/>
              </w:rPr>
              <w:t>#hypertrophiccardiomyopathy  #suddencardiacdeath  #athletes  #youngadults  #HCM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(infiltrative / amyloid restrictive disease)</w:t>
            </w:r>
          </w:p>
        </w:tc>
        <w:tc>
          <w:tcPr>
            <w:tcW w:type="dxa" w:w="4276"/>
            <w:vAlign w:val="top"/>
          </w:tcPr>
          <w:p>
            <w:pPr>
              <w:spacing w:after="60" w:line="259" w:lineRule="auto"/>
            </w:pPr>
            <w:r>
              <w:rPr>
                <w:rFonts w:ascii="Calibri" w:hAnsi="Calibri"/>
                <w:b w:val="0"/>
                <w:i w:val="0"/>
                <w:color w:val="212121"/>
                <w:sz w:val="19"/>
              </w:rPr>
              <w:t>In older adults, restrictive physiology is increasingly driven by cardiac amyloidosis (especially wild-type transthyretin, ATTR), where amyloid infiltration stiffens the ventricle and causes heart failure with preserved ejection fraction that is easily missed as 'ageing heart'. Ageing also unmasks late-onset genetic cardiomyopathy.</w:t>
            </w:r>
          </w:p>
          <w:p>
            <w:pPr>
              <w:spacing w:after="40" w:before="60" w:line="259" w:lineRule="auto"/>
            </w:pPr>
            <w:r>
              <w:rPr>
                <w:rFonts w:ascii="Calibri" w:hAnsi="Calibri"/>
                <w:b w:val="0"/>
                <w:i w:val="0"/>
                <w:color w:val="212121"/>
                <w:sz w:val="19"/>
              </w:rPr>
              <w:t>Cardiac amyloidosis is the most common cause of restrictive cardiomyopathy in developed countries, and RCM overall carries the worst prognosis of the cardiomyopathies, with survival often only 2-5 years.</w:t>
            </w:r>
          </w:p>
          <w:p>
            <w:pPr>
              <w:spacing w:after="40" w:line="252" w:lineRule="auto"/>
            </w:pPr>
            <w:hyperlink r:id="rId11">
              <w:r>
                <w:rPr>
                  <w:rFonts w:ascii="Calibri" w:hAnsi="Calibri" w:cs="Calibri"/>
                  <w:sz w:val="18"/>
                  <w:color w:val="1155CC"/>
                  <w:u w:val="single"/>
                </w:rPr>
                <w:t xml:space="preserve">ncbi.nlm.nih.gov/books/NBK537234 - Restrictive Cardiomyopathy (StatPearls)</w:t>
              </w:r>
            </w:hyperlink>
          </w:p>
          <w:p>
            <w:pPr>
              <w:spacing w:before="60" w:after="40"/>
            </w:pPr>
            <w:r>
              <w:rPr>
                <w:rFonts w:ascii="Calibri" w:hAnsi="Calibri"/>
                <w:b w:val="0"/>
                <w:i w:val="0"/>
                <w:color w:val="5A5A5A"/>
                <w:sz w:val="18"/>
              </w:rPr>
              <w:t>#restrictivecardiomyopathy  #amyloidosis  #ATTR  #HFpEF  #elderly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a higher incidence of dilated cardiomyopathy and dominate the acquired toxic forms - particularly alcoholic cardiomyopathy - reflecting greater alcohol exposure, and they also tend to express HCM earlier and more severely than women.</w:t>
            </w:r>
          </w:p>
          <w:p>
            <w:pPr>
              <w:spacing w:after="40" w:before="60" w:line="259" w:lineRule="auto"/>
            </w:pPr>
            <w:r>
              <w:rPr>
                <w:rFonts w:ascii="Calibri" w:hAnsi="Calibri"/>
                <w:b w:val="0"/>
                <w:i w:val="0"/>
                <w:color w:val="212121"/>
                <w:sz w:val="19"/>
              </w:rPr>
              <w:t>Males aged 30-55 with more than 10 years of heavy drinking are the classic demographic for alcoholic cardiomyopathy; females represent only about 14% of cases though they need less lifetime alcohol to be affected.</w:t>
            </w:r>
          </w:p>
          <w:p>
            <w:pPr>
              <w:spacing w:after="40" w:line="252" w:lineRule="auto"/>
            </w:pPr>
            <w:hyperlink r:id="rId12">
              <w:r>
                <w:rPr>
                  <w:rFonts w:ascii="Calibri" w:hAnsi="Calibri" w:cs="Calibri"/>
                  <w:sz w:val="18"/>
                  <w:color w:val="1155CC"/>
                  <w:u w:val="single"/>
                </w:rPr>
                <w:t xml:space="preserve">ncbi.nlm.nih.gov/books/NBK513322 - Alcoholic Cardiomyopathy (StatPearls)</w:t>
              </w:r>
            </w:hyperlink>
          </w:p>
          <w:p>
            <w:pPr>
              <w:spacing w:before="60" w:after="40"/>
            </w:pPr>
            <w:r>
              <w:rPr>
                <w:rFonts w:ascii="Calibri" w:hAnsi="Calibri"/>
                <w:b w:val="0"/>
                <w:i w:val="0"/>
                <w:color w:val="5A5A5A"/>
                <w:sz w:val="18"/>
              </w:rPr>
              <w:t>#male  #alcoholiccardiomyopathy  #DCM  #toxic  #sexdifference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in late pregnancy / post-partum (peripartum CM)</w:t>
            </w:r>
          </w:p>
        </w:tc>
        <w:tc>
          <w:tcPr>
            <w:tcW w:type="dxa" w:w="4276"/>
            <w:vAlign w:val="top"/>
          </w:tcPr>
          <w:p>
            <w:pPr>
              <w:spacing w:after="60" w:line="259" w:lineRule="auto"/>
            </w:pPr>
            <w:r>
              <w:rPr>
                <w:rFonts w:ascii="Calibri" w:hAnsi="Calibri"/>
                <w:b w:val="0"/>
                <w:i w:val="0"/>
                <w:color w:val="212121"/>
                <w:sz w:val="19"/>
              </w:rPr>
              <w:t>Peripartum cardiomyopathy is a dilated-type heart failure that strikes healthy women in the last month of pregnancy or the first months after delivery, driven by hormonal (prolactin/sFlt-1) and haemodynamic stress; it is a leading cause of maternal cardiac disease in India.</w:t>
            </w:r>
          </w:p>
          <w:p>
            <w:pPr>
              <w:spacing w:after="40" w:before="60" w:line="259" w:lineRule="auto"/>
            </w:pPr>
            <w:r>
              <w:rPr>
                <w:rFonts w:ascii="Calibri" w:hAnsi="Calibri"/>
                <w:b w:val="0"/>
                <w:i w:val="0"/>
                <w:color w:val="212121"/>
                <w:sz w:val="19"/>
              </w:rPr>
              <w:t>A South Indian tertiary-hospital series reported an incidence of about 1 case of peripartum cardiomyopathy per 1,374 live births, with multiparity and advanced maternal age as the major risk factors.</w:t>
            </w:r>
          </w:p>
          <w:p>
            <w:pPr>
              <w:spacing w:after="40" w:line="252" w:lineRule="auto"/>
            </w:pPr>
            <w:hyperlink r:id="rId13">
              <w:r>
                <w:rPr>
                  <w:rFonts w:ascii="Calibri" w:hAnsi="Calibri" w:cs="Calibri"/>
                  <w:sz w:val="18"/>
                  <w:color w:val="1155CC"/>
                  <w:u w:val="single"/>
                </w:rPr>
                <w:t xml:space="preserve">journals.sagepub.com - peripartum cardiomyopathy incidence, South India</w:t>
              </w:r>
            </w:hyperlink>
          </w:p>
          <w:p>
            <w:pPr>
              <w:spacing w:before="60" w:after="40"/>
            </w:pPr>
            <w:r>
              <w:rPr>
                <w:rFonts w:ascii="Calibri" w:hAnsi="Calibri"/>
                <w:b w:val="0"/>
                <w:i w:val="0"/>
                <w:color w:val="5A5A5A"/>
                <w:sz w:val="18"/>
              </w:rPr>
              <w:t>#peripartumcardiomyopathy  #maternalhealth  #pregnancy  #PPCM  #women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Coastal South India, especially Kerala (endomyocardial fibrosis)</w:t>
            </w:r>
          </w:p>
        </w:tc>
        <w:tc>
          <w:tcPr>
            <w:tcW w:type="dxa" w:w="4276"/>
            <w:vAlign w:val="top"/>
          </w:tcPr>
          <w:p>
            <w:pPr>
              <w:spacing w:after="60" w:line="259" w:lineRule="auto"/>
            </w:pPr>
            <w:r>
              <w:rPr>
                <w:rFonts w:ascii="Calibri" w:hAnsi="Calibri"/>
                <w:b w:val="0"/>
                <w:i w:val="0"/>
                <w:color w:val="212121"/>
                <w:sz w:val="19"/>
              </w:rPr>
              <w:t>Tropical endomyocardial fibrosis clustered within 15 degrees of the equator, with Kerala as the Indian epicentre; dense fibrosis obliterates the ventricular apex and inflow, tethering the AV valves and producing severe restrictive physiology in children and young adults living in poverty.</w:t>
            </w:r>
          </w:p>
          <w:p>
            <w:pPr>
              <w:spacing w:after="40" w:before="60" w:line="259" w:lineRule="auto"/>
            </w:pPr>
            <w:r>
              <w:rPr>
                <w:rFonts w:ascii="Calibri" w:hAnsi="Calibri"/>
                <w:b w:val="0"/>
                <w:i w:val="0"/>
                <w:color w:val="212121"/>
                <w:sz w:val="19"/>
              </w:rPr>
              <w:t>In the 1970s-1980s EMF accounted for about 2.5% of all cardiac admissions in patients under 40 years in endemic South India, and one Trivandrum medical college recorded 36 new cases in 1980 alone; the mean age has since risen from 25 to 33 years as the disease vanishes.</w:t>
            </w:r>
          </w:p>
          <w:p>
            <w:pPr>
              <w:spacing w:after="40" w:line="252" w:lineRule="auto"/>
            </w:pPr>
            <w:hyperlink r:id="rId14">
              <w:r>
                <w:rPr>
                  <w:rFonts w:ascii="Calibri" w:hAnsi="Calibri" w:cs="Calibri"/>
                  <w:sz w:val="18"/>
                  <w:color w:val="1155CC"/>
                  <w:u w:val="single"/>
                </w:rPr>
                <w:t xml:space="preserve">ijmr.org.in - Tropical endomyocardial fibrosis in India (IJMR)</w:t>
              </w:r>
            </w:hyperlink>
          </w:p>
          <w:p>
            <w:pPr>
              <w:spacing w:before="60" w:after="40"/>
            </w:pPr>
            <w:r>
              <w:rPr>
                <w:rFonts w:ascii="Calibri" w:hAnsi="Calibri"/>
                <w:b w:val="0"/>
                <w:i w:val="0"/>
                <w:color w:val="5A5A5A"/>
                <w:sz w:val="18"/>
              </w:rPr>
              <w:t>#endomyocardialfibrosis  #EMF  #Kerala  #tropicalheart  #restrictive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People of South Asian (Indian) ancestry</w:t>
            </w:r>
          </w:p>
        </w:tc>
        <w:tc>
          <w:tcPr>
            <w:tcW w:type="dxa" w:w="4276"/>
            <w:vAlign w:val="top"/>
          </w:tcPr>
          <w:p>
            <w:pPr>
              <w:spacing w:after="60" w:line="259" w:lineRule="auto"/>
            </w:pPr>
            <w:r>
              <w:rPr>
                <w:rFonts w:ascii="Calibri" w:hAnsi="Calibri"/>
                <w:b w:val="0"/>
                <w:i w:val="0"/>
                <w:color w:val="212121"/>
                <w:sz w:val="19"/>
              </w:rPr>
              <w:t>A founder deletion in the cardiac myosin-binding protein C gene (MYBPC3 delta-25bp) is specific to South Asian populations and behaves as an inherited risk allele for cardiomyopathy, so ancestry itself confers susceptibility that may only manifest in later adulthood or under additional stress.</w:t>
            </w:r>
          </w:p>
          <w:p>
            <w:pPr>
              <w:spacing w:after="40" w:before="60" w:line="259" w:lineRule="auto"/>
            </w:pPr>
            <w:r>
              <w:rPr>
                <w:rFonts w:ascii="Calibri" w:hAnsi="Calibri"/>
                <w:b w:val="0"/>
                <w:i w:val="0"/>
                <w:color w:val="212121"/>
                <w:sz w:val="19"/>
              </w:rPr>
              <w:t>The South Asian MYBPC3 delta-25bp intronic deletion is carried by roughly 4-6% of South Asians - about 100 million people worldwide - and is associated with hypertrophic (odds ratio ~7), dilated and restrictive cardiomyopathy and heart failure, with incomplete, late-onset penetrance.</w:t>
            </w:r>
          </w:p>
          <w:p>
            <w:pPr>
              <w:spacing w:after="40" w:line="252" w:lineRule="auto"/>
            </w:pPr>
            <w:hyperlink r:id="rId15">
              <w:r>
                <w:rPr>
                  <w:rFonts w:ascii="Calibri" w:hAnsi="Calibri" w:cs="Calibri"/>
                  <w:sz w:val="18"/>
                  <w:color w:val="1155CC"/>
                  <w:u w:val="single"/>
                </w:rPr>
                <w:t xml:space="preserve">frontiersin.org - South Asian MYBPC3 delta-25bp deletion and cardiomyopathy</w:t>
              </w:r>
            </w:hyperlink>
          </w:p>
          <w:p>
            <w:pPr>
              <w:spacing w:before="60" w:after="40"/>
            </w:pPr>
            <w:r>
              <w:rPr>
                <w:rFonts w:ascii="Calibri" w:hAnsi="Calibri"/>
                <w:b w:val="0"/>
                <w:i w:val="0"/>
                <w:color w:val="5A5A5A"/>
                <w:sz w:val="18"/>
              </w:rPr>
              <w:t>#MYBPC3  #SouthAsian  #foundervariant  #genetics  #riskallele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Ethanol and its metabolite acetaldehyde are directly toxic to cardiac myocytes, impairing contractile protein function and mitochondrial energetics and, over years, producing a dilated, poorly contracting heart - one of the few cardiomyopathies that can substantially reverse with abstinence.</w:t>
            </w:r>
          </w:p>
          <w:p>
            <w:pPr>
              <w:spacing w:after="40" w:before="60" w:line="259" w:lineRule="auto"/>
            </w:pPr>
            <w:r>
              <w:rPr>
                <w:rFonts w:ascii="Calibri" w:hAnsi="Calibri"/>
                <w:b w:val="0"/>
                <w:i w:val="0"/>
                <w:color w:val="212121"/>
                <w:sz w:val="19"/>
              </w:rPr>
              <w:t>Daily alcohol of 80 g or more for over 5 years markedly raises risk; alcohol is implicated in about 21-36% of all non-ischaemic cardiomyopathies and around 10% of dilated cardiomyopathy overall.</w:t>
            </w:r>
          </w:p>
          <w:p>
            <w:pPr>
              <w:spacing w:after="40" w:line="252" w:lineRule="auto"/>
            </w:pPr>
            <w:hyperlink r:id="rId12">
              <w:r>
                <w:rPr>
                  <w:rFonts w:ascii="Calibri" w:hAnsi="Calibri" w:cs="Calibri"/>
                  <w:sz w:val="18"/>
                  <w:color w:val="1155CC"/>
                  <w:u w:val="single"/>
                </w:rPr>
                <w:t xml:space="preserve">ncbi.nlm.nih.gov/books/NBK513322 - Alcoholic Cardiomyopathy (StatPearls)</w:t>
              </w:r>
            </w:hyperlink>
          </w:p>
          <w:p>
            <w:pPr>
              <w:spacing w:before="60" w:after="40"/>
            </w:pPr>
            <w:r>
              <w:rPr>
                <w:rFonts w:ascii="Calibri" w:hAnsi="Calibri"/>
                <w:b w:val="0"/>
                <w:i w:val="0"/>
                <w:color w:val="5A5A5A"/>
                <w:sz w:val="18"/>
              </w:rPr>
              <w:t>#alcohol  #alcoholiccardiomyopathy  #reversible  #DCM  #toxic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Obese and sedentary adults</w:t>
            </w:r>
          </w:p>
        </w:tc>
        <w:tc>
          <w:tcPr>
            <w:tcW w:type="dxa" w:w="4276"/>
            <w:vAlign w:val="top"/>
          </w:tcPr>
          <w:p>
            <w:pPr>
              <w:spacing w:after="60" w:line="259" w:lineRule="auto"/>
            </w:pPr>
            <w:r>
              <w:rPr>
                <w:rFonts w:ascii="Calibri" w:hAnsi="Calibri"/>
                <w:b w:val="0"/>
                <w:i w:val="0"/>
                <w:color w:val="212121"/>
                <w:sz w:val="19"/>
              </w:rPr>
              <w:t>Obesity and physical inactivity drive hypertension, type 2 diabetes and obstructive sleep apnoea and cause an 'obesity cardiomyopathy' through chronic volume overload, adipose inflammation and lipotoxicity, leading to LV remodelling, diastolic dysfunction and heart failure. This is a contributory, modifiable pathway rather than a primary genetic cause.</w:t>
            </w:r>
          </w:p>
          <w:p>
            <w:pPr>
              <w:spacing w:after="40" w:before="60" w:line="259" w:lineRule="auto"/>
            </w:pPr>
            <w:r>
              <w:rPr>
                <w:rFonts w:ascii="Calibri" w:hAnsi="Calibri"/>
                <w:b w:val="0"/>
                <w:i w:val="0"/>
                <w:color w:val="212121"/>
                <w:sz w:val="19"/>
              </w:rPr>
              <w:t>Obesity, diabetes and hypertension promote adverse ventricular remodelling and heart failure; weight and metabolic control are central to preventing and slowing this remodelling.</w:t>
            </w:r>
          </w:p>
          <w:p>
            <w:pPr>
              <w:spacing w:before="60" w:after="40"/>
            </w:pPr>
            <w:r>
              <w:rPr>
                <w:rFonts w:ascii="Calibri" w:hAnsi="Calibri"/>
                <w:b w:val="0"/>
                <w:i w:val="0"/>
                <w:color w:val="5A5A5A"/>
                <w:sz w:val="18"/>
              </w:rPr>
              <w:t>#obesity  #sedentary  #diabeticcardiomyopathy  #remodelling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and tobacco users</w:t>
            </w:r>
          </w:p>
        </w:tc>
        <w:tc>
          <w:tcPr>
            <w:tcW w:type="dxa" w:w="4276"/>
            <w:vAlign w:val="top"/>
          </w:tcPr>
          <w:p>
            <w:pPr>
              <w:spacing w:after="60" w:line="259" w:lineRule="auto"/>
            </w:pPr>
            <w:r>
              <w:rPr>
                <w:rFonts w:ascii="Calibri" w:hAnsi="Calibri"/>
                <w:b w:val="0"/>
                <w:i w:val="0"/>
                <w:color w:val="212121"/>
                <w:sz w:val="19"/>
              </w:rPr>
              <w:t>Tobacco is not a primary cause of the genetic cardiomyopathies, but it accelerates coronary and microvascular disease, raises blood pressure and worsens myocardial oxygen supply, adding ischaemic and remodelling injury and worsening outcomes in anyone with established heart-muscle disease. A contextual, aggravating risk factor.</w:t>
            </w:r>
          </w:p>
          <w:p>
            <w:pPr>
              <w:spacing w:after="40" w:before="60" w:line="259" w:lineRule="auto"/>
            </w:pPr>
            <w:r>
              <w:rPr>
                <w:rFonts w:ascii="Calibri" w:hAnsi="Calibri"/>
                <w:b w:val="0"/>
                <w:i w:val="0"/>
                <w:color w:val="212121"/>
                <w:sz w:val="19"/>
              </w:rPr>
              <w:t>Smoking is a major driver of the broader cardiovascular disease and heart-failure burden and worsens prognosis in patients who already have cardiomyopathy.</w:t>
            </w:r>
          </w:p>
          <w:p>
            <w:pPr>
              <w:spacing w:before="60" w:after="40"/>
            </w:pPr>
            <w:r>
              <w:rPr>
                <w:rFonts w:ascii="Calibri" w:hAnsi="Calibri"/>
                <w:b w:val="0"/>
                <w:i w:val="0"/>
                <w:color w:val="5A5A5A"/>
                <w:sz w:val="18"/>
              </w:rPr>
              <w:t>#smoking  #tobacco  #cardiovascularrisk  #aggravating  #heartfailure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 (tropical)</w:t>
            </w:r>
          </w:p>
        </w:tc>
        <w:tc>
          <w:tcPr>
            <w:tcW w:type="dxa" w:w="2160"/>
            <w:vAlign w:val="top"/>
          </w:tcPr>
          <w:p>
            <w:pPr>
              <w:spacing w:after="40" w:before="0" w:line="259" w:lineRule="auto"/>
            </w:pPr>
            <w:r>
              <w:rPr>
                <w:rFonts w:ascii="Calibri" w:hAnsi="Calibri"/>
                <w:b w:val="0"/>
                <w:i w:val="0"/>
                <w:color w:val="212121"/>
                <w:sz w:val="19"/>
              </w:rPr>
              <w:t>Poor, cassava-dependent communities (EMF)</w:t>
            </w:r>
          </w:p>
        </w:tc>
        <w:tc>
          <w:tcPr>
            <w:tcW w:type="dxa" w:w="4276"/>
            <w:vAlign w:val="top"/>
          </w:tcPr>
          <w:p>
            <w:pPr>
              <w:spacing w:after="60" w:line="259" w:lineRule="auto"/>
            </w:pPr>
            <w:r>
              <w:rPr>
                <w:rFonts w:ascii="Calibri" w:hAnsi="Calibri"/>
                <w:b w:val="0"/>
                <w:i w:val="0"/>
                <w:color w:val="212121"/>
                <w:sz w:val="19"/>
              </w:rPr>
              <w:t>In endemic zones, monotonous cassava/tapioca-based diets (rich in cyanogenic glycosides), magnesium deficiency and background eosinophilia from parasitic infection have been implicated in the endomyocardial fibrosis that causes tropical restrictive cardiomyopathy. Improving nutrition and living standards has coincided with its decline.</w:t>
            </w:r>
          </w:p>
          <w:p>
            <w:pPr>
              <w:spacing w:after="40" w:before="60" w:line="259" w:lineRule="auto"/>
            </w:pPr>
            <w:r>
              <w:rPr>
                <w:rFonts w:ascii="Calibri" w:hAnsi="Calibri"/>
                <w:b w:val="0"/>
                <w:i w:val="0"/>
                <w:color w:val="212121"/>
                <w:sz w:val="19"/>
              </w:rPr>
              <w:t>Dietary tapioca/cassava, magnesium deficiency and cerium exposure, together with childhood malnutrition, parasitic infection and eosinophilia, are the classical risk factors for endomyocardial fibrosis in South India.</w:t>
            </w:r>
          </w:p>
          <w:p>
            <w:pPr>
              <w:spacing w:after="40" w:line="252" w:lineRule="auto"/>
            </w:pPr>
            <w:hyperlink r:id="rId14">
              <w:r>
                <w:rPr>
                  <w:rFonts w:ascii="Calibri" w:hAnsi="Calibri" w:cs="Calibri"/>
                  <w:sz w:val="18"/>
                  <w:color w:val="1155CC"/>
                  <w:u w:val="single"/>
                </w:rPr>
                <w:t xml:space="preserve">ijmr.org.in - nutritional factors in endomyocardial fibrosis (IJMR)</w:t>
              </w:r>
            </w:hyperlink>
          </w:p>
          <w:p>
            <w:pPr>
              <w:spacing w:before="60" w:after="40"/>
            </w:pPr>
            <w:r>
              <w:rPr>
                <w:rFonts w:ascii="Calibri" w:hAnsi="Calibri"/>
                <w:b w:val="0"/>
                <w:i w:val="0"/>
                <w:color w:val="5A5A5A"/>
                <w:sz w:val="18"/>
              </w:rPr>
              <w:t>#cassava  #malnutrition  #eosinophilia  #EMF  #magnesium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Thiamine (vitamin B1) deficient / alcohol-related diets</w:t>
            </w:r>
          </w:p>
        </w:tc>
        <w:tc>
          <w:tcPr>
            <w:tcW w:type="dxa" w:w="4276"/>
            <w:vAlign w:val="top"/>
          </w:tcPr>
          <w:p>
            <w:pPr>
              <w:spacing w:after="60" w:line="259" w:lineRule="auto"/>
            </w:pPr>
            <w:r>
              <w:rPr>
                <w:rFonts w:ascii="Calibri" w:hAnsi="Calibri"/>
                <w:b w:val="0"/>
                <w:i w:val="0"/>
                <w:color w:val="212121"/>
                <w:sz w:val="19"/>
              </w:rPr>
              <w:t>Severe thiamine deficiency (wet beriberi), seen with cereal-heavy 'polished-rice' diets, chronic alcoholism and malnutrition, causes a high-output dilated cardiomyopathy with heart failure that can reverse dramatically with thiamine; selenium deficiency (Keshan-type) similarly damages the myocardium. Relevant to Indian dietary and alcohol contexts.</w:t>
            </w:r>
          </w:p>
          <w:p>
            <w:pPr>
              <w:spacing w:after="40" w:before="60" w:line="259" w:lineRule="auto"/>
            </w:pPr>
            <w:r>
              <w:rPr>
                <w:rFonts w:ascii="Calibri" w:hAnsi="Calibri"/>
                <w:b w:val="0"/>
                <w:i w:val="0"/>
                <w:color w:val="212121"/>
                <w:sz w:val="19"/>
              </w:rPr>
              <w:t>Nutritional (thiamine and selenium) deficiency is a recognised, reversible cause of dilated cardiomyopathy; correcting the deficiency can restore ventricular function.</w:t>
            </w:r>
          </w:p>
          <w:p>
            <w:pPr>
              <w:spacing w:before="60" w:after="40"/>
            </w:pPr>
            <w:r>
              <w:rPr>
                <w:rFonts w:ascii="Calibri" w:hAnsi="Calibri"/>
                <w:b w:val="0"/>
                <w:i w:val="0"/>
                <w:color w:val="5A5A5A"/>
                <w:sz w:val="18"/>
              </w:rPr>
              <w:t>#thiamine  #beriberi  #nutrition  #reversibleDCM  #selenium</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cardiomyopathy or sudden death</w:t>
            </w:r>
          </w:p>
        </w:tc>
        <w:tc>
          <w:tcPr>
            <w:tcW w:type="dxa" w:w="4276"/>
            <w:vAlign w:val="top"/>
          </w:tcPr>
          <w:p>
            <w:pPr>
              <w:spacing w:after="60" w:line="259" w:lineRule="auto"/>
            </w:pPr>
            <w:r>
              <w:rPr>
                <w:rFonts w:ascii="Calibri" w:hAnsi="Calibri"/>
                <w:b w:val="0"/>
                <w:i w:val="0"/>
                <w:color w:val="212121"/>
                <w:sz w:val="19"/>
              </w:rPr>
              <w:t>HCM and much of DCM are inherited in an autosomal dominant pattern, so a first-degree relative with cardiomyopathy or unexplained sudden death markedly raises risk and mandates cascade screening, since disease can be silent until a fatal arrhythmia.</w:t>
            </w:r>
          </w:p>
          <w:p>
            <w:pPr>
              <w:spacing w:after="40" w:before="60" w:line="259" w:lineRule="auto"/>
            </w:pPr>
            <w:r>
              <w:rPr>
                <w:rFonts w:ascii="Calibri" w:hAnsi="Calibri"/>
                <w:b w:val="0"/>
                <w:i w:val="0"/>
                <w:color w:val="212121"/>
                <w:sz w:val="19"/>
              </w:rPr>
              <w:t>About 60% of HCM patients carry a sarcomere protein gene mutation, with MYH7 and MYBPC3 accounting for roughly 75% of variant-positive cases; the disease is autosomal dominant, so first-degree relatives have a ~50% chance of carrying the variant.</w:t>
            </w:r>
          </w:p>
          <w:p>
            <w:pPr>
              <w:spacing w:after="40" w:line="252" w:lineRule="auto"/>
            </w:pPr>
            <w:hyperlink r:id="rId10">
              <w:r>
                <w:rPr>
                  <w:rFonts w:ascii="Calibri" w:hAnsi="Calibri" w:cs="Calibri"/>
                  <w:sz w:val="18"/>
                  <w:color w:val="1155CC"/>
                  <w:u w:val="single"/>
                </w:rPr>
                <w:t xml:space="preserve">ncbi.nlm.nih.gov/books/NBK430788 - HCM genetics (StatPearls)</w:t>
              </w:r>
            </w:hyperlink>
          </w:p>
          <w:p>
            <w:pPr>
              <w:spacing w:before="60" w:after="40"/>
            </w:pPr>
            <w:r>
              <w:rPr>
                <w:rFonts w:ascii="Calibri" w:hAnsi="Calibri"/>
                <w:b w:val="0"/>
                <w:i w:val="0"/>
                <w:color w:val="5A5A5A"/>
                <w:sz w:val="18"/>
              </w:rPr>
              <w:t>#familyhistory  #sarcomere  #autosomaldominant  #cascadescreening  #MYH7</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 sarcomere variants</w:t>
            </w:r>
          </w:p>
        </w:tc>
        <w:tc>
          <w:tcPr>
            <w:tcW w:type="dxa" w:w="2160"/>
            <w:vAlign w:val="top"/>
          </w:tcPr>
          <w:p>
            <w:pPr>
              <w:spacing w:after="40" w:before="0" w:line="259" w:lineRule="auto"/>
            </w:pPr>
            <w:r>
              <w:rPr>
                <w:rFonts w:ascii="Calibri" w:hAnsi="Calibri"/>
                <w:b w:val="0"/>
                <w:i w:val="0"/>
                <w:color w:val="212121"/>
                <w:sz w:val="19"/>
              </w:rPr>
              <w:t>Indian HCM patients with sarcomeric gene variants</w:t>
            </w:r>
          </w:p>
        </w:tc>
        <w:tc>
          <w:tcPr>
            <w:tcW w:type="dxa" w:w="4276"/>
            <w:vAlign w:val="top"/>
          </w:tcPr>
          <w:p>
            <w:pPr>
              <w:spacing w:after="60" w:line="259" w:lineRule="auto"/>
            </w:pPr>
            <w:r>
              <w:rPr>
                <w:rFonts w:ascii="Calibri" w:hAnsi="Calibri"/>
                <w:b w:val="0"/>
                <w:i w:val="0"/>
                <w:color w:val="212121"/>
                <w:sz w:val="19"/>
              </w:rPr>
              <w:t>Genetic studies of Indian hypertrophic cardiomyopathy cohorts confirm that sarcomere protein gene variants (notably in MYBPC3 and MYH7) underlie a large share of disease, supporting genetic testing and family screening as part of Indian HCM care.</w:t>
            </w:r>
          </w:p>
          <w:p>
            <w:pPr>
              <w:spacing w:after="40" w:before="60" w:line="259" w:lineRule="auto"/>
            </w:pPr>
            <w:r>
              <w:rPr>
                <w:rFonts w:ascii="Calibri" w:hAnsi="Calibri"/>
                <w:b w:val="0"/>
                <w:i w:val="0"/>
                <w:color w:val="212121"/>
                <w:sz w:val="19"/>
              </w:rPr>
              <w:t>Scoping reviews of Indian HCM patients report that a substantial proportion carry pathogenic sarcomeric variants, with MYBPC3 and MYH7 the most frequently implicated genes.</w:t>
            </w:r>
          </w:p>
          <w:p>
            <w:pPr>
              <w:spacing w:after="40" w:line="252" w:lineRule="auto"/>
            </w:pPr>
            <w:hyperlink r:id="rId16">
              <w:r>
                <w:rPr>
                  <w:rFonts w:ascii="Calibri" w:hAnsi="Calibri" w:cs="Calibri"/>
                  <w:sz w:val="18"/>
                  <w:color w:val="1155CC"/>
                  <w:u w:val="single"/>
                </w:rPr>
                <w:t xml:space="preserve">ijmr.org.in - sarcomeric gene variants in Indian HCM (scoping review)</w:t>
              </w:r>
            </w:hyperlink>
          </w:p>
          <w:p>
            <w:pPr>
              <w:spacing w:before="60" w:after="40"/>
            </w:pPr>
            <w:r>
              <w:rPr>
                <w:rFonts w:ascii="Calibri" w:hAnsi="Calibri"/>
                <w:b w:val="0"/>
                <w:i w:val="0"/>
                <w:color w:val="5A5A5A"/>
                <w:sz w:val="18"/>
              </w:rPr>
              <w:t>#India  #sarcomericvariants  #MYBPC3  #genetictesting  #HCM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Long-standing / poorly controlled hypertension</w:t>
            </w:r>
          </w:p>
        </w:tc>
        <w:tc>
          <w:tcPr>
            <w:tcW w:type="dxa" w:w="4276"/>
            <w:vAlign w:val="top"/>
          </w:tcPr>
          <w:p>
            <w:pPr>
              <w:spacing w:after="60" w:line="259" w:lineRule="auto"/>
            </w:pPr>
            <w:r>
              <w:rPr>
                <w:rFonts w:ascii="Calibri" w:hAnsi="Calibri"/>
                <w:b w:val="0"/>
                <w:i w:val="0"/>
                <w:color w:val="212121"/>
                <w:sz w:val="19"/>
              </w:rPr>
              <w:t>Chronic pressure overload thickens and later dilates the left ventricle and causes diastolic dysfunction; although severe hypertensive heart disease is formally distinguished from primary cardiomyopathy, uncontrolled blood pressure is a powerful driver and accelerant of adverse myocardial remodelling and heart failure.</w:t>
            </w:r>
          </w:p>
          <w:p>
            <w:pPr>
              <w:spacing w:after="40" w:before="60" w:line="259" w:lineRule="auto"/>
            </w:pPr>
            <w:r>
              <w:rPr>
                <w:rFonts w:ascii="Calibri" w:hAnsi="Calibri"/>
                <w:b w:val="0"/>
                <w:i w:val="0"/>
                <w:color w:val="212121"/>
                <w:sz w:val="19"/>
              </w:rPr>
              <w:t>Persistent hypertension promotes left ventricular hypertrophy, fibrosis and diastolic dysfunction, and is a leading contributor to the heart-failure burden that overlaps with cardiomyopathy.</w:t>
            </w:r>
          </w:p>
          <w:p>
            <w:pPr>
              <w:spacing w:before="60" w:after="40"/>
            </w:pPr>
            <w:r>
              <w:rPr>
                <w:rFonts w:ascii="Calibri" w:hAnsi="Calibri"/>
                <w:b w:val="0"/>
                <w:i w:val="0"/>
                <w:color w:val="5A5A5A"/>
                <w:sz w:val="18"/>
              </w:rPr>
              <w:t>#hypertension  #LVH  #pressureoverload  #remodelling  #diastolicdysfunction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Diabetes causes a specific 'diabetic cardiomyopathy' - myocardial fibrosis, microvascular disease, lipotoxicity and impaired calcium handling producing diastolic and later systolic dysfunction independent of coronary disease - and worsens every other cardiomyopathic process. India's large diabetic population makes this a major contributor.</w:t>
            </w:r>
          </w:p>
          <w:p>
            <w:pPr>
              <w:spacing w:after="40" w:before="60" w:line="259" w:lineRule="auto"/>
            </w:pPr>
            <w:r>
              <w:rPr>
                <w:rFonts w:ascii="Calibri" w:hAnsi="Calibri"/>
                <w:b w:val="0"/>
                <w:i w:val="0"/>
                <w:color w:val="212121"/>
                <w:sz w:val="19"/>
              </w:rPr>
              <w:t>Diabetes independently causes myocardial dysfunction (diabetic cardiomyopathy) and greatly increases heart-failure risk; tight glycaemic and metabolic control is central to prevention.</w:t>
            </w:r>
          </w:p>
          <w:p>
            <w:pPr>
              <w:spacing w:before="60" w:after="40"/>
            </w:pPr>
            <w:r>
              <w:rPr>
                <w:rFonts w:ascii="Calibri" w:hAnsi="Calibri"/>
                <w:b w:val="0"/>
                <w:i w:val="0"/>
                <w:color w:val="5A5A5A"/>
                <w:sz w:val="18"/>
              </w:rPr>
              <w:t>#diabetes  #diabeticcardiomyopathy  #fibrosis  #HFpEF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Sustained tachyarrhythmia</w:t>
            </w:r>
          </w:p>
        </w:tc>
        <w:tc>
          <w:tcPr>
            <w:tcW w:type="dxa" w:w="2160"/>
            <w:vAlign w:val="top"/>
          </w:tcPr>
          <w:p>
            <w:pPr>
              <w:spacing w:after="40" w:before="0" w:line="259" w:lineRule="auto"/>
            </w:pPr>
            <w:r>
              <w:rPr>
                <w:rFonts w:ascii="Calibri" w:hAnsi="Calibri"/>
                <w:b w:val="0"/>
                <w:i w:val="0"/>
                <w:color w:val="212121"/>
                <w:sz w:val="19"/>
              </w:rPr>
              <w:t>Patients with uncontrolled atrial fibrillation / tachycardia</w:t>
            </w:r>
          </w:p>
        </w:tc>
        <w:tc>
          <w:tcPr>
            <w:tcW w:type="dxa" w:w="4276"/>
            <w:vAlign w:val="top"/>
          </w:tcPr>
          <w:p>
            <w:pPr>
              <w:spacing w:after="60" w:line="259" w:lineRule="auto"/>
            </w:pPr>
            <w:r>
              <w:rPr>
                <w:rFonts w:ascii="Calibri" w:hAnsi="Calibri"/>
                <w:b w:val="0"/>
                <w:i w:val="0"/>
                <w:color w:val="212121"/>
                <w:sz w:val="19"/>
              </w:rPr>
              <w:t>A persistently rapid heart rate (for example poorly rate-controlled atrial fibrillation or incessant supraventricular tachycardia) can itself weaken and dilate the ventricle, producing a tachycardia-induced cardiomyopathy that is often reversible once rate or rhythm is controlled.</w:t>
            </w:r>
          </w:p>
          <w:p>
            <w:pPr>
              <w:spacing w:after="40" w:before="60" w:line="259" w:lineRule="auto"/>
            </w:pPr>
            <w:r>
              <w:rPr>
                <w:rFonts w:ascii="Calibri" w:hAnsi="Calibri"/>
                <w:b w:val="0"/>
                <w:i w:val="0"/>
                <w:color w:val="212121"/>
                <w:sz w:val="19"/>
              </w:rPr>
              <w:t>Tachycardia-induced cardiomyopathy is a recognised, potentially reversible cause of dilated cardiomyopathy and heart failure; restoring rate/rhythm control frequently recovers ventricular function.</w:t>
            </w:r>
          </w:p>
          <w:p>
            <w:pPr>
              <w:spacing w:before="60" w:after="40"/>
            </w:pPr>
            <w:r>
              <w:rPr>
                <w:rFonts w:ascii="Calibri" w:hAnsi="Calibri"/>
                <w:b w:val="0"/>
                <w:i w:val="0"/>
                <w:color w:val="5A5A5A"/>
                <w:sz w:val="18"/>
              </w:rPr>
              <w:t>#tachycardiomyopathy  #atrialfibrillation  #ratecontrol  #reversible  #arrhythmia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Infiltrative / storage disease</w:t>
            </w:r>
          </w:p>
        </w:tc>
        <w:tc>
          <w:tcPr>
            <w:tcW w:type="dxa" w:w="2160"/>
            <w:vAlign w:val="top"/>
          </w:tcPr>
          <w:p>
            <w:pPr>
              <w:spacing w:after="40" w:before="0" w:line="259" w:lineRule="auto"/>
            </w:pPr>
            <w:r>
              <w:rPr>
                <w:rFonts w:ascii="Calibri" w:hAnsi="Calibri"/>
                <w:b w:val="0"/>
                <w:i w:val="0"/>
                <w:color w:val="212121"/>
                <w:sz w:val="19"/>
              </w:rPr>
              <w:t>Amyloidosis, sarcoidosis, haemochromatosis</w:t>
            </w:r>
          </w:p>
        </w:tc>
        <w:tc>
          <w:tcPr>
            <w:tcW w:type="dxa" w:w="4276"/>
            <w:vAlign w:val="top"/>
          </w:tcPr>
          <w:p>
            <w:pPr>
              <w:spacing w:after="60" w:line="259" w:lineRule="auto"/>
            </w:pPr>
            <w:r>
              <w:rPr>
                <w:rFonts w:ascii="Calibri" w:hAnsi="Calibri"/>
                <w:b w:val="0"/>
                <w:i w:val="0"/>
                <w:color w:val="212121"/>
                <w:sz w:val="19"/>
              </w:rPr>
              <w:t>Systemic infiltrative and iron-overload diseases deposit abnormal protein or iron in the myocardium, stiffening the ventricle and producing restrictive cardiomyopathy and conduction disease; recognising them changes management radically (for example iron chelation, or ATTR-specific therapy).</w:t>
            </w:r>
          </w:p>
          <w:p>
            <w:pPr>
              <w:spacing w:after="40" w:before="60" w:line="259" w:lineRule="auto"/>
            </w:pPr>
            <w:r>
              <w:rPr>
                <w:rFonts w:ascii="Calibri" w:hAnsi="Calibri"/>
                <w:b w:val="0"/>
                <w:i w:val="0"/>
                <w:color w:val="212121"/>
                <w:sz w:val="19"/>
              </w:rPr>
              <w:t>Amyloidosis is the most common cause of restrictive cardiomyopathy in developed countries, and cardiac haemochromatosis affects about 1 in 200 people carrying the HFE C282Y mutation.</w:t>
            </w:r>
          </w:p>
          <w:p>
            <w:pPr>
              <w:spacing w:after="40" w:line="252" w:lineRule="auto"/>
            </w:pPr>
            <w:hyperlink r:id="rId11">
              <w:r>
                <w:rPr>
                  <w:rFonts w:ascii="Calibri" w:hAnsi="Calibri" w:cs="Calibri"/>
                  <w:sz w:val="18"/>
                  <w:color w:val="1155CC"/>
                  <w:u w:val="single"/>
                </w:rPr>
                <w:t xml:space="preserve">ncbi.nlm.nih.gov/books/NBK537234 - infiltrative causes of RCM (StatPearls)</w:t>
              </w:r>
            </w:hyperlink>
          </w:p>
          <w:p>
            <w:pPr>
              <w:spacing w:before="60" w:after="40"/>
            </w:pPr>
            <w:r>
              <w:rPr>
                <w:rFonts w:ascii="Calibri" w:hAnsi="Calibri"/>
                <w:b w:val="0"/>
                <w:i w:val="0"/>
                <w:color w:val="5A5A5A"/>
                <w:sz w:val="18"/>
              </w:rPr>
              <w:t>#amyloidosis  #sarcoidosis  #haemochromatosis  #infiltrative  #RCM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w:t>
            </w:r>
          </w:p>
        </w:tc>
        <w:tc>
          <w:tcPr>
            <w:tcW w:type="dxa" w:w="2160"/>
            <w:vAlign w:val="top"/>
          </w:tcPr>
          <w:p>
            <w:pPr>
              <w:spacing w:after="40" w:before="0" w:line="259" w:lineRule="auto"/>
            </w:pPr>
            <w:r>
              <w:rPr>
                <w:rFonts w:ascii="Calibri" w:hAnsi="Calibri"/>
                <w:b w:val="0"/>
                <w:i w:val="0"/>
                <w:color w:val="212121"/>
                <w:sz w:val="19"/>
              </w:rPr>
              <w:t>Thyrotoxicosis or severe hypothyroidism</w:t>
            </w:r>
          </w:p>
        </w:tc>
        <w:tc>
          <w:tcPr>
            <w:tcW w:type="dxa" w:w="4276"/>
            <w:vAlign w:val="top"/>
          </w:tcPr>
          <w:p>
            <w:pPr>
              <w:spacing w:after="60" w:line="259" w:lineRule="auto"/>
            </w:pPr>
            <w:r>
              <w:rPr>
                <w:rFonts w:ascii="Calibri" w:hAnsi="Calibri"/>
                <w:b w:val="0"/>
                <w:i w:val="0"/>
                <w:color w:val="212121"/>
                <w:sz w:val="19"/>
              </w:rPr>
              <w:t>Thyroid hormone excess drives tachycardia, high-output states and atrial fibrillation that can precipitate a cardiomyopathy, while severe hypothyroidism impairs contractility and causes pericardial effusion; both are correctable causes that should be screened for in any new cardiomyopathy.</w:t>
            </w:r>
          </w:p>
          <w:p>
            <w:pPr>
              <w:spacing w:after="40" w:before="60" w:line="259" w:lineRule="auto"/>
            </w:pPr>
            <w:r>
              <w:rPr>
                <w:rFonts w:ascii="Calibri" w:hAnsi="Calibri"/>
                <w:b w:val="0"/>
                <w:i w:val="0"/>
                <w:color w:val="212121"/>
                <w:sz w:val="19"/>
              </w:rPr>
              <w:t>Thyroid dysfunction is a recognised reversible contributor to cardiomyopathy and heart failure; thyroid function testing is part of the standard cardiomyopathy work-up.</w:t>
            </w:r>
          </w:p>
          <w:p>
            <w:pPr>
              <w:spacing w:before="60" w:after="40"/>
            </w:pPr>
            <w:r>
              <w:rPr>
                <w:rFonts w:ascii="Calibri" w:hAnsi="Calibri"/>
                <w:b w:val="0"/>
                <w:i w:val="0"/>
                <w:color w:val="5A5A5A"/>
                <w:sz w:val="18"/>
              </w:rPr>
              <w:t>#thyroid  #thyrotoxicosis  #hypothyroidism  #reversible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infection</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HIV can cause a dilated cardiomyopathy through direct viral effects, chronic immune activation, opportunistic infection and some antiretroviral toxicity; with a large number of people living with HIV in India, it is a relevant and often under-recognised secondary cause.</w:t>
            </w:r>
          </w:p>
          <w:p>
            <w:pPr>
              <w:spacing w:after="40" w:before="60" w:line="259" w:lineRule="auto"/>
            </w:pPr>
            <w:r>
              <w:rPr>
                <w:rFonts w:ascii="Calibri" w:hAnsi="Calibri"/>
                <w:b w:val="0"/>
                <w:i w:val="0"/>
                <w:color w:val="212121"/>
                <w:sz w:val="19"/>
              </w:rPr>
              <w:t>HIV infection is a recognised cause of dilated cardiomyopathy and is included among the secondary causes to be excluded when evaluating new DCM.</w:t>
            </w:r>
          </w:p>
          <w:p>
            <w:pPr>
              <w:spacing w:after="40" w:line="252" w:lineRule="auto"/>
            </w:pPr>
            <w:hyperlink r:id="rId9">
              <w:r>
                <w:rPr>
                  <w:rFonts w:ascii="Calibri" w:hAnsi="Calibri" w:cs="Calibri"/>
                  <w:sz w:val="18"/>
                  <w:color w:val="1155CC"/>
                  <w:u w:val="single"/>
                </w:rPr>
                <w:t xml:space="preserve">ncbi.nlm.nih.gov/books/NBK441911 - secondary causes of DCM incl. HIV (StatPearls)</w:t>
              </w:r>
            </w:hyperlink>
          </w:p>
          <w:p>
            <w:pPr>
              <w:spacing w:before="60" w:after="40"/>
            </w:pPr>
            <w:r>
              <w:rPr>
                <w:rFonts w:ascii="Calibri" w:hAnsi="Calibri"/>
                <w:b w:val="0"/>
                <w:i w:val="0"/>
                <w:color w:val="5A5A5A"/>
                <w:sz w:val="18"/>
              </w:rPr>
              <w:t>#HIV  #dilatedcardiomyopathy  #secondarycause  #immuneactivation  #DCM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is double-edged in cardiomyopathy. Regular moderate activity and supervised cardiac rehabilitation improve symptoms and outcomes in dilated cardiomyopathy and heart failure, and inactivity/obesity promote adverse remodelling. However, intense competitive or burst exertion is a recognised trigger of sudden cardiac death in hypertrophic cardiomyopathy and some genetic forms, so activity must be individualised.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influences cardiomyopathy chiefly through metabolic risk and nutrition. Obesity- and diabetes-promoting diets drive remodelling, high salt intake worsens congestion in heart failure, while specific deficiencies - thiamine (wet beriberi), selenium - cause reversible dilated cardiomyopathy, and cassava-based diets are linked to tropical endomyocardial fibrosis.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Obstructive and central sleep apnoea are common in cardiomyopathy and heart failure and, through intermittent hypoxia and sympathetic activation, promote atrial fibrillation, hypertension and adverse remodelling; treating sleep-disordered breathing can improve ventricular function and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not a primary cause of the genetic cardiomyopathies but accelerates coronary and microvascular disease, raises blood pressure and worsens myocardial oxygen supply, aggravating ischaemic and remodelling injury and worsening prognosis in established heart-muscle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intake (about 80 g/day for more than 5 years) is directly cardiotoxic and a major, potentially reversible cause of dilated cardiomyopathy, accounting for a large share of non-ischaemic cases; binge drinking can also precipitate atrial fibrillation and acute decompensation.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Intense emotional or physical stress can precipitate stress (Takotsubo) cardiomyopathy, an acute reversible LV dysfunction, and chronic depression and anxiety are common in cardiomyopathy and heart failure and are linked to worse adherence, more hospitalisation and higher mortality.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is not a cause of cardiomyopathy, but fluid balance is central to management: in symptomatic heart failure, fluid (and salt) restriction and daily weight monitoring help control congestion, while over-diuresis can cause low-output symptoms.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caffeine intake is generally safe, but high doses and energy drinks can provoke palpitations and arrhythmia in a susceptible, electrically unstable myocardium, so excess is discouraged in arrhythmia-prone cardiomyopathy.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has little direct role, but it is relevant at the margins: dental and skin hygiene reduce infective endocarditis risk on abnormal hearts, and in endemic settings vector/parasite control bears on Chagas (DCM) and eosinophilic endomyocardial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Well-defined precipitants provoke or unmask cardiomyopathy and its complications: strenuous/competitive exertion and dehydration in HCM (sudden death, dynamic obstruction), pregnancy and the puerperium (peripartum CM), binge alcohol, viral myocarditis, sustained tachyarrhythmia, cardiotoxic chemotherapy and severe emotional stress (Takotsubo).</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25 kg/m2 (obesity, Asian-Indian)</w:t>
            </w:r>
          </w:p>
        </w:tc>
        <w:tc>
          <w:tcPr>
            <w:tcW w:type="dxa" w:w="1468"/>
            <w:vAlign w:val="top"/>
          </w:tcPr>
          <w:p>
            <w:pPr>
              <w:spacing w:after="60" w:line="259" w:lineRule="auto"/>
            </w:pPr>
            <w:r>
              <w:rPr>
                <w:rFonts w:ascii="Calibri" w:hAnsi="Calibri"/>
                <w:b w:val="0"/>
                <w:i w:val="0"/>
                <w:color w:val="212121"/>
                <w:sz w:val="19"/>
              </w:rPr>
              <w:t>Obesity drives volume overload and adverse ventricular remodelling</w:t>
            </w:r>
          </w:p>
          <w:p>
            <w:pPr>
              <w:spacing w:after="40" w:line="252" w:lineRule="auto"/>
            </w:pPr>
            <w:hyperlink r:id="rId9">
              <w:r>
                <w:rPr>
                  <w:rFonts w:ascii="Calibri" w:hAnsi="Calibri" w:cs="Calibri"/>
                  <w:sz w:val="18"/>
                  <w:color w:val="1155CC"/>
                  <w:u w:val="single"/>
                </w:rPr>
                <w:t xml:space="preserve">https://www.ncbi.nlm.nih.gov/books/NBK441911/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Stable heart-failure / DCM patients</w:t>
            </w:r>
          </w:p>
        </w:tc>
        <w:tc>
          <w:tcPr>
            <w:tcW w:type="dxa" w:w="1512"/>
            <w:vAlign w:val="top"/>
          </w:tcPr>
          <w:p>
            <w:pPr>
              <w:spacing w:after="40" w:before="0" w:line="259" w:lineRule="auto"/>
            </w:pPr>
            <w:r>
              <w:rPr>
                <w:rFonts w:ascii="Calibri" w:hAnsi="Calibri"/>
                <w:b w:val="0"/>
                <w:i w:val="0"/>
                <w:color w:val="212121"/>
                <w:sz w:val="19"/>
              </w:rPr>
              <w:t>~150 min/week, individualised</w:t>
            </w:r>
          </w:p>
        </w:tc>
        <w:tc>
          <w:tcPr>
            <w:tcW w:type="dxa" w:w="1512"/>
            <w:vAlign w:val="top"/>
          </w:tcPr>
          <w:p>
            <w:pPr>
              <w:spacing w:after="40" w:before="0" w:line="259" w:lineRule="auto"/>
            </w:pPr>
            <w:r>
              <w:rPr>
                <w:rFonts w:ascii="Calibri" w:hAnsi="Calibri"/>
                <w:b w:val="0"/>
                <w:i w:val="0"/>
                <w:color w:val="212121"/>
                <w:sz w:val="19"/>
              </w:rPr>
              <w:t>Sedentary; or intense competitive sport in HCM</w:t>
            </w:r>
          </w:p>
        </w:tc>
        <w:tc>
          <w:tcPr>
            <w:tcW w:type="dxa" w:w="1468"/>
            <w:vAlign w:val="top"/>
          </w:tcPr>
          <w:p>
            <w:pPr>
              <w:spacing w:after="40" w:before="0" w:line="259" w:lineRule="auto"/>
            </w:pPr>
            <w:r>
              <w:rPr>
                <w:rFonts w:ascii="Calibri" w:hAnsi="Calibri"/>
                <w:b w:val="0"/>
                <w:i w:val="0"/>
                <w:color w:val="212121"/>
                <w:sz w:val="19"/>
              </w:rPr>
              <w:t>Rehab helps HF; avoid burst/competitive exertion in HCM (SCD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especially men</w:t>
            </w:r>
          </w:p>
        </w:tc>
        <w:tc>
          <w:tcPr>
            <w:tcW w:type="dxa" w:w="1512"/>
            <w:vAlign w:val="top"/>
          </w:tcPr>
          <w:p>
            <w:pPr>
              <w:spacing w:after="40" w:before="0" w:line="259" w:lineRule="auto"/>
            </w:pPr>
            <w:r>
              <w:rPr>
                <w:rFonts w:ascii="Calibri" w:hAnsi="Calibri"/>
                <w:b w:val="0"/>
                <w:i w:val="0"/>
                <w:color w:val="212121"/>
                <w:sz w:val="19"/>
              </w:rPr>
              <w:t>None or minimal</w:t>
            </w:r>
          </w:p>
        </w:tc>
        <w:tc>
          <w:tcPr>
            <w:tcW w:type="dxa" w:w="1512"/>
            <w:vAlign w:val="top"/>
          </w:tcPr>
          <w:p>
            <w:pPr>
              <w:spacing w:after="40" w:before="0" w:line="259" w:lineRule="auto"/>
            </w:pPr>
            <w:r>
              <w:rPr>
                <w:rFonts w:ascii="Calibri" w:hAnsi="Calibri"/>
                <w:b w:val="0"/>
                <w:i w:val="0"/>
                <w:color w:val="212121"/>
                <w:sz w:val="19"/>
              </w:rPr>
              <w:t>&gt;= 80 g/day for &gt; 5 years</w:t>
            </w:r>
          </w:p>
        </w:tc>
        <w:tc>
          <w:tcPr>
            <w:tcW w:type="dxa" w:w="1468"/>
            <w:vAlign w:val="top"/>
          </w:tcPr>
          <w:p>
            <w:pPr>
              <w:spacing w:after="60" w:line="259" w:lineRule="auto"/>
            </w:pPr>
            <w:r>
              <w:rPr>
                <w:rFonts w:ascii="Calibri" w:hAnsi="Calibri"/>
                <w:b w:val="0"/>
                <w:i w:val="0"/>
                <w:color w:val="212121"/>
                <w:sz w:val="19"/>
              </w:rPr>
              <w:t>Threshold associated with alcoholic (dilated) cardiomyopathy</w:t>
            </w:r>
          </w:p>
          <w:p>
            <w:pPr>
              <w:spacing w:after="40" w:line="252" w:lineRule="auto"/>
            </w:pPr>
            <w:hyperlink r:id="rId12">
              <w:r>
                <w:rPr>
                  <w:rFonts w:ascii="Calibri" w:hAnsi="Calibri" w:cs="Calibri"/>
                  <w:sz w:val="18"/>
                  <w:color w:val="1155CC"/>
                  <w:u w:val="single"/>
                </w:rPr>
                <w:t xml:space="preserve">https://www.ncbi.nlm.nih.gov/books/NBK513322/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or at risk of cardiomyopathy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Any tobacco worsens ischaemic injury and heart-failure outcomes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and sleep-apnoea</w:t>
            </w:r>
          </w:p>
        </w:tc>
        <w:tc>
          <w:tcPr>
            <w:tcW w:type="dxa" w:w="1655"/>
            <w:vAlign w:val="top"/>
          </w:tcPr>
          <w:p>
            <w:pPr>
              <w:spacing w:after="40" w:before="0" w:line="259" w:lineRule="auto"/>
            </w:pPr>
            <w:r>
              <w:rPr>
                <w:rFonts w:ascii="Calibri" w:hAnsi="Calibri"/>
                <w:b w:val="0"/>
                <w:i w:val="0"/>
                <w:color w:val="212121"/>
                <w:sz w:val="19"/>
              </w:rPr>
              <w:t>Overweight cardiomyopathy patients</w:t>
            </w:r>
          </w:p>
        </w:tc>
        <w:tc>
          <w:tcPr>
            <w:tcW w:type="dxa" w:w="1512"/>
            <w:vAlign w:val="top"/>
          </w:tcPr>
          <w:p>
            <w:pPr>
              <w:spacing w:after="40" w:before="0" w:line="259" w:lineRule="auto"/>
            </w:pPr>
            <w:r>
              <w:rPr>
                <w:rFonts w:ascii="Calibri" w:hAnsi="Calibri"/>
                <w:b w:val="0"/>
                <w:i w:val="0"/>
                <w:color w:val="212121"/>
                <w:sz w:val="19"/>
              </w:rPr>
              <w:t>7-9 h/night, no untreated apnoea</w:t>
            </w:r>
          </w:p>
        </w:tc>
        <w:tc>
          <w:tcPr>
            <w:tcW w:type="dxa" w:w="1512"/>
            <w:vAlign w:val="top"/>
          </w:tcPr>
          <w:p>
            <w:pPr>
              <w:spacing w:after="40" w:before="0" w:line="259" w:lineRule="auto"/>
            </w:pPr>
            <w:r>
              <w:rPr>
                <w:rFonts w:ascii="Calibri" w:hAnsi="Calibri"/>
                <w:b w:val="0"/>
                <w:i w:val="0"/>
                <w:color w:val="212121"/>
                <w:sz w:val="19"/>
              </w:rPr>
              <w:t>&lt; 6 h or untreated OSA (loud snoring, apnoeas)</w:t>
            </w:r>
          </w:p>
        </w:tc>
        <w:tc>
          <w:tcPr>
            <w:tcW w:type="dxa" w:w="1468"/>
            <w:vAlign w:val="top"/>
          </w:tcPr>
          <w:p>
            <w:pPr>
              <w:spacing w:after="40" w:before="0" w:line="259" w:lineRule="auto"/>
            </w:pPr>
            <w:r>
              <w:rPr>
                <w:rFonts w:ascii="Calibri" w:hAnsi="Calibri"/>
                <w:b w:val="0"/>
                <w:i w:val="0"/>
                <w:color w:val="212121"/>
                <w:sz w:val="19"/>
              </w:rPr>
              <w:t>Sleep-disordered breathing promotes AF and remodelling</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(sodium)</w:t>
            </w:r>
          </w:p>
        </w:tc>
        <w:tc>
          <w:tcPr>
            <w:tcW w:type="dxa" w:w="1655"/>
            <w:vAlign w:val="top"/>
          </w:tcPr>
          <w:p>
            <w:pPr>
              <w:spacing w:after="40" w:before="0" w:line="259" w:lineRule="auto"/>
            </w:pPr>
            <w:r>
              <w:rPr>
                <w:rFonts w:ascii="Calibri" w:hAnsi="Calibri"/>
                <w:b w:val="0"/>
                <w:i w:val="0"/>
                <w:color w:val="212121"/>
                <w:sz w:val="19"/>
              </w:rPr>
              <w:t>Patients with heart failure</w:t>
            </w:r>
          </w:p>
        </w:tc>
        <w:tc>
          <w:tcPr>
            <w:tcW w:type="dxa" w:w="1512"/>
            <w:vAlign w:val="top"/>
          </w:tcPr>
          <w:p>
            <w:pPr>
              <w:spacing w:after="40" w:before="0" w:line="259" w:lineRule="auto"/>
            </w:pPr>
            <w:r>
              <w:rPr>
                <w:rFonts w:ascii="Calibri" w:hAnsi="Calibri"/>
                <w:b w:val="0"/>
                <w:i w:val="0"/>
                <w:color w:val="212121"/>
                <w:sz w:val="19"/>
              </w:rPr>
              <w:t>&lt; 5 g salt/day (WHO)</w:t>
            </w:r>
          </w:p>
        </w:tc>
        <w:tc>
          <w:tcPr>
            <w:tcW w:type="dxa" w:w="1512"/>
            <w:vAlign w:val="top"/>
          </w:tcPr>
          <w:p>
            <w:pPr>
              <w:spacing w:after="40" w:before="0" w:line="259" w:lineRule="auto"/>
            </w:pPr>
            <w:r>
              <w:rPr>
                <w:rFonts w:ascii="Calibri" w:hAnsi="Calibri"/>
                <w:b w:val="0"/>
                <w:i w:val="0"/>
                <w:color w:val="212121"/>
                <w:sz w:val="19"/>
              </w:rPr>
              <w:t>&gt; 5-6 g salt/day</w:t>
            </w:r>
          </w:p>
        </w:tc>
        <w:tc>
          <w:tcPr>
            <w:tcW w:type="dxa" w:w="1468"/>
            <w:vAlign w:val="top"/>
          </w:tcPr>
          <w:p>
            <w:pPr>
              <w:spacing w:after="40" w:before="0" w:line="259" w:lineRule="auto"/>
            </w:pPr>
            <w:r>
              <w:rPr>
                <w:rFonts w:ascii="Calibri" w:hAnsi="Calibri"/>
                <w:b w:val="0"/>
                <w:i w:val="0"/>
                <w:color w:val="212121"/>
                <w:sz w:val="19"/>
              </w:rPr>
              <w:t>High salt worsens fluid retention and congestion in HF</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Left ventricular ejection fraction (LVEF)</w:t>
            </w:r>
          </w:p>
        </w:tc>
        <w:tc>
          <w:tcPr>
            <w:tcW w:type="dxa" w:w="1655"/>
            <w:vAlign w:val="top"/>
          </w:tcPr>
          <w:p>
            <w:pPr>
              <w:spacing w:after="40" w:before="0" w:line="259" w:lineRule="auto"/>
            </w:pPr>
            <w:r>
              <w:rPr>
                <w:rFonts w:ascii="Calibri" w:hAnsi="Calibri"/>
                <w:b w:val="0"/>
                <w:i w:val="0"/>
                <w:color w:val="212121"/>
                <w:sz w:val="19"/>
              </w:rPr>
              <w:t>Suspected DCM / heart failure</w:t>
            </w:r>
          </w:p>
        </w:tc>
        <w:tc>
          <w:tcPr>
            <w:tcW w:type="dxa" w:w="1512"/>
            <w:vAlign w:val="top"/>
          </w:tcPr>
          <w:p>
            <w:pPr>
              <w:spacing w:after="40" w:before="0" w:line="259" w:lineRule="auto"/>
            </w:pPr>
            <w:r>
              <w:rPr>
                <w:rFonts w:ascii="Calibri" w:hAnsi="Calibri"/>
                <w:b w:val="0"/>
                <w:i w:val="0"/>
                <w:color w:val="212121"/>
                <w:sz w:val="19"/>
              </w:rPr>
              <w:t>&gt;= 50%</w:t>
            </w:r>
          </w:p>
        </w:tc>
        <w:tc>
          <w:tcPr>
            <w:tcW w:type="dxa" w:w="1512"/>
            <w:vAlign w:val="top"/>
          </w:tcPr>
          <w:p>
            <w:pPr>
              <w:spacing w:after="40" w:before="0" w:line="259" w:lineRule="auto"/>
            </w:pPr>
            <w:r>
              <w:rPr>
                <w:rFonts w:ascii="Calibri" w:hAnsi="Calibri"/>
                <w:b w:val="0"/>
                <w:i w:val="0"/>
                <w:color w:val="212121"/>
                <w:sz w:val="19"/>
              </w:rPr>
              <w:t>&lt; 40% (systolic dysfunction)</w:t>
            </w:r>
          </w:p>
        </w:tc>
        <w:tc>
          <w:tcPr>
            <w:tcW w:type="dxa" w:w="1468"/>
            <w:vAlign w:val="top"/>
          </w:tcPr>
          <w:p>
            <w:pPr>
              <w:spacing w:after="60" w:line="259" w:lineRule="auto"/>
            </w:pPr>
            <w:r>
              <w:rPr>
                <w:rFonts w:ascii="Calibri" w:hAnsi="Calibri"/>
                <w:b w:val="0"/>
                <w:i w:val="0"/>
                <w:color w:val="212121"/>
                <w:sz w:val="19"/>
              </w:rPr>
              <w:t>Defines HFrEF/DCM; guides device and drug therapy</w:t>
            </w:r>
          </w:p>
          <w:p>
            <w:pPr>
              <w:spacing w:after="40" w:line="252" w:lineRule="auto"/>
            </w:pPr>
            <w:hyperlink r:id="rId9">
              <w:r>
                <w:rPr>
                  <w:rFonts w:ascii="Calibri" w:hAnsi="Calibri" w:cs="Calibri"/>
                  <w:sz w:val="18"/>
                  <w:color w:val="1155CC"/>
                  <w:u w:val="single"/>
                </w:rPr>
                <w:t xml:space="preserve">https://www.ncbi.nlm.nih.gov/books/NBK441911/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Maximal LV wall thickness</w:t>
            </w:r>
          </w:p>
        </w:tc>
        <w:tc>
          <w:tcPr>
            <w:tcW w:type="dxa" w:w="1655"/>
            <w:vAlign w:val="top"/>
          </w:tcPr>
          <w:p>
            <w:pPr>
              <w:spacing w:after="40" w:before="0" w:line="259" w:lineRule="auto"/>
            </w:pPr>
            <w:r>
              <w:rPr>
                <w:rFonts w:ascii="Calibri" w:hAnsi="Calibri"/>
                <w:b w:val="0"/>
                <w:i w:val="0"/>
                <w:color w:val="212121"/>
                <w:sz w:val="19"/>
              </w:rPr>
              <w:t>Suspected HCM</w:t>
            </w:r>
          </w:p>
        </w:tc>
        <w:tc>
          <w:tcPr>
            <w:tcW w:type="dxa" w:w="1512"/>
            <w:vAlign w:val="top"/>
          </w:tcPr>
          <w:p>
            <w:pPr>
              <w:spacing w:after="40" w:before="0" w:line="259" w:lineRule="auto"/>
            </w:pPr>
            <w:r>
              <w:rPr>
                <w:rFonts w:ascii="Calibri" w:hAnsi="Calibri"/>
                <w:b w:val="0"/>
                <w:i w:val="0"/>
                <w:color w:val="212121"/>
                <w:sz w:val="19"/>
              </w:rPr>
              <w:t>&lt;= 11 mm</w:t>
            </w:r>
          </w:p>
        </w:tc>
        <w:tc>
          <w:tcPr>
            <w:tcW w:type="dxa" w:w="1512"/>
            <w:vAlign w:val="top"/>
          </w:tcPr>
          <w:p>
            <w:pPr>
              <w:spacing w:after="40" w:before="0" w:line="259" w:lineRule="auto"/>
            </w:pPr>
            <w:r>
              <w:rPr>
                <w:rFonts w:ascii="Calibri" w:hAnsi="Calibri"/>
                <w:b w:val="0"/>
                <w:i w:val="0"/>
                <w:color w:val="212121"/>
                <w:sz w:val="19"/>
              </w:rPr>
              <w:t>&gt;= 15 mm (or &gt;= 13 mm with family history)</w:t>
            </w:r>
          </w:p>
        </w:tc>
        <w:tc>
          <w:tcPr>
            <w:tcW w:type="dxa" w:w="1468"/>
            <w:vAlign w:val="top"/>
          </w:tcPr>
          <w:p>
            <w:pPr>
              <w:spacing w:after="60" w:line="259" w:lineRule="auto"/>
            </w:pPr>
            <w:r>
              <w:rPr>
                <w:rFonts w:ascii="Calibri" w:hAnsi="Calibri"/>
                <w:b w:val="0"/>
                <w:i w:val="0"/>
                <w:color w:val="212121"/>
                <w:sz w:val="19"/>
              </w:rPr>
              <w:t>Diagnostic threshold for hypertrophic cardiomyopathy</w:t>
            </w:r>
          </w:p>
          <w:p>
            <w:pPr>
              <w:spacing w:after="40" w:line="252" w:lineRule="auto"/>
            </w:pPr>
            <w:hyperlink r:id="rId10">
              <w:r>
                <w:rPr>
                  <w:rFonts w:ascii="Calibri" w:hAnsi="Calibri" w:cs="Calibri"/>
                  <w:sz w:val="18"/>
                  <w:color w:val="1155CC"/>
                  <w:u w:val="single"/>
                </w:rPr>
                <w:t xml:space="preserve">https://www.ncbi.nlm.nih.gov/books/NBK430788/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w:t>
            </w:r>
          </w:p>
        </w:tc>
        <w:tc>
          <w:tcPr>
            <w:tcW w:type="dxa" w:w="1655"/>
            <w:vAlign w:val="top"/>
          </w:tcPr>
          <w:p>
            <w:pPr>
              <w:spacing w:after="40" w:before="0" w:line="259" w:lineRule="auto"/>
            </w:pPr>
            <w:r>
              <w:rPr>
                <w:rFonts w:ascii="Calibri" w:hAnsi="Calibri"/>
                <w:b w:val="0"/>
                <w:i w:val="0"/>
                <w:color w:val="212121"/>
                <w:sz w:val="19"/>
              </w:rPr>
              <w:t>Patients with tachyarrhythmia</w:t>
            </w:r>
          </w:p>
        </w:tc>
        <w:tc>
          <w:tcPr>
            <w:tcW w:type="dxa" w:w="1512"/>
            <w:vAlign w:val="top"/>
          </w:tcPr>
          <w:p>
            <w:pPr>
              <w:spacing w:after="40" w:before="0" w:line="259" w:lineRule="auto"/>
            </w:pPr>
            <w:r>
              <w:rPr>
                <w:rFonts w:ascii="Calibri" w:hAnsi="Calibri"/>
                <w:b w:val="0"/>
                <w:i w:val="0"/>
                <w:color w:val="212121"/>
                <w:sz w:val="19"/>
              </w:rPr>
              <w:t>60-100 bpm (controlled)</w:t>
            </w:r>
          </w:p>
        </w:tc>
        <w:tc>
          <w:tcPr>
            <w:tcW w:type="dxa" w:w="1512"/>
            <w:vAlign w:val="top"/>
          </w:tcPr>
          <w:p>
            <w:pPr>
              <w:spacing w:after="40" w:before="0" w:line="259" w:lineRule="auto"/>
            </w:pPr>
            <w:r>
              <w:rPr>
                <w:rFonts w:ascii="Calibri" w:hAnsi="Calibri"/>
                <w:b w:val="0"/>
                <w:i w:val="0"/>
                <w:color w:val="212121"/>
                <w:sz w:val="19"/>
              </w:rPr>
              <w:t>Persistent &gt; 100-110 bpm</w:t>
            </w:r>
          </w:p>
        </w:tc>
        <w:tc>
          <w:tcPr>
            <w:tcW w:type="dxa" w:w="1468"/>
            <w:vAlign w:val="top"/>
          </w:tcPr>
          <w:p>
            <w:pPr>
              <w:spacing w:after="40" w:before="0" w:line="259" w:lineRule="auto"/>
            </w:pPr>
            <w:r>
              <w:rPr>
                <w:rFonts w:ascii="Calibri" w:hAnsi="Calibri"/>
                <w:b w:val="0"/>
                <w:i w:val="0"/>
                <w:color w:val="212121"/>
                <w:sz w:val="19"/>
              </w:rPr>
              <w:t>Chronic tachycardia can cause tachycardia-induced cardiomyopathy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w:t>
            </w:r>
          </w:p>
        </w:tc>
        <w:tc>
          <w:tcPr>
            <w:tcW w:type="dxa" w:w="1655"/>
            <w:vAlign w:val="top"/>
          </w:tcPr>
          <w:p>
            <w:pPr>
              <w:spacing w:after="40" w:before="0" w:line="259" w:lineRule="auto"/>
            </w:pPr>
            <w:r>
              <w:rPr>
                <w:rFonts w:ascii="Calibri" w:hAnsi="Calibri"/>
                <w:b w:val="0"/>
                <w:i w:val="0"/>
                <w:color w:val="212121"/>
                <w:sz w:val="19"/>
              </w:rPr>
              <w:t>Adults with hypertension</w:t>
            </w:r>
          </w:p>
        </w:tc>
        <w:tc>
          <w:tcPr>
            <w:tcW w:type="dxa" w:w="1512"/>
            <w:vAlign w:val="top"/>
          </w:tcPr>
          <w:p>
            <w:pPr>
              <w:spacing w:after="40" w:before="0" w:line="259" w:lineRule="auto"/>
            </w:pPr>
            <w:r>
              <w:rPr>
                <w:rFonts w:ascii="Calibri" w:hAnsi="Calibri"/>
                <w:b w:val="0"/>
                <w:i w:val="0"/>
                <w:color w:val="212121"/>
                <w:sz w:val="19"/>
              </w:rPr>
              <w:t>&lt; 120/80 mmHg</w:t>
            </w:r>
          </w:p>
        </w:tc>
        <w:tc>
          <w:tcPr>
            <w:tcW w:type="dxa" w:w="1512"/>
            <w:vAlign w:val="top"/>
          </w:tcPr>
          <w:p>
            <w:pPr>
              <w:spacing w:after="40" w:before="0" w:line="259" w:lineRule="auto"/>
            </w:pPr>
            <w:r>
              <w:rPr>
                <w:rFonts w:ascii="Calibri" w:hAnsi="Calibri"/>
                <w:b w:val="0"/>
                <w:i w:val="0"/>
                <w:color w:val="212121"/>
                <w:sz w:val="19"/>
              </w:rPr>
              <w:t>&gt;= 140/90 mmHg (sustained)</w:t>
            </w:r>
          </w:p>
        </w:tc>
        <w:tc>
          <w:tcPr>
            <w:tcW w:type="dxa" w:w="1468"/>
            <w:vAlign w:val="top"/>
          </w:tcPr>
          <w:p>
            <w:pPr>
              <w:spacing w:after="40" w:before="0" w:line="259" w:lineRule="auto"/>
            </w:pPr>
            <w:r>
              <w:rPr>
                <w:rFonts w:ascii="Calibri" w:hAnsi="Calibri"/>
                <w:b w:val="0"/>
                <w:i w:val="0"/>
                <w:color w:val="212121"/>
                <w:sz w:val="19"/>
              </w:rPr>
              <w:t>Pressure overload drives LVH, fibrosis and diastolic dysfunction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NT-proBNP</w:t>
            </w:r>
          </w:p>
        </w:tc>
        <w:tc>
          <w:tcPr>
            <w:tcW w:type="dxa" w:w="1655"/>
            <w:vAlign w:val="top"/>
          </w:tcPr>
          <w:p>
            <w:pPr>
              <w:spacing w:after="40" w:before="0" w:line="259" w:lineRule="auto"/>
            </w:pPr>
            <w:r>
              <w:rPr>
                <w:rFonts w:ascii="Calibri" w:hAnsi="Calibri"/>
                <w:b w:val="0"/>
                <w:i w:val="0"/>
                <w:color w:val="212121"/>
                <w:sz w:val="19"/>
              </w:rPr>
              <w:t>Suspected heart failure</w:t>
            </w:r>
          </w:p>
        </w:tc>
        <w:tc>
          <w:tcPr>
            <w:tcW w:type="dxa" w:w="1512"/>
            <w:vAlign w:val="top"/>
          </w:tcPr>
          <w:p>
            <w:pPr>
              <w:spacing w:after="40" w:before="0" w:line="259" w:lineRule="auto"/>
            </w:pPr>
            <w:r>
              <w:rPr>
                <w:rFonts w:ascii="Calibri" w:hAnsi="Calibri"/>
                <w:b w:val="0"/>
                <w:i w:val="0"/>
                <w:color w:val="212121"/>
                <w:sz w:val="19"/>
              </w:rPr>
              <w:t>&lt; 125 pg/mL (age-dependent)</w:t>
            </w:r>
          </w:p>
        </w:tc>
        <w:tc>
          <w:tcPr>
            <w:tcW w:type="dxa" w:w="1512"/>
            <w:vAlign w:val="top"/>
          </w:tcPr>
          <w:p>
            <w:pPr>
              <w:spacing w:after="40" w:before="0" w:line="259" w:lineRule="auto"/>
            </w:pPr>
            <w:r>
              <w:rPr>
                <w:rFonts w:ascii="Calibri" w:hAnsi="Calibri"/>
                <w:b w:val="0"/>
                <w:i w:val="0"/>
                <w:color w:val="212121"/>
                <w:sz w:val="19"/>
              </w:rPr>
              <w:t>Elevated for age</w:t>
            </w:r>
          </w:p>
        </w:tc>
        <w:tc>
          <w:tcPr>
            <w:tcW w:type="dxa" w:w="1468"/>
            <w:vAlign w:val="top"/>
          </w:tcPr>
          <w:p>
            <w:pPr>
              <w:spacing w:after="40" w:before="0" w:line="259" w:lineRule="auto"/>
            </w:pPr>
            <w:r>
              <w:rPr>
                <w:rFonts w:ascii="Calibri" w:hAnsi="Calibri"/>
                <w:b w:val="0"/>
                <w:i w:val="0"/>
                <w:color w:val="212121"/>
                <w:sz w:val="19"/>
              </w:rPr>
              <w:t>Supports heart-failure diagnosis and prognostication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Peripartum / high-output risk</w:t>
            </w:r>
          </w:p>
        </w:tc>
        <w:tc>
          <w:tcPr>
            <w:tcW w:type="dxa" w:w="1512"/>
            <w:vAlign w:val="top"/>
          </w:tcPr>
          <w:p>
            <w:pPr>
              <w:spacing w:after="40" w:before="0" w:line="259" w:lineRule="auto"/>
            </w:pPr>
            <w:r>
              <w:rPr>
                <w:rFonts w:ascii="Calibri" w:hAnsi="Calibri"/>
                <w:b w:val="0"/>
                <w:i w:val="0"/>
                <w:color w:val="212121"/>
                <w:sz w:val="19"/>
              </w:rPr>
              <w:t>Normal for age and sex</w:t>
            </w:r>
          </w:p>
        </w:tc>
        <w:tc>
          <w:tcPr>
            <w:tcW w:type="dxa" w:w="1512"/>
            <w:vAlign w:val="top"/>
          </w:tcPr>
          <w:p>
            <w:pPr>
              <w:spacing w:after="40" w:before="0" w:line="259" w:lineRule="auto"/>
            </w:pPr>
            <w:r>
              <w:rPr>
                <w:rFonts w:ascii="Calibri" w:hAnsi="Calibri"/>
                <w:b w:val="0"/>
                <w:i w:val="0"/>
                <w:color w:val="212121"/>
                <w:sz w:val="19"/>
              </w:rPr>
              <w:t>Anaemia (e.g. Hb &lt; 11 g/dL in pregnancy)</w:t>
            </w:r>
          </w:p>
        </w:tc>
        <w:tc>
          <w:tcPr>
            <w:tcW w:type="dxa" w:w="1468"/>
            <w:vAlign w:val="top"/>
          </w:tcPr>
          <w:p>
            <w:pPr>
              <w:spacing w:after="40" w:before="0" w:line="259" w:lineRule="auto"/>
            </w:pPr>
            <w:r>
              <w:rPr>
                <w:rFonts w:ascii="Calibri" w:hAnsi="Calibri"/>
                <w:b w:val="0"/>
                <w:i w:val="0"/>
                <w:color w:val="212121"/>
                <w:sz w:val="19"/>
              </w:rPr>
              <w:t>Anaemia adds haemodynamic stress and is a PPCM risk factor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Echocardiography with Doppler</w:t>
            </w:r>
          </w:p>
        </w:tc>
        <w:tc>
          <w:tcPr>
            <w:tcW w:type="dxa" w:w="892"/>
            <w:vAlign w:val="top"/>
          </w:tcPr>
          <w:p>
            <w:pPr>
              <w:spacing w:after="40" w:before="0" w:line="259" w:lineRule="auto"/>
            </w:pPr>
            <w:r>
              <w:rPr>
                <w:rFonts w:ascii="Calibri" w:hAnsi="Calibri"/>
                <w:b w:val="0"/>
                <w:i w:val="0"/>
                <w:color w:val="212121"/>
                <w:sz w:val="16"/>
              </w:rPr>
              <w:t>2D/Doppler echocardiography</w:t>
            </w:r>
          </w:p>
        </w:tc>
        <w:tc>
          <w:tcPr>
            <w:tcW w:type="dxa" w:w="950"/>
            <w:vAlign w:val="top"/>
          </w:tcPr>
          <w:p>
            <w:pPr>
              <w:spacing w:after="40" w:before="0" w:line="259" w:lineRule="auto"/>
            </w:pPr>
            <w:r>
              <w:rPr>
                <w:rFonts w:ascii="Calibri" w:hAnsi="Calibri"/>
                <w:b w:val="0"/>
                <w:i w:val="0"/>
                <w:color w:val="212121"/>
                <w:sz w:val="16"/>
              </w:rPr>
              <w:t>Normal chamber size, wall thickness and LVEF; normal filling</w:t>
            </w:r>
          </w:p>
        </w:tc>
        <w:tc>
          <w:tcPr>
            <w:tcW w:type="dxa" w:w="950"/>
            <w:vAlign w:val="top"/>
          </w:tcPr>
          <w:p>
            <w:pPr>
              <w:spacing w:after="40" w:before="0" w:line="259" w:lineRule="auto"/>
            </w:pPr>
            <w:r>
              <w:rPr>
                <w:rFonts w:ascii="Calibri" w:hAnsi="Calibri"/>
                <w:b w:val="0"/>
                <w:i w:val="0"/>
                <w:color w:val="212121"/>
                <w:sz w:val="16"/>
              </w:rPr>
              <w:t>Dilated LV with low EF (DCM); wall &gt;= 15 mm +/- LVOT gradient (HCM); stiff non-dilated ventricle with restrictive filling and biatrial enlargement (RCM)</w:t>
            </w:r>
          </w:p>
        </w:tc>
        <w:tc>
          <w:tcPr>
            <w:tcW w:type="dxa" w:w="1036"/>
            <w:vAlign w:val="top"/>
          </w:tcPr>
          <w:p>
            <w:pPr>
              <w:spacing w:after="40" w:before="0" w:line="259" w:lineRule="auto"/>
            </w:pPr>
            <w:r>
              <w:rPr>
                <w:rFonts w:ascii="Calibri" w:hAnsi="Calibri"/>
                <w:b w:val="0"/>
                <w:i w:val="0"/>
                <w:color w:val="212121"/>
                <w:sz w:val="16"/>
              </w:rPr>
              <w:t>Primary tool to define phenotype, EF, obstruction and diastolic function</w:t>
            </w:r>
          </w:p>
        </w:tc>
        <w:tc>
          <w:tcPr>
            <w:tcW w:type="dxa" w:w="1036"/>
            <w:vAlign w:val="top"/>
          </w:tcPr>
          <w:p>
            <w:pPr>
              <w:spacing w:after="40" w:before="0" w:line="259" w:lineRule="auto"/>
            </w:pPr>
            <w:r>
              <w:rPr>
                <w:rFonts w:ascii="Calibri" w:hAnsi="Calibri"/>
                <w:b w:val="0"/>
                <w:i w:val="0"/>
                <w:color w:val="212121"/>
                <w:sz w:val="16"/>
              </w:rPr>
              <w:t>All suspected cardiomyopathy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First-line; add stress/provocation for latent LVOT obstruction in HCM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12-lead ECG</w:t>
            </w:r>
          </w:p>
        </w:tc>
        <w:tc>
          <w:tcPr>
            <w:tcW w:type="dxa" w:w="892"/>
            <w:vAlign w:val="top"/>
          </w:tcPr>
          <w:p>
            <w:pPr>
              <w:spacing w:after="40" w:before="0" w:line="259" w:lineRule="auto"/>
            </w:pPr>
            <w:r>
              <w:rPr>
                <w:rFonts w:ascii="Calibri" w:hAnsi="Calibri"/>
                <w:b w:val="0"/>
                <w:i w:val="0"/>
                <w:color w:val="212121"/>
                <w:sz w:val="16"/>
              </w:rPr>
              <w:t>Electrocardiography</w:t>
            </w:r>
          </w:p>
        </w:tc>
        <w:tc>
          <w:tcPr>
            <w:tcW w:type="dxa" w:w="950"/>
            <w:vAlign w:val="top"/>
          </w:tcPr>
          <w:p>
            <w:pPr>
              <w:spacing w:after="40" w:before="0" w:line="259" w:lineRule="auto"/>
            </w:pPr>
            <w:r>
              <w:rPr>
                <w:rFonts w:ascii="Calibri" w:hAnsi="Calibri"/>
                <w:b w:val="0"/>
                <w:i w:val="0"/>
                <w:color w:val="212121"/>
                <w:sz w:val="16"/>
              </w:rPr>
              <w:t>Normal complexes and rhythm</w:t>
            </w:r>
          </w:p>
        </w:tc>
        <w:tc>
          <w:tcPr>
            <w:tcW w:type="dxa" w:w="950"/>
            <w:vAlign w:val="top"/>
          </w:tcPr>
          <w:p>
            <w:pPr>
              <w:spacing w:after="40" w:before="0" w:line="259" w:lineRule="auto"/>
            </w:pPr>
            <w:r>
              <w:rPr>
                <w:rFonts w:ascii="Calibri" w:hAnsi="Calibri"/>
                <w:b w:val="0"/>
                <w:i w:val="0"/>
                <w:color w:val="212121"/>
                <w:sz w:val="16"/>
              </w:rPr>
              <w:t>LVH with deep Q waves and T-inversion (HCM); poor R-progression, BBB, AF (DCM); low voltages with pseudo-infarct pattern (amyloid/RCM)</w:t>
            </w:r>
          </w:p>
        </w:tc>
        <w:tc>
          <w:tcPr>
            <w:tcW w:type="dxa" w:w="1036"/>
            <w:vAlign w:val="top"/>
          </w:tcPr>
          <w:p>
            <w:pPr>
              <w:spacing w:after="40" w:before="0" w:line="259" w:lineRule="auto"/>
            </w:pPr>
            <w:r>
              <w:rPr>
                <w:rFonts w:ascii="Calibri" w:hAnsi="Calibri"/>
                <w:b w:val="0"/>
                <w:i w:val="0"/>
                <w:color w:val="212121"/>
                <w:sz w:val="16"/>
              </w:rPr>
              <w:t>Almost always abnormal; patterns point to phenotype and arrhythmia</w:t>
            </w:r>
          </w:p>
        </w:tc>
        <w:tc>
          <w:tcPr>
            <w:tcW w:type="dxa" w:w="1036"/>
            <w:vAlign w:val="top"/>
          </w:tcPr>
          <w:p>
            <w:pPr>
              <w:spacing w:after="40" w:before="0" w:line="259" w:lineRule="auto"/>
            </w:pPr>
            <w:r>
              <w:rPr>
                <w:rFonts w:ascii="Calibri" w:hAnsi="Calibri"/>
                <w:b w:val="0"/>
                <w:i w:val="0"/>
                <w:color w:val="212121"/>
                <w:sz w:val="16"/>
              </w:rPr>
              <w:t>All suspected cardiomyopathy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Low voltage with thick walls on echo suggests infiltration/amyloid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w:t>
            </w:r>
          </w:p>
        </w:tc>
        <w:tc>
          <w:tcPr>
            <w:tcW w:type="dxa" w:w="1036"/>
            <w:vAlign w:val="top"/>
          </w:tcPr>
          <w:p>
            <w:pPr>
              <w:spacing w:after="40" w:before="0" w:line="259" w:lineRule="auto"/>
            </w:pPr>
            <w:r>
              <w:rPr>
                <w:rFonts w:ascii="Calibri" w:hAnsi="Calibri"/>
                <w:b w:val="0"/>
                <w:i w:val="0"/>
                <w:color w:val="212121"/>
                <w:sz w:val="16"/>
              </w:rPr>
              <w:t>NT-proBNP / BNP</w:t>
            </w:r>
          </w:p>
        </w:tc>
        <w:tc>
          <w:tcPr>
            <w:tcW w:type="dxa" w:w="892"/>
            <w:vAlign w:val="top"/>
          </w:tcPr>
          <w:p>
            <w:pPr>
              <w:spacing w:after="40" w:before="0" w:line="259" w:lineRule="auto"/>
            </w:pPr>
            <w:r>
              <w:rPr>
                <w:rFonts w:ascii="Calibri" w:hAnsi="Calibri"/>
                <w:b w:val="0"/>
                <w:i w:val="0"/>
                <w:color w:val="212121"/>
                <w:sz w:val="16"/>
              </w:rPr>
              <w:t>Natriuretic peptide</w:t>
            </w:r>
          </w:p>
        </w:tc>
        <w:tc>
          <w:tcPr>
            <w:tcW w:type="dxa" w:w="950"/>
            <w:vAlign w:val="top"/>
          </w:tcPr>
          <w:p>
            <w:pPr>
              <w:spacing w:after="40" w:before="0" w:line="259" w:lineRule="auto"/>
            </w:pPr>
            <w:r>
              <w:rPr>
                <w:rFonts w:ascii="Calibri" w:hAnsi="Calibri"/>
                <w:b w:val="0"/>
                <w:i w:val="0"/>
                <w:color w:val="212121"/>
                <w:sz w:val="16"/>
              </w:rPr>
              <w:t>NT-proBNP &lt; 125 pg/mL (age-dependent)</w:t>
            </w:r>
          </w:p>
        </w:tc>
        <w:tc>
          <w:tcPr>
            <w:tcW w:type="dxa" w:w="950"/>
            <w:vAlign w:val="top"/>
          </w:tcPr>
          <w:p>
            <w:pPr>
              <w:spacing w:after="40" w:before="0" w:line="259" w:lineRule="auto"/>
            </w:pPr>
            <w:r>
              <w:rPr>
                <w:rFonts w:ascii="Calibri" w:hAnsi="Calibri"/>
                <w:b w:val="0"/>
                <w:i w:val="0"/>
                <w:color w:val="212121"/>
                <w:sz w:val="16"/>
              </w:rPr>
              <w:t>Elevated for age</w:t>
            </w:r>
          </w:p>
        </w:tc>
        <w:tc>
          <w:tcPr>
            <w:tcW w:type="dxa" w:w="1036"/>
            <w:vAlign w:val="top"/>
          </w:tcPr>
          <w:p>
            <w:pPr>
              <w:spacing w:after="40" w:before="0" w:line="259" w:lineRule="auto"/>
            </w:pPr>
            <w:r>
              <w:rPr>
                <w:rFonts w:ascii="Calibri" w:hAnsi="Calibri"/>
                <w:b w:val="0"/>
                <w:i w:val="0"/>
                <w:color w:val="212121"/>
                <w:sz w:val="16"/>
              </w:rPr>
              <w:t>Confirms/quantifies heart failure and stratifies prognosis</w:t>
            </w:r>
          </w:p>
        </w:tc>
        <w:tc>
          <w:tcPr>
            <w:tcW w:type="dxa" w:w="1036"/>
            <w:vAlign w:val="top"/>
          </w:tcPr>
          <w:p>
            <w:pPr>
              <w:spacing w:after="40" w:before="0" w:line="259" w:lineRule="auto"/>
            </w:pPr>
            <w:r>
              <w:rPr>
                <w:rFonts w:ascii="Calibri" w:hAnsi="Calibri"/>
                <w:b w:val="0"/>
                <w:i w:val="0"/>
                <w:color w:val="212121"/>
                <w:sz w:val="16"/>
              </w:rPr>
              <w:t>Symptomatic patients, PPCM, heart failure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Rule-out value when normal; rises with wall stress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Cardiac MRI with late gadolinium enhancement</w:t>
            </w:r>
          </w:p>
        </w:tc>
        <w:tc>
          <w:tcPr>
            <w:tcW w:type="dxa" w:w="892"/>
            <w:vAlign w:val="top"/>
          </w:tcPr>
          <w:p>
            <w:pPr>
              <w:spacing w:after="40" w:before="0" w:line="259" w:lineRule="auto"/>
            </w:pPr>
            <w:r>
              <w:rPr>
                <w:rFonts w:ascii="Calibri" w:hAnsi="Calibri"/>
                <w:b w:val="0"/>
                <w:i w:val="0"/>
                <w:color w:val="212121"/>
                <w:sz w:val="16"/>
              </w:rPr>
              <w:t>CMR / tissue characterisation</w:t>
            </w:r>
          </w:p>
        </w:tc>
        <w:tc>
          <w:tcPr>
            <w:tcW w:type="dxa" w:w="950"/>
            <w:vAlign w:val="top"/>
          </w:tcPr>
          <w:p>
            <w:pPr>
              <w:spacing w:after="40" w:before="0" w:line="259" w:lineRule="auto"/>
            </w:pPr>
            <w:r>
              <w:rPr>
                <w:rFonts w:ascii="Calibri" w:hAnsi="Calibri"/>
                <w:b w:val="0"/>
                <w:i w:val="0"/>
                <w:color w:val="212121"/>
                <w:sz w:val="16"/>
              </w:rPr>
              <w:t>No fibrosis or abnormal infiltration</w:t>
            </w:r>
          </w:p>
        </w:tc>
        <w:tc>
          <w:tcPr>
            <w:tcW w:type="dxa" w:w="950"/>
            <w:vAlign w:val="top"/>
          </w:tcPr>
          <w:p>
            <w:pPr>
              <w:spacing w:after="40" w:before="0" w:line="259" w:lineRule="auto"/>
            </w:pPr>
            <w:r>
              <w:rPr>
                <w:rFonts w:ascii="Calibri" w:hAnsi="Calibri"/>
                <w:b w:val="0"/>
                <w:i w:val="0"/>
                <w:color w:val="212121"/>
                <w:sz w:val="16"/>
              </w:rPr>
              <w:t>Mid-wall/patchy LGE (DCM/HCM), diffuse subendocardial LGE (amyloid), apical fibrosis/obliteration (EMF)</w:t>
            </w:r>
          </w:p>
        </w:tc>
        <w:tc>
          <w:tcPr>
            <w:tcW w:type="dxa" w:w="1036"/>
            <w:vAlign w:val="top"/>
          </w:tcPr>
          <w:p>
            <w:pPr>
              <w:spacing w:after="40" w:before="0" w:line="259" w:lineRule="auto"/>
            </w:pPr>
            <w:r>
              <w:rPr>
                <w:rFonts w:ascii="Calibri" w:hAnsi="Calibri"/>
                <w:b w:val="0"/>
                <w:i w:val="0"/>
                <w:color w:val="212121"/>
                <w:sz w:val="16"/>
              </w:rPr>
              <w:t>Characterises fibrosis and infiltration, refines phenotype and SCD risk</w:t>
            </w:r>
          </w:p>
        </w:tc>
        <w:tc>
          <w:tcPr>
            <w:tcW w:type="dxa" w:w="1036"/>
            <w:vAlign w:val="top"/>
          </w:tcPr>
          <w:p>
            <w:pPr>
              <w:spacing w:after="40" w:before="0" w:line="259" w:lineRule="auto"/>
            </w:pPr>
            <w:r>
              <w:rPr>
                <w:rFonts w:ascii="Calibri" w:hAnsi="Calibri"/>
                <w:b w:val="0"/>
                <w:i w:val="0"/>
                <w:color w:val="212121"/>
                <w:sz w:val="16"/>
              </w:rPr>
              <w:t>Diagnostic uncertainty, risk stratification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T1/T2 mapping and ECV quantify infiltration/iron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w:t>
            </w:r>
          </w:p>
        </w:tc>
        <w:tc>
          <w:tcPr>
            <w:tcW w:type="dxa" w:w="1036"/>
            <w:vAlign w:val="top"/>
          </w:tcPr>
          <w:p>
            <w:pPr>
              <w:spacing w:after="40" w:before="0" w:line="259" w:lineRule="auto"/>
            </w:pPr>
            <w:r>
              <w:rPr>
                <w:rFonts w:ascii="Calibri" w:hAnsi="Calibri"/>
                <w:b w:val="0"/>
                <w:i w:val="0"/>
                <w:color w:val="212121"/>
                <w:sz w:val="16"/>
              </w:rPr>
              <w:t>Cardiac troponin</w:t>
            </w:r>
          </w:p>
        </w:tc>
        <w:tc>
          <w:tcPr>
            <w:tcW w:type="dxa" w:w="892"/>
            <w:vAlign w:val="top"/>
          </w:tcPr>
          <w:p>
            <w:pPr>
              <w:spacing w:after="40" w:before="0" w:line="259" w:lineRule="auto"/>
            </w:pPr>
            <w:r>
              <w:rPr>
                <w:rFonts w:ascii="Calibri" w:hAnsi="Calibri"/>
                <w:b w:val="0"/>
                <w:i w:val="0"/>
                <w:color w:val="212121"/>
                <w:sz w:val="16"/>
              </w:rPr>
              <w:t>Troponin I/T</w:t>
            </w:r>
          </w:p>
        </w:tc>
        <w:tc>
          <w:tcPr>
            <w:tcW w:type="dxa" w:w="950"/>
            <w:vAlign w:val="top"/>
          </w:tcPr>
          <w:p>
            <w:pPr>
              <w:spacing w:after="40" w:before="0" w:line="259" w:lineRule="auto"/>
            </w:pPr>
            <w:r>
              <w:rPr>
                <w:rFonts w:ascii="Calibri" w:hAnsi="Calibri"/>
                <w:b w:val="0"/>
                <w:i w:val="0"/>
                <w:color w:val="212121"/>
                <w:sz w:val="16"/>
              </w:rPr>
              <w:t>Below assay threshold</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Indicates ongoing myocyte injury (myocarditis, infiltration) and adverse prognosis</w:t>
            </w:r>
          </w:p>
        </w:tc>
        <w:tc>
          <w:tcPr>
            <w:tcW w:type="dxa" w:w="1036"/>
            <w:vAlign w:val="top"/>
          </w:tcPr>
          <w:p>
            <w:pPr>
              <w:spacing w:after="40" w:before="0" w:line="259" w:lineRule="auto"/>
            </w:pPr>
            <w:r>
              <w:rPr>
                <w:rFonts w:ascii="Calibri" w:hAnsi="Calibri"/>
                <w:b w:val="0"/>
                <w:i w:val="0"/>
                <w:color w:val="212121"/>
                <w:sz w:val="16"/>
              </w:rPr>
              <w:t>Suspected myocarditis, acute presentation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Interpret with clinical picture and coronary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X-ray</w:t>
            </w:r>
          </w:p>
        </w:tc>
        <w:tc>
          <w:tcPr>
            <w:tcW w:type="dxa" w:w="892"/>
            <w:vAlign w:val="top"/>
          </w:tcPr>
          <w:p>
            <w:pPr>
              <w:spacing w:after="40" w:before="0" w:line="259" w:lineRule="auto"/>
            </w:pPr>
            <w:r>
              <w:rPr>
                <w:rFonts w:ascii="Calibri" w:hAnsi="Calibri"/>
                <w:b w:val="0"/>
                <w:i w:val="0"/>
                <w:color w:val="212121"/>
                <w:sz w:val="16"/>
              </w:rPr>
              <w:t>Chest radiograph</w:t>
            </w:r>
          </w:p>
        </w:tc>
        <w:tc>
          <w:tcPr>
            <w:tcW w:type="dxa" w:w="950"/>
            <w:vAlign w:val="top"/>
          </w:tcPr>
          <w:p>
            <w:pPr>
              <w:spacing w:after="40" w:before="0" w:line="259" w:lineRule="auto"/>
            </w:pPr>
            <w:r>
              <w:rPr>
                <w:rFonts w:ascii="Calibri" w:hAnsi="Calibri"/>
                <w:b w:val="0"/>
                <w:i w:val="0"/>
                <w:color w:val="212121"/>
                <w:sz w:val="16"/>
              </w:rPr>
              <w:t>Normal heart size and clear lungs</w:t>
            </w:r>
          </w:p>
        </w:tc>
        <w:tc>
          <w:tcPr>
            <w:tcW w:type="dxa" w:w="950"/>
            <w:vAlign w:val="top"/>
          </w:tcPr>
          <w:p>
            <w:pPr>
              <w:spacing w:after="40" w:before="0" w:line="259" w:lineRule="auto"/>
            </w:pPr>
            <w:r>
              <w:rPr>
                <w:rFonts w:ascii="Calibri" w:hAnsi="Calibri"/>
                <w:b w:val="0"/>
                <w:i w:val="0"/>
                <w:color w:val="212121"/>
                <w:sz w:val="16"/>
              </w:rPr>
              <w:t>Cardiomegaly, pulmonary venous congestion, effusions</w:t>
            </w:r>
          </w:p>
        </w:tc>
        <w:tc>
          <w:tcPr>
            <w:tcW w:type="dxa" w:w="1036"/>
            <w:vAlign w:val="top"/>
          </w:tcPr>
          <w:p>
            <w:pPr>
              <w:spacing w:after="40" w:before="0" w:line="259" w:lineRule="auto"/>
            </w:pPr>
            <w:r>
              <w:rPr>
                <w:rFonts w:ascii="Calibri" w:hAnsi="Calibri"/>
                <w:b w:val="0"/>
                <w:i w:val="0"/>
                <w:color w:val="212121"/>
                <w:sz w:val="16"/>
              </w:rPr>
              <w:t>Assesses cardiac size and pulmonary congestion/heart failure</w:t>
            </w:r>
          </w:p>
        </w:tc>
        <w:tc>
          <w:tcPr>
            <w:tcW w:type="dxa" w:w="1036"/>
            <w:vAlign w:val="top"/>
          </w:tcPr>
          <w:p>
            <w:pPr>
              <w:spacing w:after="40" w:before="0" w:line="259" w:lineRule="auto"/>
            </w:pPr>
            <w:r>
              <w:rPr>
                <w:rFonts w:ascii="Calibri" w:hAnsi="Calibri"/>
                <w:b w:val="0"/>
                <w:i w:val="0"/>
                <w:color w:val="212121"/>
                <w:sz w:val="16"/>
              </w:rPr>
              <w:t>Symptomatic heart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Adjunct to echocardiography; heart may be normal-sized in HCM/RCM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Ambulatory ECG (Holter)</w:t>
            </w:r>
          </w:p>
        </w:tc>
        <w:tc>
          <w:tcPr>
            <w:tcW w:type="dxa" w:w="892"/>
            <w:vAlign w:val="top"/>
          </w:tcPr>
          <w:p>
            <w:pPr>
              <w:spacing w:after="40" w:before="0" w:line="259" w:lineRule="auto"/>
            </w:pPr>
            <w:r>
              <w:rPr>
                <w:rFonts w:ascii="Calibri" w:hAnsi="Calibri"/>
                <w:b w:val="0"/>
                <w:i w:val="0"/>
                <w:color w:val="212121"/>
                <w:sz w:val="16"/>
              </w:rPr>
              <w:t>24-48 h / extended monitoring</w:t>
            </w:r>
          </w:p>
        </w:tc>
        <w:tc>
          <w:tcPr>
            <w:tcW w:type="dxa" w:w="950"/>
            <w:vAlign w:val="top"/>
          </w:tcPr>
          <w:p>
            <w:pPr>
              <w:spacing w:after="40" w:before="0" w:line="259" w:lineRule="auto"/>
            </w:pPr>
            <w:r>
              <w:rPr>
                <w:rFonts w:ascii="Calibri" w:hAnsi="Calibri"/>
                <w:b w:val="0"/>
                <w:i w:val="0"/>
                <w:color w:val="212121"/>
                <w:sz w:val="16"/>
              </w:rPr>
              <w:t>No significant arrhythmia</w:t>
            </w:r>
          </w:p>
        </w:tc>
        <w:tc>
          <w:tcPr>
            <w:tcW w:type="dxa" w:w="950"/>
            <w:vAlign w:val="top"/>
          </w:tcPr>
          <w:p>
            <w:pPr>
              <w:spacing w:after="40" w:before="0" w:line="259" w:lineRule="auto"/>
            </w:pPr>
            <w:r>
              <w:rPr>
                <w:rFonts w:ascii="Calibri" w:hAnsi="Calibri"/>
                <w:b w:val="0"/>
                <w:i w:val="0"/>
                <w:color w:val="212121"/>
                <w:sz w:val="16"/>
              </w:rPr>
              <w:t>Non-sustained VT, frequent ectopy, atrial fibrillation</w:t>
            </w:r>
          </w:p>
        </w:tc>
        <w:tc>
          <w:tcPr>
            <w:tcW w:type="dxa" w:w="1036"/>
            <w:vAlign w:val="top"/>
          </w:tcPr>
          <w:p>
            <w:pPr>
              <w:spacing w:after="40" w:before="0" w:line="259" w:lineRule="auto"/>
            </w:pPr>
            <w:r>
              <w:rPr>
                <w:rFonts w:ascii="Calibri" w:hAnsi="Calibri"/>
                <w:b w:val="0"/>
                <w:i w:val="0"/>
                <w:color w:val="212121"/>
                <w:sz w:val="16"/>
              </w:rPr>
              <w:t>Detects arrhythmia and helps stratify sudden-death risk</w:t>
            </w:r>
          </w:p>
        </w:tc>
        <w:tc>
          <w:tcPr>
            <w:tcW w:type="dxa" w:w="1036"/>
            <w:vAlign w:val="top"/>
          </w:tcPr>
          <w:p>
            <w:pPr>
              <w:spacing w:after="40" w:before="0" w:line="259" w:lineRule="auto"/>
            </w:pPr>
            <w:r>
              <w:rPr>
                <w:rFonts w:ascii="Calibri" w:hAnsi="Calibri"/>
                <w:b w:val="0"/>
                <w:i w:val="0"/>
                <w:color w:val="212121"/>
                <w:sz w:val="16"/>
              </w:rPr>
              <w:t>HCM, DCM, syncope/palpitations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NSVT is a recognised SCD risk marker in HCM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genetic</w:t>
            </w:r>
          </w:p>
        </w:tc>
        <w:tc>
          <w:tcPr>
            <w:tcW w:type="dxa" w:w="1036"/>
            <w:vAlign w:val="top"/>
          </w:tcPr>
          <w:p>
            <w:pPr>
              <w:spacing w:after="40" w:before="0" w:line="259" w:lineRule="auto"/>
            </w:pPr>
            <w:r>
              <w:rPr>
                <w:rFonts w:ascii="Calibri" w:hAnsi="Calibri"/>
                <w:b w:val="0"/>
                <w:i w:val="0"/>
                <w:color w:val="212121"/>
                <w:sz w:val="16"/>
              </w:rPr>
              <w:t>Secondary-cause and genetic panel</w:t>
            </w:r>
          </w:p>
        </w:tc>
        <w:tc>
          <w:tcPr>
            <w:tcW w:type="dxa" w:w="892"/>
            <w:vAlign w:val="top"/>
          </w:tcPr>
          <w:p>
            <w:pPr>
              <w:spacing w:after="40" w:before="0" w:line="259" w:lineRule="auto"/>
            </w:pPr>
            <w:r>
              <w:rPr>
                <w:rFonts w:ascii="Calibri" w:hAnsi="Calibri"/>
                <w:b w:val="0"/>
                <w:i w:val="0"/>
                <w:color w:val="212121"/>
                <w:sz w:val="16"/>
              </w:rPr>
              <w:t>Iron studies, TSH, HIV, SPEP/free light chains; sarcomere gene panel</w:t>
            </w:r>
          </w:p>
        </w:tc>
        <w:tc>
          <w:tcPr>
            <w:tcW w:type="dxa" w:w="950"/>
            <w:vAlign w:val="top"/>
          </w:tcPr>
          <w:p>
            <w:pPr>
              <w:spacing w:after="40" w:before="0" w:line="259" w:lineRule="auto"/>
            </w:pPr>
            <w:r>
              <w:rPr>
                <w:rFonts w:ascii="Calibri" w:hAnsi="Calibri"/>
                <w:b w:val="0"/>
                <w:i w:val="0"/>
                <w:color w:val="212121"/>
                <w:sz w:val="16"/>
              </w:rPr>
              <w:t>No secondary cause; no pathogenic variant</w:t>
            </w:r>
          </w:p>
        </w:tc>
        <w:tc>
          <w:tcPr>
            <w:tcW w:type="dxa" w:w="950"/>
            <w:vAlign w:val="top"/>
          </w:tcPr>
          <w:p>
            <w:pPr>
              <w:spacing w:after="40" w:before="0" w:line="259" w:lineRule="auto"/>
            </w:pPr>
            <w:r>
              <w:rPr>
                <w:rFonts w:ascii="Calibri" w:hAnsi="Calibri"/>
                <w:b w:val="0"/>
                <w:i w:val="0"/>
                <w:color w:val="212121"/>
                <w:sz w:val="16"/>
              </w:rPr>
              <w:t>Iron overload, thyroid disease, HIV, amyloid proteins; pathogenic sarcomere/cytoskeletal variant</w:t>
            </w:r>
          </w:p>
        </w:tc>
        <w:tc>
          <w:tcPr>
            <w:tcW w:type="dxa" w:w="1036"/>
            <w:vAlign w:val="top"/>
          </w:tcPr>
          <w:p>
            <w:pPr>
              <w:spacing w:after="40" w:before="0" w:line="259" w:lineRule="auto"/>
            </w:pPr>
            <w:r>
              <w:rPr>
                <w:rFonts w:ascii="Calibri" w:hAnsi="Calibri"/>
                <w:b w:val="0"/>
                <w:i w:val="0"/>
                <w:color w:val="212121"/>
                <w:sz w:val="16"/>
              </w:rPr>
              <w:t>Identifies treatable secondary causes and confirms heritable disease for cascade screening</w:t>
            </w:r>
          </w:p>
        </w:tc>
        <w:tc>
          <w:tcPr>
            <w:tcW w:type="dxa" w:w="1036"/>
            <w:vAlign w:val="top"/>
          </w:tcPr>
          <w:p>
            <w:pPr>
              <w:spacing w:after="40" w:before="0" w:line="259" w:lineRule="auto"/>
            </w:pPr>
            <w:r>
              <w:rPr>
                <w:rFonts w:ascii="Calibri" w:hAnsi="Calibri"/>
                <w:b w:val="0"/>
                <w:i w:val="0"/>
                <w:color w:val="212121"/>
                <w:sz w:val="16"/>
              </w:rPr>
              <w:t>New cardiomyopathy,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Genetic result guides family screening and prognosis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Heart-failure symptoms</w:t>
            </w:r>
          </w:p>
        </w:tc>
        <w:tc>
          <w:tcPr>
            <w:tcW w:type="dxa" w:w="979"/>
            <w:vAlign w:val="top"/>
          </w:tcPr>
          <w:p>
            <w:pPr>
              <w:spacing w:after="40" w:before="0" w:line="259" w:lineRule="auto"/>
            </w:pPr>
            <w:r>
              <w:rPr>
                <w:rFonts w:ascii="Calibri" w:hAnsi="Calibri"/>
                <w:b w:val="0"/>
                <w:i w:val="0"/>
                <w:color w:val="212121"/>
                <w:sz w:val="16"/>
              </w:rPr>
              <w:t>Exertional dyspnoea, orthopnoea, PND, oedema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Progressive breathlessness, orthopnoea, swelling</w:t>
            </w:r>
          </w:p>
        </w:tc>
        <w:tc>
          <w:tcPr>
            <w:tcW w:type="dxa" w:w="1036"/>
            <w:vAlign w:val="top"/>
          </w:tcPr>
          <w:p>
            <w:pPr>
              <w:spacing w:after="40" w:before="0" w:line="259" w:lineRule="auto"/>
            </w:pPr>
            <w:r>
              <w:rPr>
                <w:rFonts w:ascii="Calibri" w:hAnsi="Calibri"/>
                <w:b w:val="0"/>
                <w:i w:val="0"/>
                <w:color w:val="212121"/>
                <w:sz w:val="16"/>
              </w:rPr>
              <w:t>Suggests systolic (DCM) or diastolic (HCM/RCM) heart failure</w:t>
            </w:r>
          </w:p>
        </w:tc>
        <w:tc>
          <w:tcPr>
            <w:tcW w:type="dxa" w:w="1036"/>
            <w:vAlign w:val="top"/>
          </w:tcPr>
          <w:p>
            <w:pPr>
              <w:spacing w:after="40" w:before="0" w:line="259" w:lineRule="auto"/>
            </w:pPr>
            <w:r>
              <w:rPr>
                <w:rFonts w:ascii="Calibri" w:hAnsi="Calibri"/>
                <w:b w:val="0"/>
                <w:i w:val="0"/>
                <w:color w:val="212121"/>
                <w:sz w:val="16"/>
              </w:rPr>
              <w:t>All suspected cardiomyopathy</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Grade with NYHA class to track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Arrhythmic / syncopal symptoms</w:t>
            </w:r>
          </w:p>
        </w:tc>
        <w:tc>
          <w:tcPr>
            <w:tcW w:type="dxa" w:w="979"/>
            <w:vAlign w:val="top"/>
          </w:tcPr>
          <w:p>
            <w:pPr>
              <w:spacing w:after="40" w:before="0" w:line="259" w:lineRule="auto"/>
            </w:pPr>
            <w:r>
              <w:rPr>
                <w:rFonts w:ascii="Calibri" w:hAnsi="Calibri"/>
                <w:b w:val="0"/>
                <w:i w:val="0"/>
                <w:color w:val="212121"/>
                <w:sz w:val="16"/>
              </w:rPr>
              <w:t>Palpitations, presyncope, exertional syncope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Exertional syncope, sustained palpitations</w:t>
            </w:r>
          </w:p>
        </w:tc>
        <w:tc>
          <w:tcPr>
            <w:tcW w:type="dxa" w:w="1036"/>
            <w:vAlign w:val="top"/>
          </w:tcPr>
          <w:p>
            <w:pPr>
              <w:spacing w:after="40" w:before="0" w:line="259" w:lineRule="auto"/>
            </w:pPr>
            <w:r>
              <w:rPr>
                <w:rFonts w:ascii="Calibri" w:hAnsi="Calibri"/>
                <w:b w:val="0"/>
                <w:i w:val="0"/>
                <w:color w:val="212121"/>
                <w:sz w:val="16"/>
              </w:rPr>
              <w:t>Red-flag features for arrhythmia and sudden-death risk, especially in HCM</w:t>
            </w:r>
          </w:p>
        </w:tc>
        <w:tc>
          <w:tcPr>
            <w:tcW w:type="dxa" w:w="1036"/>
            <w:vAlign w:val="top"/>
          </w:tcPr>
          <w:p>
            <w:pPr>
              <w:spacing w:after="40" w:before="0" w:line="259" w:lineRule="auto"/>
            </w:pPr>
            <w:r>
              <w:rPr>
                <w:rFonts w:ascii="Calibri" w:hAnsi="Calibri"/>
                <w:b w:val="0"/>
                <w:i w:val="0"/>
                <w:color w:val="212121"/>
                <w:sz w:val="16"/>
              </w:rPr>
              <w:t>HCM, DCM, young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Exertional syncope in a young person mandates urgent cardiac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Cardiomyopathy or unexplained sudden death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affected first-degree relative or premature sudden death</w:t>
            </w:r>
          </w:p>
        </w:tc>
        <w:tc>
          <w:tcPr>
            <w:tcW w:type="dxa" w:w="1036"/>
            <w:vAlign w:val="top"/>
          </w:tcPr>
          <w:p>
            <w:pPr>
              <w:spacing w:after="40" w:before="0" w:line="259" w:lineRule="auto"/>
            </w:pPr>
            <w:r>
              <w:rPr>
                <w:rFonts w:ascii="Calibri" w:hAnsi="Calibri"/>
                <w:b w:val="0"/>
                <w:i w:val="0"/>
                <w:color w:val="212121"/>
                <w:sz w:val="16"/>
              </w:rPr>
              <w:t>Points to heritable disease and triggers cascade screening</w:t>
            </w:r>
          </w:p>
        </w:tc>
        <w:tc>
          <w:tcPr>
            <w:tcW w:type="dxa" w:w="1036"/>
            <w:vAlign w:val="top"/>
          </w:tcPr>
          <w:p>
            <w:pPr>
              <w:spacing w:after="40" w:before="0" w:line="259" w:lineRule="auto"/>
            </w:pPr>
            <w:r>
              <w:rPr>
                <w:rFonts w:ascii="Calibri" w:hAnsi="Calibri"/>
                <w:b w:val="0"/>
                <w:i w:val="0"/>
                <w:color w:val="212121"/>
                <w:sz w:val="16"/>
              </w:rPr>
              <w:t>HCM, familial DCM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and any sudden/unexplained deaths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Toxin, pregnancy and systemic history</w:t>
            </w:r>
          </w:p>
        </w:tc>
        <w:tc>
          <w:tcPr>
            <w:tcW w:type="dxa" w:w="979"/>
            <w:vAlign w:val="top"/>
          </w:tcPr>
          <w:p>
            <w:pPr>
              <w:spacing w:after="40" w:before="0" w:line="259" w:lineRule="auto"/>
            </w:pPr>
            <w:r>
              <w:rPr>
                <w:rFonts w:ascii="Calibri" w:hAnsi="Calibri"/>
                <w:b w:val="0"/>
                <w:i w:val="0"/>
                <w:color w:val="212121"/>
                <w:sz w:val="16"/>
              </w:rPr>
              <w:t>Alcohol, chemotherapy, pregnancy/post-partum, systemic disease</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Chronic heavy alcohol, recent delivery, anthracyclines, amyloid/sarcoid features</w:t>
            </w:r>
          </w:p>
        </w:tc>
        <w:tc>
          <w:tcPr>
            <w:tcW w:type="dxa" w:w="1036"/>
            <w:vAlign w:val="top"/>
          </w:tcPr>
          <w:p>
            <w:pPr>
              <w:spacing w:after="40" w:before="0" w:line="259" w:lineRule="auto"/>
            </w:pPr>
            <w:r>
              <w:rPr>
                <w:rFonts w:ascii="Calibri" w:hAnsi="Calibri"/>
                <w:b w:val="0"/>
                <w:i w:val="0"/>
                <w:color w:val="212121"/>
                <w:sz w:val="16"/>
              </w:rPr>
              <w:t>Identifies reversible and secondary causes (alcoholic, peripartum, drug-induced, infiltrative)</w:t>
            </w:r>
          </w:p>
        </w:tc>
        <w:tc>
          <w:tcPr>
            <w:tcW w:type="dxa" w:w="1036"/>
            <w:vAlign w:val="top"/>
          </w:tcPr>
          <w:p>
            <w:pPr>
              <w:spacing w:after="40" w:before="0" w:line="259" w:lineRule="auto"/>
            </w:pPr>
            <w:r>
              <w:rPr>
                <w:rFonts w:ascii="Calibri" w:hAnsi="Calibri"/>
                <w:b w:val="0"/>
                <w:i w:val="0"/>
                <w:color w:val="212121"/>
                <w:sz w:val="16"/>
              </w:rPr>
              <w:t>Acquired DCM/RCM, peripartum women</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Reversible causes (alcohol, thyroid, tachycardia, thiamine) must be sought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Precordial palpation</w:t>
            </w:r>
          </w:p>
        </w:tc>
        <w:tc>
          <w:tcPr>
            <w:tcW w:type="dxa" w:w="979"/>
            <w:vAlign w:val="top"/>
          </w:tcPr>
          <w:p>
            <w:pPr>
              <w:spacing w:after="40" w:before="0" w:line="259" w:lineRule="auto"/>
            </w:pPr>
            <w:r>
              <w:rPr>
                <w:rFonts w:ascii="Calibri" w:hAnsi="Calibri"/>
                <w:b w:val="0"/>
                <w:i w:val="0"/>
                <w:color w:val="212121"/>
                <w:sz w:val="16"/>
              </w:rPr>
              <w:t>Apex beat character and position</w:t>
            </w:r>
          </w:p>
        </w:tc>
        <w:tc>
          <w:tcPr>
            <w:tcW w:type="dxa" w:w="950"/>
            <w:vAlign w:val="top"/>
          </w:tcPr>
          <w:p>
            <w:pPr>
              <w:spacing w:after="40" w:before="0" w:line="259" w:lineRule="auto"/>
            </w:pPr>
            <w:r>
              <w:rPr>
                <w:rFonts w:ascii="Calibri" w:hAnsi="Calibri"/>
                <w:b w:val="0"/>
                <w:i w:val="0"/>
                <w:color w:val="212121"/>
                <w:sz w:val="16"/>
              </w:rPr>
              <w:t>Normal, non-displaced apex</w:t>
            </w:r>
          </w:p>
        </w:tc>
        <w:tc>
          <w:tcPr>
            <w:tcW w:type="dxa" w:w="950"/>
            <w:vAlign w:val="top"/>
          </w:tcPr>
          <w:p>
            <w:pPr>
              <w:spacing w:after="40" w:before="0" w:line="259" w:lineRule="auto"/>
            </w:pPr>
            <w:r>
              <w:rPr>
                <w:rFonts w:ascii="Calibri" w:hAnsi="Calibri"/>
                <w:b w:val="0"/>
                <w:i w:val="0"/>
                <w:color w:val="212121"/>
                <w:sz w:val="16"/>
              </w:rPr>
              <w:t>Displaced diffuse apex (DCM); forceful/double apical impulse (HCM)</w:t>
            </w:r>
          </w:p>
        </w:tc>
        <w:tc>
          <w:tcPr>
            <w:tcW w:type="dxa" w:w="1036"/>
            <w:vAlign w:val="top"/>
          </w:tcPr>
          <w:p>
            <w:pPr>
              <w:spacing w:after="40" w:before="0" w:line="259" w:lineRule="auto"/>
            </w:pPr>
            <w:r>
              <w:rPr>
                <w:rFonts w:ascii="Calibri" w:hAnsi="Calibri"/>
                <w:b w:val="0"/>
                <w:i w:val="0"/>
                <w:color w:val="212121"/>
                <w:sz w:val="16"/>
              </w:rPr>
              <w:t>Reflects chamber dilatation or hypertrophy</w:t>
            </w:r>
          </w:p>
        </w:tc>
        <w:tc>
          <w:tcPr>
            <w:tcW w:type="dxa" w:w="1036"/>
            <w:vAlign w:val="top"/>
          </w:tcPr>
          <w:p>
            <w:pPr>
              <w:spacing w:after="40" w:before="0" w:line="259" w:lineRule="auto"/>
            </w:pPr>
            <w:r>
              <w:rPr>
                <w:rFonts w:ascii="Calibri" w:hAnsi="Calibri"/>
                <w:b w:val="0"/>
                <w:i w:val="0"/>
                <w:color w:val="212121"/>
                <w:sz w:val="16"/>
              </w:rPr>
              <w:t>DCM, HCM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 with echocardiographic dimensions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Gallops and dynamic murmur</w:t>
            </w:r>
          </w:p>
        </w:tc>
        <w:tc>
          <w:tcPr>
            <w:tcW w:type="dxa" w:w="950"/>
            <w:vAlign w:val="top"/>
          </w:tcPr>
          <w:p>
            <w:pPr>
              <w:spacing w:after="40" w:before="0" w:line="259" w:lineRule="auto"/>
            </w:pPr>
            <w:r>
              <w:rPr>
                <w:rFonts w:ascii="Calibri" w:hAnsi="Calibri"/>
                <w:b w:val="0"/>
                <w:i w:val="0"/>
                <w:color w:val="212121"/>
                <w:sz w:val="16"/>
              </w:rPr>
              <w:t>Normal heart sounds</w:t>
            </w:r>
          </w:p>
        </w:tc>
        <w:tc>
          <w:tcPr>
            <w:tcW w:type="dxa" w:w="950"/>
            <w:vAlign w:val="top"/>
          </w:tcPr>
          <w:p>
            <w:pPr>
              <w:spacing w:after="40" w:before="0" w:line="259" w:lineRule="auto"/>
            </w:pPr>
            <w:r>
              <w:rPr>
                <w:rFonts w:ascii="Calibri" w:hAnsi="Calibri"/>
                <w:b w:val="0"/>
                <w:i w:val="0"/>
                <w:color w:val="212121"/>
                <w:sz w:val="16"/>
              </w:rPr>
              <w:t>S3 gallop (DCM); harsh mid-systolic murmur at left sternal border increasing with Valsalva/standing and decreasing with squatting (HOCM); S4</w:t>
            </w:r>
          </w:p>
        </w:tc>
        <w:tc>
          <w:tcPr>
            <w:tcW w:type="dxa" w:w="1036"/>
            <w:vAlign w:val="top"/>
          </w:tcPr>
          <w:p>
            <w:pPr>
              <w:spacing w:after="40" w:before="0" w:line="259" w:lineRule="auto"/>
            </w:pPr>
            <w:r>
              <w:rPr>
                <w:rFonts w:ascii="Calibri" w:hAnsi="Calibri"/>
                <w:b w:val="0"/>
                <w:i w:val="0"/>
                <w:color w:val="212121"/>
                <w:sz w:val="16"/>
              </w:rPr>
              <w:t>Distinguishes dilated from obstructive hypertrophic disease</w:t>
            </w:r>
          </w:p>
        </w:tc>
        <w:tc>
          <w:tcPr>
            <w:tcW w:type="dxa" w:w="1036"/>
            <w:vAlign w:val="top"/>
          </w:tcPr>
          <w:p>
            <w:pPr>
              <w:spacing w:after="40" w:before="0" w:line="259" w:lineRule="auto"/>
            </w:pPr>
            <w:r>
              <w:rPr>
                <w:rFonts w:ascii="Calibri" w:hAnsi="Calibri"/>
                <w:b w:val="0"/>
                <w:i w:val="0"/>
                <w:color w:val="212121"/>
                <w:sz w:val="16"/>
              </w:rPr>
              <w:t>DCM, HOCM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Dynamic manoeuvres accentuate the HOCM murmur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Venous pressure and congestion</w:t>
            </w:r>
          </w:p>
        </w:tc>
        <w:tc>
          <w:tcPr>
            <w:tcW w:type="dxa" w:w="979"/>
            <w:vAlign w:val="top"/>
          </w:tcPr>
          <w:p>
            <w:pPr>
              <w:spacing w:after="40" w:before="0" w:line="259" w:lineRule="auto"/>
            </w:pPr>
            <w:r>
              <w:rPr>
                <w:rFonts w:ascii="Calibri" w:hAnsi="Calibri"/>
                <w:b w:val="0"/>
                <w:i w:val="0"/>
                <w:color w:val="212121"/>
                <w:sz w:val="16"/>
              </w:rPr>
              <w:t>JVP, Kussmaul sign, hepatomegaly, ascites, oedema</w:t>
            </w:r>
          </w:p>
        </w:tc>
        <w:tc>
          <w:tcPr>
            <w:tcW w:type="dxa" w:w="950"/>
            <w:vAlign w:val="top"/>
          </w:tcPr>
          <w:p>
            <w:pPr>
              <w:spacing w:after="40" w:before="0" w:line="259" w:lineRule="auto"/>
            </w:pPr>
            <w:r>
              <w:rPr>
                <w:rFonts w:ascii="Calibri" w:hAnsi="Calibri"/>
                <w:b w:val="0"/>
                <w:i w:val="0"/>
                <w:color w:val="212121"/>
                <w:sz w:val="16"/>
              </w:rPr>
              <w:t>Normal JVP, no congestion</w:t>
            </w:r>
          </w:p>
        </w:tc>
        <w:tc>
          <w:tcPr>
            <w:tcW w:type="dxa" w:w="950"/>
            <w:vAlign w:val="top"/>
          </w:tcPr>
          <w:p>
            <w:pPr>
              <w:spacing w:after="40" w:before="0" w:line="259" w:lineRule="auto"/>
            </w:pPr>
            <w:r>
              <w:rPr>
                <w:rFonts w:ascii="Calibri" w:hAnsi="Calibri"/>
                <w:b w:val="0"/>
                <w:i w:val="0"/>
                <w:color w:val="212121"/>
                <w:sz w:val="16"/>
              </w:rPr>
              <w:t>Raised JVP with rapid Y descent and Kussmaul sign; ascites and oedema (RCM/right heart failure)</w:t>
            </w:r>
          </w:p>
        </w:tc>
        <w:tc>
          <w:tcPr>
            <w:tcW w:type="dxa" w:w="1036"/>
            <w:vAlign w:val="top"/>
          </w:tcPr>
          <w:p>
            <w:pPr>
              <w:spacing w:after="40" w:before="0" w:line="259" w:lineRule="auto"/>
            </w:pPr>
            <w:r>
              <w:rPr>
                <w:rFonts w:ascii="Calibri" w:hAnsi="Calibri"/>
                <w:b w:val="0"/>
                <w:i w:val="0"/>
                <w:color w:val="212121"/>
                <w:sz w:val="16"/>
              </w:rPr>
              <w:t>Marks restrictive physiology and systemic venous congestion</w:t>
            </w:r>
          </w:p>
        </w:tc>
        <w:tc>
          <w:tcPr>
            <w:tcW w:type="dxa" w:w="1036"/>
            <w:vAlign w:val="top"/>
          </w:tcPr>
          <w:p>
            <w:pPr>
              <w:spacing w:after="40" w:before="0" w:line="259" w:lineRule="auto"/>
            </w:pPr>
            <w:r>
              <w:rPr>
                <w:rFonts w:ascii="Calibri" w:hAnsi="Calibri"/>
                <w:b w:val="0"/>
                <w:i w:val="0"/>
                <w:color w:val="212121"/>
                <w:sz w:val="16"/>
              </w:rPr>
              <w:t>RCM, EMF, advanced heart failure</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Kussmaul sign and prominent ascites suggest restriction/constriction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Systemic-disease signs</w:t>
            </w:r>
          </w:p>
        </w:tc>
        <w:tc>
          <w:tcPr>
            <w:tcW w:type="dxa" w:w="979"/>
            <w:vAlign w:val="top"/>
          </w:tcPr>
          <w:p>
            <w:pPr>
              <w:spacing w:after="40" w:before="0" w:line="259" w:lineRule="auto"/>
            </w:pPr>
            <w:r>
              <w:rPr>
                <w:rFonts w:ascii="Calibri" w:hAnsi="Calibri"/>
                <w:b w:val="0"/>
                <w:i w:val="0"/>
                <w:color w:val="212121"/>
                <w:sz w:val="16"/>
              </w:rPr>
              <w:t>Features of amyloid, haemochromatosis, thyroid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Macroglossia, carpal tunnel, periorbital purpura (amyloid); bronze skin (iron overload); goitre/tremor</w:t>
            </w:r>
          </w:p>
        </w:tc>
        <w:tc>
          <w:tcPr>
            <w:tcW w:type="dxa" w:w="1036"/>
            <w:vAlign w:val="top"/>
          </w:tcPr>
          <w:p>
            <w:pPr>
              <w:spacing w:after="40" w:before="0" w:line="259" w:lineRule="auto"/>
            </w:pPr>
            <w:r>
              <w:rPr>
                <w:rFonts w:ascii="Calibri" w:hAnsi="Calibri"/>
                <w:b w:val="0"/>
                <w:i w:val="0"/>
                <w:color w:val="212121"/>
                <w:sz w:val="16"/>
              </w:rPr>
              <w:t>Points to a treatable infiltrative or endocrine cause of restrictive/dilated disease</w:t>
            </w:r>
          </w:p>
        </w:tc>
        <w:tc>
          <w:tcPr>
            <w:tcW w:type="dxa" w:w="1036"/>
            <w:vAlign w:val="top"/>
          </w:tcPr>
          <w:p>
            <w:pPr>
              <w:spacing w:after="40" w:before="0" w:line="259" w:lineRule="auto"/>
            </w:pPr>
            <w:r>
              <w:rPr>
                <w:rFonts w:ascii="Calibri" w:hAnsi="Calibri"/>
                <w:b w:val="0"/>
                <w:i w:val="0"/>
                <w:color w:val="212121"/>
                <w:sz w:val="16"/>
              </w:rPr>
              <w:t>RCM, secondary cardiomyopathy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Directs targeted confirmatory testing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commonest presenting symptom across all three types, from systolic (DCM) or diastolic (HCM/RCM) heart failure and pulmonary congestion.</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cardiac output and impaired ventricular filling limit effort capacity, often insidiously.</w:t>
            </w:r>
          </w:p>
        </w:tc>
      </w:tr>
      <w:tr>
        <w:trPr>
          <w:cantSplit/>
        </w:trPr>
        <w:tc>
          <w:tcPr>
            <w:tcW w:type="dxa" w:w="2304"/>
            <w:vAlign w:val="top"/>
          </w:tcPr>
          <w:p>
            <w:pPr>
              <w:spacing w:after="40" w:before="0" w:line="259" w:lineRule="auto"/>
            </w:pPr>
            <w:r>
              <w:rPr>
                <w:rFonts w:ascii="Calibri" w:hAnsi="Calibri"/>
                <w:b/>
                <w:i w:val="0"/>
                <w:color w:val="212121"/>
                <w:sz w:val="19"/>
              </w:rPr>
              <w:t>Orthopnoea (breathlessness lying flat)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Redistribution of fluid on lying down raises pulmonary pressures - a marker of significant heart failure.</w:t>
            </w:r>
          </w:p>
        </w:tc>
      </w:tr>
      <w:tr>
        <w:trPr>
          <w:cantSplit/>
        </w:trPr>
        <w:tc>
          <w:tcPr>
            <w:tcW w:type="dxa" w:w="2304"/>
            <w:vAlign w:val="top"/>
          </w:tcPr>
          <w:p>
            <w:pPr>
              <w:spacing w:after="40" w:before="0" w:line="259" w:lineRule="auto"/>
            </w:pPr>
            <w:r>
              <w:rPr>
                <w:rFonts w:ascii="Calibri" w:hAnsi="Calibri"/>
                <w:b/>
                <w:i w:val="0"/>
                <w:color w:val="212121"/>
                <w:sz w:val="19"/>
              </w:rPr>
              <w:t>Paroxysmal nocturnal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breathless at night from pulmonary congestion, typical of decompensating dilated cardiomyopathy.</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Atrial fibrillation and ventricular ectopy/arrhythmia are frequent, particularly in HCM and dilated disease.</w:t>
            </w:r>
          </w:p>
        </w:tc>
      </w:tr>
      <w:tr>
        <w:trPr>
          <w:cantSplit/>
        </w:trPr>
        <w:tc>
          <w:tcPr>
            <w:tcW w:type="dxa" w:w="2304"/>
            <w:vAlign w:val="top"/>
          </w:tcPr>
          <w:p>
            <w:pPr>
              <w:spacing w:after="40" w:before="0" w:line="259" w:lineRule="auto"/>
            </w:pPr>
            <w:r>
              <w:rPr>
                <w:rFonts w:ascii="Calibri" w:hAnsi="Calibri"/>
                <w:b/>
                <w:i w:val="0"/>
                <w:color w:val="212121"/>
                <w:sz w:val="19"/>
              </w:rPr>
              <w:t>Ankle, leg and abdominal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Peripheral oedema and, in restrictive disease, ascites from systemic venous congestion and right heart failure.</w:t>
            </w:r>
          </w:p>
        </w:tc>
      </w:tr>
      <w:tr>
        <w:trPr>
          <w:cantSplit/>
        </w:trPr>
        <w:tc>
          <w:tcPr>
            <w:tcW w:type="dxa" w:w="2304"/>
            <w:vAlign w:val="top"/>
          </w:tcPr>
          <w:p>
            <w:pPr>
              <w:spacing w:after="40" w:before="0" w:line="259" w:lineRule="auto"/>
            </w:pPr>
            <w:r>
              <w:rPr>
                <w:rFonts w:ascii="Calibri" w:hAnsi="Calibri"/>
                <w:b/>
                <w:i w:val="0"/>
                <w:color w:val="212121"/>
                <w:sz w:val="19"/>
              </w:rPr>
              <w:t>Chest pain or tightness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in HCM from supply-demand mismatch and microvascular ischaemia in the thickened myocardium.</w:t>
            </w:r>
          </w:p>
        </w:tc>
      </w:tr>
      <w:tr>
        <w:trPr>
          <w:cantSplit/>
        </w:trPr>
        <w:tc>
          <w:tcPr>
            <w:tcW w:type="dxa" w:w="2304"/>
            <w:vAlign w:val="top"/>
          </w:tcPr>
          <w:p>
            <w:pPr>
              <w:spacing w:after="40" w:before="0" w:line="259" w:lineRule="auto"/>
            </w:pPr>
            <w:r>
              <w:rPr>
                <w:rFonts w:ascii="Calibri" w:hAnsi="Calibri"/>
                <w:b/>
                <w:i w:val="0"/>
                <w:color w:val="212121"/>
                <w:sz w:val="19"/>
              </w:rPr>
              <w:t>Dizziness or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arrhythmia, dynamic outflow obstruction (HCM) or low output.</w:t>
            </w:r>
          </w:p>
        </w:tc>
      </w:tr>
      <w:tr>
        <w:trPr>
          <w:cantSplit/>
        </w:trPr>
        <w:tc>
          <w:tcPr>
            <w:tcW w:type="dxa" w:w="2304"/>
            <w:vAlign w:val="top"/>
          </w:tcPr>
          <w:p>
            <w:pPr>
              <w:spacing w:after="40" w:before="0" w:line="259" w:lineRule="auto"/>
            </w:pPr>
            <w:r>
              <w:rPr>
                <w:rFonts w:ascii="Calibri" w:hAnsi="Calibri"/>
                <w:b/>
                <w:i w:val="0"/>
                <w:color w:val="212121"/>
                <w:sz w:val="19"/>
              </w:rPr>
              <w:t>Exertional or postural 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red-flag symptom, particularly in hypertrophic cardiomyopathy, signalling outflow obstruction or arrhythmia and heightened sudden-death risk.</w:t>
            </w:r>
          </w:p>
        </w:tc>
      </w:tr>
      <w:tr>
        <w:trPr>
          <w:cantSplit/>
        </w:trPr>
        <w:tc>
          <w:tcPr>
            <w:tcW w:type="dxa" w:w="2304"/>
            <w:vAlign w:val="top"/>
          </w:tcPr>
          <w:p>
            <w:pPr>
              <w:spacing w:after="40" w:before="0" w:line="259" w:lineRule="auto"/>
            </w:pPr>
            <w:r>
              <w:rPr>
                <w:rFonts w:ascii="Calibri" w:hAnsi="Calibri"/>
                <w:b/>
                <w:i w:val="0"/>
                <w:color w:val="212121"/>
                <w:sz w:val="19"/>
              </w:rPr>
              <w:t>Abdominal fullness / early satiety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Congestive hepatomegaly and ascites in restrictive cardiomyopathy and advanced right heart failure.</w:t>
            </w:r>
          </w:p>
        </w:tc>
      </w:tr>
      <w:tr>
        <w:trPr>
          <w:cantSplit/>
        </w:trPr>
        <w:tc>
          <w:tcPr>
            <w:tcW w:type="dxa" w:w="2304"/>
            <w:vAlign w:val="top"/>
          </w:tcPr>
          <w:p>
            <w:pPr>
              <w:spacing w:after="40" w:before="0" w:line="259" w:lineRule="auto"/>
            </w:pPr>
            <w:r>
              <w:rPr>
                <w:rFonts w:ascii="Calibri" w:hAnsi="Calibri"/>
                <w:b/>
                <w:i w:val="0"/>
                <w:color w:val="212121"/>
                <w:sz w:val="19"/>
              </w:rPr>
              <w:t>Persistent dry cough (worse at night)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pulmonary congestion in left heart failure.</w:t>
            </w:r>
          </w:p>
        </w:tc>
      </w:tr>
      <w:tr>
        <w:trPr>
          <w:cantSplit/>
        </w:trPr>
        <w:tc>
          <w:tcPr>
            <w:tcW w:type="dxa" w:w="2304"/>
            <w:vAlign w:val="top"/>
          </w:tcPr>
          <w:p>
            <w:pPr>
              <w:spacing w:after="40" w:before="0" w:line="259" w:lineRule="auto"/>
            </w:pPr>
            <w:r>
              <w:rPr>
                <w:rFonts w:ascii="Calibri" w:hAnsi="Calibri"/>
                <w:b/>
                <w:i w:val="0"/>
                <w:color w:val="212121"/>
                <w:sz w:val="19"/>
              </w:rPr>
              <w:t>Sudden cardiac arrest as first presentation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HCM (and some genetic DCM/ARVC) can present with ventricular fibrillation and sudden death in a previously asymptomatic young person.</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occur with severe pulmonary congestion/pulmonary hypertension, especially in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Displaced, diffuse apex beat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Laterally displaced heaving apex reflects left ventricular dilatation in dilated cardiomyopathy.</w:t>
            </w:r>
          </w:p>
        </w:tc>
      </w:tr>
      <w:tr>
        <w:trPr>
          <w:cantSplit/>
        </w:trPr>
        <w:tc>
          <w:tcPr>
            <w:tcW w:type="dxa" w:w="3456"/>
            <w:vAlign w:val="top"/>
          </w:tcPr>
          <w:p>
            <w:pPr>
              <w:spacing w:after="40" w:before="0" w:line="259" w:lineRule="auto"/>
            </w:pPr>
            <w:r>
              <w:rPr>
                <w:rFonts w:ascii="Calibri" w:hAnsi="Calibri"/>
                <w:b/>
                <w:i w:val="0"/>
                <w:color w:val="212121"/>
                <w:sz w:val="19"/>
              </w:rPr>
              <w:t>Third heart sound (S3 gallop)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hallmark of a dilated, volume-loaded, poorly contracting ventricle.</w:t>
            </w:r>
          </w:p>
        </w:tc>
      </w:tr>
      <w:tr>
        <w:trPr>
          <w:cantSplit/>
        </w:trPr>
        <w:tc>
          <w:tcPr>
            <w:tcW w:type="dxa" w:w="3456"/>
            <w:vAlign w:val="top"/>
          </w:tcPr>
          <w:p>
            <w:pPr>
              <w:spacing w:after="40" w:before="0" w:line="259" w:lineRule="auto"/>
            </w:pPr>
            <w:r>
              <w:rPr>
                <w:rFonts w:ascii="Calibri" w:hAnsi="Calibri"/>
                <w:b/>
                <w:i w:val="0"/>
                <w:color w:val="212121"/>
                <w:sz w:val="19"/>
              </w:rPr>
              <w:t>Raised jugular venous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Indicates elevated right-heart filling pressures and systemic venous congestion.</w:t>
            </w:r>
          </w:p>
        </w:tc>
      </w:tr>
      <w:tr>
        <w:trPr>
          <w:cantSplit/>
        </w:trPr>
        <w:tc>
          <w:tcPr>
            <w:tcW w:type="dxa" w:w="3456"/>
            <w:vAlign w:val="top"/>
          </w:tcPr>
          <w:p>
            <w:pPr>
              <w:spacing w:after="40" w:before="0" w:line="259" w:lineRule="auto"/>
            </w:pPr>
            <w:r>
              <w:rPr>
                <w:rFonts w:ascii="Calibri" w:hAnsi="Calibri"/>
                <w:b/>
                <w:i w:val="0"/>
                <w:color w:val="212121"/>
                <w:sz w:val="19"/>
              </w:rPr>
              <w:t>Bibasal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Pulmonary congestion audible at the lung bases in left heart failure.</w:t>
            </w:r>
          </w:p>
        </w:tc>
      </w:tr>
      <w:tr>
        <w:trPr>
          <w:cantSplit/>
        </w:trPr>
        <w:tc>
          <w:tcPr>
            <w:tcW w:type="dxa" w:w="3456"/>
            <w:vAlign w:val="top"/>
          </w:tcPr>
          <w:p>
            <w:pPr>
              <w:spacing w:after="40" w:before="0" w:line="259" w:lineRule="auto"/>
            </w:pPr>
            <w:r>
              <w:rPr>
                <w:rFonts w:ascii="Calibri" w:hAnsi="Calibri"/>
                <w:b/>
                <w:i w:val="0"/>
                <w:color w:val="212121"/>
                <w:sz w:val="19"/>
              </w:rPr>
              <w:t>Peripheral (dependent)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Pitting oedema of ankles/legs from fluid retention and venous congestion.</w:t>
            </w:r>
          </w:p>
        </w:tc>
      </w:tr>
      <w:tr>
        <w:trPr>
          <w:cantSplit/>
        </w:trPr>
        <w:tc>
          <w:tcPr>
            <w:tcW w:type="dxa" w:w="3456"/>
            <w:vAlign w:val="top"/>
          </w:tcPr>
          <w:p>
            <w:pPr>
              <w:spacing w:after="40" w:before="0" w:line="259" w:lineRule="auto"/>
            </w:pPr>
            <w:r>
              <w:rPr>
                <w:rFonts w:ascii="Calibri" w:hAnsi="Calibri"/>
                <w:b/>
                <w:i w:val="0"/>
                <w:color w:val="212121"/>
                <w:sz w:val="19"/>
              </w:rPr>
              <w:t>Harsh systolic murmur increasing with Valsalva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Dynamic LVOT-obstruction murmur of HOCM at the left sternal border - louder on standing/Valsalva, softer on squatting.</w:t>
            </w:r>
          </w:p>
        </w:tc>
      </w:tr>
      <w:tr>
        <w:trPr>
          <w:cantSplit/>
        </w:trPr>
        <w:tc>
          <w:tcPr>
            <w:tcW w:type="dxa" w:w="3456"/>
            <w:vAlign w:val="top"/>
          </w:tcPr>
          <w:p>
            <w:pPr>
              <w:spacing w:after="40" w:before="0" w:line="259" w:lineRule="auto"/>
            </w:pPr>
            <w:r>
              <w:rPr>
                <w:rFonts w:ascii="Calibri" w:hAnsi="Calibri"/>
                <w:b/>
                <w:i w:val="0"/>
                <w:color w:val="212121"/>
                <w:sz w:val="19"/>
              </w:rPr>
              <w:t>Jerky / bisferiens carotid pulse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rapidly rising, bifid pulse typical of obstructive hypertrophic cardiomyopathy.</w:t>
            </w:r>
          </w:p>
        </w:tc>
      </w:tr>
      <w:tr>
        <w:trPr>
          <w:cantSplit/>
        </w:trPr>
        <w:tc>
          <w:tcPr>
            <w:tcW w:type="dxa" w:w="3456"/>
            <w:vAlign w:val="top"/>
          </w:tcPr>
          <w:p>
            <w:pPr>
              <w:spacing w:after="40" w:before="0" w:line="259" w:lineRule="auto"/>
            </w:pPr>
            <w:r>
              <w:rPr>
                <w:rFonts w:ascii="Calibri" w:hAnsi="Calibri"/>
                <w:b/>
                <w:i w:val="0"/>
                <w:color w:val="212121"/>
                <w:sz w:val="19"/>
              </w:rPr>
              <w:t>Fourth heart sound (S4)</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a stiff, non-compliant ventricle in hypertrophic or restrictive disease (in sinus rhythm).</w:t>
            </w:r>
          </w:p>
        </w:tc>
      </w:tr>
      <w:tr>
        <w:trPr>
          <w:cantSplit/>
        </w:trPr>
        <w:tc>
          <w:tcPr>
            <w:tcW w:type="dxa" w:w="3456"/>
            <w:vAlign w:val="top"/>
          </w:tcPr>
          <w:p>
            <w:pPr>
              <w:spacing w:after="40" w:before="0" w:line="259" w:lineRule="auto"/>
            </w:pPr>
            <w:r>
              <w:rPr>
                <w:rFonts w:ascii="Calibri" w:hAnsi="Calibri"/>
                <w:b/>
                <w:i w:val="0"/>
                <w:color w:val="212121"/>
                <w:sz w:val="19"/>
              </w:rPr>
              <w:t>Kussmaul sign with rapid Y descent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paradoxical inspiratory rise in JVP with prominent Y descent, characteristic of restrictive physiology.</w:t>
            </w:r>
          </w:p>
        </w:tc>
      </w:tr>
      <w:tr>
        <w:trPr>
          <w:cantSplit/>
        </w:trPr>
        <w:tc>
          <w:tcPr>
            <w:tcW w:type="dxa" w:w="3456"/>
            <w:vAlign w:val="top"/>
          </w:tcPr>
          <w:p>
            <w:pPr>
              <w:spacing w:after="40" w:before="0" w:line="259" w:lineRule="auto"/>
            </w:pPr>
            <w:r>
              <w:rPr>
                <w:rFonts w:ascii="Calibri" w:hAnsi="Calibri"/>
                <w:b/>
                <w:i w:val="0"/>
                <w:color w:val="212121"/>
                <w:sz w:val="19"/>
              </w:rPr>
              <w:t>Hepatomegaly and 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congestive hepatomegaly and ascites in restrictive cardiomyopathy/right heart failure (prominent in EMF).</w:t>
            </w:r>
          </w:p>
        </w:tc>
      </w:tr>
      <w:tr>
        <w:trPr>
          <w:cantSplit/>
        </w:trPr>
        <w:tc>
          <w:tcPr>
            <w:tcW w:type="dxa" w:w="3456"/>
            <w:vAlign w:val="top"/>
          </w:tcPr>
          <w:p>
            <w:pPr>
              <w:spacing w:after="40" w:before="0" w:line="259" w:lineRule="auto"/>
            </w:pPr>
            <w:r>
              <w:rPr>
                <w:rFonts w:ascii="Calibri" w:hAnsi="Calibri"/>
                <w:b/>
                <w:i w:val="0"/>
                <w:color w:val="212121"/>
                <w:sz w:val="19"/>
              </w:rPr>
              <w:t>Irregularly irregular pulse (atrial fibrillation)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AF is common across cardiomyopathies and raises thromboembolic risk.</w:t>
            </w:r>
          </w:p>
        </w:tc>
      </w:tr>
      <w:tr>
        <w:trPr>
          <w:cantSplit/>
        </w:trPr>
        <w:tc>
          <w:tcPr>
            <w:tcW w:type="dxa" w:w="3456"/>
            <w:vAlign w:val="top"/>
          </w:tcPr>
          <w:p>
            <w:pPr>
              <w:spacing w:after="40" w:before="0" w:line="259" w:lineRule="auto"/>
            </w:pPr>
            <w:r>
              <w:rPr>
                <w:rFonts w:ascii="Calibri" w:hAnsi="Calibri"/>
                <w:b/>
                <w:i w:val="0"/>
                <w:color w:val="212121"/>
                <w:sz w:val="19"/>
              </w:rPr>
              <w:t>Pulsus alternans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Alternating strong and weak beats indicating severe left ventricular systolic dysfunction.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heart failure - systolic (HFrEF) in dilated cardiomyopathy; diastolic/HFpEF in hypertrophic and restrictive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Dynamic left ventricular outflow tract obstruction with systolic anterior motion of the mitral valve (HOCM)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and ventricular arrhythmias (atrial fibrillation, non-sustained and sustained ventricular tachycardia)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mitral regurgitation (annular dilatation in DCM; SAM-related in HCM)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Restrictive filling with markedly raised atrial pressures (RCM/EMF)</w:t>
            </w:r>
          </w:p>
        </w:tc>
        <w:tc>
          <w:tcPr>
            <w:tcW w:type="dxa" w:w="2980"/>
            <w:vAlign w:val="top"/>
          </w:tcPr>
          <w:p>
            <w:pPr>
              <w:spacing w:after="40" w:before="0" w:line="259" w:lineRule="auto"/>
            </w:pPr>
            <w:r>
              <w:rPr>
                <w:rFonts w:ascii="Calibri" w:hAnsi="Calibri"/>
                <w:b w:val="0"/>
                <w:i w:val="0"/>
                <w:color w:val="212121"/>
                <w:sz w:val="19"/>
              </w:rPr>
              <w:t>Direct mechanical and electrical consequences of the diseased myocardium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 from ventricular fibrillation (especially HCM and genetic forms)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Intracardiac (mural/apical) thrombus with systemic and cerebral thromboembolism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progressive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Congestive hepatopathy / cardiac cirrhosis and ascites (restrictive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Conduction disease and heart block (notably infiltrative/amyloid and sarcoid disease)</w:t>
            </w:r>
          </w:p>
        </w:tc>
        <w:tc>
          <w:tcPr>
            <w:tcW w:type="dxa" w:w="2980"/>
            <w:vAlign w:val="top"/>
          </w:tcPr>
          <w:p>
            <w:pPr>
              <w:spacing w:after="40" w:before="0" w:line="259" w:lineRule="auto"/>
            </w:pPr>
            <w:r>
              <w:rPr>
                <w:rFonts w:ascii="Calibri" w:hAnsi="Calibri"/>
                <w:b w:val="0"/>
                <w:i w:val="0"/>
                <w:color w:val="212121"/>
                <w:sz w:val="19"/>
              </w:rPr>
              <w:t>Downstream consequences of chamber remodelling, stasis and raised filling pressures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refractory heart failure requiring device therapy (ICD for sudden-death prevention, CRT for dyssynchrony)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mechanical circulatory support (LVAD) or heart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Cardiogenic shock and recurrent hospitalisation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stroke and its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and loss of productive life-years in young and middle-aged adults</w:t>
            </w:r>
          </w:p>
        </w:tc>
        <w:tc>
          <w:tcPr>
            <w:tcW w:type="dxa" w:w="2980"/>
            <w:vAlign w:val="top"/>
          </w:tcPr>
          <w:p>
            <w:pPr>
              <w:spacing w:after="40" w:before="0" w:line="259" w:lineRule="auto"/>
            </w:pPr>
            <w:r>
              <w:rPr>
                <w:rFonts w:ascii="Calibri" w:hAnsi="Calibri"/>
                <w:b w:val="0"/>
                <w:i w:val="0"/>
                <w:color w:val="212121"/>
                <w:sz w:val="19"/>
              </w:rPr>
              <w:t>Irreversible, disabling end-stage outcomes of advanced cardiomyopathy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final common pathway of all three cardiomyopathy types and the dominant cause of morbidity, hospitalisation and death.</w:t>
            </w:r>
          </w:p>
          <w:p>
            <w:pPr>
              <w:spacing w:after="40" w:before="0" w:line="259" w:lineRule="auto"/>
            </w:pPr>
            <w:r>
              <w:rPr>
                <w:rFonts w:ascii="Calibri" w:hAnsi="Calibri"/>
                <w:b/>
                <w:i w:val="0"/>
                <w:color w:val="212121"/>
                <w:sz w:val="19"/>
              </w:rPr>
              <w:t>Majority over time</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Common across cardiomyopathies; promotes thromboembolism and worsens symptoms.</w:t>
            </w:r>
          </w:p>
          <w:p>
            <w:pPr>
              <w:spacing w:after="40" w:before="0" w:line="259" w:lineRule="auto"/>
            </w:pPr>
            <w:r>
              <w:rPr>
                <w:rFonts w:ascii="Calibri" w:hAnsi="Calibri"/>
                <w:b/>
                <w:i w:val="0"/>
                <w:color w:val="212121"/>
                <w:sz w:val="19"/>
              </w:rPr>
              <w:t>~25% in HCM</w:t>
            </w:r>
          </w:p>
        </w:tc>
      </w:tr>
      <w:tr>
        <w:trPr>
          <w:cantSplit/>
        </w:trPr>
        <w:tc>
          <w:tcPr>
            <w:tcW w:type="dxa" w:w="2232"/>
            <w:vAlign w:val="top"/>
          </w:tcPr>
          <w:p>
            <w:pPr>
              <w:spacing w:after="40" w:before="0" w:line="259" w:lineRule="auto"/>
            </w:pPr>
            <w:r>
              <w:rPr>
                <w:rFonts w:ascii="Calibri" w:hAnsi="Calibri"/>
                <w:b/>
                <w:i w:val="0"/>
                <w:color w:val="212121"/>
                <w:sz w:val="19"/>
              </w:rPr>
              <w:t>Sudden cardiac death / ventricular arrhythmia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Hypertrophic cardiomyopathy is the leading cause of sudden cardiac death in people under 35; ICDs are used for high-risk patients.</w:t>
            </w:r>
          </w:p>
        </w:tc>
      </w:tr>
      <w:tr>
        <w:trPr>
          <w:cantSplit/>
        </w:trPr>
        <w:tc>
          <w:tcPr>
            <w:tcW w:type="dxa" w:w="2232"/>
            <w:vAlign w:val="top"/>
          </w:tcPr>
          <w:p>
            <w:pPr>
              <w:spacing w:after="40" w:before="0" w:line="259" w:lineRule="auto"/>
            </w:pPr>
            <w:r>
              <w:rPr>
                <w:rFonts w:ascii="Calibri" w:hAnsi="Calibri"/>
                <w:b/>
                <w:i w:val="0"/>
                <w:color w:val="212121"/>
                <w:sz w:val="19"/>
              </w:rPr>
              <w:t>Thromboembolism and stroke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Intracardiac stasis and AF predispose to mural thrombus, systemic embolism and cardioembolic stroke.</w:t>
            </w:r>
          </w:p>
        </w:tc>
      </w:tr>
      <w:tr>
        <w:trPr>
          <w:cantSplit/>
        </w:trPr>
        <w:tc>
          <w:tcPr>
            <w:tcW w:type="dxa" w:w="2232"/>
            <w:vAlign w:val="top"/>
          </w:tcPr>
          <w:p>
            <w:pPr>
              <w:spacing w:after="40" w:before="0" w:line="259" w:lineRule="auto"/>
            </w:pPr>
            <w:r>
              <w:rPr>
                <w:rFonts w:ascii="Calibri" w:hAnsi="Calibri"/>
                <w:b/>
                <w:i w:val="0"/>
                <w:color w:val="212121"/>
                <w:sz w:val="19"/>
              </w:rPr>
              <w:t>Mitral regurgitation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From annular dilatation (DCM) or systolic anterior motion of the mitral valve (HOCM), worsening congestion.</w:t>
            </w:r>
          </w:p>
        </w:tc>
      </w:tr>
      <w:tr>
        <w:trPr>
          <w:cantSplit/>
        </w:trPr>
        <w:tc>
          <w:tcPr>
            <w:tcW w:type="dxa" w:w="2232"/>
            <w:vAlign w:val="top"/>
          </w:tcPr>
          <w:p>
            <w:pPr>
              <w:spacing w:after="40" w:before="0" w:line="259" w:lineRule="auto"/>
            </w:pPr>
            <w:r>
              <w:rPr>
                <w:rFonts w:ascii="Calibri" w:hAnsi="Calibri"/>
                <w:b/>
                <w:i w:val="0"/>
                <w:color w:val="212121"/>
                <w:sz w:val="19"/>
              </w:rPr>
              <w:t>Pulmonary 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Chronically raised left-heart filling pressures elevate pulmonary pressures and load the right ventricle.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 coexisting driver of adverse remodelling, left ventricular hypertrophy and diastolic dysfunction.</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diabetic cardiomyopathy and multiplies heart-failure risk; highly prevalent in India.</w:t>
            </w:r>
          </w:p>
        </w:tc>
      </w:tr>
      <w:tr>
        <w:trPr>
          <w:cantSplit/>
        </w:trPr>
        <w:tc>
          <w:tcPr>
            <w:tcW w:type="dxa" w:w="2232"/>
            <w:vAlign w:val="top"/>
          </w:tcPr>
          <w:p>
            <w:pPr>
              <w:spacing w:after="40" w:before="0" w:line="259" w:lineRule="auto"/>
            </w:pPr>
            <w:r>
              <w:rPr>
                <w:rFonts w:ascii="Calibri" w:hAnsi="Calibri"/>
                <w:b/>
                <w:i w:val="0"/>
                <w:color w:val="212121"/>
                <w:sz w:val="19"/>
              </w:rPr>
              <w:t>Thyroid dysfunction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Thyrotoxicosis (high-output/AF) and severe hypothyroidism are reversible contributors to cardiomyopathy.</w:t>
            </w:r>
          </w:p>
        </w:tc>
      </w:tr>
      <w:tr>
        <w:trPr>
          <w:cantSplit/>
        </w:trPr>
        <w:tc>
          <w:tcPr>
            <w:tcW w:type="dxa" w:w="2232"/>
            <w:vAlign w:val="top"/>
          </w:tcPr>
          <w:p>
            <w:pPr>
              <w:spacing w:after="40" w:before="0" w:line="259" w:lineRule="auto"/>
            </w:pPr>
            <w:r>
              <w:rPr>
                <w:rFonts w:ascii="Calibri" w:hAnsi="Calibri"/>
                <w:b/>
                <w:i w:val="0"/>
                <w:color w:val="212121"/>
                <w:sz w:val="19"/>
              </w:rPr>
              <w:t>Chronic anaemia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Adds haemodynamic stress and high-output demand; an important risk factor for peripartum cardiomyopathy in India.</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risk factors with, and worsens the cardiorenal burden of, cardiomyopathy and heart failure.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'cardiomyopathy' means the heart muscle itself is diseased - dilated (weak/enlarged), hypertrophic (thickened) or restrictive (stiff) - and that several forms are inherited, so family members may need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that need prompt cardiac assessment: breathlessness on exertion or lying flat, ankle/abdominal swelling, palpitations, chest pain, and especially blackouts or fainting during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 close relative has cardiomyopathy or died suddenly and unexpectedly at a young age, seek cascade screening (ECG, echocardiography and, where appropriate, genetic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treatable and reversible causes seriously - stop alcohol, control blood pressure, diabetes and thyroid disease, correct anaemia and nutritional deficiency, and treat sustained fast heart rhythms.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take heart-failure and anti-arrhythmic medication as prescribed, and never stop them abruptly; discuss pregnancy planning in advance if you have or have had cardiomyopathy.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 yourself daily in heart failure and report a rapid gain (for example 2 kg in 2-3 days) or worsening breathlessness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athletes with symptoms/family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heavy alcohol use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individualised, physician-guided activity plan - what is safe differs sharply between dilated and hypertrophic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stable dilated cardiomyopathy/heart failure, take part in supervised cardiac rehabilitation and regular moderate aerobic activity to improve symptoms and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hypertrophic cardiomyopathy, avoid intense competitive sport, sudden burst exertion, heavy isometric lifting and exercising in the heat or while dehydrated, which can trigger arrhythmia.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and cool down gradually, stay hydrated appropriately, and stop and seek help for chest pain, palpitations or dizziness during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avoid prolonged inactivity, which worsens metabolic risk and remodelling.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 cardiology review before pregnancy, competitive sport or any major increase in exertion.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heart-failure/DCM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HCM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cardiac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heart-healthy, largely plant-forward diet with whole grains, pulses, vegetables, fruit and healthy fats, and limit ultra-processed and fried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(aim below about 5 g/day) to reduce fluid retention and congestion, especially if you have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weight, blood sugar and lipids through diet to limit obesity- and diabetes-related myocardial remodelling.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thiamine (vitamin B1) and general micronutrient intake - deficiency (wet beriberi) can cause a reversible dilated cardiomyopathy, particularly with alcohol use or very cereal-heavy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individualised fluid advice in advanced heart failure, and avoid excessive caffeine and energy drinks if you are prone to palpitations.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endemic areas, ensure a varied, adequately nourishing diet rather than a monotonous cassava/tapioca-based 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Undernourished/at-risk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cardiovascular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alert to obstructive sleep apnoea (loud snoring, witnessed pauses, daytime sleepiness), which is common in cardiomyopathy and drives arrhythmia and remodelling - seek assessment and treatment (for example CPAP).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heart failure, sleeping propped up can ease orthopnoea; worsening night-time breathlessness should prompt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treat insomnia, as poor sleep worsens blood pressure and symptom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cardiomyopathy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completely - tobacco accelerates coronary and microvascular injury and worsens cardiomyopathy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where relevant, indoor biomass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proven quit supports (counselling, nicotine replacement or pharmacotherapy) and set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household members to quit to protect the whole family's cardiovascular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or at risk of cardiomyopathy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coronary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alcohol is contributing to cardiomyopathy, stop drinking entirely - alcoholic dilated cardiomyopathy can improve substantially, and sometimes recover, with sustained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everyone with cardiomyopathy, keep alcohol to a minimum, as excess worsens heart function and precipitates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trigger arrhythmia and acute decompensation ('holiday heart').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support (de-addiction services, counselling) for alcohol dependence, and correct associated thiamine and nutritional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on warfarin or other anticoagulants for AF or thrombus, be especially cautious, as alcohol destabilises anticoagulation.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alcoholic cardiomyopathy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depression and anxiety are common with cardiomyopathy and heart failure and are linked to poorer adherence and outcomes - screen for and treat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intense emotional or physical stress can precipitate stress (Takotsubo) cardiomyopathy; build stress-reduction skills (breathing, relaxation, mindfulness).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information, especially to young patients and athletes facing activity restriction and device (ICD) decisions.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family, peer and professional support to cope with the burden of a chronic cardiac illness, and support adherence to medication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psychological support around major transitions - new diagnosis, ICD implantation, pregnancy decisions or transplant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cardiomyopathy/heart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patients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ICD recipients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Peripartum women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1911/" TargetMode="External"/><Relationship Id="rId10" Type="http://schemas.openxmlformats.org/officeDocument/2006/relationships/hyperlink" Target="https://www.ncbi.nlm.nih.gov/books/NBK430788/" TargetMode="External"/><Relationship Id="rId11" Type="http://schemas.openxmlformats.org/officeDocument/2006/relationships/hyperlink" Target="https://www.ncbi.nlm.nih.gov/books/NBK537234/" TargetMode="External"/><Relationship Id="rId12" Type="http://schemas.openxmlformats.org/officeDocument/2006/relationships/hyperlink" Target="https://www.ncbi.nlm.nih.gov/books/NBK513322/" TargetMode="External"/><Relationship Id="rId13" Type="http://schemas.openxmlformats.org/officeDocument/2006/relationships/hyperlink" Target="https://journals.sagepub.com/doi/10.1258/td.2008.080353" TargetMode="External"/><Relationship Id="rId14" Type="http://schemas.openxmlformats.org/officeDocument/2006/relationships/hyperlink" Target="https://ijmr.org.in/tropical-endomyocardial-fibrosis-in-india-a-vanishing-disease/" TargetMode="External"/><Relationship Id="rId15" Type="http://schemas.openxmlformats.org/officeDocument/2006/relationships/hyperlink" Target="https://www.frontiersin.org/journals/cardiovascular-medicine/articles/10.3389/fcvm.2021.766339/full" TargetMode="External"/><Relationship Id="rId16" Type="http://schemas.openxmlformats.org/officeDocument/2006/relationships/hyperlink" Target="https://ijmr.org.in/sarcomeric-gene-variants-among-indians-with-hypertrophic-cardiomyopathy-a-scoping-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