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Infective Endocarditis</w:t>
      </w:r>
    </w:p>
    <w:p>
      <w:pPr>
        <w:spacing w:before="0" w:after="160"/>
      </w:pPr>
      <w:r>
        <w:rPr>
          <w:rFonts w:ascii="Calibri" w:hAnsi="Calibri"/>
          <w:b/>
          <w:i w:val="0"/>
          <w:color w:val="212121"/>
          <w:sz w:val="22"/>
        </w:rPr>
        <w:t xml:space="preserve">AKA </w:t>
      </w:r>
      <w:r>
        <w:rPr>
          <w:rFonts w:ascii="Calibri" w:hAnsi="Calibri"/>
          <w:b w:val="0"/>
          <w:i w:val="0"/>
          <w:color w:val="212121"/>
          <w:sz w:val="22"/>
        </w:rPr>
        <w:t>i.e., Bacterial endocarditis, Endocarditis; Subacute bacterial endocarditis (SBE), Acute bacterial endocarditis (ABE); Native valve endocarditis (NVE), Prosthetic valve endocarditis (PVE); “Heart valve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Infective endocarditis (IE) is a microbial infection of the endocardial surface of the heart — most commonly one or more heart valves (native or prosthetic), but also the mural endocardium, septal defects or intracardiac devices. It is characterised by vegetations: friable masses of platelets, fibrin, micro-organisms and inflammatory cells that destroy valve tissue, embolise to distant organs and drive systemic sepsis and immune-mediated phenomena. In India the classic substrate is rheumatic and congenital heart disease in relatively young patients, though degenerative valve disease, prosthetic valves, injection drug use and healthcare-associated infection are increasingly important. If untreated, IE is almost uniformly fatal through valve destruction, heart failure, embolic stroke and uncontrolled sepsis.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Globally the age-standardised incidence of infective endocarditis is about 5.3 per 100,000 population (GBD 2021, up from 4.7 in 2010), with roughly 421,000 incident cases and nearly 78,000 deaths in 2021 and a steadily rising trend driven by population ageing, prosthetic valves and injection drug use. India has no national IE registry, but tertiary-hospital series show a distinctive profile: patients present about two decades younger than in high-income countries (mean age roughly 40–48 years versus &gt;65 in the West), with rheumatic heart disease still the leading predisposing lesion (~31%), followed by mitral valve prolapse (~24%), degenerative valve disease (~23%) and congenital heart disease (~16%). In-hospital mortality in Indian series remains high at around 17%.</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Infective endocarditis is a clinical diagnosis that integrates microbiological, imaging and clinical findings, formalised in the 2023 Duke–ISCVID criteria (an update of the modified Duke criteria). Definite IE requires two major criteria, one major plus three minor, five minor criteria, or pathological confirmation: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Microbiological (major): typical IE organisms (viridans streptococci, Streptococcus gallolyticus, HACEK group, Staphylococcus aureus, community-acquired enterococci) grown from ≥ 2 separate blood-culture sets, or persistently positive cultures — at least three sets should be drawn from separate venepunctures before antibiotics;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(major): echocardiography (transthoracic first, transoesophageal when needed) or cardiac CT showing a vegetation, valve perforation/aneurysm, abscess, pseudoaneurysm, intracardiac fistula or new prosthetic-valve dehiscence;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Newer imaging (2023 major): abnormal [18F]FDG-PET/CT uptake around a prosthetic valve (&gt;3 months after implantation) or new significant valvular regurgitation;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Molecular/serological (2023 major): positive PCR or serology for Coxiella burnetii, Bartonella or Tropheryma whipplei, important in culture-negative endocarditis;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Minor criteria: a predisposing cardiac condition or injection drug use; fever &gt;38°C; vascular phenomena (arterial emboli, septic pulmonary infarcts, mycotic aneurysm, intracranial or conjunctival haemorrhage, Janeway lesions); immunologic phenomena (glomerulonephritis, Osler nodes, Roth spots, rheumatoid factor); and microbiological evidence not meeting a major criterion;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Pathological criteria (definite IE): micro-organisms or histological evidence of active endocarditis demonstrated in a vegetation, embolus or intracardiac abscess.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Infective endocarditis is classified by the site and material infected, the temporal course, the side/valve involved, and the clinical setting or host:</w:t>
      </w:r>
    </w:p>
    <w:p>
      <w:pPr>
        <w:spacing w:before="0" w:after="80"/>
      </w:pPr>
      <w:r>
        <w:rPr>
          <w:rFonts w:ascii="Calibri" w:hAnsi="Calibri"/>
          <w:b w:val="0"/>
          <w:i w:val="0"/>
          <w:color w:val="212121"/>
          <w:sz w:val="21"/>
        </w:rPr>
        <w:t>(1) By site and material — Native valve endocarditis (NVE); Prosthetic valve endocarditis (PVE), subdivided into early (&lt;1 year, usually nosocomial, staphylococcal) and late (&gt;1 year, resembling community NVE); and Cardiac implantable electronic device (CIED) / pacemaker-lead endocarditis;</w:t>
      </w:r>
    </w:p>
    <w:p>
      <w:pPr>
        <w:spacing w:before="0" w:after="80"/>
      </w:pPr>
      <w:r>
        <w:rPr>
          <w:rFonts w:ascii="Calibri" w:hAnsi="Calibri"/>
          <w:b w:val="0"/>
          <w:i w:val="0"/>
          <w:color w:val="212121"/>
          <w:sz w:val="21"/>
        </w:rPr>
        <w:t>(2) By course — Acute IE (fulminant over days, typically Staphylococcus aureus on a normal or abnormal valve) versus Subacute/chronic IE (indolent over weeks to months, typically viridans streptococci on a previously damaged valve);</w:t>
      </w:r>
    </w:p>
    <w:p>
      <w:pPr>
        <w:spacing w:before="0" w:after="80"/>
      </w:pPr>
      <w:r>
        <w:rPr>
          <w:rFonts w:ascii="Calibri" w:hAnsi="Calibri"/>
          <w:b w:val="0"/>
          <w:i w:val="0"/>
          <w:color w:val="212121"/>
          <w:sz w:val="21"/>
        </w:rPr>
        <w:t>(3) By side and valve — Left-sided IE (mitral and/or aortic, the commonest overall and highest risk) versus right-sided IE (tricuspid/pulmonary, associated with injection drug use and intracardiac devices);</w:t>
      </w:r>
    </w:p>
    <w:p>
      <w:pPr>
        <w:spacing w:before="0" w:after="80"/>
      </w:pPr>
      <w:r>
        <w:rPr>
          <w:rFonts w:ascii="Calibri" w:hAnsi="Calibri"/>
          <w:b w:val="0"/>
          <w:i w:val="0"/>
          <w:color w:val="212121"/>
          <w:sz w:val="21"/>
        </w:rPr>
        <w:t>(4) By host and setting — Community-acquired, healthcare-associated (nosocomial, dialysis- or catheter-related), injection-drug-use-associated, and culture-negative endocarditis (from prior antibiotics or fastidious/intracellular organisms such as Coxiella, Bartonella and Brucella).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Staphylococcus aureus: The leading global cause of acute IE; it adheres to and destroys even structurally normal valves, dominates healthcare-associated, prosthetic-valve and injection-drug-use endocarditis, and carries the highest mortality.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Viridans group streptococci (and Streptococcus gallolyticus/bovis): Oral commensals that enter the blood during dental/gingival manipulation and ordinary daily activities (brushing, chewing) and colonise previously abnormal valves — the classic cause of subacute IE and still prominent in India; S. gallolyticus is linked to colonic lesions.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Enterococci: Derived from genitourinary or gastrointestinal sources, an increasing cause in the elderly and in healthcare-exposed patients.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Pre-existing valve or structural heart disease: Rheumatic heart disease and congenital heart disease provide the abnormal, turbulent-flow endocardium on which vegetations form — the dominant substrate in Indian patients; prosthetic valves, prior IE and degenerative (calcific) valves add further risk.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Portal of entry / bacteraemia: Poor oral and dental hygiene, skin and soft-tissue infection, intravascular catheters, haemodialysis vascular access and non-sterile injection drug use seed the bloodstream with organisms.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Culture-negative organisms and fungi: Fastidious or intracellular organisms (HACEK, Coxiella burnetii, Bartonella, Brucella) and fungi (Candida, Aspergillus) cause a minority of cases, often after prior antibiotics or in prosthetic valves and immunosuppression.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 India)</w:t>
            </w:r>
          </w:p>
        </w:tc>
        <w:tc>
          <w:tcPr>
            <w:tcW w:type="dxa" w:w="4276"/>
            <w:vAlign w:val="top"/>
          </w:tcPr>
          <w:p>
            <w:pPr>
              <w:spacing w:after="60" w:line="259" w:lineRule="auto"/>
            </w:pPr>
            <w:r>
              <w:rPr>
                <w:rFonts w:ascii="Calibri" w:hAnsi="Calibri"/>
                <w:b w:val="0"/>
                <w:i w:val="0"/>
                <w:color w:val="212121"/>
                <w:sz w:val="19"/>
              </w:rPr>
              <w:t>In India IE typically presents about two decades earlier than in the West, because the rheumatic and congenital valve disease that provides the substrate for vegetations affects children and young adults; turbulent flow across a damaged valve invites bacterial colonisation.</w:t>
            </w:r>
          </w:p>
          <w:p>
            <w:pPr>
              <w:spacing w:after="40" w:before="60" w:line="259" w:lineRule="auto"/>
            </w:pPr>
            <w:r>
              <w:rPr>
                <w:rFonts w:ascii="Calibri" w:hAnsi="Calibri"/>
                <w:b w:val="0"/>
                <w:i w:val="0"/>
                <w:color w:val="212121"/>
                <w:sz w:val="19"/>
              </w:rPr>
              <w:t>In a South Indian tertiary-care series of 139 patients the mean age was 47.9 ± 15.8 years, far younger than the &gt;65-year mean now seen in high-income countries.</w:t>
            </w:r>
          </w:p>
          <w:p>
            <w:pPr>
              <w:spacing w:after="40" w:line="252" w:lineRule="auto"/>
            </w:pPr>
            <w:hyperlink r:id="rId9">
              <w:r>
                <w:rPr>
                  <w:rFonts w:ascii="Calibri" w:hAnsi="Calibri" w:cs="Calibri"/>
                  <w:sz w:val="18"/>
                  <w:color w:val="1155CC"/>
                  <w:u w:val="single"/>
                </w:rPr>
                <w:t xml:space="preserve">pubmed.ncbi.nlm.nih.gov/29716704 — South India IE series</w:t>
              </w:r>
            </w:hyperlink>
          </w:p>
          <w:p>
            <w:pPr>
              <w:spacing w:before="60" w:after="40"/>
            </w:pPr>
            <w:r>
              <w:rPr>
                <w:rFonts w:ascii="Calibri" w:hAnsi="Calibri"/>
                <w:b w:val="0"/>
                <w:i w:val="0"/>
                <w:color w:val="5A5A5A"/>
                <w:sz w:val="18"/>
              </w:rPr>
              <w:t>#rheumatic  #youngadults  #substrate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ageing populations IE increasingly affects older adults through degenerative (calcific) valve disease, prosthetic valves, intracardiac devices and greater healthcare exposure; enterococcal and staphylococcal infection predominate in this group.</w:t>
            </w:r>
          </w:p>
          <w:p>
            <w:pPr>
              <w:spacing w:after="40" w:before="60" w:line="259" w:lineRule="auto"/>
            </w:pPr>
            <w:r>
              <w:rPr>
                <w:rFonts w:ascii="Calibri" w:hAnsi="Calibri"/>
                <w:b w:val="0"/>
                <w:i w:val="0"/>
                <w:color w:val="212121"/>
                <w:sz w:val="19"/>
              </w:rPr>
              <w:t>GBD 2021 shows a sharp escalation in endocarditis incidence and mortality after ages 60–64, with the average age of IE now exceeding 65 years in developed countries.</w:t>
            </w:r>
          </w:p>
          <w:p>
            <w:pPr>
              <w:spacing w:after="40" w:line="252" w:lineRule="auto"/>
            </w:pPr>
            <w:hyperlink r:id="rId10">
              <w:r>
                <w:rPr>
                  <w:rFonts w:ascii="Calibri" w:hAnsi="Calibri" w:cs="Calibri"/>
                  <w:sz w:val="18"/>
                  <w:color w:val="1155CC"/>
                  <w:u w:val="single"/>
                </w:rPr>
                <w:t xml:space="preserve">link.springer.com — GBD 2021 endocarditis burden</w:t>
              </w:r>
            </w:hyperlink>
          </w:p>
          <w:p>
            <w:pPr>
              <w:spacing w:before="60" w:after="40"/>
            </w:pPr>
            <w:r>
              <w:rPr>
                <w:rFonts w:ascii="Calibri" w:hAnsi="Calibri"/>
                <w:b w:val="0"/>
                <w:i w:val="0"/>
                <w:color w:val="5A5A5A"/>
                <w:sz w:val="18"/>
              </w:rPr>
              <w:t>#ageing  #degenerative  #prosthetic  #healthcareassociated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a consistently higher incidence of IE, reflecting greater rates of injection drug use, degenerative and bicuspid aortic valve disease, and healthcare exposure.</w:t>
            </w:r>
          </w:p>
          <w:p>
            <w:pPr>
              <w:spacing w:after="40" w:before="60" w:line="259" w:lineRule="auto"/>
            </w:pPr>
            <w:r>
              <w:rPr>
                <w:rFonts w:ascii="Calibri" w:hAnsi="Calibri"/>
                <w:b w:val="0"/>
                <w:i w:val="0"/>
                <w:color w:val="212121"/>
                <w:sz w:val="19"/>
              </w:rPr>
              <w:t>IE shows a roughly 2:1 male predominance globally; 68.3% of patients were male in a South Indian series.</w:t>
            </w:r>
          </w:p>
          <w:p>
            <w:pPr>
              <w:spacing w:after="40" w:line="252" w:lineRule="auto"/>
            </w:pPr>
            <w:hyperlink r:id="rId9">
              <w:r>
                <w:rPr>
                  <w:rFonts w:ascii="Calibri" w:hAnsi="Calibri" w:cs="Calibri"/>
                  <w:sz w:val="18"/>
                  <w:color w:val="1155CC"/>
                  <w:u w:val="single"/>
                </w:rPr>
                <w:t xml:space="preserve">pubmed.ncbi.nlm.nih.gov/29716704 — South India IE series</w:t>
              </w:r>
            </w:hyperlink>
          </w:p>
          <w:p>
            <w:pPr>
              <w:spacing w:before="60" w:after="40"/>
            </w:pPr>
            <w:r>
              <w:rPr>
                <w:rFonts w:ascii="Calibri" w:hAnsi="Calibri"/>
                <w:b w:val="0"/>
                <w:i w:val="0"/>
                <w:color w:val="5A5A5A"/>
                <w:sz w:val="18"/>
              </w:rPr>
              <w:t>#malepredominance  #IVDU  #bicuspid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socioeconomic strata</w:t>
            </w:r>
          </w:p>
        </w:tc>
        <w:tc>
          <w:tcPr>
            <w:tcW w:type="dxa" w:w="4276"/>
            <w:vAlign w:val="top"/>
          </w:tcPr>
          <w:p>
            <w:pPr>
              <w:spacing w:after="60" w:line="259" w:lineRule="auto"/>
            </w:pPr>
            <w:r>
              <w:rPr>
                <w:rFonts w:ascii="Calibri" w:hAnsi="Calibri"/>
                <w:b w:val="0"/>
                <w:i w:val="0"/>
                <w:color w:val="212121"/>
                <w:sz w:val="19"/>
              </w:rPr>
              <w:t>Poverty, overcrowding and poor access to care allow untreated streptococcal throat infection and recurrent rheumatic fever — the pathway to the rheumatic valve disease that underlies most Indian endocarditis — and limit dental care, raising oral bacteraemia.</w:t>
            </w:r>
          </w:p>
          <w:p>
            <w:pPr>
              <w:spacing w:after="40" w:before="60" w:line="259" w:lineRule="auto"/>
            </w:pPr>
            <w:r>
              <w:rPr>
                <w:rFonts w:ascii="Calibri" w:hAnsi="Calibri"/>
                <w:b w:val="0"/>
                <w:i w:val="0"/>
                <w:color w:val="212121"/>
                <w:sz w:val="19"/>
              </w:rPr>
              <w:t>Rheumatic heart disease, the leading Indian IE substrate, is tightly linked to overcrowding, undernutrition and limited healthcare access.</w:t>
            </w:r>
          </w:p>
          <w:p>
            <w:pPr>
              <w:spacing w:after="40" w:line="252" w:lineRule="auto"/>
            </w:pPr>
            <w:hyperlink r:id="rId11">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#poverty  #overcrowding  #socialdeterminants  #dentalaccess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 / South Asia</w:t>
            </w:r>
          </w:p>
        </w:tc>
        <w:tc>
          <w:tcPr>
            <w:tcW w:type="dxa" w:w="4276"/>
            <w:vAlign w:val="top"/>
          </w:tcPr>
          <w:p>
            <w:pPr>
              <w:spacing w:after="60" w:line="259" w:lineRule="auto"/>
            </w:pPr>
            <w:r>
              <w:rPr>
                <w:rFonts w:ascii="Calibri" w:hAnsi="Calibri"/>
                <w:b w:val="0"/>
                <w:i w:val="0"/>
                <w:color w:val="212121"/>
                <w:sz w:val="19"/>
              </w:rPr>
              <w:t>India sits at the centre of the global rheumatic heart disease burden, so a large share of endocarditis here arises on rheumatic and congenital valves in young patients, a different profile from the degenerative, elderly, device-related IE of high-income countries.</w:t>
            </w:r>
          </w:p>
          <w:p>
            <w:pPr>
              <w:spacing w:after="40" w:before="60" w:line="259" w:lineRule="auto"/>
            </w:pPr>
            <w:r>
              <w:rPr>
                <w:rFonts w:ascii="Calibri" w:hAnsi="Calibri"/>
                <w:b w:val="0"/>
                <w:i w:val="0"/>
                <w:color w:val="212121"/>
                <w:sz w:val="19"/>
              </w:rPr>
              <w:t>Rheumatic heart disease was the single commonest predisposing lesion (~31%), followed by congenital heart disease (~16%), in a South Indian IE series.</w:t>
            </w:r>
          </w:p>
          <w:p>
            <w:pPr>
              <w:spacing w:after="40" w:line="252" w:lineRule="auto"/>
            </w:pPr>
            <w:hyperlink r:id="rId9">
              <w:r>
                <w:rPr>
                  <w:rFonts w:ascii="Calibri" w:hAnsi="Calibri" w:cs="Calibri"/>
                  <w:sz w:val="18"/>
                  <w:color w:val="1155CC"/>
                  <w:u w:val="single"/>
                </w:rPr>
                <w:t xml:space="preserve">pubmed.ncbi.nlm.nih.gov/29716704 — South India IE series</w:t>
              </w:r>
            </w:hyperlink>
          </w:p>
          <w:p>
            <w:pPr>
              <w:spacing w:before="60" w:after="40"/>
            </w:pPr>
            <w:r>
              <w:rPr>
                <w:rFonts w:ascii="Calibri" w:hAnsi="Calibri"/>
                <w:b w:val="0"/>
                <w:i w:val="0"/>
                <w:color w:val="5A5A5A"/>
                <w:sz w:val="18"/>
              </w:rPr>
              <w:t>#India  #rheumatic  #congenital  #RHDhotspot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Healthcare setting</w:t>
            </w:r>
          </w:p>
        </w:tc>
        <w:tc>
          <w:tcPr>
            <w:tcW w:type="dxa" w:w="2160"/>
            <w:vAlign w:val="top"/>
          </w:tcPr>
          <w:p>
            <w:pPr>
              <w:spacing w:after="40" w:before="0" w:line="259" w:lineRule="auto"/>
            </w:pPr>
            <w:r>
              <w:rPr>
                <w:rFonts w:ascii="Calibri" w:hAnsi="Calibri"/>
                <w:b w:val="0"/>
                <w:i w:val="0"/>
                <w:color w:val="212121"/>
                <w:sz w:val="19"/>
              </w:rPr>
              <w:t>Hospitalised / dialysis / device patients</w:t>
            </w:r>
          </w:p>
        </w:tc>
        <w:tc>
          <w:tcPr>
            <w:tcW w:type="dxa" w:w="4276"/>
            <w:vAlign w:val="top"/>
          </w:tcPr>
          <w:p>
            <w:pPr>
              <w:spacing w:after="60" w:line="259" w:lineRule="auto"/>
            </w:pPr>
            <w:r>
              <w:rPr>
                <w:rFonts w:ascii="Calibri" w:hAnsi="Calibri"/>
                <w:b w:val="0"/>
                <w:i w:val="0"/>
                <w:color w:val="212121"/>
                <w:sz w:val="19"/>
              </w:rPr>
              <w:t>Healthcare-associated IE is rising worldwide: intravascular catheters, haemodialysis vascular access, cardiac devices and prosthetic valves provide direct portals for staphylococci into the bloodstream and onto endocardial surfaces.</w:t>
            </w:r>
          </w:p>
          <w:p>
            <w:pPr>
              <w:spacing w:after="40" w:before="60" w:line="259" w:lineRule="auto"/>
            </w:pPr>
            <w:r>
              <w:rPr>
                <w:rFonts w:ascii="Calibri" w:hAnsi="Calibri"/>
                <w:b w:val="0"/>
                <w:i w:val="0"/>
                <w:color w:val="212121"/>
                <w:sz w:val="19"/>
              </w:rPr>
              <w:t>Prosthetic valves, indwelling devices, haemodialysis and diabetes are established risk factors; S. aureus causes about half of nosocomial cases.</w:t>
            </w:r>
          </w:p>
          <w:p>
            <w:pPr>
              <w:spacing w:after="40" w:line="252" w:lineRule="auto"/>
            </w:pPr>
            <w:hyperlink r:id="rId12">
              <w:r>
                <w:rPr>
                  <w:rFonts w:ascii="Calibri" w:hAnsi="Calibri" w:cs="Calibri"/>
                  <w:sz w:val="18"/>
                  <w:color w:val="1155CC"/>
                  <w:u w:val="single"/>
                </w:rPr>
                <w:t xml:space="preserve">ncbi.nlm.nih.gov — Infective Endocarditis (StatPearls)</w:t>
              </w:r>
            </w:hyperlink>
          </w:p>
          <w:p>
            <w:pPr>
              <w:spacing w:before="60" w:after="40"/>
            </w:pPr>
            <w:r>
              <w:rPr>
                <w:rFonts w:ascii="Calibri" w:hAnsi="Calibri"/>
                <w:b w:val="0"/>
                <w:i w:val="0"/>
                <w:color w:val="5A5A5A"/>
                <w:sz w:val="18"/>
              </w:rPr>
              <w:t>#healthcareassociated  #dialysis  #catheter  #nosocomial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Injection drug use</w:t>
            </w:r>
          </w:p>
        </w:tc>
        <w:tc>
          <w:tcPr>
            <w:tcW w:type="dxa" w:w="2160"/>
            <w:vAlign w:val="top"/>
          </w:tcPr>
          <w:p>
            <w:pPr>
              <w:spacing w:after="40" w:before="0" w:line="259" w:lineRule="auto"/>
            </w:pPr>
            <w:r>
              <w:rPr>
                <w:rFonts w:ascii="Calibri" w:hAnsi="Calibri"/>
                <w:b w:val="0"/>
                <w:i w:val="0"/>
                <w:color w:val="212121"/>
                <w:sz w:val="19"/>
              </w:rPr>
              <w:t>People who inject drugs</w:t>
            </w:r>
          </w:p>
        </w:tc>
        <w:tc>
          <w:tcPr>
            <w:tcW w:type="dxa" w:w="4276"/>
            <w:vAlign w:val="top"/>
          </w:tcPr>
          <w:p>
            <w:pPr>
              <w:spacing w:after="60" w:line="259" w:lineRule="auto"/>
            </w:pPr>
            <w:r>
              <w:rPr>
                <w:rFonts w:ascii="Calibri" w:hAnsi="Calibri"/>
                <w:b w:val="0"/>
                <w:i w:val="0"/>
                <w:color w:val="212121"/>
                <w:sz w:val="19"/>
              </w:rPr>
              <w:t>Non-sterile injection repeatedly seeds the venous blood with skin organisms, chiefly Staphylococcus aureus, which strike the first valve encountered — the tricuspid — causing right-sided endocarditis with septic pulmonary emboli.</w:t>
            </w:r>
          </w:p>
          <w:p>
            <w:pPr>
              <w:spacing w:after="40" w:before="60" w:line="259" w:lineRule="auto"/>
            </w:pPr>
            <w:r>
              <w:rPr>
                <w:rFonts w:ascii="Calibri" w:hAnsi="Calibri"/>
                <w:b w:val="0"/>
                <w:i w:val="0"/>
                <w:color w:val="212121"/>
                <w:sz w:val="19"/>
              </w:rPr>
              <w:t>Injection drug use accounts for roughly 10% of IE cases and characteristically causes right-sided (tricuspid) S. aureus endocarditis.</w:t>
            </w:r>
          </w:p>
          <w:p>
            <w:pPr>
              <w:spacing w:after="40" w:line="252" w:lineRule="auto"/>
            </w:pPr>
            <w:hyperlink r:id="rId12">
              <w:r>
                <w:rPr>
                  <w:rFonts w:ascii="Calibri" w:hAnsi="Calibri" w:cs="Calibri"/>
                  <w:sz w:val="18"/>
                  <w:color w:val="1155CC"/>
                  <w:u w:val="single"/>
                </w:rPr>
                <w:t xml:space="preserve">ncbi.nlm.nih.gov — Infective Endocarditis (StatPearls)</w:t>
              </w:r>
            </w:hyperlink>
          </w:p>
          <w:p>
            <w:pPr>
              <w:spacing w:before="60" w:after="40"/>
            </w:pPr>
            <w:r>
              <w:rPr>
                <w:rFonts w:ascii="Calibri" w:hAnsi="Calibri"/>
                <w:b w:val="0"/>
                <w:i w:val="0"/>
                <w:color w:val="5A5A5A"/>
                <w:sz w:val="18"/>
              </w:rPr>
              <w:t>#IVDU  #tricuspid  #Saureus  #rightsided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 dental hygiene</w:t>
            </w:r>
          </w:p>
        </w:tc>
        <w:tc>
          <w:tcPr>
            <w:tcW w:type="dxa" w:w="2160"/>
            <w:vAlign w:val="top"/>
          </w:tcPr>
          <w:p>
            <w:pPr>
              <w:spacing w:after="40" w:before="0" w:line="259" w:lineRule="auto"/>
            </w:pPr>
            <w:r>
              <w:rPr>
                <w:rFonts w:ascii="Calibri" w:hAnsi="Calibri"/>
                <w:b w:val="0"/>
                <w:i w:val="0"/>
                <w:color w:val="212121"/>
                <w:sz w:val="19"/>
              </w:rPr>
              <w:t>Poor dentition, untreated periodontal disease</w:t>
            </w:r>
          </w:p>
        </w:tc>
        <w:tc>
          <w:tcPr>
            <w:tcW w:type="dxa" w:w="4276"/>
            <w:vAlign w:val="top"/>
          </w:tcPr>
          <w:p>
            <w:pPr>
              <w:spacing w:after="60" w:line="259" w:lineRule="auto"/>
            </w:pPr>
            <w:r>
              <w:rPr>
                <w:rFonts w:ascii="Calibri" w:hAnsi="Calibri"/>
                <w:b w:val="0"/>
                <w:i w:val="0"/>
                <w:color w:val="212121"/>
                <w:sz w:val="19"/>
              </w:rPr>
              <w:t>Gingival and periodontal disease and poor oral hygiene generate frequent low-grade bacteraemia with viridans streptococci during routine brushing and chewing, which then colonise abnormal valves — the main route to subacute streptococcal endocarditis.</w:t>
            </w:r>
          </w:p>
          <w:p>
            <w:pPr>
              <w:spacing w:after="40" w:before="60" w:line="259" w:lineRule="auto"/>
            </w:pPr>
            <w:r>
              <w:rPr>
                <w:rFonts w:ascii="Calibri" w:hAnsi="Calibri"/>
                <w:b w:val="0"/>
                <w:i w:val="0"/>
                <w:color w:val="212121"/>
                <w:sz w:val="19"/>
              </w:rPr>
              <w:t>Most oral-streptococcal endocarditis results from random daily bacteraemia (brushing, flossing, chewing) rather than from dental procedures, underscoring the value of good oral hygiene.</w:t>
            </w:r>
          </w:p>
          <w:p>
            <w:pPr>
              <w:spacing w:after="40" w:line="252" w:lineRule="auto"/>
            </w:pPr>
            <w:hyperlink r:id="rId13">
              <w:r>
                <w:rPr>
                  <w:rFonts w:ascii="Calibri" w:hAnsi="Calibri" w:cs="Calibri"/>
                  <w:sz w:val="18"/>
                  <w:color w:val="1155CC"/>
                  <w:u w:val="single"/>
                </w:rPr>
                <w:t xml:space="preserve">aafp.org — AHA IE prophylaxis guidance</w:t>
              </w:r>
            </w:hyperlink>
          </w:p>
          <w:p>
            <w:pPr>
              <w:spacing w:before="60" w:after="40"/>
            </w:pPr>
            <w:r>
              <w:rPr>
                <w:rFonts w:ascii="Calibri" w:hAnsi="Calibri"/>
                <w:b w:val="0"/>
                <w:i w:val="0"/>
                <w:color w:val="5A5A5A"/>
                <w:sz w:val="18"/>
              </w:rPr>
              <w:t>#oralhygiene  #periodontitis  #viridans  #bacteraemia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Chronic smokers and tobacco users</w:t>
            </w:r>
          </w:p>
        </w:tc>
        <w:tc>
          <w:tcPr>
            <w:tcW w:type="dxa" w:w="4276"/>
            <w:vAlign w:val="top"/>
          </w:tcPr>
          <w:p>
            <w:pPr>
              <w:spacing w:after="60" w:line="259" w:lineRule="auto"/>
            </w:pPr>
            <w:r>
              <w:rPr>
                <w:rFonts w:ascii="Calibri" w:hAnsi="Calibri"/>
                <w:b w:val="0"/>
                <w:i w:val="0"/>
                <w:color w:val="212121"/>
                <w:sz w:val="19"/>
              </w:rPr>
              <w:t>Tobacco damages the vascular and valvular endothelium and worsens oral and periodontal disease, increasing both the abnormal endothelial surface for colonisation and the frequency of oral bacteraemia.</w:t>
            </w:r>
          </w:p>
          <w:p>
            <w:pPr>
              <w:spacing w:after="40" w:before="60" w:line="259" w:lineRule="auto"/>
            </w:pPr>
            <w:r>
              <w:rPr>
                <w:rFonts w:ascii="Calibri" w:hAnsi="Calibri"/>
                <w:b w:val="0"/>
                <w:i w:val="0"/>
                <w:color w:val="212121"/>
                <w:sz w:val="19"/>
              </w:rPr>
              <w:t>Smoking is a recognised, modifiable contributor to endothelial and periodontal damage that predisposes abnormal valves to infection.</w:t>
            </w:r>
          </w:p>
          <w:p>
            <w:pPr>
              <w:spacing w:before="60" w:after="40"/>
            </w:pPr>
            <w:r>
              <w:rPr>
                <w:rFonts w:ascii="Calibri" w:hAnsi="Calibri"/>
                <w:b w:val="0"/>
                <w:i w:val="0"/>
                <w:color w:val="5A5A5A"/>
                <w:sz w:val="18"/>
              </w:rPr>
              <w:t>#smoking  #endothelium  #periodontal  #tobacco</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Undernourished children and adults</w:t>
            </w:r>
          </w:p>
        </w:tc>
        <w:tc>
          <w:tcPr>
            <w:tcW w:type="dxa" w:w="4276"/>
            <w:vAlign w:val="top"/>
          </w:tcPr>
          <w:p>
            <w:pPr>
              <w:spacing w:after="60" w:line="259" w:lineRule="auto"/>
            </w:pPr>
            <w:r>
              <w:rPr>
                <w:rFonts w:ascii="Calibri" w:hAnsi="Calibri"/>
                <w:b w:val="0"/>
                <w:i w:val="0"/>
                <w:color w:val="212121"/>
                <w:sz w:val="19"/>
              </w:rPr>
              <w:t>Childhood undernutrition weakens immune defence against streptococcus and raises rheumatic-fever risk, while a high-sugar, cariogenic diet promotes dental caries and gingival disease that seed oral bacteraemia; poor nutrition also impairs recovery from established infection.</w:t>
            </w:r>
          </w:p>
          <w:p>
            <w:pPr>
              <w:spacing w:after="40" w:before="60" w:line="259" w:lineRule="auto"/>
            </w:pPr>
            <w:r>
              <w:rPr>
                <w:rFonts w:ascii="Calibri" w:hAnsi="Calibri"/>
                <w:b w:val="0"/>
                <w:i w:val="0"/>
                <w:color w:val="212121"/>
                <w:sz w:val="19"/>
              </w:rPr>
              <w:t>Malnutrition and reduced immune competence are recognised socio-nutritional drivers of the rheumatic valve disease that underlies most Indian endocarditis.</w:t>
            </w:r>
          </w:p>
          <w:p>
            <w:pPr>
              <w:spacing w:after="40" w:line="252" w:lineRule="auto"/>
            </w:pPr>
            <w:hyperlink r:id="rId11">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#malnutrition  #immunity  #dentalcaries  #sugar</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Congenital heart disease</w:t>
            </w:r>
          </w:p>
        </w:tc>
        <w:tc>
          <w:tcPr>
            <w:tcW w:type="dxa" w:w="2160"/>
            <w:vAlign w:val="top"/>
          </w:tcPr>
          <w:p>
            <w:pPr>
              <w:spacing w:after="40" w:before="0" w:line="259" w:lineRule="auto"/>
            </w:pPr>
            <w:r>
              <w:rPr>
                <w:rFonts w:ascii="Calibri" w:hAnsi="Calibri"/>
                <w:b w:val="0"/>
                <w:i w:val="0"/>
                <w:color w:val="212121"/>
                <w:sz w:val="19"/>
              </w:rPr>
              <w:t>Bicuspid aortic valve, VSD, tetralogy, other CHD</w:t>
            </w:r>
          </w:p>
        </w:tc>
        <w:tc>
          <w:tcPr>
            <w:tcW w:type="dxa" w:w="4276"/>
            <w:vAlign w:val="top"/>
          </w:tcPr>
          <w:p>
            <w:pPr>
              <w:spacing w:after="60" w:line="259" w:lineRule="auto"/>
            </w:pPr>
            <w:r>
              <w:rPr>
                <w:rFonts w:ascii="Calibri" w:hAnsi="Calibri"/>
                <w:b w:val="0"/>
                <w:i w:val="0"/>
                <w:color w:val="212121"/>
                <w:sz w:val="19"/>
              </w:rPr>
              <w:t>Structural congenital defects create turbulent, high-velocity jets and abnormal endothelium that favour vegetation formation; unrepaired cyanotic disease and prosthetic-material repairs are especially high risk and a leading Indian predisposition in the young.</w:t>
            </w:r>
          </w:p>
          <w:p>
            <w:pPr>
              <w:spacing w:after="40" w:before="60" w:line="259" w:lineRule="auto"/>
            </w:pPr>
            <w:r>
              <w:rPr>
                <w:rFonts w:ascii="Calibri" w:hAnsi="Calibri"/>
                <w:b w:val="0"/>
                <w:i w:val="0"/>
                <w:color w:val="212121"/>
                <w:sz w:val="19"/>
              </w:rPr>
              <w:t>Congenital heart disease was the predisposing lesion in about 16% of a South Indian IE series.</w:t>
            </w:r>
          </w:p>
          <w:p>
            <w:pPr>
              <w:spacing w:after="40" w:line="252" w:lineRule="auto"/>
            </w:pPr>
            <w:hyperlink r:id="rId9">
              <w:r>
                <w:rPr>
                  <w:rFonts w:ascii="Calibri" w:hAnsi="Calibri" w:cs="Calibri"/>
                  <w:sz w:val="18"/>
                  <w:color w:val="1155CC"/>
                  <w:u w:val="single"/>
                </w:rPr>
                <w:t xml:space="preserve">pubmed.ncbi.nlm.nih.gov/29716704 — South India IE series</w:t>
              </w:r>
            </w:hyperlink>
          </w:p>
          <w:p>
            <w:pPr>
              <w:spacing w:before="60" w:after="40"/>
            </w:pPr>
            <w:r>
              <w:rPr>
                <w:rFonts w:ascii="Calibri" w:hAnsi="Calibri"/>
                <w:b w:val="0"/>
                <w:i w:val="0"/>
                <w:color w:val="5A5A5A"/>
                <w:sz w:val="18"/>
              </w:rPr>
              <w:t>#congenital  #bicuspid  #VSD  #turbulentflow</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Valve prolapse / connective tissue</w:t>
            </w:r>
          </w:p>
        </w:tc>
        <w:tc>
          <w:tcPr>
            <w:tcW w:type="dxa" w:w="2160"/>
            <w:vAlign w:val="top"/>
          </w:tcPr>
          <w:p>
            <w:pPr>
              <w:spacing w:after="40" w:before="0" w:line="259" w:lineRule="auto"/>
            </w:pPr>
            <w:r>
              <w:rPr>
                <w:rFonts w:ascii="Calibri" w:hAnsi="Calibri"/>
                <w:b w:val="0"/>
                <w:i w:val="0"/>
                <w:color w:val="212121"/>
                <w:sz w:val="19"/>
              </w:rPr>
              <w:t>Mitral valve prolapse with regurgitation</w:t>
            </w:r>
          </w:p>
        </w:tc>
        <w:tc>
          <w:tcPr>
            <w:tcW w:type="dxa" w:w="4276"/>
            <w:vAlign w:val="top"/>
          </w:tcPr>
          <w:p>
            <w:pPr>
              <w:spacing w:after="60" w:line="259" w:lineRule="auto"/>
            </w:pPr>
            <w:r>
              <w:rPr>
                <w:rFonts w:ascii="Calibri" w:hAnsi="Calibri"/>
                <w:b w:val="0"/>
                <w:i w:val="0"/>
                <w:color w:val="212121"/>
                <w:sz w:val="19"/>
              </w:rPr>
              <w:t>Myxomatous mitral valve prolapse with regurgitation provides a redundant, abnormal leaflet surface and regurgitant jet on which vegetations readily form, making it a common native-valve substrate for endocarditis.</w:t>
            </w:r>
          </w:p>
          <w:p>
            <w:pPr>
              <w:spacing w:after="40" w:before="60" w:line="259" w:lineRule="auto"/>
            </w:pPr>
            <w:r>
              <w:rPr>
                <w:rFonts w:ascii="Calibri" w:hAnsi="Calibri"/>
                <w:b w:val="0"/>
                <w:i w:val="0"/>
                <w:color w:val="212121"/>
                <w:sz w:val="19"/>
              </w:rPr>
              <w:t>Mitral valve prolapse with mitral regurgitation was the underlying lesion in about 24% of a South Indian IE series.</w:t>
            </w:r>
          </w:p>
          <w:p>
            <w:pPr>
              <w:spacing w:after="40" w:line="252" w:lineRule="auto"/>
            </w:pPr>
            <w:hyperlink r:id="rId9">
              <w:r>
                <w:rPr>
                  <w:rFonts w:ascii="Calibri" w:hAnsi="Calibri" w:cs="Calibri"/>
                  <w:sz w:val="18"/>
                  <w:color w:val="1155CC"/>
                  <w:u w:val="single"/>
                </w:rPr>
                <w:t xml:space="preserve">pubmed.ncbi.nlm.nih.gov/29716704 — South India IE series</w:t>
              </w:r>
            </w:hyperlink>
          </w:p>
          <w:p>
            <w:pPr>
              <w:spacing w:before="60" w:after="40"/>
            </w:pPr>
            <w:r>
              <w:rPr>
                <w:rFonts w:ascii="Calibri" w:hAnsi="Calibri"/>
                <w:b w:val="0"/>
                <w:i w:val="0"/>
                <w:color w:val="5A5A5A"/>
                <w:sz w:val="18"/>
              </w:rPr>
              <w:t>#mitralprolapse  #myxomatous  #regurgitation  #nativevalve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Rheumatic heart disease</w:t>
            </w:r>
          </w:p>
        </w:tc>
        <w:tc>
          <w:tcPr>
            <w:tcW w:type="dxa" w:w="2160"/>
            <w:vAlign w:val="top"/>
          </w:tcPr>
          <w:p>
            <w:pPr>
              <w:spacing w:after="40" w:before="0" w:line="259" w:lineRule="auto"/>
            </w:pPr>
            <w:r>
              <w:rPr>
                <w:rFonts w:ascii="Calibri" w:hAnsi="Calibri"/>
                <w:b w:val="0"/>
                <w:i w:val="0"/>
                <w:color w:val="212121"/>
                <w:sz w:val="19"/>
              </w:rPr>
              <w:t>Patients with rheumatic valve disease</w:t>
            </w:r>
          </w:p>
        </w:tc>
        <w:tc>
          <w:tcPr>
            <w:tcW w:type="dxa" w:w="4276"/>
            <w:vAlign w:val="top"/>
          </w:tcPr>
          <w:p>
            <w:pPr>
              <w:spacing w:after="60" w:line="259" w:lineRule="auto"/>
            </w:pPr>
            <w:r>
              <w:rPr>
                <w:rFonts w:ascii="Calibri" w:hAnsi="Calibri"/>
                <w:b w:val="0"/>
                <w:i w:val="0"/>
                <w:color w:val="212121"/>
                <w:sz w:val="19"/>
              </w:rPr>
              <w:t>Rheumatic scarring, fusion and regurgitation of the mitral and aortic valves leave roughened, abnormal endocardium that is readily colonised during bacteraemia — the single commonest predisposition to IE in India.</w:t>
            </w:r>
          </w:p>
          <w:p>
            <w:pPr>
              <w:spacing w:after="40" w:before="60" w:line="259" w:lineRule="auto"/>
            </w:pPr>
            <w:r>
              <w:rPr>
                <w:rFonts w:ascii="Calibri" w:hAnsi="Calibri"/>
                <w:b w:val="0"/>
                <w:i w:val="0"/>
                <w:color w:val="212121"/>
                <w:sz w:val="19"/>
              </w:rPr>
              <w:t>Rheumatic heart disease was the leading predisposing condition (~31%) in a South Indian IE series.</w:t>
            </w:r>
          </w:p>
          <w:p>
            <w:pPr>
              <w:spacing w:after="40" w:line="252" w:lineRule="auto"/>
            </w:pPr>
            <w:hyperlink r:id="rId9">
              <w:r>
                <w:rPr>
                  <w:rFonts w:ascii="Calibri" w:hAnsi="Calibri" w:cs="Calibri"/>
                  <w:sz w:val="18"/>
                  <w:color w:val="1155CC"/>
                  <w:u w:val="single"/>
                </w:rPr>
                <w:t xml:space="preserve">pubmed.ncbi.nlm.nih.gov/29716704 — South India IE series</w:t>
              </w:r>
            </w:hyperlink>
          </w:p>
          <w:p>
            <w:pPr>
              <w:spacing w:before="60" w:after="40"/>
            </w:pPr>
            <w:r>
              <w:rPr>
                <w:rFonts w:ascii="Calibri" w:hAnsi="Calibri"/>
                <w:b w:val="0"/>
                <w:i w:val="0"/>
                <w:color w:val="5A5A5A"/>
                <w:sz w:val="18"/>
              </w:rPr>
              <w:t>#rheumatic  #mitralvalve  #substrate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Prosthetic valve / valve repair</w:t>
            </w:r>
          </w:p>
        </w:tc>
        <w:tc>
          <w:tcPr>
            <w:tcW w:type="dxa" w:w="2160"/>
            <w:vAlign w:val="top"/>
          </w:tcPr>
          <w:p>
            <w:pPr>
              <w:spacing w:after="40" w:before="0" w:line="259" w:lineRule="auto"/>
            </w:pPr>
            <w:r>
              <w:rPr>
                <w:rFonts w:ascii="Calibri" w:hAnsi="Calibri"/>
                <w:b w:val="0"/>
                <w:i w:val="0"/>
                <w:color w:val="212121"/>
                <w:sz w:val="19"/>
              </w:rPr>
              <w:t>Prosthetic valve and valve-repair recipients</w:t>
            </w:r>
          </w:p>
        </w:tc>
        <w:tc>
          <w:tcPr>
            <w:tcW w:type="dxa" w:w="4276"/>
            <w:vAlign w:val="top"/>
          </w:tcPr>
          <w:p>
            <w:pPr>
              <w:spacing w:after="60" w:line="259" w:lineRule="auto"/>
            </w:pPr>
            <w:r>
              <w:rPr>
                <w:rFonts w:ascii="Calibri" w:hAnsi="Calibri"/>
                <w:b w:val="0"/>
                <w:i w:val="0"/>
                <w:color w:val="212121"/>
                <w:sz w:val="19"/>
              </w:rPr>
              <w:t>Prosthetic material and suture lines are prime sites for microbial adhesion; early prosthetic valve endocarditis is usually staphylococcal and nosocomial, and prosthetic valves carry the highest per-patient risk of IE, warranting antibiotic prophylaxis before invasive procedures.</w:t>
            </w:r>
          </w:p>
          <w:p>
            <w:pPr>
              <w:spacing w:after="40" w:before="60" w:line="259" w:lineRule="auto"/>
            </w:pPr>
            <w:r>
              <w:rPr>
                <w:rFonts w:ascii="Calibri" w:hAnsi="Calibri"/>
                <w:b w:val="0"/>
                <w:i w:val="0"/>
                <w:color w:val="212121"/>
                <w:sz w:val="19"/>
              </w:rPr>
              <w:t>A prosthetic heart valve is one of the highest-risk cardiac conditions for which the AHA recommends endocarditis prophylaxis before invasive dental procedures.</w:t>
            </w:r>
          </w:p>
          <w:p>
            <w:pPr>
              <w:spacing w:after="40" w:line="252" w:lineRule="auto"/>
            </w:pPr>
            <w:hyperlink r:id="rId13">
              <w:r>
                <w:rPr>
                  <w:rFonts w:ascii="Calibri" w:hAnsi="Calibri" w:cs="Calibri"/>
                  <w:sz w:val="18"/>
                  <w:color w:val="1155CC"/>
                  <w:u w:val="single"/>
                </w:rPr>
                <w:t xml:space="preserve">aafp.org — AHA IE prophylaxis guidance</w:t>
              </w:r>
            </w:hyperlink>
          </w:p>
          <w:p>
            <w:pPr>
              <w:spacing w:before="60" w:after="40"/>
            </w:pPr>
            <w:r>
              <w:rPr>
                <w:rFonts w:ascii="Calibri" w:hAnsi="Calibri"/>
                <w:b w:val="0"/>
                <w:i w:val="0"/>
                <w:color w:val="5A5A5A"/>
                <w:sz w:val="18"/>
              </w:rPr>
              <w:t>#prosthetic  #PVE  #prophylaxis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infective endocarditis</w:t>
            </w:r>
          </w:p>
        </w:tc>
        <w:tc>
          <w:tcPr>
            <w:tcW w:type="dxa" w:w="2160"/>
            <w:vAlign w:val="top"/>
          </w:tcPr>
          <w:p>
            <w:pPr>
              <w:spacing w:after="40" w:before="0" w:line="259" w:lineRule="auto"/>
            </w:pPr>
            <w:r>
              <w:rPr>
                <w:rFonts w:ascii="Calibri" w:hAnsi="Calibri"/>
                <w:b w:val="0"/>
                <w:i w:val="0"/>
                <w:color w:val="212121"/>
                <w:sz w:val="19"/>
              </w:rPr>
              <w:t>Patients with previous endocarditis</w:t>
            </w:r>
          </w:p>
        </w:tc>
        <w:tc>
          <w:tcPr>
            <w:tcW w:type="dxa" w:w="4276"/>
            <w:vAlign w:val="top"/>
          </w:tcPr>
          <w:p>
            <w:pPr>
              <w:spacing w:after="60" w:line="259" w:lineRule="auto"/>
            </w:pPr>
            <w:r>
              <w:rPr>
                <w:rFonts w:ascii="Calibri" w:hAnsi="Calibri"/>
                <w:b w:val="0"/>
                <w:i w:val="0"/>
                <w:color w:val="212121"/>
                <w:sz w:val="19"/>
              </w:rPr>
              <w:t>A previous episode leaves permanently damaged valve tissue and identifies a host prone to recurrent bacteraemic seeding, so prior IE is itself a strong predictor of a further episode.</w:t>
            </w:r>
          </w:p>
          <w:p>
            <w:pPr>
              <w:spacing w:after="40" w:before="60" w:line="259" w:lineRule="auto"/>
            </w:pPr>
            <w:r>
              <w:rPr>
                <w:rFonts w:ascii="Calibri" w:hAnsi="Calibri"/>
                <w:b w:val="0"/>
                <w:i w:val="0"/>
                <w:color w:val="212121"/>
                <w:sz w:val="19"/>
              </w:rPr>
              <w:t>Previous infective endocarditis is a designated high-risk cardiac condition warranting antibiotic prophylaxis before invasive dental procedures.</w:t>
            </w:r>
          </w:p>
          <w:p>
            <w:pPr>
              <w:spacing w:after="40" w:line="252" w:lineRule="auto"/>
            </w:pPr>
            <w:hyperlink r:id="rId13">
              <w:r>
                <w:rPr>
                  <w:rFonts w:ascii="Calibri" w:hAnsi="Calibri" w:cs="Calibri"/>
                  <w:sz w:val="18"/>
                  <w:color w:val="1155CC"/>
                  <w:u w:val="single"/>
                </w:rPr>
                <w:t xml:space="preserve">aafp.org — AHA IE prophylaxis guidance</w:t>
              </w:r>
            </w:hyperlink>
          </w:p>
          <w:p>
            <w:pPr>
              <w:spacing w:before="60" w:after="40"/>
            </w:pPr>
            <w:r>
              <w:rPr>
                <w:rFonts w:ascii="Calibri" w:hAnsi="Calibri"/>
                <w:b w:val="0"/>
                <w:i w:val="0"/>
                <w:color w:val="5A5A5A"/>
                <w:sz w:val="18"/>
              </w:rPr>
              <w:t>#recurrence  #priorIE  #highrisk  #prophylaxis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Diabetes impairs neutrophil function and cell-mediated immunity, promotes skin and soft-tissue infection and Staphylococcus aureus bacteraemia, and is associated with more severe disease and worse outcomes in endocarditis.</w:t>
            </w:r>
          </w:p>
          <w:p>
            <w:pPr>
              <w:spacing w:after="40" w:before="60" w:line="259" w:lineRule="auto"/>
            </w:pPr>
            <w:r>
              <w:rPr>
                <w:rFonts w:ascii="Calibri" w:hAnsi="Calibri"/>
                <w:b w:val="0"/>
                <w:i w:val="0"/>
                <w:color w:val="212121"/>
                <w:sz w:val="19"/>
              </w:rPr>
              <w:t>Diabetes mellitus is a recognised predisposing risk factor for infective endocarditis alongside prosthetic valves, indwelling devices and haemodialysis.</w:t>
            </w:r>
          </w:p>
          <w:p>
            <w:pPr>
              <w:spacing w:after="40" w:line="252" w:lineRule="auto"/>
            </w:pPr>
            <w:hyperlink r:id="rId12">
              <w:r>
                <w:rPr>
                  <w:rFonts w:ascii="Calibri" w:hAnsi="Calibri" w:cs="Calibri"/>
                  <w:sz w:val="18"/>
                  <w:color w:val="1155CC"/>
                  <w:u w:val="single"/>
                </w:rPr>
                <w:t xml:space="preserve">ncbi.nlm.nih.gov — Infective Endocarditis (StatPearls)</w:t>
              </w:r>
            </w:hyperlink>
          </w:p>
          <w:p>
            <w:pPr>
              <w:spacing w:before="60" w:after="40"/>
            </w:pPr>
            <w:r>
              <w:rPr>
                <w:rFonts w:ascii="Calibri" w:hAnsi="Calibri"/>
                <w:b w:val="0"/>
                <w:i w:val="0"/>
                <w:color w:val="5A5A5A"/>
                <w:sz w:val="18"/>
              </w:rPr>
              <w:t>#diabetes  #immunosuppression  #Saureus  #bacteraemia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 / haemodialysis</w:t>
            </w:r>
          </w:p>
        </w:tc>
        <w:tc>
          <w:tcPr>
            <w:tcW w:type="dxa" w:w="2160"/>
            <w:vAlign w:val="top"/>
          </w:tcPr>
          <w:p>
            <w:pPr>
              <w:spacing w:after="40" w:before="0" w:line="259" w:lineRule="auto"/>
            </w:pPr>
            <w:r>
              <w:rPr>
                <w:rFonts w:ascii="Calibri" w:hAnsi="Calibri"/>
                <w:b w:val="0"/>
                <w:i w:val="0"/>
                <w:color w:val="212121"/>
                <w:sz w:val="19"/>
              </w:rPr>
              <w:t>Dialysis-dependent CKD patients</w:t>
            </w:r>
          </w:p>
        </w:tc>
        <w:tc>
          <w:tcPr>
            <w:tcW w:type="dxa" w:w="4276"/>
            <w:vAlign w:val="top"/>
          </w:tcPr>
          <w:p>
            <w:pPr>
              <w:spacing w:after="60" w:line="259" w:lineRule="auto"/>
            </w:pPr>
            <w:r>
              <w:rPr>
                <w:rFonts w:ascii="Calibri" w:hAnsi="Calibri"/>
                <w:b w:val="0"/>
                <w:i w:val="0"/>
                <w:color w:val="212121"/>
                <w:sz w:val="19"/>
              </w:rPr>
              <w:t>Repeated cannulation of vascular access and long-term catheters gives staphylococci direct entry to the circulation; uraemic immune dysfunction and frequent healthcare contact make dialysis patients a high-incidence, high-mortality endocarditis group.</w:t>
            </w:r>
          </w:p>
          <w:p>
            <w:pPr>
              <w:spacing w:after="40" w:before="60" w:line="259" w:lineRule="auto"/>
            </w:pPr>
            <w:r>
              <w:rPr>
                <w:rFonts w:ascii="Calibri" w:hAnsi="Calibri"/>
                <w:b w:val="0"/>
                <w:i w:val="0"/>
                <w:color w:val="212121"/>
                <w:sz w:val="19"/>
              </w:rPr>
              <w:t>Haemodialysis is an established risk factor for IE, with staphylococcal, catheter- and access-related infection predominating.</w:t>
            </w:r>
          </w:p>
          <w:p>
            <w:pPr>
              <w:spacing w:after="40" w:line="252" w:lineRule="auto"/>
            </w:pPr>
            <w:hyperlink r:id="rId12">
              <w:r>
                <w:rPr>
                  <w:rFonts w:ascii="Calibri" w:hAnsi="Calibri" w:cs="Calibri"/>
                  <w:sz w:val="18"/>
                  <w:color w:val="1155CC"/>
                  <w:u w:val="single"/>
                </w:rPr>
                <w:t xml:space="preserve">ncbi.nlm.nih.gov — Infective Endocarditis (StatPearls)</w:t>
              </w:r>
            </w:hyperlink>
          </w:p>
          <w:p>
            <w:pPr>
              <w:spacing w:before="60" w:after="40"/>
            </w:pPr>
            <w:r>
              <w:rPr>
                <w:rFonts w:ascii="Calibri" w:hAnsi="Calibri"/>
                <w:b w:val="0"/>
                <w:i w:val="0"/>
                <w:color w:val="5A5A5A"/>
                <w:sz w:val="18"/>
              </w:rPr>
              <w:t>#dialysis  #CKD  #vascularaccess  #Saureus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Intracardiac device (CIED)</w:t>
            </w:r>
          </w:p>
        </w:tc>
        <w:tc>
          <w:tcPr>
            <w:tcW w:type="dxa" w:w="2160"/>
            <w:vAlign w:val="top"/>
          </w:tcPr>
          <w:p>
            <w:pPr>
              <w:spacing w:after="40" w:before="0" w:line="259" w:lineRule="auto"/>
            </w:pPr>
            <w:r>
              <w:rPr>
                <w:rFonts w:ascii="Calibri" w:hAnsi="Calibri"/>
                <w:b w:val="0"/>
                <w:i w:val="0"/>
                <w:color w:val="212121"/>
                <w:sz w:val="19"/>
              </w:rPr>
              <w:t>Pacemaker / ICD lead recipients</w:t>
            </w:r>
          </w:p>
        </w:tc>
        <w:tc>
          <w:tcPr>
            <w:tcW w:type="dxa" w:w="4276"/>
            <w:vAlign w:val="top"/>
          </w:tcPr>
          <w:p>
            <w:pPr>
              <w:spacing w:after="60" w:line="259" w:lineRule="auto"/>
            </w:pPr>
            <w:r>
              <w:rPr>
                <w:rFonts w:ascii="Calibri" w:hAnsi="Calibri"/>
                <w:b w:val="0"/>
                <w:i w:val="0"/>
                <w:color w:val="212121"/>
                <w:sz w:val="19"/>
              </w:rPr>
              <w:t>Transvenous pacemaker and defibrillator leads present a foreign surface across the tricuspid valve and right heart on which staphylococci form lead vegetations, producing device-related endocarditis that usually requires complete system extraction.</w:t>
            </w:r>
          </w:p>
          <w:p>
            <w:pPr>
              <w:spacing w:after="40" w:before="60" w:line="259" w:lineRule="auto"/>
            </w:pPr>
            <w:r>
              <w:rPr>
                <w:rFonts w:ascii="Calibri" w:hAnsi="Calibri"/>
                <w:b w:val="0"/>
                <w:i w:val="0"/>
                <w:color w:val="212121"/>
                <w:sz w:val="19"/>
              </w:rPr>
              <w:t>An endovascular cardiac implantable electronic device is a recognised predisposing condition and a minor criterion in the 2023 Duke-ISCVID criteria.</w:t>
            </w:r>
          </w:p>
          <w:p>
            <w:pPr>
              <w:spacing w:after="40" w:line="252" w:lineRule="auto"/>
            </w:pPr>
            <w:hyperlink r:id="rId14">
              <w:r>
                <w:rPr>
                  <w:rFonts w:ascii="Calibri" w:hAnsi="Calibri" w:cs="Calibri"/>
                  <w:sz w:val="18"/>
                  <w:color w:val="1155CC"/>
                  <w:u w:val="single"/>
                </w:rPr>
                <w:t xml:space="preserve">mdcalc.com — 2023 Duke-ISCVID criteria</w:t>
              </w:r>
            </w:hyperlink>
          </w:p>
          <w:p>
            <w:pPr>
              <w:spacing w:before="60" w:after="40"/>
            </w:pPr>
            <w:r>
              <w:rPr>
                <w:rFonts w:ascii="Calibri" w:hAnsi="Calibri"/>
                <w:b w:val="0"/>
                <w:i w:val="0"/>
                <w:color w:val="5A5A5A"/>
                <w:sz w:val="18"/>
              </w:rPr>
              <w:t>#CIED  #pacemaker  #leadvegetation  #deviceinfection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little direct role in causing IE, but valve destruction, heart failure and septic emboli sharply limit exertional capacity, so falling functional class is a marker of severity rather than a cause.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acts indirectly: a high-sugar cariogenic diet worsens dental caries and gum disease that seed oral streptococci, childhood undernutrition raises rheumatic susceptibility, and adequate protein/micronutrient intake supports recovery from infection.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Drenching night sweats are a classic subacute symptom, and poor sleep and general debility accompany chronic infection, but sleep has no established causal role in IE.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damages vascular and valvular endothelium and worsens periodontal disease, increasing both the abnormal surface for colonisation and the frequency of oral bacteraemia; it also impairs surgical outcomes.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impairs immunity and is associated with poor dentition and nutrition; its main relevance is as a marker of high-risk behaviour and comorbidity rather than a direct cause.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Substance-use disorder is the principal driver of right-sided, injection-drug-use-associated endocarditis and of recurrence; depression and poor coping also reduce adherence to prophylaxis, dental care and follow-up.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direct role in IE, though fluid and electrolyte balance matter once valve destruction causes heart failure and acute kidney injury.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role in the development or course of infective endocarditis.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is the central modifiable factor: good oral/dental hygiene reduces streptococcal bacteraemia, sterile injection and catheter/line care prevent staphylococcal seeding, and aseptic technique reduces healthcare-associated IE.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Invasive procedures (dental, genitourinary, gastrointestinal), intravascular catheters, haemodialysis, cardiac devices, non-sterile injection and prior valve damage or prosthetic material provoke the bacteraemia and colonisation that initiate IE.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Oral / dental health</w:t>
            </w:r>
          </w:p>
        </w:tc>
        <w:tc>
          <w:tcPr>
            <w:tcW w:type="dxa" w:w="1655"/>
            <w:vAlign w:val="top"/>
          </w:tcPr>
          <w:p>
            <w:pPr>
              <w:spacing w:after="40" w:before="0" w:line="259" w:lineRule="auto"/>
            </w:pPr>
            <w:r>
              <w:rPr>
                <w:rFonts w:ascii="Calibri" w:hAnsi="Calibri"/>
                <w:b w:val="0"/>
                <w:i w:val="0"/>
                <w:color w:val="212121"/>
                <w:sz w:val="19"/>
              </w:rPr>
              <w:t>All at-risk cardiac patients</w:t>
            </w:r>
          </w:p>
        </w:tc>
        <w:tc>
          <w:tcPr>
            <w:tcW w:type="dxa" w:w="1512"/>
            <w:vAlign w:val="top"/>
          </w:tcPr>
          <w:p>
            <w:pPr>
              <w:spacing w:after="40" w:before="0" w:line="259" w:lineRule="auto"/>
            </w:pPr>
            <w:r>
              <w:rPr>
                <w:rFonts w:ascii="Calibri" w:hAnsi="Calibri"/>
                <w:b w:val="0"/>
                <w:i w:val="0"/>
                <w:color w:val="212121"/>
                <w:sz w:val="19"/>
              </w:rPr>
              <w:t>Good oral hygiene; routine dental review; no active caries/periodontitis</w:t>
            </w:r>
          </w:p>
        </w:tc>
        <w:tc>
          <w:tcPr>
            <w:tcW w:type="dxa" w:w="1512"/>
            <w:vAlign w:val="top"/>
          </w:tcPr>
          <w:p>
            <w:pPr>
              <w:spacing w:after="40" w:before="0" w:line="259" w:lineRule="auto"/>
            </w:pPr>
            <w:r>
              <w:rPr>
                <w:rFonts w:ascii="Calibri" w:hAnsi="Calibri"/>
                <w:b w:val="0"/>
                <w:i w:val="0"/>
                <w:color w:val="212121"/>
                <w:sz w:val="19"/>
              </w:rPr>
              <w:t>Untreated dental sepsis, caries or periodontal disease</w:t>
            </w:r>
          </w:p>
        </w:tc>
        <w:tc>
          <w:tcPr>
            <w:tcW w:type="dxa" w:w="1468"/>
            <w:vAlign w:val="top"/>
          </w:tcPr>
          <w:p>
            <w:pPr>
              <w:spacing w:after="60" w:line="259" w:lineRule="auto"/>
            </w:pPr>
            <w:r>
              <w:rPr>
                <w:rFonts w:ascii="Calibri" w:hAnsi="Calibri"/>
                <w:b w:val="0"/>
                <w:i w:val="0"/>
                <w:color w:val="212121"/>
                <w:sz w:val="19"/>
              </w:rPr>
              <w:t>Reduces the daily streptococcal bacteraemia that causes most subacute IE</w:t>
            </w:r>
          </w:p>
          <w:p>
            <w:pPr>
              <w:spacing w:after="40" w:line="252" w:lineRule="auto"/>
            </w:pPr>
            <w:hyperlink r:id="rId13">
              <w:r>
                <w:rPr>
                  <w:rFonts w:ascii="Calibri" w:hAnsi="Calibri" w:cs="Calibri"/>
                  <w:sz w:val="18"/>
                  <w:color w:val="1155CC"/>
                  <w:u w:val="single"/>
                </w:rPr>
                <w:t xml:space="preserve">https://www.aafp.org/afp/2008/0215/p538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Injection &amp; catheter asepsis</w:t>
            </w:r>
          </w:p>
        </w:tc>
        <w:tc>
          <w:tcPr>
            <w:tcW w:type="dxa" w:w="1655"/>
            <w:vAlign w:val="top"/>
          </w:tcPr>
          <w:p>
            <w:pPr>
              <w:spacing w:after="40" w:before="0" w:line="259" w:lineRule="auto"/>
            </w:pPr>
            <w:r>
              <w:rPr>
                <w:rFonts w:ascii="Calibri" w:hAnsi="Calibri"/>
                <w:b w:val="0"/>
                <w:i w:val="0"/>
                <w:color w:val="212121"/>
                <w:sz w:val="19"/>
              </w:rPr>
              <w:t>IVDU, dialysis, line/device patients</w:t>
            </w:r>
          </w:p>
        </w:tc>
        <w:tc>
          <w:tcPr>
            <w:tcW w:type="dxa" w:w="1512"/>
            <w:vAlign w:val="top"/>
          </w:tcPr>
          <w:p>
            <w:pPr>
              <w:spacing w:after="40" w:before="0" w:line="259" w:lineRule="auto"/>
            </w:pPr>
            <w:r>
              <w:rPr>
                <w:rFonts w:ascii="Calibri" w:hAnsi="Calibri"/>
                <w:b w:val="0"/>
                <w:i w:val="0"/>
                <w:color w:val="212121"/>
                <w:sz w:val="19"/>
              </w:rPr>
              <w:t>Sterile technique; timely line removal</w:t>
            </w:r>
          </w:p>
        </w:tc>
        <w:tc>
          <w:tcPr>
            <w:tcW w:type="dxa" w:w="1512"/>
            <w:vAlign w:val="top"/>
          </w:tcPr>
          <w:p>
            <w:pPr>
              <w:spacing w:after="40" w:before="0" w:line="259" w:lineRule="auto"/>
            </w:pPr>
            <w:r>
              <w:rPr>
                <w:rFonts w:ascii="Calibri" w:hAnsi="Calibri"/>
                <w:b w:val="0"/>
                <w:i w:val="0"/>
                <w:color w:val="212121"/>
                <w:sz w:val="19"/>
              </w:rPr>
              <w:t>Non-sterile injection; prolonged/ill-kept catheters</w:t>
            </w:r>
          </w:p>
        </w:tc>
        <w:tc>
          <w:tcPr>
            <w:tcW w:type="dxa" w:w="1468"/>
            <w:vAlign w:val="top"/>
          </w:tcPr>
          <w:p>
            <w:pPr>
              <w:spacing w:after="40" w:before="0" w:line="259" w:lineRule="auto"/>
            </w:pPr>
            <w:r>
              <w:rPr>
                <w:rFonts w:ascii="Calibri" w:hAnsi="Calibri"/>
                <w:b w:val="0"/>
                <w:i w:val="0"/>
                <w:color w:val="212121"/>
                <w:sz w:val="19"/>
              </w:rPr>
              <w:t>Prevents staphylococcal seeding of the bloodstream and endocardium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Secondary penicillin prophylaxis (RHD)</w:t>
            </w:r>
          </w:p>
        </w:tc>
        <w:tc>
          <w:tcPr>
            <w:tcW w:type="dxa" w:w="1655"/>
            <w:vAlign w:val="top"/>
          </w:tcPr>
          <w:p>
            <w:pPr>
              <w:spacing w:after="40" w:before="0" w:line="259" w:lineRule="auto"/>
            </w:pPr>
            <w:r>
              <w:rPr>
                <w:rFonts w:ascii="Calibri" w:hAnsi="Calibri"/>
                <w:b w:val="0"/>
                <w:i w:val="0"/>
                <w:color w:val="212121"/>
                <w:sz w:val="19"/>
              </w:rPr>
              <w:t>Rheumatic heart disease patients</w:t>
            </w:r>
          </w:p>
        </w:tc>
        <w:tc>
          <w:tcPr>
            <w:tcW w:type="dxa" w:w="1512"/>
            <w:vAlign w:val="top"/>
          </w:tcPr>
          <w:p>
            <w:pPr>
              <w:spacing w:after="40" w:before="0" w:line="259" w:lineRule="auto"/>
            </w:pPr>
            <w:r>
              <w:rPr>
                <w:rFonts w:ascii="Calibri" w:hAnsi="Calibri"/>
                <w:b w:val="0"/>
                <w:i w:val="0"/>
                <w:color w:val="212121"/>
                <w:sz w:val="19"/>
              </w:rPr>
              <w:t>On-time benzathine penicillin every 3–4 weeks</w:t>
            </w:r>
          </w:p>
        </w:tc>
        <w:tc>
          <w:tcPr>
            <w:tcW w:type="dxa" w:w="1512"/>
            <w:vAlign w:val="top"/>
          </w:tcPr>
          <w:p>
            <w:pPr>
              <w:spacing w:after="40" w:before="0" w:line="259" w:lineRule="auto"/>
            </w:pPr>
            <w:r>
              <w:rPr>
                <w:rFonts w:ascii="Calibri" w:hAnsi="Calibri"/>
                <w:b w:val="0"/>
                <w:i w:val="0"/>
                <w:color w:val="212121"/>
                <w:sz w:val="19"/>
              </w:rPr>
              <w:t>Missed / irregular injections</w:t>
            </w:r>
          </w:p>
        </w:tc>
        <w:tc>
          <w:tcPr>
            <w:tcW w:type="dxa" w:w="1468"/>
            <w:vAlign w:val="top"/>
          </w:tcPr>
          <w:p>
            <w:pPr>
              <w:spacing w:after="60" w:line="259" w:lineRule="auto"/>
            </w:pPr>
            <w:r>
              <w:rPr>
                <w:rFonts w:ascii="Calibri" w:hAnsi="Calibri"/>
                <w:b w:val="0"/>
                <w:i w:val="0"/>
                <w:color w:val="212121"/>
                <w:sz w:val="19"/>
              </w:rPr>
              <w:t>Prevents recurrent rheumatic fever and further valve damage that predisposes to IE</w:t>
            </w:r>
          </w:p>
          <w:p>
            <w:pPr>
              <w:spacing w:after="40" w:line="252" w:lineRule="auto"/>
            </w:pPr>
            <w:hyperlink r:id="rId11">
              <w:r>
                <w:rPr>
                  <w:rFonts w:ascii="Calibri" w:hAnsi="Calibri" w:cs="Calibri"/>
                  <w:sz w:val="18"/>
                  <w:color w:val="1155CC"/>
                  <w:u w:val="single"/>
                </w:rPr>
                <w:t xml:space="preserve">https://www.who.int/news-room/fact-sheets/detail/rheumatic-heart-disease</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Endocarditis prophylaxis (high-risk cardiac)</w:t>
            </w:r>
          </w:p>
        </w:tc>
        <w:tc>
          <w:tcPr>
            <w:tcW w:type="dxa" w:w="1655"/>
            <w:vAlign w:val="top"/>
          </w:tcPr>
          <w:p>
            <w:pPr>
              <w:spacing w:after="40" w:before="0" w:line="259" w:lineRule="auto"/>
            </w:pPr>
            <w:r>
              <w:rPr>
                <w:rFonts w:ascii="Calibri" w:hAnsi="Calibri"/>
                <w:b w:val="0"/>
                <w:i w:val="0"/>
                <w:color w:val="212121"/>
                <w:sz w:val="19"/>
              </w:rPr>
              <w:t>Prosthetic valve, prior IE, high-risk CHD</w:t>
            </w:r>
          </w:p>
        </w:tc>
        <w:tc>
          <w:tcPr>
            <w:tcW w:type="dxa" w:w="1512"/>
            <w:vAlign w:val="top"/>
          </w:tcPr>
          <w:p>
            <w:pPr>
              <w:spacing w:after="40" w:before="0" w:line="259" w:lineRule="auto"/>
            </w:pPr>
            <w:r>
              <w:rPr>
                <w:rFonts w:ascii="Calibri" w:hAnsi="Calibri"/>
                <w:b w:val="0"/>
                <w:i w:val="0"/>
                <w:color w:val="212121"/>
                <w:sz w:val="19"/>
              </w:rPr>
              <w:t>Amoxicillin 2 g (or alternative) before invasive dental procedures</w:t>
            </w:r>
          </w:p>
        </w:tc>
        <w:tc>
          <w:tcPr>
            <w:tcW w:type="dxa" w:w="1512"/>
            <w:vAlign w:val="top"/>
          </w:tcPr>
          <w:p>
            <w:pPr>
              <w:spacing w:after="40" w:before="0" w:line="259" w:lineRule="auto"/>
            </w:pPr>
            <w:r>
              <w:rPr>
                <w:rFonts w:ascii="Calibri" w:hAnsi="Calibri"/>
                <w:b w:val="0"/>
                <w:i w:val="0"/>
                <w:color w:val="212121"/>
                <w:sz w:val="19"/>
              </w:rPr>
              <w:t>Prophylaxis omitted before gingival/mucosal procedures</w:t>
            </w:r>
          </w:p>
        </w:tc>
        <w:tc>
          <w:tcPr>
            <w:tcW w:type="dxa" w:w="1468"/>
            <w:vAlign w:val="top"/>
          </w:tcPr>
          <w:p>
            <w:pPr>
              <w:spacing w:after="60" w:line="259" w:lineRule="auto"/>
            </w:pPr>
            <w:r>
              <w:rPr>
                <w:rFonts w:ascii="Calibri" w:hAnsi="Calibri"/>
                <w:b w:val="0"/>
                <w:i w:val="0"/>
                <w:color w:val="212121"/>
                <w:sz w:val="19"/>
              </w:rPr>
              <w:t>Recommended only for the highest-risk cardiac conditions</w:t>
            </w:r>
          </w:p>
          <w:p>
            <w:pPr>
              <w:spacing w:after="40" w:line="252" w:lineRule="auto"/>
            </w:pPr>
            <w:hyperlink r:id="rId13">
              <w:r>
                <w:rPr>
                  <w:rFonts w:ascii="Calibri" w:hAnsi="Calibri" w:cs="Calibri"/>
                  <w:sz w:val="18"/>
                  <w:color w:val="1155CC"/>
                  <w:u w:val="single"/>
                </w:rPr>
                <w:t xml:space="preserve">https://www.aafp.org/afp/2008/0215/p538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Blood-culture sampling</w:t>
            </w:r>
          </w:p>
        </w:tc>
        <w:tc>
          <w:tcPr>
            <w:tcW w:type="dxa" w:w="1655"/>
            <w:vAlign w:val="top"/>
          </w:tcPr>
          <w:p>
            <w:pPr>
              <w:spacing w:after="40" w:before="0" w:line="259" w:lineRule="auto"/>
            </w:pPr>
            <w:r>
              <w:rPr>
                <w:rFonts w:ascii="Calibri" w:hAnsi="Calibri"/>
                <w:b w:val="0"/>
                <w:i w:val="0"/>
                <w:color w:val="212121"/>
                <w:sz w:val="19"/>
              </w:rPr>
              <w:t>Any suspected IE</w:t>
            </w:r>
          </w:p>
        </w:tc>
        <w:tc>
          <w:tcPr>
            <w:tcW w:type="dxa" w:w="1512"/>
            <w:vAlign w:val="top"/>
          </w:tcPr>
          <w:p>
            <w:pPr>
              <w:spacing w:after="40" w:before="0" w:line="259" w:lineRule="auto"/>
            </w:pPr>
            <w:r>
              <w:rPr>
                <w:rFonts w:ascii="Calibri" w:hAnsi="Calibri"/>
                <w:b w:val="0"/>
                <w:i w:val="0"/>
                <w:color w:val="212121"/>
                <w:sz w:val="19"/>
              </w:rPr>
              <w:t>≥ 3 sets from separate venepunctures before antibiotics</w:t>
            </w:r>
          </w:p>
        </w:tc>
        <w:tc>
          <w:tcPr>
            <w:tcW w:type="dxa" w:w="1512"/>
            <w:vAlign w:val="top"/>
          </w:tcPr>
          <w:p>
            <w:pPr>
              <w:spacing w:after="40" w:before="0" w:line="259" w:lineRule="auto"/>
            </w:pPr>
            <w:r>
              <w:rPr>
                <w:rFonts w:ascii="Calibri" w:hAnsi="Calibri"/>
                <w:b w:val="0"/>
                <w:i w:val="0"/>
                <w:color w:val="212121"/>
                <w:sz w:val="19"/>
              </w:rPr>
              <w:t>Single set, or cultures drawn after antibiotics</w:t>
            </w:r>
          </w:p>
        </w:tc>
        <w:tc>
          <w:tcPr>
            <w:tcW w:type="dxa" w:w="1468"/>
            <w:vAlign w:val="top"/>
          </w:tcPr>
          <w:p>
            <w:pPr>
              <w:spacing w:after="60" w:line="259" w:lineRule="auto"/>
            </w:pPr>
            <w:r>
              <w:rPr>
                <w:rFonts w:ascii="Calibri" w:hAnsi="Calibri"/>
                <w:b w:val="0"/>
                <w:i w:val="0"/>
                <w:color w:val="212121"/>
                <w:sz w:val="19"/>
              </w:rPr>
              <w:t>Adequate sampling is essential to satisfy the microbiological major criterion</w:t>
            </w:r>
          </w:p>
          <w:p>
            <w:pPr>
              <w:spacing w:after="40" w:line="252" w:lineRule="auto"/>
            </w:pPr>
            <w:hyperlink r:id="rId14">
              <w:r>
                <w:rPr>
                  <w:rFonts w:ascii="Calibri" w:hAnsi="Calibri" w:cs="Calibri"/>
                  <w:sz w:val="18"/>
                  <w:color w:val="1155CC"/>
                  <w:u w:val="single"/>
                </w:rPr>
                <w:t xml:space="preserve">https://www.mdcalc.com/calc/10564/2023-duke-international-society-cardiovascular-infectious-diseases-iscvid-criteria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temperature</w:t>
            </w:r>
          </w:p>
        </w:tc>
        <w:tc>
          <w:tcPr>
            <w:tcW w:type="dxa" w:w="1655"/>
            <w:vAlign w:val="top"/>
          </w:tcPr>
          <w:p>
            <w:pPr>
              <w:spacing w:after="40" w:before="0" w:line="259" w:lineRule="auto"/>
            </w:pPr>
            <w:r>
              <w:rPr>
                <w:rFonts w:ascii="Calibri" w:hAnsi="Calibri"/>
                <w:b w:val="0"/>
                <w:i w:val="0"/>
                <w:color w:val="212121"/>
                <w:sz w:val="19"/>
              </w:rPr>
              <w:t>Any suspected IE</w:t>
            </w:r>
          </w:p>
        </w:tc>
        <w:tc>
          <w:tcPr>
            <w:tcW w:type="dxa" w:w="1512"/>
            <w:vAlign w:val="top"/>
          </w:tcPr>
          <w:p>
            <w:pPr>
              <w:spacing w:after="40" w:before="0" w:line="259" w:lineRule="auto"/>
            </w:pPr>
            <w:r>
              <w:rPr>
                <w:rFonts w:ascii="Calibri" w:hAnsi="Calibri"/>
                <w:b w:val="0"/>
                <w:i w:val="0"/>
                <w:color w:val="212121"/>
                <w:sz w:val="19"/>
              </w:rPr>
              <w:t>Afebrile (&lt;37.5°C)</w:t>
            </w:r>
          </w:p>
        </w:tc>
        <w:tc>
          <w:tcPr>
            <w:tcW w:type="dxa" w:w="1512"/>
            <w:vAlign w:val="top"/>
          </w:tcPr>
          <w:p>
            <w:pPr>
              <w:spacing w:after="40" w:before="0" w:line="259" w:lineRule="auto"/>
            </w:pPr>
            <w:r>
              <w:rPr>
                <w:rFonts w:ascii="Calibri" w:hAnsi="Calibri"/>
                <w:b w:val="0"/>
                <w:i w:val="0"/>
                <w:color w:val="212121"/>
                <w:sz w:val="19"/>
              </w:rPr>
              <w:t>Sustained fever &gt;38°C</w:t>
            </w:r>
          </w:p>
        </w:tc>
        <w:tc>
          <w:tcPr>
            <w:tcW w:type="dxa" w:w="1468"/>
            <w:vAlign w:val="top"/>
          </w:tcPr>
          <w:p>
            <w:pPr>
              <w:spacing w:after="40" w:before="0" w:line="259" w:lineRule="auto"/>
            </w:pPr>
            <w:r>
              <w:rPr>
                <w:rFonts w:ascii="Calibri" w:hAnsi="Calibri"/>
                <w:b w:val="0"/>
                <w:i w:val="0"/>
                <w:color w:val="212121"/>
                <w:sz w:val="19"/>
              </w:rPr>
              <w:t>Fever &gt;38°C is a Duke minor criterion and the most consistent symptom of IE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Vegetation size on echocardiography</w:t>
            </w:r>
          </w:p>
        </w:tc>
        <w:tc>
          <w:tcPr>
            <w:tcW w:type="dxa" w:w="1655"/>
            <w:vAlign w:val="top"/>
          </w:tcPr>
          <w:p>
            <w:pPr>
              <w:spacing w:after="40" w:before="0" w:line="259" w:lineRule="auto"/>
            </w:pPr>
            <w:r>
              <w:rPr>
                <w:rFonts w:ascii="Calibri" w:hAnsi="Calibri"/>
                <w:b w:val="0"/>
                <w:i w:val="0"/>
                <w:color w:val="212121"/>
                <w:sz w:val="19"/>
              </w:rPr>
              <w:t>Confirmed IE</w:t>
            </w:r>
          </w:p>
        </w:tc>
        <w:tc>
          <w:tcPr>
            <w:tcW w:type="dxa" w:w="1512"/>
            <w:vAlign w:val="top"/>
          </w:tcPr>
          <w:p>
            <w:pPr>
              <w:spacing w:after="40" w:before="0" w:line="259" w:lineRule="auto"/>
            </w:pPr>
            <w:r>
              <w:rPr>
                <w:rFonts w:ascii="Calibri" w:hAnsi="Calibri"/>
                <w:b w:val="0"/>
                <w:i w:val="0"/>
                <w:color w:val="212121"/>
                <w:sz w:val="19"/>
              </w:rPr>
              <w:t>No vegetation</w:t>
            </w:r>
          </w:p>
        </w:tc>
        <w:tc>
          <w:tcPr>
            <w:tcW w:type="dxa" w:w="1512"/>
            <w:vAlign w:val="top"/>
          </w:tcPr>
          <w:p>
            <w:pPr>
              <w:spacing w:after="40" w:before="0" w:line="259" w:lineRule="auto"/>
            </w:pPr>
            <w:r>
              <w:rPr>
                <w:rFonts w:ascii="Calibri" w:hAnsi="Calibri"/>
                <w:b w:val="0"/>
                <w:i w:val="0"/>
                <w:color w:val="212121"/>
                <w:sz w:val="19"/>
              </w:rPr>
              <w:t>Vegetation &gt;10 mm (especially mobile, mitral)</w:t>
            </w:r>
          </w:p>
        </w:tc>
        <w:tc>
          <w:tcPr>
            <w:tcW w:type="dxa" w:w="1468"/>
            <w:vAlign w:val="top"/>
          </w:tcPr>
          <w:p>
            <w:pPr>
              <w:spacing w:after="40" w:before="0" w:line="259" w:lineRule="auto"/>
            </w:pPr>
            <w:r>
              <w:rPr>
                <w:rFonts w:ascii="Calibri" w:hAnsi="Calibri"/>
                <w:b w:val="0"/>
                <w:i w:val="0"/>
                <w:color w:val="212121"/>
                <w:sz w:val="19"/>
              </w:rPr>
              <w:t>Larger, mobile vegetations markedly raise the risk of systemic embolism</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(in diabetics)</w:t>
            </w:r>
          </w:p>
        </w:tc>
        <w:tc>
          <w:tcPr>
            <w:tcW w:type="dxa" w:w="1655"/>
            <w:vAlign w:val="top"/>
          </w:tcPr>
          <w:p>
            <w:pPr>
              <w:spacing w:after="40" w:before="0" w:line="259" w:lineRule="auto"/>
            </w:pPr>
            <w:r>
              <w:rPr>
                <w:rFonts w:ascii="Calibri" w:hAnsi="Calibri"/>
                <w:b w:val="0"/>
                <w:i w:val="0"/>
                <w:color w:val="212121"/>
                <w:sz w:val="19"/>
              </w:rPr>
              <w:t>Diabetic patients</w:t>
            </w:r>
          </w:p>
        </w:tc>
        <w:tc>
          <w:tcPr>
            <w:tcW w:type="dxa" w:w="1512"/>
            <w:vAlign w:val="top"/>
          </w:tcPr>
          <w:p>
            <w:pPr>
              <w:spacing w:after="40" w:before="0" w:line="259" w:lineRule="auto"/>
            </w:pPr>
            <w:r>
              <w:rPr>
                <w:rFonts w:ascii="Calibri" w:hAnsi="Calibri"/>
                <w:b w:val="0"/>
                <w:i w:val="0"/>
                <w:color w:val="212121"/>
                <w:sz w:val="19"/>
              </w:rPr>
              <w:t>&lt; 7%</w:t>
            </w:r>
          </w:p>
        </w:tc>
        <w:tc>
          <w:tcPr>
            <w:tcW w:type="dxa" w:w="1512"/>
            <w:vAlign w:val="top"/>
          </w:tcPr>
          <w:p>
            <w:pPr>
              <w:spacing w:after="40" w:before="0" w:line="259" w:lineRule="auto"/>
            </w:pPr>
            <w:r>
              <w:rPr>
                <w:rFonts w:ascii="Calibri" w:hAnsi="Calibri"/>
                <w:b w:val="0"/>
                <w:i w:val="0"/>
                <w:color w:val="212121"/>
                <w:sz w:val="19"/>
              </w:rPr>
              <w:t>≥ 8% (poor control)</w:t>
            </w:r>
          </w:p>
        </w:tc>
        <w:tc>
          <w:tcPr>
            <w:tcW w:type="dxa" w:w="1468"/>
            <w:vAlign w:val="top"/>
          </w:tcPr>
          <w:p>
            <w:pPr>
              <w:spacing w:after="40" w:before="0" w:line="259" w:lineRule="auto"/>
            </w:pPr>
            <w:r>
              <w:rPr>
                <w:rFonts w:ascii="Calibri" w:hAnsi="Calibri"/>
                <w:b w:val="0"/>
                <w:i w:val="0"/>
                <w:color w:val="212121"/>
                <w:sz w:val="19"/>
              </w:rPr>
              <w:t>Poorly controlled diabetes predisposes to S. aureus bacteraemia and worse outcomes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Functional capacity (NYHA class)</w:t>
            </w:r>
          </w:p>
        </w:tc>
        <w:tc>
          <w:tcPr>
            <w:tcW w:type="dxa" w:w="1655"/>
            <w:vAlign w:val="top"/>
          </w:tcPr>
          <w:p>
            <w:pPr>
              <w:spacing w:after="40" w:before="0" w:line="259" w:lineRule="auto"/>
            </w:pPr>
            <w:r>
              <w:rPr>
                <w:rFonts w:ascii="Calibri" w:hAnsi="Calibri"/>
                <w:b w:val="0"/>
                <w:i w:val="0"/>
                <w:color w:val="212121"/>
                <w:sz w:val="19"/>
              </w:rPr>
              <w:t>IE with valve damage / heart failure</w:t>
            </w:r>
          </w:p>
        </w:tc>
        <w:tc>
          <w:tcPr>
            <w:tcW w:type="dxa" w:w="1512"/>
            <w:vAlign w:val="top"/>
          </w:tcPr>
          <w:p>
            <w:pPr>
              <w:spacing w:after="40" w:before="0" w:line="259" w:lineRule="auto"/>
            </w:pPr>
            <w:r>
              <w:rPr>
                <w:rFonts w:ascii="Calibri" w:hAnsi="Calibri"/>
                <w:b w:val="0"/>
                <w:i w:val="0"/>
                <w:color w:val="212121"/>
                <w:sz w:val="19"/>
              </w:rPr>
              <w:t>NYHA I (asymptomatic)</w:t>
            </w:r>
          </w:p>
        </w:tc>
        <w:tc>
          <w:tcPr>
            <w:tcW w:type="dxa" w:w="1512"/>
            <w:vAlign w:val="top"/>
          </w:tcPr>
          <w:p>
            <w:pPr>
              <w:spacing w:after="40" w:before="0" w:line="259" w:lineRule="auto"/>
            </w:pPr>
            <w:r>
              <w:rPr>
                <w:rFonts w:ascii="Calibri" w:hAnsi="Calibri"/>
                <w:b w:val="0"/>
                <w:i w:val="0"/>
                <w:color w:val="212121"/>
                <w:sz w:val="19"/>
              </w:rPr>
              <w:t>NYHA III–IV; breathless at rest or minimal exertion</w:t>
            </w:r>
          </w:p>
        </w:tc>
        <w:tc>
          <w:tcPr>
            <w:tcW w:type="dxa" w:w="1468"/>
            <w:vAlign w:val="top"/>
          </w:tcPr>
          <w:p>
            <w:pPr>
              <w:spacing w:after="40" w:before="0" w:line="259" w:lineRule="auto"/>
            </w:pPr>
            <w:r>
              <w:rPr>
                <w:rFonts w:ascii="Calibri" w:hAnsi="Calibri"/>
                <w:b w:val="0"/>
                <w:i w:val="0"/>
                <w:color w:val="212121"/>
                <w:sz w:val="19"/>
              </w:rPr>
              <w:t>Falling functional class signals valve destruction and heart failure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valve disease</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worsens endothelial and periodontal damage and surgical outcomes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7 drinks/week (or nil)</w:t>
            </w:r>
          </w:p>
        </w:tc>
        <w:tc>
          <w:tcPr>
            <w:tcW w:type="dxa" w:w="1512"/>
            <w:vAlign w:val="top"/>
          </w:tcPr>
          <w:p>
            <w:pPr>
              <w:spacing w:after="40" w:before="0" w:line="259" w:lineRule="auto"/>
            </w:pPr>
            <w:r>
              <w:rPr>
                <w:rFonts w:ascii="Calibri" w:hAnsi="Calibri"/>
                <w:b w:val="0"/>
                <w:i w:val="0"/>
                <w:color w:val="212121"/>
                <w:sz w:val="19"/>
              </w:rPr>
              <w:t>Heavy or dependent use</w:t>
            </w:r>
          </w:p>
        </w:tc>
        <w:tc>
          <w:tcPr>
            <w:tcW w:type="dxa" w:w="1468"/>
            <w:vAlign w:val="top"/>
          </w:tcPr>
          <w:p>
            <w:pPr>
              <w:spacing w:after="40" w:before="0" w:line="259" w:lineRule="auto"/>
            </w:pPr>
            <w:r>
              <w:rPr>
                <w:rFonts w:ascii="Calibri" w:hAnsi="Calibri"/>
                <w:b w:val="0"/>
                <w:i w:val="0"/>
                <w:color w:val="212121"/>
                <w:sz w:val="19"/>
              </w:rPr>
              <w:t>Heavy alcohol impairs immunity and is a marker of high-risk behaviour</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C-reactive protein / ESR</w:t>
            </w:r>
          </w:p>
        </w:tc>
        <w:tc>
          <w:tcPr>
            <w:tcW w:type="dxa" w:w="1655"/>
            <w:vAlign w:val="top"/>
          </w:tcPr>
          <w:p>
            <w:pPr>
              <w:spacing w:after="40" w:before="0" w:line="259" w:lineRule="auto"/>
            </w:pPr>
            <w:r>
              <w:rPr>
                <w:rFonts w:ascii="Calibri" w:hAnsi="Calibri"/>
                <w:b w:val="0"/>
                <w:i w:val="0"/>
                <w:color w:val="212121"/>
                <w:sz w:val="19"/>
              </w:rPr>
              <w:t>Suspected or confirmed IE</w:t>
            </w:r>
          </w:p>
        </w:tc>
        <w:tc>
          <w:tcPr>
            <w:tcW w:type="dxa" w:w="1512"/>
            <w:vAlign w:val="top"/>
          </w:tcPr>
          <w:p>
            <w:pPr>
              <w:spacing w:after="40" w:before="0" w:line="259" w:lineRule="auto"/>
            </w:pPr>
            <w:r>
              <w:rPr>
                <w:rFonts w:ascii="Calibri" w:hAnsi="Calibri"/>
                <w:b w:val="0"/>
                <w:i w:val="0"/>
                <w:color w:val="212121"/>
                <w:sz w:val="19"/>
              </w:rPr>
              <w:t>Normal (CRP &lt; 5 mg/L)</w:t>
            </w:r>
          </w:p>
        </w:tc>
        <w:tc>
          <w:tcPr>
            <w:tcW w:type="dxa" w:w="1512"/>
            <w:vAlign w:val="top"/>
          </w:tcPr>
          <w:p>
            <w:pPr>
              <w:spacing w:after="40" w:before="0" w:line="259" w:lineRule="auto"/>
            </w:pPr>
            <w:r>
              <w:rPr>
                <w:rFonts w:ascii="Calibri" w:hAnsi="Calibri"/>
                <w:b w:val="0"/>
                <w:i w:val="0"/>
                <w:color w:val="212121"/>
                <w:sz w:val="19"/>
              </w:rPr>
              <w:t>Persistently elevated / rising</w:t>
            </w:r>
          </w:p>
        </w:tc>
        <w:tc>
          <w:tcPr>
            <w:tcW w:type="dxa" w:w="1468"/>
            <w:vAlign w:val="top"/>
          </w:tcPr>
          <w:p>
            <w:pPr>
              <w:spacing w:after="40" w:before="0" w:line="259" w:lineRule="auto"/>
            </w:pPr>
            <w:r>
              <w:rPr>
                <w:rFonts w:ascii="Calibri" w:hAnsi="Calibri"/>
                <w:b w:val="0"/>
                <w:i w:val="0"/>
                <w:color w:val="212121"/>
                <w:sz w:val="19"/>
              </w:rPr>
              <w:t>Support inflammatory activity and monitor response to therapy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Blood cultures (≥ 3 sets)</w:t>
            </w:r>
          </w:p>
        </w:tc>
        <w:tc>
          <w:tcPr>
            <w:tcW w:type="dxa" w:w="892"/>
            <w:vAlign w:val="top"/>
          </w:tcPr>
          <w:p>
            <w:pPr>
              <w:spacing w:after="40" w:before="0" w:line="259" w:lineRule="auto"/>
            </w:pPr>
            <w:r>
              <w:rPr>
                <w:rFonts w:ascii="Calibri" w:hAnsi="Calibri"/>
                <w:b w:val="0"/>
                <w:i w:val="0"/>
                <w:color w:val="212121"/>
                <w:sz w:val="16"/>
              </w:rPr>
              <w:t>Blood culture set</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Sustained bacteraemia with a typical IE organism (viridans streptococci, S. aureus, enterococci, HACEK)</w:t>
            </w:r>
          </w:p>
        </w:tc>
        <w:tc>
          <w:tcPr>
            <w:tcW w:type="dxa" w:w="1036"/>
            <w:vAlign w:val="top"/>
          </w:tcPr>
          <w:p>
            <w:pPr>
              <w:spacing w:after="40" w:before="0" w:line="259" w:lineRule="auto"/>
            </w:pPr>
            <w:r>
              <w:rPr>
                <w:rFonts w:ascii="Calibri" w:hAnsi="Calibri"/>
                <w:b w:val="0"/>
                <w:i w:val="0"/>
                <w:color w:val="212121"/>
                <w:sz w:val="16"/>
              </w:rPr>
              <w:t>Identifies the causative organism and satisfies the microbiological major criterion; guides targeted antibiotics</w:t>
            </w:r>
          </w:p>
        </w:tc>
        <w:tc>
          <w:tcPr>
            <w:tcW w:type="dxa" w:w="1036"/>
            <w:vAlign w:val="top"/>
          </w:tcPr>
          <w:p>
            <w:pPr>
              <w:spacing w:after="40" w:before="0" w:line="259" w:lineRule="auto"/>
            </w:pPr>
            <w:r>
              <w:rPr>
                <w:rFonts w:ascii="Calibri" w:hAnsi="Calibri"/>
                <w:b w:val="0"/>
                <w:i w:val="0"/>
                <w:color w:val="212121"/>
                <w:sz w:val="16"/>
              </w:rPr>
              <w:t>Fever with new/changed murmur, prosthesis, IVDU, RHD/CHD</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Three sets from separate sites before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Vegetation, regurgitation, valve morphology</w:t>
            </w:r>
          </w:p>
        </w:tc>
        <w:tc>
          <w:tcPr>
            <w:tcW w:type="dxa" w:w="892"/>
            <w:vAlign w:val="top"/>
          </w:tcPr>
          <w:p>
            <w:pPr>
              <w:spacing w:after="40" w:before="0" w:line="259" w:lineRule="auto"/>
            </w:pPr>
            <w:r>
              <w:rPr>
                <w:rFonts w:ascii="Calibri" w:hAnsi="Calibri"/>
                <w:b w:val="0"/>
                <w:i w:val="0"/>
                <w:color w:val="212121"/>
                <w:sz w:val="16"/>
              </w:rPr>
              <w:t>Transthoracic Echocardiography (TTE)</w:t>
            </w:r>
          </w:p>
        </w:tc>
        <w:tc>
          <w:tcPr>
            <w:tcW w:type="dxa" w:w="950"/>
            <w:vAlign w:val="top"/>
          </w:tcPr>
          <w:p>
            <w:pPr>
              <w:spacing w:after="40" w:before="0" w:line="259" w:lineRule="auto"/>
            </w:pPr>
            <w:r>
              <w:rPr>
                <w:rFonts w:ascii="Calibri" w:hAnsi="Calibri"/>
                <w:b w:val="0"/>
                <w:i w:val="0"/>
                <w:color w:val="212121"/>
                <w:sz w:val="16"/>
              </w:rPr>
              <w:t>No vegetation; competent valves</w:t>
            </w:r>
          </w:p>
        </w:tc>
        <w:tc>
          <w:tcPr>
            <w:tcW w:type="dxa" w:w="950"/>
            <w:vAlign w:val="top"/>
          </w:tcPr>
          <w:p>
            <w:pPr>
              <w:spacing w:after="40" w:before="0" w:line="259" w:lineRule="auto"/>
            </w:pPr>
            <w:r>
              <w:rPr>
                <w:rFonts w:ascii="Calibri" w:hAnsi="Calibri"/>
                <w:b w:val="0"/>
                <w:i w:val="0"/>
                <w:color w:val="212121"/>
                <w:sz w:val="16"/>
              </w:rPr>
              <w:t>Vegetation, new regurgitation, valve destruction</w:t>
            </w:r>
          </w:p>
        </w:tc>
        <w:tc>
          <w:tcPr>
            <w:tcW w:type="dxa" w:w="1036"/>
            <w:vAlign w:val="top"/>
          </w:tcPr>
          <w:p>
            <w:pPr>
              <w:spacing w:after="40" w:before="0" w:line="259" w:lineRule="auto"/>
            </w:pPr>
            <w:r>
              <w:rPr>
                <w:rFonts w:ascii="Calibri" w:hAnsi="Calibri"/>
                <w:b w:val="0"/>
                <w:i w:val="0"/>
                <w:color w:val="212121"/>
                <w:sz w:val="16"/>
              </w:rPr>
              <w:t>First-line imaging to detect vegetations and assess valve function and haemodynamics</w:t>
            </w:r>
          </w:p>
        </w:tc>
        <w:tc>
          <w:tcPr>
            <w:tcW w:type="dxa" w:w="1036"/>
            <w:vAlign w:val="top"/>
          </w:tcPr>
          <w:p>
            <w:pPr>
              <w:spacing w:after="40" w:before="0" w:line="259" w:lineRule="auto"/>
            </w:pPr>
            <w:r>
              <w:rPr>
                <w:rFonts w:ascii="Calibri" w:hAnsi="Calibri"/>
                <w:b w:val="0"/>
                <w:i w:val="0"/>
                <w:color w:val="212121"/>
                <w:sz w:val="16"/>
              </w:rPr>
              <w:t>All suspected IE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Sensitivity limited for small vegetations and prosthetic valves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Vegetation, abscess, prosthetic involvement</w:t>
            </w:r>
          </w:p>
        </w:tc>
        <w:tc>
          <w:tcPr>
            <w:tcW w:type="dxa" w:w="892"/>
            <w:vAlign w:val="top"/>
          </w:tcPr>
          <w:p>
            <w:pPr>
              <w:spacing w:after="40" w:before="0" w:line="259" w:lineRule="auto"/>
            </w:pPr>
            <w:r>
              <w:rPr>
                <w:rFonts w:ascii="Calibri" w:hAnsi="Calibri"/>
                <w:b w:val="0"/>
                <w:i w:val="0"/>
                <w:color w:val="212121"/>
                <w:sz w:val="16"/>
              </w:rPr>
              <w:t>Transoesophageal Echocardiography (TEE)</w:t>
            </w:r>
          </w:p>
        </w:tc>
        <w:tc>
          <w:tcPr>
            <w:tcW w:type="dxa" w:w="950"/>
            <w:vAlign w:val="top"/>
          </w:tcPr>
          <w:p>
            <w:pPr>
              <w:spacing w:after="40" w:before="0" w:line="259" w:lineRule="auto"/>
            </w:pPr>
            <w:r>
              <w:rPr>
                <w:rFonts w:ascii="Calibri" w:hAnsi="Calibri"/>
                <w:b w:val="0"/>
                <w:i w:val="0"/>
                <w:color w:val="212121"/>
                <w:sz w:val="16"/>
              </w:rPr>
              <w:t>No vegetation/abscess</w:t>
            </w:r>
          </w:p>
        </w:tc>
        <w:tc>
          <w:tcPr>
            <w:tcW w:type="dxa" w:w="950"/>
            <w:vAlign w:val="top"/>
          </w:tcPr>
          <w:p>
            <w:pPr>
              <w:spacing w:after="40" w:before="0" w:line="259" w:lineRule="auto"/>
            </w:pPr>
            <w:r>
              <w:rPr>
                <w:rFonts w:ascii="Calibri" w:hAnsi="Calibri"/>
                <w:b w:val="0"/>
                <w:i w:val="0"/>
                <w:color w:val="212121"/>
                <w:sz w:val="16"/>
              </w:rPr>
              <w:t>Vegetation, perivalvular abscess, leaflet perforation, prosthetic dehiscence</w:t>
            </w:r>
          </w:p>
        </w:tc>
        <w:tc>
          <w:tcPr>
            <w:tcW w:type="dxa" w:w="1036"/>
            <w:vAlign w:val="top"/>
          </w:tcPr>
          <w:p>
            <w:pPr>
              <w:spacing w:after="40" w:before="0" w:line="259" w:lineRule="auto"/>
            </w:pPr>
            <w:r>
              <w:rPr>
                <w:rFonts w:ascii="Calibri" w:hAnsi="Calibri"/>
                <w:b w:val="0"/>
                <w:i w:val="0"/>
                <w:color w:val="212121"/>
                <w:sz w:val="16"/>
              </w:rPr>
              <w:t>Higher-sensitivity imaging when TTE is negative/inconclusive, or for prosthetic valves and suspected abscess</w:t>
            </w:r>
          </w:p>
        </w:tc>
        <w:tc>
          <w:tcPr>
            <w:tcW w:type="dxa" w:w="1036"/>
            <w:vAlign w:val="top"/>
          </w:tcPr>
          <w:p>
            <w:pPr>
              <w:spacing w:after="40" w:before="0" w:line="259" w:lineRule="auto"/>
            </w:pPr>
            <w:r>
              <w:rPr>
                <w:rFonts w:ascii="Calibri" w:hAnsi="Calibri"/>
                <w:b w:val="0"/>
                <w:i w:val="0"/>
                <w:color w:val="212121"/>
                <w:sz w:val="16"/>
              </w:rPr>
              <w:t>Prosthetic valves, negative TTE, suspected complications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Semi-invasive; needs sedation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Metabolic activity / abscess</w:t>
            </w:r>
          </w:p>
        </w:tc>
        <w:tc>
          <w:tcPr>
            <w:tcW w:type="dxa" w:w="892"/>
            <w:vAlign w:val="top"/>
          </w:tcPr>
          <w:p>
            <w:pPr>
              <w:spacing w:after="40" w:before="0" w:line="259" w:lineRule="auto"/>
            </w:pPr>
            <w:r>
              <w:rPr>
                <w:rFonts w:ascii="Calibri" w:hAnsi="Calibri"/>
                <w:b w:val="0"/>
                <w:i w:val="0"/>
                <w:color w:val="212121"/>
                <w:sz w:val="16"/>
              </w:rPr>
              <w:t>Cardiac CT and [18F]FDG-PET/CT</w:t>
            </w:r>
          </w:p>
        </w:tc>
        <w:tc>
          <w:tcPr>
            <w:tcW w:type="dxa" w:w="950"/>
            <w:vAlign w:val="top"/>
          </w:tcPr>
          <w:p>
            <w:pPr>
              <w:spacing w:after="40" w:before="0" w:line="259" w:lineRule="auto"/>
            </w:pPr>
            <w:r>
              <w:rPr>
                <w:rFonts w:ascii="Calibri" w:hAnsi="Calibri"/>
                <w:b w:val="0"/>
                <w:i w:val="0"/>
                <w:color w:val="212121"/>
                <w:sz w:val="16"/>
              </w:rPr>
              <w:t>No abnormal uptake or structural lesion</w:t>
            </w:r>
          </w:p>
        </w:tc>
        <w:tc>
          <w:tcPr>
            <w:tcW w:type="dxa" w:w="950"/>
            <w:vAlign w:val="top"/>
          </w:tcPr>
          <w:p>
            <w:pPr>
              <w:spacing w:after="40" w:before="0" w:line="259" w:lineRule="auto"/>
            </w:pPr>
            <w:r>
              <w:rPr>
                <w:rFonts w:ascii="Calibri" w:hAnsi="Calibri"/>
                <w:b w:val="0"/>
                <w:i w:val="0"/>
                <w:color w:val="212121"/>
                <w:sz w:val="16"/>
              </w:rPr>
              <w:t>Abscess, pseudoaneurysm, or abnormal peri-prosthetic uptake &gt;3 months post-implant</w:t>
            </w:r>
          </w:p>
        </w:tc>
        <w:tc>
          <w:tcPr>
            <w:tcW w:type="dxa" w:w="1036"/>
            <w:vAlign w:val="top"/>
          </w:tcPr>
          <w:p>
            <w:pPr>
              <w:spacing w:after="40" w:before="0" w:line="259" w:lineRule="auto"/>
            </w:pPr>
            <w:r>
              <w:rPr>
                <w:rFonts w:ascii="Calibri" w:hAnsi="Calibri"/>
                <w:b w:val="0"/>
                <w:i w:val="0"/>
                <w:color w:val="212121"/>
                <w:sz w:val="16"/>
              </w:rPr>
              <w:t>Detects perivalvular complications and prosthetic-valve infection; new 2023 Duke major imaging criteria</w:t>
            </w:r>
          </w:p>
        </w:tc>
        <w:tc>
          <w:tcPr>
            <w:tcW w:type="dxa" w:w="1036"/>
            <w:vAlign w:val="top"/>
          </w:tcPr>
          <w:p>
            <w:pPr>
              <w:spacing w:after="40" w:before="0" w:line="259" w:lineRule="auto"/>
            </w:pPr>
            <w:r>
              <w:rPr>
                <w:rFonts w:ascii="Calibri" w:hAnsi="Calibri"/>
                <w:b w:val="0"/>
                <w:i w:val="0"/>
                <w:color w:val="212121"/>
                <w:sz w:val="16"/>
              </w:rPr>
              <w:t>Prosthetic valve endocarditis, inconclusive echo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PET/CT less reliable within 3 months of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WBC, 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Normal WBC; Hb ≥ 12 g/dL</w:t>
            </w:r>
          </w:p>
        </w:tc>
        <w:tc>
          <w:tcPr>
            <w:tcW w:type="dxa" w:w="950"/>
            <w:vAlign w:val="top"/>
          </w:tcPr>
          <w:p>
            <w:pPr>
              <w:spacing w:after="40" w:before="0" w:line="259" w:lineRule="auto"/>
            </w:pPr>
            <w:r>
              <w:rPr>
                <w:rFonts w:ascii="Calibri" w:hAnsi="Calibri"/>
                <w:b w:val="0"/>
                <w:i w:val="0"/>
                <w:color w:val="212121"/>
                <w:sz w:val="16"/>
              </w:rPr>
              <w:t>Leucocytosis (acute) or normocytic anaemia of chronic disease (subacute)</w:t>
            </w:r>
          </w:p>
        </w:tc>
        <w:tc>
          <w:tcPr>
            <w:tcW w:type="dxa" w:w="1036"/>
            <w:vAlign w:val="top"/>
          </w:tcPr>
          <w:p>
            <w:pPr>
              <w:spacing w:after="40" w:before="0" w:line="259" w:lineRule="auto"/>
            </w:pPr>
            <w:r>
              <w:rPr>
                <w:rFonts w:ascii="Calibri" w:hAnsi="Calibri"/>
                <w:b w:val="0"/>
                <w:i w:val="0"/>
                <w:color w:val="212121"/>
                <w:sz w:val="16"/>
              </w:rPr>
              <w:t>Supports systemic infection; leucocytosis and anaemia are common and prognostically relevant</w:t>
            </w:r>
          </w:p>
        </w:tc>
        <w:tc>
          <w:tcPr>
            <w:tcW w:type="dxa" w:w="1036"/>
            <w:vAlign w:val="top"/>
          </w:tcPr>
          <w:p>
            <w:pPr>
              <w:spacing w:after="40" w:before="0" w:line="259" w:lineRule="auto"/>
            </w:pPr>
            <w:r>
              <w:rPr>
                <w:rFonts w:ascii="Calibri" w:hAnsi="Calibri"/>
                <w:b w:val="0"/>
                <w:i w:val="0"/>
                <w:color w:val="212121"/>
                <w:sz w:val="16"/>
              </w:rPr>
              <w:t>All suspected IE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Anaemia is frequent in subacute IE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ESR, procalcitonin</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5 mg/L; normal ESR</w:t>
            </w:r>
          </w:p>
        </w:tc>
        <w:tc>
          <w:tcPr>
            <w:tcW w:type="dxa" w:w="950"/>
            <w:vAlign w:val="top"/>
          </w:tcPr>
          <w:p>
            <w:pPr>
              <w:spacing w:after="40" w:before="0" w:line="259" w:lineRule="auto"/>
            </w:pPr>
            <w:r>
              <w:rPr>
                <w:rFonts w:ascii="Calibri" w:hAnsi="Calibri"/>
                <w:b w:val="0"/>
                <w:i w:val="0"/>
                <w:color w:val="212121"/>
                <w:sz w:val="16"/>
              </w:rPr>
              <w:t>Elevated CRP/ESR</w:t>
            </w:r>
          </w:p>
        </w:tc>
        <w:tc>
          <w:tcPr>
            <w:tcW w:type="dxa" w:w="1036"/>
            <w:vAlign w:val="top"/>
          </w:tcPr>
          <w:p>
            <w:pPr>
              <w:spacing w:after="40" w:before="0" w:line="259" w:lineRule="auto"/>
            </w:pPr>
            <w:r>
              <w:rPr>
                <w:rFonts w:ascii="Calibri" w:hAnsi="Calibri"/>
                <w:b w:val="0"/>
                <w:i w:val="0"/>
                <w:color w:val="212121"/>
                <w:sz w:val="16"/>
              </w:rPr>
              <w:t>Reflect infective activity and help monitor response to therapy</w:t>
            </w:r>
          </w:p>
        </w:tc>
        <w:tc>
          <w:tcPr>
            <w:tcW w:type="dxa" w:w="1036"/>
            <w:vAlign w:val="top"/>
          </w:tcPr>
          <w:p>
            <w:pPr>
              <w:spacing w:after="40" w:before="0" w:line="259" w:lineRule="auto"/>
            </w:pPr>
            <w:r>
              <w:rPr>
                <w:rFonts w:ascii="Calibri" w:hAnsi="Calibri"/>
                <w:b w:val="0"/>
                <w:i w:val="0"/>
                <w:color w:val="212121"/>
                <w:sz w:val="16"/>
              </w:rPr>
              <w:t>Suspected/confirmed IE,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Non-specific; trend over time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Renal / urinalysis</w:t>
            </w:r>
          </w:p>
        </w:tc>
        <w:tc>
          <w:tcPr>
            <w:tcW w:type="dxa" w:w="1036"/>
            <w:vAlign w:val="top"/>
          </w:tcPr>
          <w:p>
            <w:pPr>
              <w:spacing w:after="40" w:before="0" w:line="259" w:lineRule="auto"/>
            </w:pPr>
            <w:r>
              <w:rPr>
                <w:rFonts w:ascii="Calibri" w:hAnsi="Calibri"/>
                <w:b w:val="0"/>
                <w:i w:val="0"/>
                <w:color w:val="212121"/>
                <w:sz w:val="16"/>
              </w:rPr>
              <w:t>Creatinine, haematuria, proteinuria</w:t>
            </w:r>
          </w:p>
        </w:tc>
        <w:tc>
          <w:tcPr>
            <w:tcW w:type="dxa" w:w="892"/>
            <w:vAlign w:val="top"/>
          </w:tcPr>
          <w:p>
            <w:pPr>
              <w:spacing w:after="40" w:before="0" w:line="259" w:lineRule="auto"/>
            </w:pPr>
            <w:r>
              <w:rPr>
                <w:rFonts w:ascii="Calibri" w:hAnsi="Calibri"/>
                <w:b w:val="0"/>
                <w:i w:val="0"/>
                <w:color w:val="212121"/>
                <w:sz w:val="16"/>
              </w:rPr>
              <w:t>Renal function and urine microscopy</w:t>
            </w:r>
          </w:p>
        </w:tc>
        <w:tc>
          <w:tcPr>
            <w:tcW w:type="dxa" w:w="950"/>
            <w:vAlign w:val="top"/>
          </w:tcPr>
          <w:p>
            <w:pPr>
              <w:spacing w:after="40" w:before="0" w:line="259" w:lineRule="auto"/>
            </w:pPr>
            <w:r>
              <w:rPr>
                <w:rFonts w:ascii="Calibri" w:hAnsi="Calibri"/>
                <w:b w:val="0"/>
                <w:i w:val="0"/>
                <w:color w:val="212121"/>
                <w:sz w:val="16"/>
              </w:rPr>
              <w:t>Normal creatinine; bland urine</w:t>
            </w:r>
          </w:p>
        </w:tc>
        <w:tc>
          <w:tcPr>
            <w:tcW w:type="dxa" w:w="950"/>
            <w:vAlign w:val="top"/>
          </w:tcPr>
          <w:p>
            <w:pPr>
              <w:spacing w:after="40" w:before="0" w:line="259" w:lineRule="auto"/>
            </w:pPr>
            <w:r>
              <w:rPr>
                <w:rFonts w:ascii="Calibri" w:hAnsi="Calibri"/>
                <w:b w:val="0"/>
                <w:i w:val="0"/>
                <w:color w:val="212121"/>
                <w:sz w:val="16"/>
              </w:rPr>
              <w:t>Rising creatinine (AKI); haematuria/red-cell casts (immune-complex glomerulonephritis)</w:t>
            </w:r>
          </w:p>
        </w:tc>
        <w:tc>
          <w:tcPr>
            <w:tcW w:type="dxa" w:w="1036"/>
            <w:vAlign w:val="top"/>
          </w:tcPr>
          <w:p>
            <w:pPr>
              <w:spacing w:after="40" w:before="0" w:line="259" w:lineRule="auto"/>
            </w:pPr>
            <w:r>
              <w:rPr>
                <w:rFonts w:ascii="Calibri" w:hAnsi="Calibri"/>
                <w:b w:val="0"/>
                <w:i w:val="0"/>
                <w:color w:val="212121"/>
                <w:sz w:val="16"/>
              </w:rPr>
              <w:t>Detects embolic/immune renal injury; microscopic haematuria is a Duke minor phenomenon</w:t>
            </w:r>
          </w:p>
        </w:tc>
        <w:tc>
          <w:tcPr>
            <w:tcW w:type="dxa" w:w="1036"/>
            <w:vAlign w:val="top"/>
          </w:tcPr>
          <w:p>
            <w:pPr>
              <w:spacing w:after="40" w:before="0" w:line="259" w:lineRule="auto"/>
            </w:pPr>
            <w:r>
              <w:rPr>
                <w:rFonts w:ascii="Calibri" w:hAnsi="Calibri"/>
                <w:b w:val="0"/>
                <w:i w:val="0"/>
                <w:color w:val="212121"/>
                <w:sz w:val="16"/>
              </w:rPr>
              <w:t>Confirmed IE, deteriorating renal function</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AKI occurred in ~26% of an Indian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PCR</w:t>
            </w:r>
          </w:p>
        </w:tc>
        <w:tc>
          <w:tcPr>
            <w:tcW w:type="dxa" w:w="1036"/>
            <w:vAlign w:val="top"/>
          </w:tcPr>
          <w:p>
            <w:pPr>
              <w:spacing w:after="40" w:before="0" w:line="259" w:lineRule="auto"/>
            </w:pPr>
            <w:r>
              <w:rPr>
                <w:rFonts w:ascii="Calibri" w:hAnsi="Calibri"/>
                <w:b w:val="0"/>
                <w:i w:val="0"/>
                <w:color w:val="212121"/>
                <w:sz w:val="16"/>
              </w:rPr>
              <w:t>Coxiella, Bartonella, Brucella</w:t>
            </w:r>
          </w:p>
        </w:tc>
        <w:tc>
          <w:tcPr>
            <w:tcW w:type="dxa" w:w="892"/>
            <w:vAlign w:val="top"/>
          </w:tcPr>
          <w:p>
            <w:pPr>
              <w:spacing w:after="40" w:before="0" w:line="259" w:lineRule="auto"/>
            </w:pPr>
            <w:r>
              <w:rPr>
                <w:rFonts w:ascii="Calibri" w:hAnsi="Calibri"/>
                <w:b w:val="0"/>
                <w:i w:val="0"/>
                <w:color w:val="212121"/>
                <w:sz w:val="16"/>
              </w:rPr>
              <w:t>Serology and molecular tests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High-titre serology or positive PCR</w:t>
            </w:r>
          </w:p>
        </w:tc>
        <w:tc>
          <w:tcPr>
            <w:tcW w:type="dxa" w:w="1036"/>
            <w:vAlign w:val="top"/>
          </w:tcPr>
          <w:p>
            <w:pPr>
              <w:spacing w:after="40" w:before="0" w:line="259" w:lineRule="auto"/>
            </w:pPr>
            <w:r>
              <w:rPr>
                <w:rFonts w:ascii="Calibri" w:hAnsi="Calibri"/>
                <w:b w:val="0"/>
                <w:i w:val="0"/>
                <w:color w:val="212121"/>
                <w:sz w:val="16"/>
              </w:rPr>
              <w:t>Identifies fastidious/intracellular causes of culture-negative endocarditis; a 2023 Duke major criterion</w:t>
            </w:r>
          </w:p>
        </w:tc>
        <w:tc>
          <w:tcPr>
            <w:tcW w:type="dxa" w:w="1036"/>
            <w:vAlign w:val="top"/>
          </w:tcPr>
          <w:p>
            <w:pPr>
              <w:spacing w:after="40" w:before="0" w:line="259" w:lineRule="auto"/>
            </w:pPr>
            <w:r>
              <w:rPr>
                <w:rFonts w:ascii="Calibri" w:hAnsi="Calibri"/>
                <w:b w:val="0"/>
                <w:i w:val="0"/>
                <w:color w:val="212121"/>
                <w:sz w:val="16"/>
              </w:rPr>
              <w:t>Culture-negative IE, prior antibiotics, animal/rural exposure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(CNE)</w:t>
            </w:r>
          </w:p>
        </w:tc>
        <w:tc>
          <w:tcPr>
            <w:tcW w:type="dxa" w:w="720"/>
            <w:vAlign w:val="top"/>
          </w:tcPr>
          <w:p>
            <w:pPr>
              <w:spacing w:after="40" w:before="0" w:line="259" w:lineRule="auto"/>
            </w:pPr>
            <w:r>
              <w:rPr>
                <w:rFonts w:ascii="Calibri" w:hAnsi="Calibri"/>
                <w:b w:val="0"/>
                <w:i w:val="0"/>
                <w:color w:val="212121"/>
                <w:sz w:val="16"/>
              </w:rPr>
              <w:t>Consider Q-fever (Coxiella) serology in culture-negative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Fever, chills, night sweats, fatigue, weight loss, breathlessness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Prolonged (&gt;1 week) fever with constitutional symptoms</w:t>
            </w:r>
          </w:p>
        </w:tc>
        <w:tc>
          <w:tcPr>
            <w:tcW w:type="dxa" w:w="1036"/>
            <w:vAlign w:val="top"/>
          </w:tcPr>
          <w:p>
            <w:pPr>
              <w:spacing w:after="40" w:before="0" w:line="259" w:lineRule="auto"/>
            </w:pPr>
            <w:r>
              <w:rPr>
                <w:rFonts w:ascii="Calibri" w:hAnsi="Calibri"/>
                <w:b w:val="0"/>
                <w:i w:val="0"/>
                <w:color w:val="212121"/>
                <w:sz w:val="16"/>
              </w:rPr>
              <w:t>Classic subacute presentation; unexplained persistent fever with a heart condition should prompt blood cultures</w:t>
            </w:r>
          </w:p>
        </w:tc>
        <w:tc>
          <w:tcPr>
            <w:tcW w:type="dxa" w:w="1036"/>
            <w:vAlign w:val="top"/>
          </w:tcPr>
          <w:p>
            <w:pPr>
              <w:spacing w:after="40" w:before="0" w:line="259" w:lineRule="auto"/>
            </w:pPr>
            <w:r>
              <w:rPr>
                <w:rFonts w:ascii="Calibri" w:hAnsi="Calibri"/>
                <w:b w:val="0"/>
                <w:i w:val="0"/>
                <w:color w:val="212121"/>
                <w:sz w:val="16"/>
              </w:rPr>
              <w:t>RHD/CHD, prosthesis, IVDU</w:t>
            </w:r>
          </w:p>
        </w:tc>
        <w:tc>
          <w:tcPr>
            <w:tcW w:type="dxa" w:w="720"/>
            <w:vAlign w:val="top"/>
          </w:tcPr>
          <w:p>
            <w:pPr>
              <w:spacing w:after="40" w:before="0" w:line="259" w:lineRule="auto"/>
            </w:pPr>
            <w:r>
              <w:rPr>
                <w:rFonts w:ascii="Calibri" w:hAnsi="Calibri"/>
                <w:b w:val="0"/>
                <w:i w:val="0"/>
                <w:color w:val="212121"/>
                <w:sz w:val="16"/>
              </w:rPr>
              <w:t>Provoking factors;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Fever may be low-grade or absent in the elderly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Predisposing history</w:t>
            </w:r>
          </w:p>
        </w:tc>
        <w:tc>
          <w:tcPr>
            <w:tcW w:type="dxa" w:w="979"/>
            <w:vAlign w:val="top"/>
          </w:tcPr>
          <w:p>
            <w:pPr>
              <w:spacing w:after="40" w:before="0" w:line="259" w:lineRule="auto"/>
            </w:pPr>
            <w:r>
              <w:rPr>
                <w:rFonts w:ascii="Calibri" w:hAnsi="Calibri"/>
                <w:b w:val="0"/>
                <w:i w:val="0"/>
                <w:color w:val="212121"/>
                <w:sz w:val="16"/>
              </w:rPr>
              <w:t>Prior RHD/CHD, prosthetic valve, previous IE, injection drug use, recent dental/invasive procedure</w:t>
            </w:r>
          </w:p>
        </w:tc>
        <w:tc>
          <w:tcPr>
            <w:tcW w:type="dxa" w:w="950"/>
            <w:vAlign w:val="top"/>
          </w:tcPr>
          <w:p>
            <w:pPr>
              <w:spacing w:after="40" w:before="0" w:line="259" w:lineRule="auto"/>
            </w:pPr>
            <w:r>
              <w:rPr>
                <w:rFonts w:ascii="Calibri" w:hAnsi="Calibri"/>
                <w:b w:val="0"/>
                <w:i w:val="0"/>
                <w:color w:val="212121"/>
                <w:sz w:val="16"/>
              </w:rPr>
              <w:t>No predisposition</w:t>
            </w:r>
          </w:p>
        </w:tc>
        <w:tc>
          <w:tcPr>
            <w:tcW w:type="dxa" w:w="950"/>
            <w:vAlign w:val="top"/>
          </w:tcPr>
          <w:p>
            <w:pPr>
              <w:spacing w:after="40" w:before="0" w:line="259" w:lineRule="auto"/>
            </w:pPr>
            <w:r>
              <w:rPr>
                <w:rFonts w:ascii="Calibri" w:hAnsi="Calibri"/>
                <w:b w:val="0"/>
                <w:i w:val="0"/>
                <w:color w:val="212121"/>
                <w:sz w:val="16"/>
              </w:rPr>
              <w:t>One or more predisposing factors</w:t>
            </w:r>
          </w:p>
        </w:tc>
        <w:tc>
          <w:tcPr>
            <w:tcW w:type="dxa" w:w="1036"/>
            <w:vAlign w:val="top"/>
          </w:tcPr>
          <w:p>
            <w:pPr>
              <w:spacing w:after="40" w:before="0" w:line="259" w:lineRule="auto"/>
            </w:pPr>
            <w:r>
              <w:rPr>
                <w:rFonts w:ascii="Calibri" w:hAnsi="Calibri"/>
                <w:b w:val="0"/>
                <w:i w:val="0"/>
                <w:color w:val="212121"/>
                <w:sz w:val="16"/>
              </w:rPr>
              <w:t>Establishes host risk and the likely portal of entry and organism</w:t>
            </w:r>
          </w:p>
        </w:tc>
        <w:tc>
          <w:tcPr>
            <w:tcW w:type="dxa" w:w="1036"/>
            <w:vAlign w:val="top"/>
          </w:tcPr>
          <w:p>
            <w:pPr>
              <w:spacing w:after="40" w:before="0" w:line="259" w:lineRule="auto"/>
            </w:pPr>
            <w:r>
              <w:rPr>
                <w:rFonts w:ascii="Calibri" w:hAnsi="Calibri"/>
                <w:b w:val="0"/>
                <w:i w:val="0"/>
                <w:color w:val="212121"/>
                <w:sz w:val="16"/>
              </w:rPr>
              <w:t>Young RHD/CHD, prosthesis, IVDU, dialysis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Ask specifically about injection drug use and dental work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Auscultation</w:t>
            </w:r>
          </w:p>
        </w:tc>
        <w:tc>
          <w:tcPr>
            <w:tcW w:type="dxa" w:w="950"/>
            <w:vAlign w:val="top"/>
          </w:tcPr>
          <w:p>
            <w:pPr>
              <w:spacing w:after="40" w:before="0" w:line="259" w:lineRule="auto"/>
            </w:pPr>
            <w:r>
              <w:rPr>
                <w:rFonts w:ascii="Calibri" w:hAnsi="Calibri"/>
                <w:b w:val="0"/>
                <w:i w:val="0"/>
                <w:color w:val="212121"/>
                <w:sz w:val="16"/>
              </w:rPr>
              <w:t>Cardiac auscultation</w:t>
            </w:r>
          </w:p>
        </w:tc>
        <w:tc>
          <w:tcPr>
            <w:tcW w:type="dxa" w:w="979"/>
            <w:vAlign w:val="top"/>
          </w:tcPr>
          <w:p>
            <w:pPr>
              <w:spacing w:after="40" w:before="0" w:line="259" w:lineRule="auto"/>
            </w:pPr>
            <w:r>
              <w:rPr>
                <w:rFonts w:ascii="Calibri" w:hAnsi="Calibri"/>
                <w:b w:val="0"/>
                <w:i w:val="0"/>
                <w:color w:val="212121"/>
                <w:sz w:val="16"/>
              </w:rPr>
              <w:t>New or changing regurgitant murmur</w:t>
            </w:r>
          </w:p>
        </w:tc>
        <w:tc>
          <w:tcPr>
            <w:tcW w:type="dxa" w:w="950"/>
            <w:vAlign w:val="top"/>
          </w:tcPr>
          <w:p>
            <w:pPr>
              <w:spacing w:after="40" w:before="0" w:line="259" w:lineRule="auto"/>
            </w:pPr>
            <w:r>
              <w:rPr>
                <w:rFonts w:ascii="Calibri" w:hAnsi="Calibri"/>
                <w:b w:val="0"/>
                <w:i w:val="0"/>
                <w:color w:val="212121"/>
                <w:sz w:val="16"/>
              </w:rPr>
              <w:t>No murmur / unchanged murmur</w:t>
            </w:r>
          </w:p>
        </w:tc>
        <w:tc>
          <w:tcPr>
            <w:tcW w:type="dxa" w:w="950"/>
            <w:vAlign w:val="top"/>
          </w:tcPr>
          <w:p>
            <w:pPr>
              <w:spacing w:after="40" w:before="0" w:line="259" w:lineRule="auto"/>
            </w:pPr>
            <w:r>
              <w:rPr>
                <w:rFonts w:ascii="Calibri" w:hAnsi="Calibri"/>
                <w:b w:val="0"/>
                <w:i w:val="0"/>
                <w:color w:val="212121"/>
                <w:sz w:val="16"/>
              </w:rPr>
              <w:t>New or worsening regurgitant murmur</w:t>
            </w:r>
          </w:p>
        </w:tc>
        <w:tc>
          <w:tcPr>
            <w:tcW w:type="dxa" w:w="1036"/>
            <w:vAlign w:val="top"/>
          </w:tcPr>
          <w:p>
            <w:pPr>
              <w:spacing w:after="40" w:before="0" w:line="259" w:lineRule="auto"/>
            </w:pPr>
            <w:r>
              <w:rPr>
                <w:rFonts w:ascii="Calibri" w:hAnsi="Calibri"/>
                <w:b w:val="0"/>
                <w:i w:val="0"/>
                <w:color w:val="212121"/>
                <w:sz w:val="16"/>
              </w:rPr>
              <w:t>Signals valve destruction/regurgitation; a Duke supporting finding</w:t>
            </w:r>
          </w:p>
        </w:tc>
        <w:tc>
          <w:tcPr>
            <w:tcW w:type="dxa" w:w="1036"/>
            <w:vAlign w:val="top"/>
          </w:tcPr>
          <w:p>
            <w:pPr>
              <w:spacing w:after="40" w:before="0" w:line="259" w:lineRule="auto"/>
            </w:pPr>
            <w:r>
              <w:rPr>
                <w:rFonts w:ascii="Calibri" w:hAnsi="Calibri"/>
                <w:b w:val="0"/>
                <w:i w:val="0"/>
                <w:color w:val="212121"/>
                <w:sz w:val="16"/>
              </w:rPr>
              <w:t>All suspected IE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diagnostic</w:t>
            </w:r>
          </w:p>
        </w:tc>
        <w:tc>
          <w:tcPr>
            <w:tcW w:type="dxa" w:w="720"/>
            <w:vAlign w:val="top"/>
          </w:tcPr>
          <w:p>
            <w:pPr>
              <w:spacing w:after="40" w:before="0" w:line="259" w:lineRule="auto"/>
            </w:pPr>
            <w:r>
              <w:rPr>
                <w:rFonts w:ascii="Calibri" w:hAnsi="Calibri"/>
                <w:b w:val="0"/>
                <w:i w:val="0"/>
                <w:color w:val="212121"/>
                <w:sz w:val="16"/>
              </w:rPr>
              <w:t>A changing murmur with fever is highly suggestive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Peripheral stigmata</w:t>
            </w:r>
          </w:p>
        </w:tc>
        <w:tc>
          <w:tcPr>
            <w:tcW w:type="dxa" w:w="979"/>
            <w:vAlign w:val="top"/>
          </w:tcPr>
          <w:p>
            <w:pPr>
              <w:spacing w:after="40" w:before="0" w:line="259" w:lineRule="auto"/>
            </w:pPr>
            <w:r>
              <w:rPr>
                <w:rFonts w:ascii="Calibri" w:hAnsi="Calibri"/>
                <w:b w:val="0"/>
                <w:i w:val="0"/>
                <w:color w:val="212121"/>
                <w:sz w:val="16"/>
              </w:rPr>
              <w:t>Petechiae, splinter haemorrhages, Osler nodes, Janeway lesions, Roth spots, splenomegaly, clubbing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Reflect immune-complex and embolic phenomena (Duke minor criteria)</w:t>
            </w:r>
          </w:p>
        </w:tc>
        <w:tc>
          <w:tcPr>
            <w:tcW w:type="dxa" w:w="1036"/>
            <w:vAlign w:val="top"/>
          </w:tcPr>
          <w:p>
            <w:pPr>
              <w:spacing w:after="40" w:before="0" w:line="259" w:lineRule="auto"/>
            </w:pPr>
            <w:r>
              <w:rPr>
                <w:rFonts w:ascii="Calibri" w:hAnsi="Calibri"/>
                <w:b w:val="0"/>
                <w:i w:val="0"/>
                <w:color w:val="212121"/>
                <w:sz w:val="16"/>
              </w:rPr>
              <w:t>Subacute IE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Classic stigmata are now relatively uncommon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Systemic examination</w:t>
            </w:r>
          </w:p>
        </w:tc>
        <w:tc>
          <w:tcPr>
            <w:tcW w:type="dxa" w:w="950"/>
            <w:vAlign w:val="top"/>
          </w:tcPr>
          <w:p>
            <w:pPr>
              <w:spacing w:after="40" w:before="0" w:line="259" w:lineRule="auto"/>
            </w:pPr>
            <w:r>
              <w:rPr>
                <w:rFonts w:ascii="Calibri" w:hAnsi="Calibri"/>
                <w:b w:val="0"/>
                <w:i w:val="0"/>
                <w:color w:val="212121"/>
                <w:sz w:val="16"/>
              </w:rPr>
              <w:t>Signs of complications</w:t>
            </w:r>
          </w:p>
        </w:tc>
        <w:tc>
          <w:tcPr>
            <w:tcW w:type="dxa" w:w="979"/>
            <w:vAlign w:val="top"/>
          </w:tcPr>
          <w:p>
            <w:pPr>
              <w:spacing w:after="40" w:before="0" w:line="259" w:lineRule="auto"/>
            </w:pPr>
            <w:r>
              <w:rPr>
                <w:rFonts w:ascii="Calibri" w:hAnsi="Calibri"/>
                <w:b w:val="0"/>
                <w:i w:val="0"/>
                <w:color w:val="212121"/>
                <w:sz w:val="16"/>
              </w:rPr>
              <w:t>Heart failure (raised JVP, crepitations, oedema); focal neurological deficit; limb ischaemia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Signs of heart failure, embolic stroke or peripheral embolism</w:t>
            </w:r>
          </w:p>
        </w:tc>
        <w:tc>
          <w:tcPr>
            <w:tcW w:type="dxa" w:w="1036"/>
            <w:vAlign w:val="top"/>
          </w:tcPr>
          <w:p>
            <w:pPr>
              <w:spacing w:after="40" w:before="0" w:line="259" w:lineRule="auto"/>
            </w:pPr>
            <w:r>
              <w:rPr>
                <w:rFonts w:ascii="Calibri" w:hAnsi="Calibri"/>
                <w:b w:val="0"/>
                <w:i w:val="0"/>
                <w:color w:val="212121"/>
                <w:sz w:val="16"/>
              </w:rPr>
              <w:t>Identifies the complications that drive mortality and the need for surgery</w:t>
            </w:r>
          </w:p>
        </w:tc>
        <w:tc>
          <w:tcPr>
            <w:tcW w:type="dxa" w:w="1036"/>
            <w:vAlign w:val="top"/>
          </w:tcPr>
          <w:p>
            <w:pPr>
              <w:spacing w:after="40" w:before="0" w:line="259" w:lineRule="auto"/>
            </w:pPr>
            <w:r>
              <w:rPr>
                <w:rFonts w:ascii="Calibri" w:hAnsi="Calibri"/>
                <w:b w:val="0"/>
                <w:i w:val="0"/>
                <w:color w:val="212121"/>
                <w:sz w:val="16"/>
              </w:rPr>
              <w:t>Advanced/complicated IE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Heart failure is the leading indication for surgery and predictor of death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Fever pattern &amp; course</w:t>
            </w:r>
          </w:p>
        </w:tc>
        <w:tc>
          <w:tcPr>
            <w:tcW w:type="dxa" w:w="979"/>
            <w:vAlign w:val="top"/>
          </w:tcPr>
          <w:p>
            <w:pPr>
              <w:spacing w:after="40" w:before="0" w:line="259" w:lineRule="auto"/>
            </w:pPr>
            <w:r>
              <w:rPr>
                <w:rFonts w:ascii="Calibri" w:hAnsi="Calibri"/>
                <w:b w:val="0"/>
                <w:i w:val="0"/>
                <w:color w:val="212121"/>
                <w:sz w:val="16"/>
              </w:rPr>
              <w:t>Acute fulminant vs subacute indolent onset</w:t>
            </w:r>
          </w:p>
        </w:tc>
        <w:tc>
          <w:tcPr>
            <w:tcW w:type="dxa" w:w="950"/>
            <w:vAlign w:val="top"/>
          </w:tcPr>
          <w:p>
            <w:pPr>
              <w:spacing w:after="40" w:before="0" w:line="259" w:lineRule="auto"/>
            </w:pPr>
            <w:r>
              <w:rPr>
                <w:rFonts w:ascii="Calibri" w:hAnsi="Calibri"/>
                <w:b w:val="0"/>
                <w:i w:val="0"/>
                <w:color w:val="212121"/>
                <w:sz w:val="16"/>
              </w:rPr>
              <w:t>Afebrile</w:t>
            </w:r>
          </w:p>
        </w:tc>
        <w:tc>
          <w:tcPr>
            <w:tcW w:type="dxa" w:w="950"/>
            <w:vAlign w:val="top"/>
          </w:tcPr>
          <w:p>
            <w:pPr>
              <w:spacing w:after="40" w:before="0" w:line="259" w:lineRule="auto"/>
            </w:pPr>
            <w:r>
              <w:rPr>
                <w:rFonts w:ascii="Calibri" w:hAnsi="Calibri"/>
                <w:b w:val="0"/>
                <w:i w:val="0"/>
                <w:color w:val="212121"/>
                <w:sz w:val="16"/>
              </w:rPr>
              <w:t>Acute high fever (S. aureus) or prolonged low-grade fever (viridans strep)</w:t>
            </w:r>
          </w:p>
        </w:tc>
        <w:tc>
          <w:tcPr>
            <w:tcW w:type="dxa" w:w="1036"/>
            <w:vAlign w:val="top"/>
          </w:tcPr>
          <w:p>
            <w:pPr>
              <w:spacing w:after="40" w:before="0" w:line="259" w:lineRule="auto"/>
            </w:pPr>
            <w:r>
              <w:rPr>
                <w:rFonts w:ascii="Calibri" w:hAnsi="Calibri"/>
                <w:b w:val="0"/>
                <w:i w:val="0"/>
                <w:color w:val="212121"/>
                <w:sz w:val="16"/>
              </w:rPr>
              <w:t>Helps predict organism and native- vs prosthetic-valve disease</w:t>
            </w:r>
          </w:p>
        </w:tc>
        <w:tc>
          <w:tcPr>
            <w:tcW w:type="dxa" w:w="1036"/>
            <w:vAlign w:val="top"/>
          </w:tcPr>
          <w:p>
            <w:pPr>
              <w:spacing w:after="40" w:before="0" w:line="259" w:lineRule="auto"/>
            </w:pPr>
            <w:r>
              <w:rPr>
                <w:rFonts w:ascii="Calibri" w:hAnsi="Calibri"/>
                <w:b w:val="0"/>
                <w:i w:val="0"/>
                <w:color w:val="212121"/>
                <w:sz w:val="16"/>
              </w:rPr>
              <w:t>All suspected IE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Risk-stratifying</w:t>
            </w:r>
          </w:p>
        </w:tc>
        <w:tc>
          <w:tcPr>
            <w:tcW w:type="dxa" w:w="720"/>
            <w:vAlign w:val="top"/>
          </w:tcPr>
          <w:p>
            <w:pPr>
              <w:spacing w:after="40" w:before="0" w:line="259" w:lineRule="auto"/>
            </w:pPr>
            <w:r>
              <w:rPr>
                <w:rFonts w:ascii="Calibri" w:hAnsi="Calibri"/>
                <w:b w:val="0"/>
                <w:i w:val="0"/>
                <w:color w:val="212121"/>
                <w:sz w:val="16"/>
              </w:rPr>
              <w:t>Acute course suggests virulent organism and normal-valve involvement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Fever with chills /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consistent symptom; may be high-grade in acute IE or low-grade and prolonged in subacute disease.</w:t>
            </w:r>
          </w:p>
        </w:tc>
      </w:tr>
      <w:tr>
        <w:trPr>
          <w:cantSplit/>
        </w:trPr>
        <w:tc>
          <w:tcPr>
            <w:tcW w:type="dxa" w:w="2304"/>
            <w:vAlign w:val="top"/>
          </w:tcPr>
          <w:p>
            <w:pPr>
              <w:spacing w:after="40" w:before="0" w:line="259" w:lineRule="auto"/>
            </w:pPr>
            <w:r>
              <w:rPr>
                <w:rFonts w:ascii="Calibri" w:hAnsi="Calibri"/>
                <w:b/>
                <w:i w:val="0"/>
                <w:color w:val="212121"/>
                <w:sz w:val="19"/>
              </w:rPr>
              <w:t>Fatigue, malaise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chronic systemic infection and anaemia; prominent in subacute endocarditis.</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constitutional feature of subacute bacterial endocarditis.</w:t>
            </w:r>
          </w:p>
        </w:tc>
      </w:tr>
      <w:tr>
        <w:trPr>
          <w:cantSplit/>
        </w:trPr>
        <w:tc>
          <w:tcPr>
            <w:tcW w:type="dxa" w:w="2304"/>
            <w:vAlign w:val="top"/>
          </w:tcPr>
          <w:p>
            <w:pPr>
              <w:spacing w:after="40" w:before="0" w:line="259" w:lineRule="auto"/>
            </w:pPr>
            <w:r>
              <w:rPr>
                <w:rFonts w:ascii="Calibri" w:hAnsi="Calibri"/>
                <w:b/>
                <w:i w:val="0"/>
                <w:color w:val="212121"/>
                <w:sz w:val="19"/>
              </w:rPr>
              <w:t>Anorexia and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Indolent weight loss over weeks is typical of subacute streptococcal disease.</w:t>
            </w:r>
          </w:p>
        </w:tc>
      </w:tr>
      <w:tr>
        <w:trPr>
          <w:cantSplit/>
        </w:trPr>
        <w:tc>
          <w:tcPr>
            <w:tcW w:type="dxa" w:w="2304"/>
            <w:vAlign w:val="top"/>
          </w:tcPr>
          <w:p>
            <w:pPr>
              <w:spacing w:after="40" w:before="0" w:line="259" w:lineRule="auto"/>
            </w:pPr>
            <w:r>
              <w:rPr>
                <w:rFonts w:ascii="Calibri" w:hAnsi="Calibri"/>
                <w:b/>
                <w:i w:val="0"/>
                <w:color w:val="212121"/>
                <w:sz w:val="19"/>
              </w:rPr>
              <w:t>Breathlessness / exertional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Results from valve destruction, acute regurgitation and heart failure.</w:t>
            </w:r>
          </w:p>
        </w:tc>
      </w:tr>
      <w:tr>
        <w:trPr>
          <w:cantSplit/>
        </w:trPr>
        <w:tc>
          <w:tcPr>
            <w:tcW w:type="dxa" w:w="2304"/>
            <w:vAlign w:val="top"/>
          </w:tcPr>
          <w:p>
            <w:pPr>
              <w:spacing w:after="40" w:before="0" w:line="259" w:lineRule="auto"/>
            </w:pPr>
            <w:r>
              <w:rPr>
                <w:rFonts w:ascii="Calibri" w:hAnsi="Calibri"/>
                <w:b/>
                <w:i w:val="0"/>
                <w:color w:val="212121"/>
                <w:sz w:val="19"/>
              </w:rPr>
              <w:t>Arthralgia, myalgia and 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Immune-mediated musculoskeletal symptoms; new back pain may signal vertebral septic emboli/discitis.</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new arrhythmia or the hyperdynamic state of significant regurgitation.</w:t>
            </w:r>
          </w:p>
        </w:tc>
      </w:tr>
      <w:tr>
        <w:trPr>
          <w:cantSplit/>
        </w:trPr>
        <w:tc>
          <w:tcPr>
            <w:tcW w:type="dxa" w:w="2304"/>
            <w:vAlign w:val="top"/>
          </w:tcPr>
          <w:p>
            <w:pPr>
              <w:spacing w:after="40" w:before="0" w:line="259" w:lineRule="auto"/>
            </w:pPr>
            <w:r>
              <w:rPr>
                <w:rFonts w:ascii="Calibri" w:hAnsi="Calibri"/>
                <w:b/>
                <w:i w:val="0"/>
                <w:color w:val="212121"/>
                <w:sz w:val="19"/>
              </w:rPr>
              <w:t>Cough and pleuritic 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 septic pulmonary emboli in right-sided (tricuspid) endocarditis, typical of injection drug use.</w:t>
            </w:r>
          </w:p>
        </w:tc>
      </w:tr>
      <w:tr>
        <w:trPr>
          <w:cantSplit/>
        </w:trPr>
        <w:tc>
          <w:tcPr>
            <w:tcW w:type="dxa" w:w="2304"/>
            <w:vAlign w:val="top"/>
          </w:tcPr>
          <w:p>
            <w:pPr>
              <w:spacing w:after="40" w:before="0" w:line="259" w:lineRule="auto"/>
            </w:pPr>
            <w:r>
              <w:rPr>
                <w:rFonts w:ascii="Calibri" w:hAnsi="Calibri"/>
                <w:b/>
                <w:i w:val="0"/>
                <w:color w:val="212121"/>
                <w:sz w:val="19"/>
              </w:rPr>
              <w:t>Focal neurological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Weakness, speech or visual disturbance from embolic (cardioembolic/septic) stroke.</w:t>
            </w:r>
          </w:p>
        </w:tc>
      </w:tr>
      <w:tr>
        <w:trPr>
          <w:cantSplit/>
        </w:trPr>
        <w:tc>
          <w:tcPr>
            <w:tcW w:type="dxa" w:w="2304"/>
            <w:vAlign w:val="top"/>
          </w:tcPr>
          <w:p>
            <w:pPr>
              <w:spacing w:after="40" w:before="0" w:line="259" w:lineRule="auto"/>
            </w:pPr>
            <w:r>
              <w:rPr>
                <w:rFonts w:ascii="Calibri" w:hAnsi="Calibri"/>
                <w:b/>
                <w:i w:val="0"/>
                <w:color w:val="212121"/>
                <w:sz w:val="19"/>
              </w:rPr>
              <w:t>Painful fingers or toes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Tender pulp nodules (Osler nodes) from immune-complex vasculitis.</w:t>
            </w:r>
          </w:p>
        </w:tc>
      </w:tr>
      <w:tr>
        <w:trPr>
          <w:cantSplit/>
        </w:trPr>
        <w:tc>
          <w:tcPr>
            <w:tcW w:type="dxa" w:w="2304"/>
            <w:vAlign w:val="top"/>
          </w:tcPr>
          <w:p>
            <w:pPr>
              <w:spacing w:after="40" w:before="0" w:line="259" w:lineRule="auto"/>
            </w:pPr>
            <w:r>
              <w:rPr>
                <w:rFonts w:ascii="Calibri" w:hAnsi="Calibri"/>
                <w:b/>
                <w:i w:val="0"/>
                <w:color w:val="212121"/>
                <w:sz w:val="19"/>
              </w:rPr>
              <w:t>Haematuria or flank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renal infarction or immune-complex glomerulonephritis.</w:t>
            </w:r>
          </w:p>
        </w:tc>
      </w:tr>
      <w:tr>
        <w:trPr>
          <w:cantSplit/>
        </w:trPr>
        <w:tc>
          <w:tcPr>
            <w:tcW w:type="dxa" w:w="2304"/>
            <w:vAlign w:val="top"/>
          </w:tcPr>
          <w:p>
            <w:pPr>
              <w:spacing w:after="40" w:before="0" w:line="259" w:lineRule="auto"/>
            </w:pPr>
            <w:r>
              <w:rPr>
                <w:rFonts w:ascii="Calibri" w:hAnsi="Calibri"/>
                <w:b/>
                <w:i w:val="0"/>
                <w:color w:val="212121"/>
                <w:sz w:val="19"/>
              </w:rPr>
              <w:t>Sudden limb pain and coldness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Acute peripheral arterial embolism from a fragmenting vegetation.</w:t>
            </w:r>
          </w:p>
        </w:tc>
      </w:tr>
      <w:tr>
        <w:trPr>
          <w:cantSplit/>
        </w:trPr>
        <w:tc>
          <w:tcPr>
            <w:tcW w:type="dxa" w:w="2304"/>
            <w:vAlign w:val="top"/>
          </w:tcPr>
          <w:p>
            <w:pPr>
              <w:spacing w:after="40" w:before="0" w:line="259" w:lineRule="auto"/>
            </w:pPr>
            <w:r>
              <w:rPr>
                <w:rFonts w:ascii="Calibri" w:hAnsi="Calibri"/>
                <w:b/>
                <w:i w:val="0"/>
                <w:color w:val="212121"/>
                <w:sz w:val="19"/>
              </w:rPr>
              <w:t>Confusion / altered sensorium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Especially in the elderly, from septic or embolic cerebral involvement.</w:t>
            </w:r>
          </w:p>
        </w:tc>
      </w:tr>
      <w:tr>
        <w:trPr>
          <w:cantSplit/>
        </w:trPr>
        <w:tc>
          <w:tcPr>
            <w:tcW w:type="dxa" w:w="2304"/>
            <w:vAlign w:val="top"/>
          </w:tcPr>
          <w:p>
            <w:pPr>
              <w:spacing w:after="40" w:before="0" w:line="259" w:lineRule="auto"/>
            </w:pPr>
            <w:r>
              <w:rPr>
                <w:rFonts w:ascii="Calibri" w:hAnsi="Calibri"/>
                <w:b/>
                <w:i w:val="0"/>
                <w:color w:val="212121"/>
                <w:sz w:val="19"/>
              </w:rPr>
              <w:t>Abdominal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Splenic or mesenteric embolic infarction.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Pyrexia (fever)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Present in the great majority; a documented temperature &gt;38°C is a Duke minor criterion.</w:t>
            </w:r>
          </w:p>
        </w:tc>
      </w:tr>
      <w:tr>
        <w:trPr>
          <w:cantSplit/>
        </w:trPr>
        <w:tc>
          <w:tcPr>
            <w:tcW w:type="dxa" w:w="3456"/>
            <w:vAlign w:val="top"/>
          </w:tcPr>
          <w:p>
            <w:pPr>
              <w:spacing w:after="40" w:before="0" w:line="259" w:lineRule="auto"/>
            </w:pPr>
            <w:r>
              <w:rPr>
                <w:rFonts w:ascii="Calibri" w:hAnsi="Calibri"/>
                <w:b/>
                <w:i w:val="0"/>
                <w:color w:val="212121"/>
                <w:sz w:val="19"/>
              </w:rPr>
              <w:t>New or changing regurgitant murmur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valve leaflet destruction and new regurgitation; a hallmark examination finding.</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Accompanies fever, sepsis and heart failure.</w:t>
            </w:r>
          </w:p>
        </w:tc>
      </w:tr>
      <w:tr>
        <w:trPr>
          <w:cantSplit/>
        </w:trPr>
        <w:tc>
          <w:tcPr>
            <w:tcW w:type="dxa" w:w="3456"/>
            <w:vAlign w:val="top"/>
          </w:tcPr>
          <w:p>
            <w:pPr>
              <w:spacing w:after="40" w:before="0" w:line="259" w:lineRule="auto"/>
            </w:pPr>
            <w:r>
              <w:rPr>
                <w:rFonts w:ascii="Calibri" w:hAnsi="Calibri"/>
                <w:b/>
                <w:i w:val="0"/>
                <w:color w:val="212121"/>
                <w:sz w:val="19"/>
              </w:rPr>
              <w:t>Signs of heart failure (raised JVP, basal crepitations, pedal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 haemodynamically significant valve destruction — the leading cause of death and surgery.</w:t>
            </w:r>
          </w:p>
        </w:tc>
      </w:tr>
      <w:tr>
        <w:trPr>
          <w:cantSplit/>
        </w:trPr>
        <w:tc>
          <w:tcPr>
            <w:tcW w:type="dxa" w:w="3456"/>
            <w:vAlign w:val="top"/>
          </w:tcPr>
          <w:p>
            <w:pPr>
              <w:spacing w:after="40" w:before="0" w:line="259" w:lineRule="auto"/>
            </w:pPr>
            <w:r>
              <w:rPr>
                <w:rFonts w:ascii="Calibri" w:hAnsi="Calibri"/>
                <w:b/>
                <w:i w:val="0"/>
                <w:color w:val="212121"/>
                <w:sz w:val="19"/>
              </w:rPr>
              <w:t>Petechiae (conjunctival, palatal,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 haemorrhages from microemboli and immune-complex vasculitis.</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Common in subacute IE from chronic immune stimulation and splenic emboli.</w:t>
            </w:r>
          </w:p>
        </w:tc>
      </w:tr>
      <w:tr>
        <w:trPr>
          <w:cantSplit/>
        </w:trPr>
        <w:tc>
          <w:tcPr>
            <w:tcW w:type="dxa" w:w="3456"/>
            <w:vAlign w:val="top"/>
          </w:tcPr>
          <w:p>
            <w:pPr>
              <w:spacing w:after="40" w:before="0" w:line="259" w:lineRule="auto"/>
            </w:pPr>
            <w:r>
              <w:rPr>
                <w:rFonts w:ascii="Calibri" w:hAnsi="Calibri"/>
                <w:b/>
                <w:i w:val="0"/>
                <w:color w:val="212121"/>
                <w:sz w:val="19"/>
              </w:rPr>
              <w:t>Splinter haemorrhages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Linear subungual haemorrhages representing small emboli or vasculitis.</w:t>
            </w:r>
          </w:p>
        </w:tc>
      </w:tr>
      <w:tr>
        <w:trPr>
          <w:cantSplit/>
        </w:trPr>
        <w:tc>
          <w:tcPr>
            <w:tcW w:type="dxa" w:w="3456"/>
            <w:vAlign w:val="top"/>
          </w:tcPr>
          <w:p>
            <w:pPr>
              <w:spacing w:after="40" w:before="0" w:line="259" w:lineRule="auto"/>
            </w:pPr>
            <w:r>
              <w:rPr>
                <w:rFonts w:ascii="Calibri" w:hAnsi="Calibri"/>
                <w:b/>
                <w:i w:val="0"/>
                <w:color w:val="212121"/>
                <w:sz w:val="19"/>
              </w:rPr>
              <w:t>Focal neurological deficit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Embolic stroke from a left-sided vegetation, sometimes the presenting event.</w:t>
            </w:r>
          </w:p>
        </w:tc>
      </w:tr>
      <w:tr>
        <w:trPr>
          <w:cantSplit/>
        </w:trPr>
        <w:tc>
          <w:tcPr>
            <w:tcW w:type="dxa" w:w="3456"/>
            <w:vAlign w:val="top"/>
          </w:tcPr>
          <w:p>
            <w:pPr>
              <w:spacing w:after="40" w:before="0" w:line="259" w:lineRule="auto"/>
            </w:pPr>
            <w:r>
              <w:rPr>
                <w:rFonts w:ascii="Calibri" w:hAnsi="Calibri"/>
                <w:b/>
                <w:i w:val="0"/>
                <w:color w:val="212121"/>
                <w:sz w:val="19"/>
              </w:rPr>
              <w:t>Osler nodes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Tender violaceous nodules on finger/toe pulps — an immunologic phenomenon.</w:t>
            </w:r>
          </w:p>
        </w:tc>
      </w:tr>
      <w:tr>
        <w:trPr>
          <w:cantSplit/>
        </w:trPr>
        <w:tc>
          <w:tcPr>
            <w:tcW w:type="dxa" w:w="3456"/>
            <w:vAlign w:val="top"/>
          </w:tcPr>
          <w:p>
            <w:pPr>
              <w:spacing w:after="40" w:before="0" w:line="259" w:lineRule="auto"/>
            </w:pPr>
            <w:r>
              <w:rPr>
                <w:rFonts w:ascii="Calibri" w:hAnsi="Calibri"/>
                <w:b/>
                <w:i w:val="0"/>
                <w:color w:val="212121"/>
                <w:sz w:val="19"/>
              </w:rPr>
              <w:t>Janeway lesions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Painless erythematous macules on palms and soles — a vascular (embolic) phenomenon.</w:t>
            </w:r>
          </w:p>
        </w:tc>
      </w:tr>
      <w:tr>
        <w:trPr>
          <w:cantSplit/>
        </w:trPr>
        <w:tc>
          <w:tcPr>
            <w:tcW w:type="dxa" w:w="3456"/>
            <w:vAlign w:val="top"/>
          </w:tcPr>
          <w:p>
            <w:pPr>
              <w:spacing w:after="40" w:before="0" w:line="259" w:lineRule="auto"/>
            </w:pPr>
            <w:r>
              <w:rPr>
                <w:rFonts w:ascii="Calibri" w:hAnsi="Calibri"/>
                <w:b/>
                <w:i w:val="0"/>
                <w:color w:val="212121"/>
                <w:sz w:val="19"/>
              </w:rPr>
              <w:t>Roth spots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Retinal haemorrhages with pale centres on fundoscopy — an immunologic phenomenon.</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sign of long-standing, untreated subacute endocarditis.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Valve leaflet destruction with acute severe regurgitation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Congestive heart failure — the leading cause of death and of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Perivalvular / annular (ring) abscess and pseudoaneurysm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Aortic-root abscess causing conduction block (AV block)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Prosthetic-valve dehiscence and paravalvular leak</w:t>
            </w:r>
          </w:p>
        </w:tc>
        <w:tc>
          <w:tcPr>
            <w:tcW w:type="dxa" w:w="2980"/>
            <w:vAlign w:val="top"/>
          </w:tcPr>
          <w:p>
            <w:pPr>
              <w:spacing w:after="40" w:before="0" w:line="259" w:lineRule="auto"/>
            </w:pPr>
            <w:r>
              <w:rPr>
                <w:rFonts w:ascii="Calibri" w:hAnsi="Calibri"/>
                <w:b w:val="0"/>
                <w:i w:val="0"/>
                <w:color w:val="212121"/>
                <w:sz w:val="19"/>
              </w:rPr>
              <w:t>Direct cardiac consequences of valve infection and tissue destruction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embolism — embolic (cardioembolic/septic) stroke, splenic, renal, mesenteric and limb infarcts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pulmonary emboli (right-sided endocarditis)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Mycotic aneurysm (cerebral, aortic, visceral)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Metastatic abscess and vertebral osteomyelitis/discitis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Immune-complex glomerulonephritis and 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bacteraemia, sepsis and septic shock</w:t>
            </w:r>
          </w:p>
        </w:tc>
        <w:tc>
          <w:tcPr>
            <w:tcW w:type="dxa" w:w="2980"/>
            <w:vAlign w:val="top"/>
          </w:tcPr>
          <w:p>
            <w:pPr>
              <w:spacing w:after="40" w:before="0" w:line="259" w:lineRule="auto"/>
            </w:pPr>
            <w:r>
              <w:rPr>
                <w:rFonts w:ascii="Calibri" w:hAnsi="Calibri"/>
                <w:b w:val="0"/>
                <w:i w:val="0"/>
                <w:color w:val="212121"/>
                <w:sz w:val="19"/>
              </w:rPr>
              <w:t>Embolic, metastatic and immune-mediated consequences of vegetations and ongoing bacteraemia</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heart failure requiring valve repair or replacement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relapsing endocarditis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neurological disability after embolic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 end-stage renal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Prosthesis-related lifelong anticoagulation and its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(in-hospital mortality ~17% in Indian series, higher with S. aureus or heart failure)</w:t>
            </w:r>
          </w:p>
        </w:tc>
        <w:tc>
          <w:tcPr>
            <w:tcW w:type="dxa" w:w="2980"/>
            <w:vAlign w:val="top"/>
          </w:tcPr>
          <w:p>
            <w:pPr>
              <w:spacing w:after="40" w:before="0" w:line="259" w:lineRule="auto"/>
            </w:pPr>
            <w:r>
              <w:rPr>
                <w:rFonts w:ascii="Calibri" w:hAnsi="Calibri"/>
                <w:b w:val="0"/>
                <w:i w:val="0"/>
                <w:color w:val="212121"/>
                <w:sz w:val="19"/>
              </w:rPr>
              <w:t>Irreversible, disabling or fatal outcomes of longstanding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Rheumatic heart disease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The commonest predisposing valve lesion for IE in India, providing scarred, abnormal endocardium for colonisation.</w:t>
            </w:r>
          </w:p>
          <w:p>
            <w:pPr>
              <w:spacing w:after="40" w:before="0" w:line="259" w:lineRule="auto"/>
            </w:pPr>
            <w:r>
              <w:rPr>
                <w:rFonts w:ascii="Calibri" w:hAnsi="Calibri"/>
                <w:b/>
                <w:i w:val="0"/>
                <w:color w:val="212121"/>
                <w:sz w:val="19"/>
              </w:rPr>
              <w:t>~31% (India)</w:t>
            </w:r>
          </w:p>
        </w:tc>
      </w:tr>
      <w:tr>
        <w:trPr>
          <w:cantSplit/>
        </w:trPr>
        <w:tc>
          <w:tcPr>
            <w:tcW w:type="dxa" w:w="2232"/>
            <w:vAlign w:val="top"/>
          </w:tcPr>
          <w:p>
            <w:pPr>
              <w:spacing w:after="40" w:before="0" w:line="259" w:lineRule="auto"/>
            </w:pPr>
            <w:r>
              <w:rPr>
                <w:rFonts w:ascii="Calibri" w:hAnsi="Calibri"/>
                <w:b/>
                <w:i w:val="0"/>
                <w:color w:val="212121"/>
                <w:sz w:val="19"/>
              </w:rPr>
              <w:t>Mitral valve prolapse with regurgitation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frequent native-valve substrate; the redundant leaflet and regurgitant jet favour vegetation formation.</w:t>
            </w:r>
          </w:p>
          <w:p>
            <w:pPr>
              <w:spacing w:after="40" w:before="0" w:line="259" w:lineRule="auto"/>
            </w:pPr>
            <w:r>
              <w:rPr>
                <w:rFonts w:ascii="Calibri" w:hAnsi="Calibri"/>
                <w:b/>
                <w:i w:val="0"/>
                <w:color w:val="212121"/>
                <w:sz w:val="19"/>
              </w:rPr>
              <w:t>~24% (India)</w:t>
            </w:r>
          </w:p>
        </w:tc>
      </w:tr>
      <w:tr>
        <w:trPr>
          <w:cantSplit/>
        </w:trPr>
        <w:tc>
          <w:tcPr>
            <w:tcW w:type="dxa" w:w="2232"/>
            <w:vAlign w:val="top"/>
          </w:tcPr>
          <w:p>
            <w:pPr>
              <w:spacing w:after="40" w:before="0" w:line="259" w:lineRule="auto"/>
            </w:pPr>
            <w:r>
              <w:rPr>
                <w:rFonts w:ascii="Calibri" w:hAnsi="Calibri"/>
                <w:b/>
                <w:i w:val="0"/>
                <w:color w:val="212121"/>
                <w:sz w:val="19"/>
              </w:rPr>
              <w:t>Congenital heart disease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Turbulent flow across septal defects and abnormal valves predisposes to endocarditis, especially in the young.</w:t>
            </w:r>
          </w:p>
          <w:p>
            <w:pPr>
              <w:spacing w:after="40" w:before="0" w:line="259" w:lineRule="auto"/>
            </w:pPr>
            <w:r>
              <w:rPr>
                <w:rFonts w:ascii="Calibri" w:hAnsi="Calibri"/>
                <w:b/>
                <w:i w:val="0"/>
                <w:color w:val="212121"/>
                <w:sz w:val="19"/>
              </w:rPr>
              <w:t>~16% (India)</w:t>
            </w:r>
          </w:p>
        </w:tc>
      </w:tr>
      <w:tr>
        <w:trPr>
          <w:cantSplit/>
        </w:trPr>
        <w:tc>
          <w:tcPr>
            <w:tcW w:type="dxa" w:w="2232"/>
            <w:vAlign w:val="top"/>
          </w:tcPr>
          <w:p>
            <w:pPr>
              <w:spacing w:after="40" w:before="0" w:line="259" w:lineRule="auto"/>
            </w:pPr>
            <w:r>
              <w:rPr>
                <w:rFonts w:ascii="Calibri" w:hAnsi="Calibri"/>
                <w:b/>
                <w:i w:val="0"/>
                <w:color w:val="212121"/>
                <w:sz w:val="19"/>
              </w:rPr>
              <w:t>Congestive heart failure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The commonest complication and leading cause of death and surgery in IE.</w:t>
            </w:r>
          </w:p>
          <w:p>
            <w:pPr>
              <w:spacing w:after="40" w:before="0" w:line="259" w:lineRule="auto"/>
            </w:pPr>
            <w:r>
              <w:rPr>
                <w:rFonts w:ascii="Calibri" w:hAnsi="Calibri"/>
                <w:b/>
                <w:i w:val="0"/>
                <w:color w:val="212121"/>
                <w:sz w:val="19"/>
              </w:rPr>
              <w:t>~31% (India)</w:t>
            </w:r>
          </w:p>
        </w:tc>
      </w:tr>
      <w:tr>
        <w:trPr>
          <w:cantSplit/>
        </w:trPr>
        <w:tc>
          <w:tcPr>
            <w:tcW w:type="dxa" w:w="2232"/>
            <w:vAlign w:val="top"/>
          </w:tcPr>
          <w:p>
            <w:pPr>
              <w:spacing w:after="40" w:before="0" w:line="259" w:lineRule="auto"/>
            </w:pPr>
            <w:r>
              <w:rPr>
                <w:rFonts w:ascii="Calibri" w:hAnsi="Calibri"/>
                <w:b/>
                <w:i w:val="0"/>
                <w:color w:val="212121"/>
                <w:sz w:val="19"/>
              </w:rPr>
              <w:t>Acute kidney injury</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From septic haemodynamics, emboli, immune-complex glomerulonephritis and nephrotoxic therapy.</w:t>
            </w:r>
          </w:p>
          <w:p>
            <w:pPr>
              <w:spacing w:after="40" w:before="0" w:line="259" w:lineRule="auto"/>
            </w:pPr>
            <w:r>
              <w:rPr>
                <w:rFonts w:ascii="Calibri" w:hAnsi="Calibri"/>
                <w:b/>
                <w:i w:val="0"/>
                <w:color w:val="212121"/>
                <w:sz w:val="19"/>
              </w:rPr>
              <w:t>~26% (India)</w:t>
            </w:r>
          </w:p>
        </w:tc>
      </w:tr>
      <w:tr>
        <w:trPr>
          <w:cantSplit/>
        </w:trPr>
        <w:tc>
          <w:tcPr>
            <w:tcW w:type="dxa" w:w="2232"/>
            <w:vAlign w:val="top"/>
          </w:tcPr>
          <w:p>
            <w:pPr>
              <w:spacing w:after="40" w:before="0" w:line="259" w:lineRule="auto"/>
            </w:pPr>
            <w:r>
              <w:rPr>
                <w:rFonts w:ascii="Calibri" w:hAnsi="Calibri"/>
                <w:b/>
                <w:i w:val="0"/>
                <w:color w:val="212121"/>
                <w:sz w:val="19"/>
              </w:rPr>
              <w:t>Embolic stroke / systemic embolism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Fragmentation of left-sided vegetations causes cerebral and visceral infarcts.</w:t>
            </w:r>
          </w:p>
          <w:p>
            <w:pPr>
              <w:spacing w:after="40" w:before="0" w:line="259" w:lineRule="auto"/>
            </w:pPr>
            <w:r>
              <w:rPr>
                <w:rFonts w:ascii="Calibri" w:hAnsi="Calibri"/>
                <w:b/>
                <w:i w:val="0"/>
                <w:color w:val="212121"/>
                <w:sz w:val="19"/>
              </w:rPr>
              <w:t>~22% (India)</w:t>
            </w:r>
          </w:p>
        </w:tc>
      </w:tr>
      <w:tr>
        <w:trPr>
          <w:cantSplit/>
        </w:trPr>
        <w:tc>
          <w:tcPr>
            <w:tcW w:type="dxa" w:w="2232"/>
            <w:vAlign w:val="top"/>
          </w:tcPr>
          <w:p>
            <w:pPr>
              <w:spacing w:after="40" w:before="0" w:line="259" w:lineRule="auto"/>
            </w:pPr>
            <w:r>
              <w:rPr>
                <w:rFonts w:ascii="Calibri" w:hAnsi="Calibri"/>
                <w:b/>
                <w:i w:val="0"/>
                <w:color w:val="212121"/>
                <w:sz w:val="19"/>
              </w:rPr>
              <w:t>Sepsis / septic shock</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Uncontrolled bacteraemia can progress to shock and multi-organ failure.</w:t>
            </w:r>
          </w:p>
          <w:p>
            <w:pPr>
              <w:spacing w:after="40" w:before="0" w:line="259" w:lineRule="auto"/>
            </w:pPr>
            <w:r>
              <w:rPr>
                <w:rFonts w:ascii="Calibri" w:hAnsi="Calibri"/>
                <w:b/>
                <w:i w:val="0"/>
                <w:color w:val="212121"/>
                <w:sz w:val="19"/>
              </w:rPr>
              <w:t>~17% (India)</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Impairs immunity and predisposes to S. aureus bacteraemia and worse outcomes.</w:t>
            </w:r>
          </w:p>
        </w:tc>
      </w:tr>
      <w:tr>
        <w:trPr>
          <w:cantSplit/>
        </w:trPr>
        <w:tc>
          <w:tcPr>
            <w:tcW w:type="dxa" w:w="2232"/>
            <w:vAlign w:val="top"/>
          </w:tcPr>
          <w:p>
            <w:pPr>
              <w:spacing w:after="40" w:before="0" w:line="259" w:lineRule="auto"/>
            </w:pPr>
            <w:r>
              <w:rPr>
                <w:rFonts w:ascii="Calibri" w:hAnsi="Calibri"/>
                <w:b/>
                <w:i w:val="0"/>
                <w:color w:val="212121"/>
                <w:sz w:val="19"/>
              </w:rPr>
              <w:t>Chronic kidney disease / haemodialysis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Vascular-access bacteraemia and uraemic immune dysfunction make dialysis patients a high-risk group.</w:t>
            </w:r>
          </w:p>
        </w:tc>
      </w:tr>
      <w:tr>
        <w:trPr>
          <w:cantSplit/>
        </w:trPr>
        <w:tc>
          <w:tcPr>
            <w:tcW w:type="dxa" w:w="2232"/>
            <w:vAlign w:val="top"/>
          </w:tcPr>
          <w:p>
            <w:pPr>
              <w:spacing w:after="40" w:before="0" w:line="259" w:lineRule="auto"/>
            </w:pPr>
            <w:r>
              <w:rPr>
                <w:rFonts w:ascii="Calibri" w:hAnsi="Calibri"/>
                <w:b/>
                <w:i w:val="0"/>
                <w:color w:val="212121"/>
                <w:sz w:val="19"/>
              </w:rPr>
              <w:t>Prosthetic heart valve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Prosthetic material carries the highest per-patient risk of endocarditis and warrants antibiotic prophylaxis before invasive procedures.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excellent oral and dental hygiene — brush twice daily, clean between teeth, and attend regular dental review — as this reduces the everyday bacteraemia that causes most streptococcal endocarditis.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a high-risk cardiac condition (prosthetic valve, previous endocarditis, certain congenital heart disease, or a valve repair with prosthetic material), take prescribed antibiotic prophylaxis before invasive dental and surgical procedures and carry an alert card.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childhood sore throats promptly and take secondary penicillin prophylaxis for rheumatic heart disease — preventing valve scarring removes the substrate on which endocarditis grows.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share needles or inject non-sterile substances, and seek de-addiction help, as injection drug use is a leading cause of right-sided endocarditis.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unexplained fever lasting more than a week, night sweats, fatigue and breathlessness, especially with a known heart condition — and ensure blood cultures are taken before antibiotics are started.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Insist on meticulous asepsis and prompt removal of intravascular catheters and dialysis lines to prevent healthcare-associated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cardiac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RHD / CHD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Prosthetic-valve recipients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inject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active endocarditis, rest as advised — strenuous activity is unsafe while valve integrity and cardiac function are 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treatment, resume activity gradually and only as guided by the cardiologist, particularly if valve surgery was performed.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supervised cardiac rehabilitation after valve surgery to rebuild fitness safely.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and report new breathlessness, chest pain, palpitations or fainting, which may signal valve failure or heart failure.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IE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Post-valve-surgery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protein- and micronutrient-adequate diet to support immune defence and recovery from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sugary foods and drinks that promote dental caries and gum disease — a portal for oral streptococci.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dietary salt (&lt;5 g/day) if valve damage has caused heart failure, to limit fluid overload and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good childhood and maternal nutrition to lower rheumatic-fever susceptibility.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diabetic, keep tight glycaemic control, as poorly controlled diabetes predisposes to Staphylococcus aureus bacteraemia.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IE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adequate rest during and after treatment to support immune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drenching night sweats and breathlessness on lying flat, which can indicate ongoing infection or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7–9 hour sleep routine to aid cardiovascular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IE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tobacco damages the vascular endothelium and worsens oral and gum disease, increasing endocarditis risk on abnormal valves.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to sustain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Quitting also improves surgical and post-operative outcomes if valve surgery becomes necessary.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valve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as heavy use impairs immunity and is associated with poor dentition and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if there is coexisting liver disease or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which often accompanies other high-risk behaviours.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valve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substance-use disorder with structured support and harm-reduction / de-addiction services, since injection drug use is a principal cause of right-sided and recurrent endocarditis.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patients through the anxiety of a prolonged (typically 4–6 week) intravenous antibiotic course and possible valve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education and reminders to sustain adherence to prophylaxis, follow-up and (for RHD) penicillin injections.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which reduces self-care and adherence to prevention and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inject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prolonged IV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 and post-surgical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RHD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9716704/" TargetMode="External"/><Relationship Id="rId10" Type="http://schemas.openxmlformats.org/officeDocument/2006/relationships/hyperlink" Target="https://link.springer.com/article/10.1186/s12889-025-22100-z" TargetMode="External"/><Relationship Id="rId11" Type="http://schemas.openxmlformats.org/officeDocument/2006/relationships/hyperlink" Target="https://www.who.int/news-room/fact-sheets/detail/rheumatic-heart-disease" TargetMode="External"/><Relationship Id="rId12" Type="http://schemas.openxmlformats.org/officeDocument/2006/relationships/hyperlink" Target="https://www.ncbi.nlm.nih.gov/books/NBK557641/" TargetMode="External"/><Relationship Id="rId13" Type="http://schemas.openxmlformats.org/officeDocument/2006/relationships/hyperlink" Target="https://www.aafp.org/afp/2008/0215/p538" TargetMode="External"/><Relationship Id="rId14" Type="http://schemas.openxmlformats.org/officeDocument/2006/relationships/hyperlink" Target="https://www.mdcalc.com/calc/10564/2023-duke-international-society-cardiovascular-infectious-diseases-iscvid-crite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