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Venous Varicosities</w:t>
      </w:r>
    </w:p>
    <w:p>
      <w:pPr>
        <w:spacing w:before="0" w:after="160"/>
      </w:pPr>
      <w:r>
        <w:rPr>
          <w:rFonts w:ascii="Calibri" w:hAnsi="Calibri"/>
          <w:b/>
          <w:i w:val="0"/>
          <w:color w:val="212121"/>
          <w:sz w:val="22"/>
        </w:rPr>
        <w:t xml:space="preserve">AKA </w:t>
      </w:r>
      <w:r>
        <w:rPr>
          <w:rFonts w:ascii="Calibri" w:hAnsi="Calibri"/>
          <w:b w:val="0"/>
          <w:i w:val="0"/>
          <w:color w:val="212121"/>
          <w:sz w:val="22"/>
        </w:rPr>
        <w:t>i.e., Varicose veins, Varicosities, Varicosis, Dilated/tortuous leg veins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Venous varicosities (varicose veins) are dilated, elongated and tortuous subcutaneous veins, 3 mm or more in diameter in the standing position, that develop most commonly in the superficial venous system of the lower limbs. They arise when incompetent (leaky) venous valves allow blood to flow backwards (reflux) and pool against gravity, raising pressure in the superficial veins and causing them to bulge visibly beneath the skin. Although frequently regarded as a cosmetic issue, they lie on the spectrum of chronic venous disease and can progress to oedema, skin changes and venous ulceration.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Varicose veins are among the most common vascular conditions worldwide, reported in up to about 30% of adults over a lifetime, with women affected roughly twice as often as men. In India, community estimates are more conservative: a 2026 cross-sectional study of 1,151 rural adults in Tamil Nadu found a 7.2% prevalence of chronic venous disorders, of which varicose veins accounted for 4.5% — consistent with the widely quoted figure of roughly 5% for symptomatic varicose veins in the Indian population. Prevalence rises sharply with prolonged standing at work; screening of hospital nurses has shown rates as high as ~16%.</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Varicose veins are primarily a clinical diagnosis, confirmed and staged with duplex ultrasonography. The following support the diagnosis and guide management: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visible dilated, tortuous subcutaneous veins ≥ 3 mm in diameter in the erect position, typically in the great or small saphenous territory;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venous symptoms — leg heaviness, aching, night cramps, itching or swelling that worsen on prolonged standing and improve with leg elevation;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venous duplex ultrasound showing reflux (reverse flow &gt; 0.5 s in superficial veins, &gt; 1 s in deep veins) and mapping incompetent saphenofemoral / saphenopopliteal junctions and perforators — the reference-standard investigation;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staging with the CEAP classification (Clinical–Etiological–Anatomical–Pathophysiological);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bedside tests of valvular incompetence (Trendelenburg / tourniquet test, cough impulse) that localise the site of reflux;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coexisting peripheral arterial disease (ankle–brachial index) before compression therapy is prescribed.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internationally accepted framework is the CEAP classification; the Clinical (C) axis is used most in practice and grades severity from C0 to C6:</w:t>
      </w:r>
    </w:p>
    <w:p>
      <w:pPr>
        <w:spacing w:before="0" w:after="80"/>
      </w:pPr>
      <w:r>
        <w:rPr>
          <w:rFonts w:ascii="Calibri" w:hAnsi="Calibri"/>
          <w:b w:val="0"/>
          <w:i w:val="0"/>
          <w:color w:val="212121"/>
          <w:sz w:val="21"/>
        </w:rPr>
        <w:t>(C0) no visible or palpable signs of venous disease; (C1) telangiectasias (spider veins) or reticular veins &lt; 3 mm;</w:t>
      </w:r>
    </w:p>
    <w:p>
      <w:pPr>
        <w:spacing w:before="0" w:after="80"/>
      </w:pPr>
      <w:r>
        <w:rPr>
          <w:rFonts w:ascii="Calibri" w:hAnsi="Calibri"/>
          <w:b w:val="0"/>
          <w:i w:val="0"/>
          <w:color w:val="212121"/>
          <w:sz w:val="21"/>
        </w:rPr>
        <w:t>(C2) varicose veins ≥ 3 mm — the defining clinical stage; (C3) varicose veins with oedema;</w:t>
      </w:r>
    </w:p>
    <w:p>
      <w:pPr>
        <w:spacing w:before="0" w:after="80"/>
      </w:pPr>
      <w:r>
        <w:rPr>
          <w:rFonts w:ascii="Calibri" w:hAnsi="Calibri"/>
          <w:b w:val="0"/>
          <w:i w:val="0"/>
          <w:color w:val="212121"/>
          <w:sz w:val="21"/>
        </w:rPr>
        <w:t>(C4) skin and subcutaneous changes — (C4a) pigmentation or venous eczema, (C4b) lipodermatosclerosis or atrophie blanche, (C4c) corona phlebectatica;</w:t>
      </w:r>
    </w:p>
    <w:p>
      <w:pPr>
        <w:spacing w:before="0" w:after="80"/>
      </w:pPr>
      <w:r>
        <w:rPr>
          <w:rFonts w:ascii="Calibri" w:hAnsi="Calibri"/>
          <w:b w:val="0"/>
          <w:i w:val="0"/>
          <w:color w:val="212121"/>
          <w:sz w:val="21"/>
        </w:rPr>
        <w:t>(C5) healed venous ulcer; (C6) active venous ulcer — the most advanced stage. Each clinical class is further qualified as symptomatic (S) or asymptomatic (A), while the Etiological, Anatomical (superficial / perforator / deep) and Pathophysiological (reflux / obstruction) axes complete the description;</w:t>
      </w:r>
    </w:p>
    <w:p>
      <w:pPr>
        <w:spacing w:before="0" w:after="80"/>
      </w:pPr>
      <w:r>
        <w:rPr>
          <w:rFonts w:ascii="Calibri" w:hAnsi="Calibri"/>
          <w:b w:val="0"/>
          <w:i w:val="0"/>
          <w:color w:val="212121"/>
          <w:sz w:val="21"/>
        </w:rPr>
        <w:t>aetiologically, varicose veins are termed primary (idiopathic valve and wall failure, the large majority) or secondary (following deep vein thrombosis, pelvic-vein reflux, obstruction or arteriovenous malformation).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Valvular incompetence and reflux: Failure of the one-way venous valves permits retrograde flow and sustained venous hypertension that progressively dilates the superficial veins.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Venous wall weakness / matrix remodelling: Imbalance of collagen and elastin with raised matrix-metalloproteinase activity weakens the vein wall; the EFEMP1 gene (elastin/fibulin pathway) is implicated in Indians.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Prolonged orthostatic (standing) load: Sustained upright venous pressure overwhelms the calf muscle pump, the dominant occupational driver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Obesity and raised intra-abdominal pressure: Central adiposity and straining increase venous pressure and impair venous return.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Pregnancy and female sex hormones: Increased circulating volume, progesterone-mediated venodilatation and gravid-uterus compression precipitate varicosities.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and family history: Strong heritability; a positive family history greatly increases risk and clustering is common.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Ageing: Cumulative valve degeneration and loss of vein-wall elasticity raise incidence with 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30–50 yrs)</w:t>
            </w:r>
          </w:p>
        </w:tc>
        <w:tc>
          <w:tcPr>
            <w:tcW w:type="dxa" w:w="4276"/>
            <w:vAlign w:val="top"/>
          </w:tcPr>
          <w:p>
            <w:pPr>
              <w:spacing w:after="60" w:line="259" w:lineRule="auto"/>
            </w:pPr>
            <w:r>
              <w:rPr>
                <w:rFonts w:ascii="Calibri" w:hAnsi="Calibri"/>
                <w:b w:val="0"/>
                <w:i w:val="0"/>
                <w:color w:val="212121"/>
                <w:sz w:val="19"/>
              </w:rPr>
              <w:t>Cumulative years of upright occupational load and gravitational venous pressure progressively damage valves, so clinically significant varicosities cluster in mid-adult, economically active years.</w:t>
            </w:r>
          </w:p>
          <w:p>
            <w:pPr>
              <w:spacing w:after="40" w:before="60" w:line="259" w:lineRule="auto"/>
            </w:pPr>
            <w:r>
              <w:rPr>
                <w:rFonts w:ascii="Calibri" w:hAnsi="Calibri"/>
                <w:b w:val="0"/>
                <w:i w:val="0"/>
                <w:color w:val="212121"/>
                <w:sz w:val="19"/>
              </w:rPr>
              <w:t>In an Indian hospital series of 170 varicose-vein cases, the largest group (31.2%) was aged 41–50 years.</w:t>
            </w:r>
          </w:p>
          <w:p>
            <w:pPr>
              <w:spacing w:after="40" w:line="252" w:lineRule="auto"/>
            </w:pPr>
            <w:hyperlink r:id="rId9">
              <w:r>
                <w:rPr>
                  <w:rFonts w:ascii="Calibri" w:hAnsi="Calibri" w:cs="Calibri"/>
                  <w:sz w:val="18"/>
                  <w:color w:val="1155CC"/>
                  <w:u w:val="single"/>
                </w:rPr>
                <w:t xml:space="preserve">pmc.ncbi.nlm.nih.gov — PMC4878844 (Mangalore review)</w:t>
              </w:r>
            </w:hyperlink>
          </w:p>
          <w:p>
            <w:pPr>
              <w:spacing w:before="60" w:after="40"/>
            </w:pPr>
            <w:r>
              <w:rPr>
                <w:rFonts w:ascii="Calibri" w:hAnsi="Calibri"/>
                <w:b w:val="0"/>
                <w:i w:val="0"/>
                <w:color w:val="5A5A5A"/>
                <w:sz w:val="18"/>
              </w:rPr>
              <w:t>#valveincompetence  #venousreflux  #prolongedstanding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yrs)</w:t>
            </w:r>
          </w:p>
        </w:tc>
        <w:tc>
          <w:tcPr>
            <w:tcW w:type="dxa" w:w="4276"/>
            <w:vAlign w:val="top"/>
          </w:tcPr>
          <w:p>
            <w:pPr>
              <w:spacing w:after="60" w:line="259" w:lineRule="auto"/>
            </w:pPr>
            <w:r>
              <w:rPr>
                <w:rFonts w:ascii="Calibri" w:hAnsi="Calibri"/>
                <w:b w:val="0"/>
                <w:i w:val="0"/>
                <w:color w:val="212121"/>
                <w:sz w:val="19"/>
              </w:rPr>
              <w:t>Age-related valve degeneration and loss of vein-wall elasticity raise both incidence and severity, with more skin changes and ulceration in older limbs.</w:t>
            </w:r>
          </w:p>
          <w:p>
            <w:pPr>
              <w:spacing w:after="40" w:before="60" w:line="259" w:lineRule="auto"/>
            </w:pPr>
            <w:r>
              <w:rPr>
                <w:rFonts w:ascii="Calibri" w:hAnsi="Calibri"/>
                <w:b w:val="0"/>
                <w:i w:val="0"/>
                <w:color w:val="212121"/>
                <w:sz w:val="19"/>
              </w:rPr>
              <w:t>In a prospective cohort of 6,241 older adults (aged 66–70, ARIC study), age was a consistent risk factor for newly recognised varicose veins alongside female sex and obesity.</w:t>
            </w:r>
          </w:p>
          <w:p>
            <w:pPr>
              <w:spacing w:after="40" w:line="252" w:lineRule="auto"/>
            </w:pPr>
            <w:hyperlink r:id="rId10">
              <w:r>
                <w:rPr>
                  <w:rFonts w:ascii="Calibri" w:hAnsi="Calibri" w:cs="Calibri"/>
                  <w:sz w:val="18"/>
                  <w:color w:val="1155CC"/>
                  <w:u w:val="single"/>
                </w:rPr>
                <w:t xml:space="preserve">pubmed.ncbi.nlm.nih.gov/39701487 — older-adult risk factors</w:t>
              </w:r>
            </w:hyperlink>
          </w:p>
          <w:p>
            <w:pPr>
              <w:spacing w:before="60" w:after="40"/>
            </w:pPr>
            <w:r>
              <w:rPr>
                <w:rFonts w:ascii="Calibri" w:hAnsi="Calibri"/>
                <w:b w:val="0"/>
                <w:i w:val="0"/>
                <w:color w:val="5A5A5A"/>
                <w:sz w:val="18"/>
              </w:rPr>
              <w:t>#ageing  #valvedegeneration  #skinchanges  #ulcerrisk</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Oestrogen and progesterone relax the vein wall and pregnancy raises venous pressure, so women develop varicose veins about twice as often as men in community studies.</w:t>
            </w:r>
          </w:p>
          <w:p>
            <w:pPr>
              <w:spacing w:after="40" w:before="60" w:line="259" w:lineRule="auto"/>
            </w:pPr>
            <w:r>
              <w:rPr>
                <w:rFonts w:ascii="Calibri" w:hAnsi="Calibri"/>
                <w:b w:val="0"/>
                <w:i w:val="0"/>
                <w:color w:val="212121"/>
                <w:sz w:val="19"/>
              </w:rPr>
              <w:t>In the Framingham study 30% of women (vs 23% of men) developed varicose veins over 16 years; women are affected roughly 2× as frequently overall.</w:t>
            </w:r>
          </w:p>
          <w:p>
            <w:pPr>
              <w:spacing w:after="40" w:line="252" w:lineRule="auto"/>
            </w:pPr>
            <w:hyperlink r:id="rId11">
              <w:r>
                <w:rPr>
                  <w:rFonts w:ascii="Calibri" w:hAnsi="Calibri" w:cs="Calibri"/>
                  <w:sz w:val="18"/>
                  <w:color w:val="1155CC"/>
                  <w:u w:val="single"/>
                </w:rPr>
                <w:t xml:space="preserve">ncbi.nlm.nih.gov/books/NBK470194 — StatPearls Varicose Veins</w:t>
              </w:r>
            </w:hyperlink>
          </w:p>
          <w:p>
            <w:pPr>
              <w:spacing w:before="60" w:after="40"/>
            </w:pPr>
            <w:r>
              <w:rPr>
                <w:rFonts w:ascii="Calibri" w:hAnsi="Calibri"/>
                <w:b w:val="0"/>
                <w:i w:val="0"/>
                <w:color w:val="5A5A5A"/>
                <w:sz w:val="18"/>
              </w:rPr>
              <w:t>#hormonal  #oestrogen  #pregnancy  #femalepredominance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manual workers (India presentation)</w:t>
            </w:r>
          </w:p>
        </w:tc>
        <w:tc>
          <w:tcPr>
            <w:tcW w:type="dxa" w:w="4276"/>
            <w:vAlign w:val="top"/>
          </w:tcPr>
          <w:p>
            <w:pPr>
              <w:spacing w:after="60" w:line="259" w:lineRule="auto"/>
            </w:pPr>
            <w:r>
              <w:rPr>
                <w:rFonts w:ascii="Calibri" w:hAnsi="Calibri"/>
                <w:b w:val="0"/>
                <w:i w:val="0"/>
                <w:color w:val="212121"/>
                <w:sz w:val="19"/>
              </w:rPr>
              <w:t>Although women predominate biologically, Indian surgical series are dominated by men, reflecting standing manual labour and later presentation of advanced disease among male unskilled workers.</w:t>
            </w:r>
          </w:p>
          <w:p>
            <w:pPr>
              <w:spacing w:after="40" w:before="60" w:line="259" w:lineRule="auto"/>
            </w:pPr>
            <w:r>
              <w:rPr>
                <w:rFonts w:ascii="Calibri" w:hAnsi="Calibri"/>
                <w:b w:val="0"/>
                <w:i w:val="0"/>
                <w:color w:val="212121"/>
                <w:sz w:val="19"/>
              </w:rPr>
              <w:t>In the Mangalore multicentre review, 74.7% of admitted varicose-vein cases were male and 59.4% were unskilled workers; prolonged standing was recorded in 50.6%.</w:t>
            </w:r>
          </w:p>
          <w:p>
            <w:pPr>
              <w:spacing w:after="40" w:line="252" w:lineRule="auto"/>
            </w:pPr>
            <w:hyperlink r:id="rId9">
              <w:r>
                <w:rPr>
                  <w:rFonts w:ascii="Calibri" w:hAnsi="Calibri" w:cs="Calibri"/>
                  <w:sz w:val="18"/>
                  <w:color w:val="1155CC"/>
                  <w:u w:val="single"/>
                </w:rPr>
                <w:t xml:space="preserve">pmc.ncbi.nlm.nih.gov — PMC4878844 (Mangalore review)</w:t>
              </w:r>
            </w:hyperlink>
          </w:p>
          <w:p>
            <w:pPr>
              <w:spacing w:before="60" w:after="40"/>
            </w:pPr>
            <w:r>
              <w:rPr>
                <w:rFonts w:ascii="Calibri" w:hAnsi="Calibri"/>
                <w:b w:val="0"/>
                <w:i w:val="0"/>
                <w:color w:val="5A5A5A"/>
                <w:sz w:val="18"/>
              </w:rPr>
              <w:t>#occupational  #manuallabour  #latepresentation  #indiaprofile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Unskilled / low-income standing workers</w:t>
            </w:r>
          </w:p>
        </w:tc>
        <w:tc>
          <w:tcPr>
            <w:tcW w:type="dxa" w:w="4276"/>
            <w:vAlign w:val="top"/>
          </w:tcPr>
          <w:p>
            <w:pPr>
              <w:spacing w:after="60" w:line="259" w:lineRule="auto"/>
            </w:pPr>
            <w:r>
              <w:rPr>
                <w:rFonts w:ascii="Calibri" w:hAnsi="Calibri"/>
                <w:b w:val="0"/>
                <w:i w:val="0"/>
                <w:color w:val="212121"/>
                <w:sz w:val="19"/>
              </w:rPr>
              <w:t>Standing-intensive low-wage work, limited access to compression garments and delayed care mean lower-income groups present with more advanced, complicated disease.</w:t>
            </w:r>
          </w:p>
          <w:p>
            <w:pPr>
              <w:spacing w:after="40" w:before="60" w:line="259" w:lineRule="auto"/>
            </w:pPr>
            <w:r>
              <w:rPr>
                <w:rFonts w:ascii="Calibri" w:hAnsi="Calibri"/>
                <w:b w:val="0"/>
                <w:i w:val="0"/>
                <w:color w:val="212121"/>
                <w:sz w:val="19"/>
              </w:rPr>
              <w:t>Unskilled workers made up 59.4% of admitted Indian varicose-vein cases; ulceration (57.6%) was the commonest presenting feature, indicating late presentation.</w:t>
            </w:r>
          </w:p>
          <w:p>
            <w:pPr>
              <w:spacing w:after="40" w:line="252" w:lineRule="auto"/>
            </w:pPr>
            <w:hyperlink r:id="rId9">
              <w:r>
                <w:rPr>
                  <w:rFonts w:ascii="Calibri" w:hAnsi="Calibri" w:cs="Calibri"/>
                  <w:sz w:val="18"/>
                  <w:color w:val="1155CC"/>
                  <w:u w:val="single"/>
                </w:rPr>
                <w:t xml:space="preserve">pmc.ncbi.nlm.nih.gov — PMC4878844 (Mangalore review)</w:t>
              </w:r>
            </w:hyperlink>
          </w:p>
          <w:p>
            <w:pPr>
              <w:spacing w:before="60" w:after="40"/>
            </w:pPr>
            <w:r>
              <w:rPr>
                <w:rFonts w:ascii="Calibri" w:hAnsi="Calibri"/>
                <w:b w:val="0"/>
                <w:i w:val="0"/>
                <w:color w:val="5A5A5A"/>
                <w:sz w:val="18"/>
              </w:rPr>
              <w:t>#socioeconomic  #delayedcare  #advanceddisease  #healthaccess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population</w:t>
            </w:r>
          </w:p>
        </w:tc>
        <w:tc>
          <w:tcPr>
            <w:tcW w:type="dxa" w:w="4276"/>
            <w:vAlign w:val="top"/>
          </w:tcPr>
          <w:p>
            <w:pPr>
              <w:spacing w:after="60" w:line="259" w:lineRule="auto"/>
            </w:pPr>
            <w:r>
              <w:rPr>
                <w:rFonts w:ascii="Calibri" w:hAnsi="Calibri"/>
                <w:b w:val="0"/>
                <w:i w:val="0"/>
                <w:color w:val="212121"/>
                <w:sz w:val="19"/>
              </w:rPr>
              <w:t>Varicose veins are highly prevalent among Indians, with distinct genetic susceptibility; population-based detection is lower than in Western data partly due to under-recognition and late presentation.</w:t>
            </w:r>
          </w:p>
          <w:p>
            <w:pPr>
              <w:spacing w:after="40" w:before="60" w:line="259" w:lineRule="auto"/>
            </w:pPr>
            <w:r>
              <w:rPr>
                <w:rFonts w:ascii="Calibri" w:hAnsi="Calibri"/>
                <w:b w:val="0"/>
                <w:i w:val="0"/>
                <w:color w:val="212121"/>
                <w:sz w:val="19"/>
              </w:rPr>
              <w:t>A replication study in an Indian cohort (104 cases, 448 controls) confirmed the EFEMP1 variant rs3791679 is associated with varicose-vein predisposition in Indians.</w:t>
            </w:r>
          </w:p>
          <w:p>
            <w:pPr>
              <w:spacing w:after="40" w:line="252" w:lineRule="auto"/>
            </w:pPr>
            <w:hyperlink r:id="rId12">
              <w:r>
                <w:rPr>
                  <w:rFonts w:ascii="Calibri" w:hAnsi="Calibri" w:cs="Calibri"/>
                  <w:sz w:val="18"/>
                  <w:color w:val="1155CC"/>
                  <w:u w:val="single"/>
                </w:rPr>
                <w:t xml:space="preserve">pubmed.ncbi.nlm.nih.gov/38609985 — EFEMP1 in Indians</w:t>
              </w:r>
            </w:hyperlink>
          </w:p>
          <w:p>
            <w:pPr>
              <w:spacing w:before="60" w:after="40"/>
            </w:pPr>
            <w:r>
              <w:rPr>
                <w:rFonts w:ascii="Calibri" w:hAnsi="Calibri"/>
                <w:b w:val="0"/>
                <w:i w:val="0"/>
                <w:color w:val="5A5A5A"/>
                <w:sz w:val="18"/>
              </w:rPr>
              <w:t>#southasian  #EFEMP1  #geneticsusceptibility  #underdiagnosed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South India (Tamil Nadu)</w:t>
            </w:r>
          </w:p>
        </w:tc>
        <w:tc>
          <w:tcPr>
            <w:tcW w:type="dxa" w:w="4276"/>
            <w:vAlign w:val="top"/>
          </w:tcPr>
          <w:p>
            <w:pPr>
              <w:spacing w:after="60" w:line="259" w:lineRule="auto"/>
            </w:pPr>
            <w:r>
              <w:rPr>
                <w:rFonts w:ascii="Calibri" w:hAnsi="Calibri"/>
                <w:b w:val="0"/>
                <w:i w:val="0"/>
                <w:color w:val="212121"/>
                <w:sz w:val="19"/>
              </w:rPr>
              <w:t>Rural agrarian populations combine prolonged standing/field work with high parity, giving a measurable community burden of varicose veins and telangiectasias.</w:t>
            </w:r>
          </w:p>
          <w:p>
            <w:pPr>
              <w:spacing w:after="40" w:before="60" w:line="259" w:lineRule="auto"/>
            </w:pPr>
            <w:r>
              <w:rPr>
                <w:rFonts w:ascii="Calibri" w:hAnsi="Calibri"/>
                <w:b w:val="0"/>
                <w:i w:val="0"/>
                <w:color w:val="212121"/>
                <w:sz w:val="19"/>
              </w:rPr>
              <w:t>Among 1,151 rural Tamil Nadu adults, chronic venous disorder prevalence was 7.2%, with varicose veins at 4.5% and telangiectasias at 2.1%.</w:t>
            </w:r>
          </w:p>
          <w:p>
            <w:pPr>
              <w:spacing w:after="40" w:line="252" w:lineRule="auto"/>
            </w:pPr>
            <w:hyperlink r:id="rId13">
              <w:r>
                <w:rPr>
                  <w:rFonts w:ascii="Calibri" w:hAnsi="Calibri" w:cs="Calibri"/>
                  <w:sz w:val="18"/>
                  <w:color w:val="1155CC"/>
                  <w:u w:val="single"/>
                </w:rPr>
                <w:t xml:space="preserve">pmc.ncbi.nlm.nih.gov — PMC12914658 (Tamil Nadu study)</w:t>
              </w:r>
            </w:hyperlink>
          </w:p>
          <w:p>
            <w:pPr>
              <w:spacing w:before="60" w:after="40"/>
            </w:pPr>
            <w:r>
              <w:rPr>
                <w:rFonts w:ascii="Calibri" w:hAnsi="Calibri"/>
                <w:b w:val="0"/>
                <w:i w:val="0"/>
                <w:color w:val="5A5A5A"/>
                <w:sz w:val="18"/>
              </w:rPr>
              <w:t>#ruralindia  #tamilnadu  #fieldwork  #communityburden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North India (advanced venous disease)</w:t>
            </w:r>
          </w:p>
        </w:tc>
        <w:tc>
          <w:tcPr>
            <w:tcW w:type="dxa" w:w="4276"/>
            <w:vAlign w:val="top"/>
          </w:tcPr>
          <w:p>
            <w:pPr>
              <w:spacing w:after="60" w:line="259" w:lineRule="auto"/>
            </w:pPr>
            <w:r>
              <w:rPr>
                <w:rFonts w:ascii="Calibri" w:hAnsi="Calibri"/>
                <w:b w:val="0"/>
                <w:i w:val="0"/>
                <w:color w:val="212121"/>
                <w:sz w:val="19"/>
              </w:rPr>
              <w:t>Tertiary referral patterns in North India show perforator-dominant reflux in advanced (C4–C6) limbs, driven by prolonged standing, obesity and prior pregnancy.</w:t>
            </w:r>
          </w:p>
          <w:p>
            <w:pPr>
              <w:spacing w:after="40" w:before="60" w:line="259" w:lineRule="auto"/>
            </w:pPr>
            <w:r>
              <w:rPr>
                <w:rFonts w:ascii="Calibri" w:hAnsi="Calibri"/>
                <w:b w:val="0"/>
                <w:i w:val="0"/>
                <w:color w:val="212121"/>
                <w:sz w:val="19"/>
              </w:rPr>
              <w:t>In 200 North-Indian C4–C6 limbs, perforator reflux was present in 90% and superficial reflux in 81.5%; standing, obesity and pregnancy were the leading risk factors.</w:t>
            </w:r>
          </w:p>
          <w:p>
            <w:pPr>
              <w:spacing w:after="40" w:line="252" w:lineRule="auto"/>
            </w:pPr>
            <w:hyperlink r:id="rId14">
              <w:r>
                <w:rPr>
                  <w:rFonts w:ascii="Calibri" w:hAnsi="Calibri" w:cs="Calibri"/>
                  <w:sz w:val="18"/>
                  <w:color w:val="1155CC"/>
                  <w:u w:val="single"/>
                </w:rPr>
                <w:t xml:space="preserve">pubmed.ncbi.nlm.nih.gov/32931383 — North India reflux</w:t>
              </w:r>
            </w:hyperlink>
          </w:p>
          <w:p>
            <w:pPr>
              <w:spacing w:before="60" w:after="40"/>
            </w:pPr>
            <w:r>
              <w:rPr>
                <w:rFonts w:ascii="Calibri" w:hAnsi="Calibri"/>
                <w:b w:val="0"/>
                <w:i w:val="0"/>
                <w:color w:val="5A5A5A"/>
                <w:sz w:val="18"/>
              </w:rPr>
              <w:t>#northindia  #perforatorreflux  #advanceddisease  #duplex</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prolonged standing</w:t>
            </w:r>
          </w:p>
        </w:tc>
        <w:tc>
          <w:tcPr>
            <w:tcW w:type="dxa" w:w="2160"/>
            <w:vAlign w:val="top"/>
          </w:tcPr>
          <w:p>
            <w:pPr>
              <w:spacing w:after="40" w:before="0" w:line="259" w:lineRule="auto"/>
            </w:pPr>
            <w:r>
              <w:rPr>
                <w:rFonts w:ascii="Calibri" w:hAnsi="Calibri"/>
                <w:b w:val="0"/>
                <w:i w:val="0"/>
                <w:color w:val="212121"/>
                <w:sz w:val="19"/>
              </w:rPr>
              <w:t>Nurses, surgeons, traffic police, teachers, cooks, factory &amp; field workers</w:t>
            </w:r>
          </w:p>
        </w:tc>
        <w:tc>
          <w:tcPr>
            <w:tcW w:type="dxa" w:w="4276"/>
            <w:vAlign w:val="top"/>
          </w:tcPr>
          <w:p>
            <w:pPr>
              <w:spacing w:after="60" w:line="259" w:lineRule="auto"/>
            </w:pPr>
            <w:r>
              <w:rPr>
                <w:rFonts w:ascii="Calibri" w:hAnsi="Calibri"/>
                <w:b w:val="0"/>
                <w:i w:val="0"/>
                <w:color w:val="212121"/>
                <w:sz w:val="19"/>
              </w:rPr>
              <w:t>Occupations requiring many hours upright without calf-muscle activity sustain high venous pressure and defeat the muscle pump, the strongest modifiable occupational risk.</w:t>
            </w:r>
          </w:p>
          <w:p>
            <w:pPr>
              <w:spacing w:after="40" w:before="60" w:line="259" w:lineRule="auto"/>
            </w:pPr>
            <w:r>
              <w:rPr>
                <w:rFonts w:ascii="Calibri" w:hAnsi="Calibri"/>
                <w:b w:val="0"/>
                <w:i w:val="0"/>
                <w:color w:val="212121"/>
                <w:sz w:val="19"/>
              </w:rPr>
              <w:t>Prevalence among hospital nurses was 16.18%; standing ≥ 4 h/day nearly tripled venous reflux risk (OR 2.80, 95% CI 1.08–7.25).</w:t>
            </w:r>
          </w:p>
          <w:p>
            <w:pPr>
              <w:spacing w:after="40" w:line="252" w:lineRule="auto"/>
            </w:pPr>
            <w:hyperlink r:id="rId15">
              <w:r>
                <w:rPr>
                  <w:rFonts w:ascii="Calibri" w:hAnsi="Calibri" w:cs="Calibri"/>
                  <w:sz w:val="18"/>
                  <w:color w:val="1155CC"/>
                  <w:u w:val="single"/>
                </w:rPr>
                <w:t xml:space="preserve">pubmed.ncbi.nlm.nih.gov/30363079 — VV in nurses</w:t>
              </w:r>
            </w:hyperlink>
          </w:p>
          <w:p>
            <w:pPr>
              <w:spacing w:before="60" w:after="40"/>
            </w:pPr>
            <w:r>
              <w:rPr>
                <w:rFonts w:ascii="Calibri" w:hAnsi="Calibri"/>
                <w:b w:val="0"/>
                <w:i w:val="0"/>
                <w:color w:val="5A5A5A"/>
                <w:sz w:val="18"/>
              </w:rPr>
              <w:t>#prolongedstanding  #occupational  #musclepump  #standingjobs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promotes endothelial dysfunction, oxidative vein-wall injury and impaired healing, and is listed among established risk factors for varicose veins.</w:t>
            </w:r>
          </w:p>
          <w:p>
            <w:pPr>
              <w:spacing w:after="40" w:before="60" w:line="259" w:lineRule="auto"/>
            </w:pPr>
            <w:r>
              <w:rPr>
                <w:rFonts w:ascii="Calibri" w:hAnsi="Calibri"/>
                <w:b w:val="0"/>
                <w:i w:val="0"/>
                <w:color w:val="212121"/>
                <w:sz w:val="19"/>
              </w:rPr>
              <w:t>Smoking is recognised as a risk factor for varicose veins alongside obesity, standing and family history.</w:t>
            </w:r>
          </w:p>
          <w:p>
            <w:pPr>
              <w:spacing w:after="40" w:line="252" w:lineRule="auto"/>
            </w:pPr>
            <w:hyperlink r:id="rId11">
              <w:r>
                <w:rPr>
                  <w:rFonts w:ascii="Calibri" w:hAnsi="Calibri" w:cs="Calibri"/>
                  <w:sz w:val="18"/>
                  <w:color w:val="1155CC"/>
                  <w:u w:val="single"/>
                </w:rPr>
                <w:t xml:space="preserve">ncbi.nlm.nih.gov/books/NBK470194 — StatPearls Varicose Veins</w:t>
              </w:r>
            </w:hyperlink>
          </w:p>
          <w:p>
            <w:pPr>
              <w:spacing w:before="60" w:after="40"/>
            </w:pPr>
            <w:r>
              <w:rPr>
                <w:rFonts w:ascii="Calibri" w:hAnsi="Calibri"/>
                <w:b w:val="0"/>
                <w:i w:val="0"/>
                <w:color w:val="5A5A5A"/>
                <w:sz w:val="18"/>
              </w:rPr>
              <w:t>#smoking  #endothelialdysfunction  #delayedhealing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alcohol intake causes vasodilatation and may aggravate venous pooling and wall distension, contributing to varicosity progression.</w:t>
            </w:r>
          </w:p>
          <w:p>
            <w:pPr>
              <w:spacing w:after="40" w:before="60" w:line="259" w:lineRule="auto"/>
            </w:pPr>
            <w:r>
              <w:rPr>
                <w:rFonts w:ascii="Calibri" w:hAnsi="Calibri"/>
                <w:b w:val="0"/>
                <w:i w:val="0"/>
                <w:color w:val="212121"/>
                <w:sz w:val="19"/>
              </w:rPr>
              <w:t>Chronic alcohol-related vasodilatation is described among contributory factors in varicose-vein pathophysiology.</w:t>
            </w:r>
          </w:p>
          <w:p>
            <w:pPr>
              <w:spacing w:after="40" w:line="252" w:lineRule="auto"/>
            </w:pPr>
            <w:hyperlink r:id="rId16">
              <w:r>
                <w:rPr>
                  <w:rFonts w:ascii="Calibri" w:hAnsi="Calibri" w:cs="Calibri"/>
                  <w:sz w:val="18"/>
                  <w:color w:val="1155CC"/>
                  <w:u w:val="single"/>
                </w:rPr>
                <w:t xml:space="preserve">pubmed.ncbi.nlm.nih.gov/34242131 — comprehensive review</w:t>
              </w:r>
            </w:hyperlink>
          </w:p>
          <w:p>
            <w:pPr>
              <w:spacing w:before="60" w:after="40"/>
            </w:pPr>
            <w:r>
              <w:rPr>
                <w:rFonts w:ascii="Calibri" w:hAnsi="Calibri"/>
                <w:b w:val="0"/>
                <w:i w:val="0"/>
                <w:color w:val="5A5A5A"/>
                <w:sz w:val="18"/>
              </w:rPr>
              <w:t>#alcohol  #vasodilatation  #venouspooling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Low-fibre diet / constipation</w:t>
            </w:r>
          </w:p>
        </w:tc>
        <w:tc>
          <w:tcPr>
            <w:tcW w:type="dxa" w:w="2160"/>
            <w:vAlign w:val="top"/>
          </w:tcPr>
          <w:p>
            <w:pPr>
              <w:spacing w:after="40" w:before="0" w:line="259" w:lineRule="auto"/>
            </w:pPr>
            <w:r>
              <w:rPr>
                <w:rFonts w:ascii="Calibri" w:hAnsi="Calibri"/>
                <w:b w:val="0"/>
                <w:i w:val="0"/>
                <w:color w:val="212121"/>
                <w:sz w:val="19"/>
              </w:rPr>
              <w:t>Refined-diet, chronically constipated adults</w:t>
            </w:r>
          </w:p>
        </w:tc>
        <w:tc>
          <w:tcPr>
            <w:tcW w:type="dxa" w:w="4276"/>
            <w:vAlign w:val="top"/>
          </w:tcPr>
          <w:p>
            <w:pPr>
              <w:spacing w:after="60" w:line="259" w:lineRule="auto"/>
            </w:pPr>
            <w:r>
              <w:rPr>
                <w:rFonts w:ascii="Calibri" w:hAnsi="Calibri"/>
                <w:b w:val="0"/>
                <w:i w:val="0"/>
                <w:color w:val="212121"/>
                <w:sz w:val="19"/>
              </w:rPr>
              <w:t>A low-fibre diet causes constipation and repetitive straining, raising intra-abdominal and venous pressure; conversely regular fruit and fibre intake is protective.</w:t>
            </w:r>
          </w:p>
          <w:p>
            <w:pPr>
              <w:spacing w:after="40" w:before="60" w:line="259" w:lineRule="auto"/>
            </w:pPr>
            <w:r>
              <w:rPr>
                <w:rFonts w:ascii="Calibri" w:hAnsi="Calibri"/>
                <w:b w:val="0"/>
                <w:i w:val="0"/>
                <w:color w:val="212121"/>
                <w:sz w:val="19"/>
              </w:rPr>
              <w:t>In rural Tamil Nadu, daily fruit consumption was independently associated with markedly lower odds of chronic venous disease (adjusted OR 0.26, 95% CI 0.14–0.49).</w:t>
            </w:r>
          </w:p>
          <w:p>
            <w:pPr>
              <w:spacing w:after="40" w:line="252" w:lineRule="auto"/>
            </w:pPr>
            <w:hyperlink r:id="rId13">
              <w:r>
                <w:rPr>
                  <w:rFonts w:ascii="Calibri" w:hAnsi="Calibri" w:cs="Calibri"/>
                  <w:sz w:val="18"/>
                  <w:color w:val="1155CC"/>
                  <w:u w:val="single"/>
                </w:rPr>
                <w:t xml:space="preserve">pmc.ncbi.nlm.nih.gov — PMC12914658 (Tamil Nadu study)</w:t>
              </w:r>
            </w:hyperlink>
          </w:p>
          <w:p>
            <w:pPr>
              <w:spacing w:before="60" w:after="40"/>
            </w:pPr>
            <w:r>
              <w:rPr>
                <w:rFonts w:ascii="Calibri" w:hAnsi="Calibri"/>
                <w:b w:val="0"/>
                <w:i w:val="0"/>
                <w:color w:val="5A5A5A"/>
                <w:sz w:val="18"/>
              </w:rPr>
              <w:t>#lowfibre  #constipation  #straining  #fruitprotective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23–24.9)</w:t>
            </w:r>
          </w:p>
        </w:tc>
        <w:tc>
          <w:tcPr>
            <w:tcW w:type="dxa" w:w="4276"/>
            <w:vAlign w:val="top"/>
          </w:tcPr>
          <w:p>
            <w:pPr>
              <w:spacing w:after="60" w:line="259" w:lineRule="auto"/>
            </w:pPr>
            <w:r>
              <w:rPr>
                <w:rFonts w:ascii="Calibri" w:hAnsi="Calibri"/>
                <w:b w:val="0"/>
                <w:i w:val="0"/>
                <w:color w:val="212121"/>
                <w:sz w:val="19"/>
              </w:rPr>
              <w:t>Excess body weight raises standing venous pressure and abdominal load, increasing reflux and the likelihood of visible varicosities even before frank obesity.</w:t>
            </w:r>
          </w:p>
          <w:p>
            <w:pPr>
              <w:spacing w:after="40" w:before="60" w:line="259" w:lineRule="auto"/>
            </w:pPr>
            <w:r>
              <w:rPr>
                <w:rFonts w:ascii="Calibri" w:hAnsi="Calibri"/>
                <w:b w:val="0"/>
                <w:i w:val="0"/>
                <w:color w:val="212121"/>
                <w:sz w:val="19"/>
              </w:rPr>
              <w:t>Obesity-related traits (higher BMI, waist and hip circumference) are causally linked to increased varicose-vein risk in Mendelian-randomisation analysis.</w:t>
            </w:r>
          </w:p>
          <w:p>
            <w:pPr>
              <w:spacing w:after="40" w:line="252" w:lineRule="auto"/>
            </w:pPr>
            <w:hyperlink r:id="rId17">
              <w:r>
                <w:rPr>
                  <w:rFonts w:ascii="Calibri" w:hAnsi="Calibri" w:cs="Calibri"/>
                  <w:sz w:val="18"/>
                  <w:color w:val="1155CC"/>
                  <w:u w:val="single"/>
                </w:rPr>
                <w:t xml:space="preserve">pubmed.ncbi.nlm.nih.gov/38729190 — obesity &amp; VV (MR study)</w:t>
              </w:r>
            </w:hyperlink>
          </w:p>
          <w:p>
            <w:pPr>
              <w:spacing w:before="60" w:after="40"/>
            </w:pPr>
            <w:r>
              <w:rPr>
                <w:rFonts w:ascii="Calibri" w:hAnsi="Calibri"/>
                <w:b w:val="0"/>
                <w:i w:val="0"/>
                <w:color w:val="5A5A5A"/>
                <w:sz w:val="18"/>
              </w:rPr>
              <w:t>#overweight  #venouspressure  #waistcircumference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(Asian-Indian BMI ≥ 25)</w:t>
            </w:r>
          </w:p>
        </w:tc>
        <w:tc>
          <w:tcPr>
            <w:tcW w:type="dxa" w:w="4276"/>
            <w:vAlign w:val="top"/>
          </w:tcPr>
          <w:p>
            <w:pPr>
              <w:spacing w:after="60" w:line="259" w:lineRule="auto"/>
            </w:pPr>
            <w:r>
              <w:rPr>
                <w:rFonts w:ascii="Calibri" w:hAnsi="Calibri"/>
                <w:b w:val="0"/>
                <w:i w:val="0"/>
                <w:color w:val="212121"/>
                <w:sz w:val="19"/>
              </w:rPr>
              <w:t>Central obesity markedly raises intra-abdominal and lower-limb venous pressure and is a leading, modifiable determinant of chronic venous disease and its progression.</w:t>
            </w:r>
          </w:p>
          <w:p>
            <w:pPr>
              <w:spacing w:after="40" w:before="60" w:line="259" w:lineRule="auto"/>
            </w:pPr>
            <w:r>
              <w:rPr>
                <w:rFonts w:ascii="Calibri" w:hAnsi="Calibri"/>
                <w:b w:val="0"/>
                <w:i w:val="0"/>
                <w:color w:val="212121"/>
                <w:sz w:val="19"/>
              </w:rPr>
              <w:t>Prolonged standing and obesity are cited as the two major reasons for varicose-vein disease; higher BMI and waist circumference causally increase VV, VTE and phlebitis risk.</w:t>
            </w:r>
          </w:p>
          <w:p>
            <w:pPr>
              <w:spacing w:after="40" w:line="252" w:lineRule="auto"/>
            </w:pPr>
            <w:hyperlink r:id="rId17">
              <w:r>
                <w:rPr>
                  <w:rFonts w:ascii="Calibri" w:hAnsi="Calibri" w:cs="Calibri"/>
                  <w:sz w:val="18"/>
                  <w:color w:val="1155CC"/>
                  <w:u w:val="single"/>
                </w:rPr>
                <w:t xml:space="preserve">pubmed.ncbi.nlm.nih.gov/38729190 — obesity &amp; VV (MR study)</w:t>
              </w:r>
            </w:hyperlink>
          </w:p>
          <w:p>
            <w:pPr>
              <w:spacing w:before="60" w:after="40"/>
            </w:pPr>
            <w:r>
              <w:rPr>
                <w:rFonts w:ascii="Calibri" w:hAnsi="Calibri"/>
                <w:b w:val="0"/>
                <w:i w:val="0"/>
                <w:color w:val="5A5A5A"/>
                <w:sz w:val="18"/>
              </w:rPr>
              <w:t>#obesity  #visceralfat  #intraabdominalpressure  #progression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varicose veins</w:t>
            </w:r>
          </w:p>
        </w:tc>
        <w:tc>
          <w:tcPr>
            <w:tcW w:type="dxa" w:w="4276"/>
            <w:vAlign w:val="top"/>
          </w:tcPr>
          <w:p>
            <w:pPr>
              <w:spacing w:after="60" w:line="259" w:lineRule="auto"/>
            </w:pPr>
            <w:r>
              <w:rPr>
                <w:rFonts w:ascii="Calibri" w:hAnsi="Calibri"/>
                <w:b w:val="0"/>
                <w:i w:val="0"/>
                <w:color w:val="212121"/>
                <w:sz w:val="19"/>
              </w:rPr>
              <w:t>Inherited weakness of venous valves and wall structure strongly predisposes; risk is substantially higher when a parent or sibling is affected, with EFEMP1 implicated in Indians.</w:t>
            </w:r>
          </w:p>
          <w:p>
            <w:pPr>
              <w:spacing w:after="40" w:before="60" w:line="259" w:lineRule="auto"/>
            </w:pPr>
            <w:r>
              <w:rPr>
                <w:rFonts w:ascii="Calibri" w:hAnsi="Calibri"/>
                <w:b w:val="0"/>
                <w:i w:val="0"/>
                <w:color w:val="212121"/>
                <w:sz w:val="19"/>
              </w:rPr>
              <w:t>Family history is an established risk factor; the EFEMP1 variant rs3791679 was replicated as associated with varicose veins in an Indian cohort.</w:t>
            </w:r>
          </w:p>
          <w:p>
            <w:pPr>
              <w:spacing w:after="40" w:line="252" w:lineRule="auto"/>
            </w:pPr>
            <w:hyperlink r:id="rId12">
              <w:r>
                <w:rPr>
                  <w:rFonts w:ascii="Calibri" w:hAnsi="Calibri" w:cs="Calibri"/>
                  <w:sz w:val="18"/>
                  <w:color w:val="1155CC"/>
                  <w:u w:val="single"/>
                </w:rPr>
                <w:t xml:space="preserve">pubmed.ncbi.nlm.nih.gov/38609985 — EFEMP1 in Indians</w:t>
              </w:r>
            </w:hyperlink>
          </w:p>
          <w:p>
            <w:pPr>
              <w:spacing w:before="60" w:after="40"/>
            </w:pPr>
            <w:r>
              <w:rPr>
                <w:rFonts w:ascii="Calibri" w:hAnsi="Calibri"/>
                <w:b w:val="0"/>
                <w:i w:val="0"/>
                <w:color w:val="5A5A5A"/>
                <w:sz w:val="18"/>
              </w:rPr>
              <w:t>#familyhistory  #EFEMP1  #heritability  #inheritedvalvefailure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 / multiparity</w:t>
            </w:r>
          </w:p>
        </w:tc>
        <w:tc>
          <w:tcPr>
            <w:tcW w:type="dxa" w:w="2160"/>
            <w:vAlign w:val="top"/>
          </w:tcPr>
          <w:p>
            <w:pPr>
              <w:spacing w:after="40" w:before="0" w:line="259" w:lineRule="auto"/>
            </w:pPr>
            <w:r>
              <w:rPr>
                <w:rFonts w:ascii="Calibri" w:hAnsi="Calibri"/>
                <w:b w:val="0"/>
                <w:i w:val="0"/>
                <w:color w:val="212121"/>
                <w:sz w:val="19"/>
              </w:rPr>
              <w:t>Pregnant &amp; multiparous women</w:t>
            </w:r>
          </w:p>
        </w:tc>
        <w:tc>
          <w:tcPr>
            <w:tcW w:type="dxa" w:w="4276"/>
            <w:vAlign w:val="top"/>
          </w:tcPr>
          <w:p>
            <w:pPr>
              <w:spacing w:after="60" w:line="259" w:lineRule="auto"/>
            </w:pPr>
            <w:r>
              <w:rPr>
                <w:rFonts w:ascii="Calibri" w:hAnsi="Calibri"/>
                <w:b w:val="0"/>
                <w:i w:val="0"/>
                <w:color w:val="212121"/>
                <w:sz w:val="19"/>
              </w:rPr>
              <w:t>Increased blood volume, progesterone-driven venodilatation and gravid-uterus compression of pelvic veins provoke varicosities; risk rises with each pregnancy.</w:t>
            </w:r>
          </w:p>
          <w:p>
            <w:pPr>
              <w:spacing w:after="40" w:before="60" w:line="259" w:lineRule="auto"/>
            </w:pPr>
            <w:r>
              <w:rPr>
                <w:rFonts w:ascii="Calibri" w:hAnsi="Calibri"/>
                <w:b w:val="0"/>
                <w:i w:val="0"/>
                <w:color w:val="212121"/>
                <w:sz w:val="19"/>
              </w:rPr>
              <w:t>Pregnancy (OR 2.15) and delivery (OR 2.02) independently raised venous-reflux risk; pelvic-vein reflux affects ~20% of women after vaginal delivery. Low parity (≤1) was protective in rural India.</w:t>
            </w:r>
          </w:p>
          <w:p>
            <w:pPr>
              <w:spacing w:after="40" w:line="252" w:lineRule="auto"/>
            </w:pPr>
            <w:hyperlink r:id="rId15">
              <w:r>
                <w:rPr>
                  <w:rFonts w:ascii="Calibri" w:hAnsi="Calibri" w:cs="Calibri"/>
                  <w:sz w:val="18"/>
                  <w:color w:val="1155CC"/>
                  <w:u w:val="single"/>
                </w:rPr>
                <w:t xml:space="preserve">pubmed.ncbi.nlm.nih.gov/30363079 — pregnancy/delivery ORs</w:t>
              </w:r>
            </w:hyperlink>
          </w:p>
          <w:p>
            <w:pPr>
              <w:spacing w:before="60" w:after="40"/>
            </w:pPr>
            <w:r>
              <w:rPr>
                <w:rFonts w:ascii="Calibri" w:hAnsi="Calibri"/>
                <w:b w:val="0"/>
                <w:i w:val="0"/>
                <w:color w:val="5A5A5A"/>
                <w:sz w:val="18"/>
              </w:rPr>
              <w:t>#pregnancy  #multiparity  #pelvicvenousreflux  #progesterone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Deep vein thrombosis</w:t>
            </w:r>
          </w:p>
        </w:tc>
        <w:tc>
          <w:tcPr>
            <w:tcW w:type="dxa" w:w="2160"/>
            <w:vAlign w:val="top"/>
          </w:tcPr>
          <w:p>
            <w:pPr>
              <w:spacing w:after="40" w:before="0" w:line="259" w:lineRule="auto"/>
            </w:pPr>
            <w:r>
              <w:rPr>
                <w:rFonts w:ascii="Calibri" w:hAnsi="Calibri"/>
                <w:b w:val="0"/>
                <w:i w:val="0"/>
                <w:color w:val="212121"/>
                <w:sz w:val="19"/>
              </w:rPr>
              <w:t>Patients with prior DVT (post-thrombotic)</w:t>
            </w:r>
          </w:p>
        </w:tc>
        <w:tc>
          <w:tcPr>
            <w:tcW w:type="dxa" w:w="4276"/>
            <w:vAlign w:val="top"/>
          </w:tcPr>
          <w:p>
            <w:pPr>
              <w:spacing w:after="60" w:line="259" w:lineRule="auto"/>
            </w:pPr>
            <w:r>
              <w:rPr>
                <w:rFonts w:ascii="Calibri" w:hAnsi="Calibri"/>
                <w:b w:val="0"/>
                <w:i w:val="0"/>
                <w:color w:val="212121"/>
                <w:sz w:val="19"/>
              </w:rPr>
              <w:t>Deep vein thrombosis destroys deep valves and obstructs outflow, producing secondary varicose veins and post-thrombotic venous hypertension.</w:t>
            </w:r>
          </w:p>
          <w:p>
            <w:pPr>
              <w:spacing w:after="40" w:before="60" w:line="259" w:lineRule="auto"/>
            </w:pPr>
            <w:r>
              <w:rPr>
                <w:rFonts w:ascii="Calibri" w:hAnsi="Calibri"/>
                <w:b w:val="0"/>
                <w:i w:val="0"/>
                <w:color w:val="212121"/>
                <w:sz w:val="19"/>
              </w:rPr>
              <w:t>Prior DVT is an established cause of secondary varicose veins; conversely, varicose veins themselves raise DVT incidence more than five-fold (hazard ratio 5.30).</w:t>
            </w:r>
          </w:p>
          <w:p>
            <w:pPr>
              <w:spacing w:after="40" w:line="252" w:lineRule="auto"/>
            </w:pPr>
            <w:hyperlink r:id="rId11">
              <w:r>
                <w:rPr>
                  <w:rFonts w:ascii="Calibri" w:hAnsi="Calibri" w:cs="Calibri"/>
                  <w:sz w:val="18"/>
                  <w:color w:val="1155CC"/>
                  <w:u w:val="single"/>
                </w:rPr>
                <w:t xml:space="preserve">ncbi.nlm.nih.gov/books/NBK470194 — StatPearls Varicose Veins</w:t>
              </w:r>
            </w:hyperlink>
          </w:p>
          <w:p>
            <w:pPr>
              <w:spacing w:before="60" w:after="40"/>
            </w:pPr>
            <w:r>
              <w:rPr>
                <w:rFonts w:ascii="Calibri" w:hAnsi="Calibri"/>
                <w:b w:val="0"/>
                <w:i w:val="0"/>
                <w:color w:val="5A5A5A"/>
                <w:sz w:val="18"/>
              </w:rPr>
              <w:t>#DVT  #postthrombotic  #secondaryvaricose  #deepvalvedamage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venous insufficiency</w:t>
            </w:r>
          </w:p>
        </w:tc>
        <w:tc>
          <w:tcPr>
            <w:tcW w:type="dxa" w:w="2160"/>
            <w:vAlign w:val="top"/>
          </w:tcPr>
          <w:p>
            <w:pPr>
              <w:spacing w:after="40" w:before="0" w:line="259" w:lineRule="auto"/>
            </w:pPr>
            <w:r>
              <w:rPr>
                <w:rFonts w:ascii="Calibri" w:hAnsi="Calibri"/>
                <w:b w:val="0"/>
                <w:i w:val="0"/>
                <w:color w:val="212121"/>
                <w:sz w:val="19"/>
              </w:rPr>
              <w:t>Patients with advanced CVI (C4–C6)</w:t>
            </w:r>
          </w:p>
        </w:tc>
        <w:tc>
          <w:tcPr>
            <w:tcW w:type="dxa" w:w="4276"/>
            <w:vAlign w:val="top"/>
          </w:tcPr>
          <w:p>
            <w:pPr>
              <w:spacing w:after="60" w:line="259" w:lineRule="auto"/>
            </w:pPr>
            <w:r>
              <w:rPr>
                <w:rFonts w:ascii="Calibri" w:hAnsi="Calibri"/>
                <w:b w:val="0"/>
                <w:i w:val="0"/>
                <w:color w:val="212121"/>
                <w:sz w:val="19"/>
              </w:rPr>
              <w:t>Sustained venous hypertension from varicose veins evolves into chronic venous insufficiency with skin changes and ulceration, the most morbid end of the spectrum.</w:t>
            </w:r>
          </w:p>
          <w:p>
            <w:pPr>
              <w:spacing w:after="40" w:before="60" w:line="259" w:lineRule="auto"/>
            </w:pPr>
            <w:r>
              <w:rPr>
                <w:rFonts w:ascii="Calibri" w:hAnsi="Calibri"/>
                <w:b w:val="0"/>
                <w:i w:val="0"/>
                <w:color w:val="212121"/>
                <w:sz w:val="19"/>
              </w:rPr>
              <w:t>Chronic venous insufficiency affects an estimated 10–35% of adults; 1–3% develop venous ulcers, of which ~40% recur.</w:t>
            </w:r>
          </w:p>
          <w:p>
            <w:pPr>
              <w:spacing w:after="40" w:line="252" w:lineRule="auto"/>
            </w:pPr>
            <w:hyperlink r:id="rId18">
              <w:r>
                <w:rPr>
                  <w:rFonts w:ascii="Calibri" w:hAnsi="Calibri" w:cs="Calibri"/>
                  <w:sz w:val="18"/>
                  <w:color w:val="1155CC"/>
                  <w:u w:val="single"/>
                </w:rPr>
                <w:t xml:space="preserve">ncbi.nlm.nih.gov/books/NBK430975 — StatPearls CVI</w:t>
              </w:r>
            </w:hyperlink>
          </w:p>
          <w:p>
            <w:pPr>
              <w:spacing w:before="60" w:after="40"/>
            </w:pPr>
            <w:r>
              <w:rPr>
                <w:rFonts w:ascii="Calibri" w:hAnsi="Calibri"/>
                <w:b w:val="0"/>
                <w:i w:val="0"/>
                <w:color w:val="5A5A5A"/>
                <w:sz w:val="18"/>
              </w:rPr>
              <w:t>#CVI  #venoushypertension  #skinchanges  #ulceration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standing or sitting without calf-muscle activity sustains venous hypertension and is the dominant occupational driver; standing ≥ 4 h/day nearly triples reflux risk (OR 2.80). Regular walking and calf exercise activate the muscle pump and lower venous pressure.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Low-fibre diets cause constipation and straining that raise venous pressure, whereas daily fruit/fibre intake is protective (adjusted OR 0.26 for CVD in rural India). Flavonoid-rich foods support venous tone.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not causal, but nocturnal cramps and restless legs disturb it; elevating the legs during rest and sleep reduces venous pooling and morning oedema.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promotes endothelial dysfunction and impaired wound healing and is listed among established risk factors, worsening skin changes and ulcer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intake causes vasodilatation that may aggravate venous pooling and distension; overall evidence for a causal role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visible varicosities, chronic aching and ulceration reduce quality of life, body image and mood, particularly with advanced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blood viscosity favourable and supports circulation, but a direct effect on varicose-vein prevention is not established.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association between caffeine intake and varicose-vein development has been demonstrated.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Skin hygiene and regular emollients over affected areas prevent venous eczema, fissuring and secondary infection, and are essential in ulcer care.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standing, pregnancy, obesity, chronic straining/constipation, heavy lifting, tight constrictive garments and heat exposure precipitate or worsen varicosities.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dependent (standing/sitting) posture raises venous pressure; periodic leg elevation above heart level and frequent position change relieve it. Leg-crossing is a common myth and is not a proven cause.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Continuous standing time at work (hours)</w:t>
            </w:r>
          </w:p>
        </w:tc>
        <w:tc>
          <w:tcPr>
            <w:tcW w:type="dxa" w:w="1655"/>
            <w:vAlign w:val="top"/>
          </w:tcPr>
          <w:p>
            <w:pPr>
              <w:spacing w:after="40" w:before="0" w:line="259" w:lineRule="auto"/>
            </w:pPr>
            <w:r>
              <w:rPr>
                <w:rFonts w:ascii="Calibri" w:hAnsi="Calibri"/>
                <w:b w:val="0"/>
                <w:i w:val="0"/>
                <w:color w:val="212121"/>
                <w:sz w:val="19"/>
              </w:rPr>
              <w:t>Standing-occupation adults</w:t>
            </w:r>
          </w:p>
        </w:tc>
        <w:tc>
          <w:tcPr>
            <w:tcW w:type="dxa" w:w="1512"/>
            <w:vAlign w:val="top"/>
          </w:tcPr>
          <w:p>
            <w:pPr>
              <w:spacing w:after="40" w:before="0" w:line="259" w:lineRule="auto"/>
            </w:pPr>
            <w:r>
              <w:rPr>
                <w:rFonts w:ascii="Calibri" w:hAnsi="Calibri"/>
                <w:b w:val="0"/>
                <w:i w:val="0"/>
                <w:color w:val="212121"/>
                <w:sz w:val="19"/>
              </w:rPr>
              <w:t>&lt; 4 h continuous; break every 30–60 min</w:t>
            </w:r>
          </w:p>
        </w:tc>
        <w:tc>
          <w:tcPr>
            <w:tcW w:type="dxa" w:w="1512"/>
            <w:vAlign w:val="top"/>
          </w:tcPr>
          <w:p>
            <w:pPr>
              <w:spacing w:after="40" w:before="0" w:line="259" w:lineRule="auto"/>
            </w:pPr>
            <w:r>
              <w:rPr>
                <w:rFonts w:ascii="Calibri" w:hAnsi="Calibri"/>
                <w:b w:val="0"/>
                <w:i w:val="0"/>
                <w:color w:val="212121"/>
                <w:sz w:val="19"/>
              </w:rPr>
              <w:t>≥ 4 h continuous standing</w:t>
            </w:r>
          </w:p>
        </w:tc>
        <w:tc>
          <w:tcPr>
            <w:tcW w:type="dxa" w:w="1468"/>
            <w:vAlign w:val="top"/>
          </w:tcPr>
          <w:p>
            <w:pPr>
              <w:spacing w:after="60" w:line="259" w:lineRule="auto"/>
            </w:pPr>
            <w:r>
              <w:rPr>
                <w:rFonts w:ascii="Calibri" w:hAnsi="Calibri"/>
                <w:b w:val="0"/>
                <w:i w:val="0"/>
                <w:color w:val="212121"/>
                <w:sz w:val="19"/>
              </w:rPr>
              <w:t>≥ 4 h/day standing nearly tripled venous-reflux risk (OR 2.80).</w:t>
            </w:r>
          </w:p>
          <w:p>
            <w:pPr>
              <w:spacing w:after="40" w:line="252" w:lineRule="auto"/>
            </w:pPr>
            <w:hyperlink r:id="rId15">
              <w:r>
                <w:rPr>
                  <w:rFonts w:ascii="Calibri" w:hAnsi="Calibri" w:cs="Calibri"/>
                  <w:sz w:val="18"/>
                  <w:color w:val="1155CC"/>
                  <w:u w:val="single"/>
                </w:rPr>
                <w:t xml:space="preserve">https://pubmed.ncbi.nlm.nih.gov/30363079/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causally increases varicose-vein risk.</w:t>
            </w:r>
          </w:p>
          <w:p>
            <w:pPr>
              <w:spacing w:after="40" w:line="252" w:lineRule="auto"/>
            </w:pPr>
            <w:hyperlink r:id="rId17">
              <w:r>
                <w:rPr>
                  <w:rFonts w:ascii="Calibri" w:hAnsi="Calibri" w:cs="Calibri"/>
                  <w:sz w:val="18"/>
                  <w:color w:val="1155CC"/>
                  <w:u w:val="single"/>
                </w:rPr>
                <w:t xml:space="preserve">https://pubmed.ncbi.nlm.nih.gov/38729190/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adiposity raises intra-abdominal &amp; venous pressure.</w:t>
            </w:r>
          </w:p>
          <w:p>
            <w:pPr>
              <w:spacing w:after="40" w:line="252" w:lineRule="auto"/>
            </w:pPr>
            <w:hyperlink r:id="rId17">
              <w:r>
                <w:rPr>
                  <w:rFonts w:ascii="Calibri" w:hAnsi="Calibri" w:cs="Calibri"/>
                  <w:sz w:val="18"/>
                  <w:color w:val="1155CC"/>
                  <w:u w:val="single"/>
                </w:rPr>
                <w:t xml:space="preserve">https://pubmed.ncbi.nlm.nih.gov/38729190/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sedentary workers</w:t>
            </w:r>
          </w:p>
        </w:tc>
        <w:tc>
          <w:tcPr>
            <w:tcW w:type="dxa" w:w="1512"/>
            <w:vAlign w:val="top"/>
          </w:tcPr>
          <w:p>
            <w:pPr>
              <w:spacing w:after="40" w:before="0" w:line="259" w:lineRule="auto"/>
            </w:pPr>
            <w:r>
              <w:rPr>
                <w:rFonts w:ascii="Calibri" w:hAnsi="Calibri"/>
                <w:b w:val="0"/>
                <w:i w:val="0"/>
                <w:color w:val="212121"/>
                <w:sz w:val="19"/>
              </w:rPr>
              <w:t>≥ 150 min/week + calf exercises</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Walking/calf raises activate the muscle pump and lower venous pressure.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25–30 g/day</w:t>
            </w:r>
          </w:p>
        </w:tc>
        <w:tc>
          <w:tcPr>
            <w:tcW w:type="dxa" w:w="1512"/>
            <w:vAlign w:val="top"/>
          </w:tcPr>
          <w:p>
            <w:pPr>
              <w:spacing w:after="40" w:before="0" w:line="259" w:lineRule="auto"/>
            </w:pPr>
            <w:r>
              <w:rPr>
                <w:rFonts w:ascii="Calibri" w:hAnsi="Calibri"/>
                <w:b w:val="0"/>
                <w:i w:val="0"/>
                <w:color w:val="212121"/>
                <w:sz w:val="19"/>
              </w:rPr>
              <w:t>&lt; 25 g/day with constipation</w:t>
            </w:r>
          </w:p>
        </w:tc>
        <w:tc>
          <w:tcPr>
            <w:tcW w:type="dxa" w:w="1468"/>
            <w:vAlign w:val="top"/>
          </w:tcPr>
          <w:p>
            <w:pPr>
              <w:spacing w:after="40" w:before="0" w:line="259" w:lineRule="auto"/>
            </w:pPr>
            <w:r>
              <w:rPr>
                <w:rFonts w:ascii="Calibri" w:hAnsi="Calibri"/>
                <w:b w:val="0"/>
                <w:i w:val="0"/>
                <w:color w:val="212121"/>
                <w:sz w:val="19"/>
              </w:rPr>
              <w:t>Low fibre → straining → raised venous pressure.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1–2 servings daily</w:t>
            </w:r>
          </w:p>
        </w:tc>
        <w:tc>
          <w:tcPr>
            <w:tcW w:type="dxa" w:w="1512"/>
            <w:vAlign w:val="top"/>
          </w:tcPr>
          <w:p>
            <w:pPr>
              <w:spacing w:after="40" w:before="0" w:line="259" w:lineRule="auto"/>
            </w:pPr>
            <w:r>
              <w:rPr>
                <w:rFonts w:ascii="Calibri" w:hAnsi="Calibri"/>
                <w:b w:val="0"/>
                <w:i w:val="0"/>
                <w:color w:val="212121"/>
                <w:sz w:val="19"/>
              </w:rPr>
              <w:t>&lt; daily fruit intake</w:t>
            </w:r>
          </w:p>
        </w:tc>
        <w:tc>
          <w:tcPr>
            <w:tcW w:type="dxa" w:w="1468"/>
            <w:vAlign w:val="top"/>
          </w:tcPr>
          <w:p>
            <w:pPr>
              <w:spacing w:after="60" w:line="259" w:lineRule="auto"/>
            </w:pPr>
            <w:r>
              <w:rPr>
                <w:rFonts w:ascii="Calibri" w:hAnsi="Calibri"/>
                <w:b w:val="0"/>
                <w:i w:val="0"/>
                <w:color w:val="212121"/>
                <w:sz w:val="19"/>
              </w:rPr>
              <w:t>Daily fruit independently protective (adjusted OR 0.26 for CVD).</w:t>
            </w:r>
          </w:p>
          <w:p>
            <w:pPr>
              <w:spacing w:after="40" w:line="252" w:lineRule="auto"/>
            </w:pPr>
            <w:hyperlink r:id="rId13">
              <w:r>
                <w:rPr>
                  <w:rFonts w:ascii="Calibri" w:hAnsi="Calibri" w:cs="Calibri"/>
                  <w:sz w:val="18"/>
                  <w:color w:val="1155CC"/>
                  <w:u w:val="single"/>
                </w:rPr>
                <w:t xml:space="preserve">https://pmc.ncbi.nlm.nih.gov/articles/PMC12914658/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Leg elevation during rest/sleep</w:t>
            </w:r>
          </w:p>
        </w:tc>
        <w:tc>
          <w:tcPr>
            <w:tcW w:type="dxa" w:w="1655"/>
            <w:vAlign w:val="top"/>
          </w:tcPr>
          <w:p>
            <w:pPr>
              <w:spacing w:after="40" w:before="0" w:line="259" w:lineRule="auto"/>
            </w:pPr>
            <w:r>
              <w:rPr>
                <w:rFonts w:ascii="Calibri" w:hAnsi="Calibri"/>
                <w:b w:val="0"/>
                <w:i w:val="0"/>
                <w:color w:val="212121"/>
                <w:sz w:val="19"/>
              </w:rPr>
              <w:t>Symptomatic / oedematous limbs</w:t>
            </w:r>
          </w:p>
        </w:tc>
        <w:tc>
          <w:tcPr>
            <w:tcW w:type="dxa" w:w="1512"/>
            <w:vAlign w:val="top"/>
          </w:tcPr>
          <w:p>
            <w:pPr>
              <w:spacing w:after="40" w:before="0" w:line="259" w:lineRule="auto"/>
            </w:pPr>
            <w:r>
              <w:rPr>
                <w:rFonts w:ascii="Calibri" w:hAnsi="Calibri"/>
                <w:b w:val="0"/>
                <w:i w:val="0"/>
                <w:color w:val="212121"/>
                <w:sz w:val="19"/>
              </w:rPr>
              <w:t>Legs elevated above heart 15–30 min, several times daily</w:t>
            </w:r>
          </w:p>
        </w:tc>
        <w:tc>
          <w:tcPr>
            <w:tcW w:type="dxa" w:w="1512"/>
            <w:vAlign w:val="top"/>
          </w:tcPr>
          <w:p>
            <w:pPr>
              <w:spacing w:after="40" w:before="0" w:line="259" w:lineRule="auto"/>
            </w:pPr>
            <w:r>
              <w:rPr>
                <w:rFonts w:ascii="Calibri" w:hAnsi="Calibri"/>
                <w:b w:val="0"/>
                <w:i w:val="0"/>
                <w:color w:val="212121"/>
                <w:sz w:val="19"/>
              </w:rPr>
              <w:t>Prolonged dependent position, no elevation</w:t>
            </w:r>
          </w:p>
        </w:tc>
        <w:tc>
          <w:tcPr>
            <w:tcW w:type="dxa" w:w="1468"/>
            <w:vAlign w:val="top"/>
          </w:tcPr>
          <w:p>
            <w:pPr>
              <w:spacing w:after="40" w:before="0" w:line="259" w:lineRule="auto"/>
            </w:pPr>
            <w:r>
              <w:rPr>
                <w:rFonts w:ascii="Calibri" w:hAnsi="Calibri"/>
                <w:b w:val="0"/>
                <w:i w:val="0"/>
                <w:color w:val="212121"/>
                <w:sz w:val="19"/>
              </w:rPr>
              <w:t>Elevation reduces venous pooling and morning oedema.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worsens endothelial function, skin changes and ulcer healing.</w:t>
            </w:r>
          </w:p>
          <w:p>
            <w:pPr>
              <w:spacing w:after="40" w:line="252" w:lineRule="auto"/>
            </w:pPr>
            <w:hyperlink r:id="rId11">
              <w:r>
                <w:rPr>
                  <w:rFonts w:ascii="Calibri" w:hAnsi="Calibri" w:cs="Calibri"/>
                  <w:sz w:val="18"/>
                  <w:color w:val="1155CC"/>
                  <w:u w:val="single"/>
                </w:rPr>
                <w:t xml:space="preserve">https://www.ncbi.nlm.nih.gov/books/NBK470194/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moderate</w:t>
            </w:r>
          </w:p>
        </w:tc>
        <w:tc>
          <w:tcPr>
            <w:tcW w:type="dxa" w:w="1512"/>
            <w:vAlign w:val="top"/>
          </w:tcPr>
          <w:p>
            <w:pPr>
              <w:spacing w:after="40" w:before="0" w:line="259" w:lineRule="auto"/>
            </w:pPr>
            <w:r>
              <w:rPr>
                <w:rFonts w:ascii="Calibri" w:hAnsi="Calibri"/>
                <w:b w:val="0"/>
                <w:i w:val="0"/>
                <w:color w:val="212121"/>
                <w:sz w:val="19"/>
              </w:rPr>
              <w:t>Chronic heavy intake</w:t>
            </w:r>
          </w:p>
        </w:tc>
        <w:tc>
          <w:tcPr>
            <w:tcW w:type="dxa" w:w="1468"/>
            <w:vAlign w:val="top"/>
          </w:tcPr>
          <w:p>
            <w:pPr>
              <w:spacing w:after="40" w:before="0" w:line="259" w:lineRule="auto"/>
            </w:pPr>
            <w:r>
              <w:rPr>
                <w:rFonts w:ascii="Calibri" w:hAnsi="Calibri"/>
                <w:b w:val="0"/>
                <w:i w:val="0"/>
                <w:color w:val="212121"/>
                <w:sz w:val="19"/>
              </w:rPr>
              <w:t>Vasodilatation may aggravate venous pooling and distension.</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Uninterrupted sitting/standing</w:t>
            </w:r>
          </w:p>
        </w:tc>
        <w:tc>
          <w:tcPr>
            <w:tcW w:type="dxa" w:w="1655"/>
            <w:vAlign w:val="top"/>
          </w:tcPr>
          <w:p>
            <w:pPr>
              <w:spacing w:after="40" w:before="0" w:line="259" w:lineRule="auto"/>
            </w:pPr>
            <w:r>
              <w:rPr>
                <w:rFonts w:ascii="Calibri" w:hAnsi="Calibri"/>
                <w:b w:val="0"/>
                <w:i w:val="0"/>
                <w:color w:val="212121"/>
                <w:sz w:val="19"/>
              </w:rPr>
              <w:t>Desk &amp; standing workers</w:t>
            </w:r>
          </w:p>
        </w:tc>
        <w:tc>
          <w:tcPr>
            <w:tcW w:type="dxa" w:w="1512"/>
            <w:vAlign w:val="top"/>
          </w:tcPr>
          <w:p>
            <w:pPr>
              <w:spacing w:after="40" w:before="0" w:line="259" w:lineRule="auto"/>
            </w:pPr>
            <w:r>
              <w:rPr>
                <w:rFonts w:ascii="Calibri" w:hAnsi="Calibri"/>
                <w:b w:val="0"/>
                <w:i w:val="0"/>
                <w:color w:val="212121"/>
                <w:sz w:val="19"/>
              </w:rPr>
              <w:t>Move or elevate legs every 30 min</w:t>
            </w:r>
          </w:p>
        </w:tc>
        <w:tc>
          <w:tcPr>
            <w:tcW w:type="dxa" w:w="1512"/>
            <w:vAlign w:val="top"/>
          </w:tcPr>
          <w:p>
            <w:pPr>
              <w:spacing w:after="40" w:before="0" w:line="259" w:lineRule="auto"/>
            </w:pPr>
            <w:r>
              <w:rPr>
                <w:rFonts w:ascii="Calibri" w:hAnsi="Calibri"/>
                <w:b w:val="0"/>
                <w:i w:val="0"/>
                <w:color w:val="212121"/>
                <w:sz w:val="19"/>
              </w:rPr>
              <w:t>Hours of static posture</w:t>
            </w:r>
          </w:p>
        </w:tc>
        <w:tc>
          <w:tcPr>
            <w:tcW w:type="dxa" w:w="1468"/>
            <w:vAlign w:val="top"/>
          </w:tcPr>
          <w:p>
            <w:pPr>
              <w:spacing w:after="40" w:before="0" w:line="259" w:lineRule="auto"/>
            </w:pPr>
            <w:r>
              <w:rPr>
                <w:rFonts w:ascii="Calibri" w:hAnsi="Calibri"/>
                <w:b w:val="0"/>
                <w:i w:val="0"/>
                <w:color w:val="212121"/>
                <w:sz w:val="19"/>
              </w:rPr>
              <w:t>Static dependent posture sustains venous hypertension.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Lower-limb skin care</w:t>
            </w:r>
          </w:p>
        </w:tc>
        <w:tc>
          <w:tcPr>
            <w:tcW w:type="dxa" w:w="1655"/>
            <w:vAlign w:val="top"/>
          </w:tcPr>
          <w:p>
            <w:pPr>
              <w:spacing w:after="40" w:before="0" w:line="259" w:lineRule="auto"/>
            </w:pPr>
            <w:r>
              <w:rPr>
                <w:rFonts w:ascii="Calibri" w:hAnsi="Calibri"/>
                <w:b w:val="0"/>
                <w:i w:val="0"/>
                <w:color w:val="212121"/>
                <w:sz w:val="19"/>
              </w:rPr>
              <w:t>C4–C6 / eczema-prone limbs</w:t>
            </w:r>
          </w:p>
        </w:tc>
        <w:tc>
          <w:tcPr>
            <w:tcW w:type="dxa" w:w="1512"/>
            <w:vAlign w:val="top"/>
          </w:tcPr>
          <w:p>
            <w:pPr>
              <w:spacing w:after="40" w:before="0" w:line="259" w:lineRule="auto"/>
            </w:pPr>
            <w:r>
              <w:rPr>
                <w:rFonts w:ascii="Calibri" w:hAnsi="Calibri"/>
                <w:b w:val="0"/>
                <w:i w:val="0"/>
                <w:color w:val="212121"/>
                <w:sz w:val="19"/>
              </w:rPr>
              <w:t>Daily emollient, clean dry skin, prompt wound care</w:t>
            </w:r>
          </w:p>
        </w:tc>
        <w:tc>
          <w:tcPr>
            <w:tcW w:type="dxa" w:w="1512"/>
            <w:vAlign w:val="top"/>
          </w:tcPr>
          <w:p>
            <w:pPr>
              <w:spacing w:after="40" w:before="0" w:line="259" w:lineRule="auto"/>
            </w:pPr>
            <w:r>
              <w:rPr>
                <w:rFonts w:ascii="Calibri" w:hAnsi="Calibri"/>
                <w:b w:val="0"/>
                <w:i w:val="0"/>
                <w:color w:val="212121"/>
                <w:sz w:val="19"/>
              </w:rPr>
              <w:t>Neglected dry/eczematous skin</w:t>
            </w:r>
          </w:p>
        </w:tc>
        <w:tc>
          <w:tcPr>
            <w:tcW w:type="dxa" w:w="1468"/>
            <w:vAlign w:val="top"/>
          </w:tcPr>
          <w:p>
            <w:pPr>
              <w:spacing w:after="40" w:before="0" w:line="259" w:lineRule="auto"/>
            </w:pPr>
            <w:r>
              <w:rPr>
                <w:rFonts w:ascii="Calibri" w:hAnsi="Calibri"/>
                <w:b w:val="0"/>
                <w:i w:val="0"/>
                <w:color w:val="212121"/>
                <w:sz w:val="19"/>
              </w:rPr>
              <w:t>Prevents stasis eczema, fissuring and ulcer infection.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Venous reflux time</w:t>
            </w:r>
          </w:p>
        </w:tc>
        <w:tc>
          <w:tcPr>
            <w:tcW w:type="dxa" w:w="892"/>
            <w:vAlign w:val="top"/>
          </w:tcPr>
          <w:p>
            <w:pPr>
              <w:spacing w:after="40" w:before="0" w:line="259" w:lineRule="auto"/>
            </w:pPr>
            <w:r>
              <w:rPr>
                <w:rFonts w:ascii="Calibri" w:hAnsi="Calibri"/>
                <w:b w:val="0"/>
                <w:i w:val="0"/>
                <w:color w:val="212121"/>
                <w:sz w:val="16"/>
              </w:rPr>
              <w:t>Venous duplex ultrasonography</w:t>
            </w:r>
          </w:p>
        </w:tc>
        <w:tc>
          <w:tcPr>
            <w:tcW w:type="dxa" w:w="950"/>
            <w:vAlign w:val="top"/>
          </w:tcPr>
          <w:p>
            <w:pPr>
              <w:spacing w:after="40" w:before="0" w:line="259" w:lineRule="auto"/>
            </w:pPr>
            <w:r>
              <w:rPr>
                <w:rFonts w:ascii="Calibri" w:hAnsi="Calibri"/>
                <w:b w:val="0"/>
                <w:i w:val="0"/>
                <w:color w:val="212121"/>
                <w:sz w:val="16"/>
              </w:rPr>
              <w:t>Reflux &lt; 0.5 s (superficial); &lt; 1 s (deep)</w:t>
            </w:r>
          </w:p>
        </w:tc>
        <w:tc>
          <w:tcPr>
            <w:tcW w:type="dxa" w:w="950"/>
            <w:vAlign w:val="top"/>
          </w:tcPr>
          <w:p>
            <w:pPr>
              <w:spacing w:after="40" w:before="0" w:line="259" w:lineRule="auto"/>
            </w:pPr>
            <w:r>
              <w:rPr>
                <w:rFonts w:ascii="Calibri" w:hAnsi="Calibri"/>
                <w:b w:val="0"/>
                <w:i w:val="0"/>
                <w:color w:val="212121"/>
                <w:sz w:val="16"/>
              </w:rPr>
              <w:t>Reflux &gt; 0.5 s (superficial) / &gt; 1 s (deep)</w:t>
            </w:r>
          </w:p>
        </w:tc>
        <w:tc>
          <w:tcPr>
            <w:tcW w:type="dxa" w:w="1036"/>
            <w:vAlign w:val="top"/>
          </w:tcPr>
          <w:p>
            <w:pPr>
              <w:spacing w:after="40" w:before="0" w:line="259" w:lineRule="auto"/>
            </w:pPr>
            <w:r>
              <w:rPr>
                <w:rFonts w:ascii="Calibri" w:hAnsi="Calibri"/>
                <w:b w:val="0"/>
                <w:i w:val="0"/>
                <w:color w:val="212121"/>
                <w:sz w:val="16"/>
              </w:rPr>
              <w:t>Confirms and localises valvular incompetence and maps junctions/perforators</w:t>
            </w:r>
          </w:p>
        </w:tc>
        <w:tc>
          <w:tcPr>
            <w:tcW w:type="dxa" w:w="1036"/>
            <w:vAlign w:val="top"/>
          </w:tcPr>
          <w:p>
            <w:pPr>
              <w:spacing w:after="40" w:before="0" w:line="259" w:lineRule="auto"/>
            </w:pPr>
            <w:r>
              <w:rPr>
                <w:rFonts w:ascii="Calibri" w:hAnsi="Calibri"/>
                <w:b w:val="0"/>
                <w:i w:val="0"/>
                <w:color w:val="212121"/>
                <w:sz w:val="16"/>
              </w:rPr>
              <w:t>All symptomatic varicose veins, pre-procedure, recurrent disease</w:t>
            </w:r>
          </w:p>
        </w:tc>
        <w:tc>
          <w:tcPr>
            <w:tcW w:type="dxa" w:w="720"/>
            <w:vAlign w:val="top"/>
          </w:tcPr>
          <w:p>
            <w:pPr>
              <w:spacing w:after="40" w:before="0" w:line="259" w:lineRule="auto"/>
            </w:pPr>
            <w:r>
              <w:rPr>
                <w:rFonts w:ascii="Calibri" w:hAnsi="Calibri"/>
                <w:b w:val="0"/>
                <w:i w:val="0"/>
                <w:color w:val="212121"/>
                <w:sz w:val="16"/>
              </w:rPr>
              <w:t>Physical activity;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Performed standing/reverse-Trendelenburg; Doppler was used in 70.6% of Indian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Physiological</w:t>
            </w:r>
          </w:p>
        </w:tc>
        <w:tc>
          <w:tcPr>
            <w:tcW w:type="dxa" w:w="1036"/>
            <w:vAlign w:val="top"/>
          </w:tcPr>
          <w:p>
            <w:pPr>
              <w:spacing w:after="40" w:before="0" w:line="259" w:lineRule="auto"/>
            </w:pPr>
            <w:r>
              <w:rPr>
                <w:rFonts w:ascii="Calibri" w:hAnsi="Calibri"/>
                <w:b w:val="0"/>
                <w:i w:val="0"/>
                <w:color w:val="212121"/>
                <w:sz w:val="16"/>
              </w:rPr>
              <w:t>Venous refill time</w:t>
            </w:r>
          </w:p>
        </w:tc>
        <w:tc>
          <w:tcPr>
            <w:tcW w:type="dxa" w:w="892"/>
            <w:vAlign w:val="top"/>
          </w:tcPr>
          <w:p>
            <w:pPr>
              <w:spacing w:after="40" w:before="0" w:line="259" w:lineRule="auto"/>
            </w:pPr>
            <w:r>
              <w:rPr>
                <w:rFonts w:ascii="Calibri" w:hAnsi="Calibri"/>
                <w:b w:val="0"/>
                <w:i w:val="0"/>
                <w:color w:val="212121"/>
                <w:sz w:val="16"/>
              </w:rPr>
              <w:t>Photo-plethysmography</w:t>
            </w:r>
          </w:p>
        </w:tc>
        <w:tc>
          <w:tcPr>
            <w:tcW w:type="dxa" w:w="950"/>
            <w:vAlign w:val="top"/>
          </w:tcPr>
          <w:p>
            <w:pPr>
              <w:spacing w:after="40" w:before="0" w:line="259" w:lineRule="auto"/>
            </w:pPr>
            <w:r>
              <w:rPr>
                <w:rFonts w:ascii="Calibri" w:hAnsi="Calibri"/>
                <w:b w:val="0"/>
                <w:i w:val="0"/>
                <w:color w:val="212121"/>
                <w:sz w:val="16"/>
              </w:rPr>
              <w:t>&gt; 20–25 s</w:t>
            </w:r>
          </w:p>
        </w:tc>
        <w:tc>
          <w:tcPr>
            <w:tcW w:type="dxa" w:w="950"/>
            <w:vAlign w:val="top"/>
          </w:tcPr>
          <w:p>
            <w:pPr>
              <w:spacing w:after="40" w:before="0" w:line="259" w:lineRule="auto"/>
            </w:pPr>
            <w:r>
              <w:rPr>
                <w:rFonts w:ascii="Calibri" w:hAnsi="Calibri"/>
                <w:b w:val="0"/>
                <w:i w:val="0"/>
                <w:color w:val="212121"/>
                <w:sz w:val="16"/>
              </w:rPr>
              <w:t>&lt; 20 s</w:t>
            </w:r>
          </w:p>
        </w:tc>
        <w:tc>
          <w:tcPr>
            <w:tcW w:type="dxa" w:w="1036"/>
            <w:vAlign w:val="top"/>
          </w:tcPr>
          <w:p>
            <w:pPr>
              <w:spacing w:after="40" w:before="0" w:line="259" w:lineRule="auto"/>
            </w:pPr>
            <w:r>
              <w:rPr>
                <w:rFonts w:ascii="Calibri" w:hAnsi="Calibri"/>
                <w:b w:val="0"/>
                <w:i w:val="0"/>
                <w:color w:val="212121"/>
                <w:sz w:val="16"/>
              </w:rPr>
              <w:t>Shorter refill indicates greater venous insufficiency / reflux</w:t>
            </w:r>
          </w:p>
        </w:tc>
        <w:tc>
          <w:tcPr>
            <w:tcW w:type="dxa" w:w="1036"/>
            <w:vAlign w:val="top"/>
          </w:tcPr>
          <w:p>
            <w:pPr>
              <w:spacing w:after="40" w:before="0" w:line="259" w:lineRule="auto"/>
            </w:pPr>
            <w:r>
              <w:rPr>
                <w:rFonts w:ascii="Calibri" w:hAnsi="Calibri"/>
                <w:b w:val="0"/>
                <w:i w:val="0"/>
                <w:color w:val="212121"/>
                <w:sz w:val="16"/>
              </w:rPr>
              <w:t>Chronic venous disease, occupational screening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Non-invasive functional test of the calf pump.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w:t>
            </w:r>
          </w:p>
        </w:tc>
        <w:tc>
          <w:tcPr>
            <w:tcW w:type="dxa" w:w="1036"/>
            <w:vAlign w:val="top"/>
          </w:tcPr>
          <w:p>
            <w:pPr>
              <w:spacing w:after="40" w:before="0" w:line="259" w:lineRule="auto"/>
            </w:pPr>
            <w:r>
              <w:rPr>
                <w:rFonts w:ascii="Calibri" w:hAnsi="Calibri"/>
                <w:b w:val="0"/>
                <w:i w:val="0"/>
                <w:color w:val="212121"/>
                <w:sz w:val="16"/>
              </w:rPr>
              <w:t>Ankle–Brachial Index (ABI)</w:t>
            </w:r>
          </w:p>
        </w:tc>
        <w:tc>
          <w:tcPr>
            <w:tcW w:type="dxa" w:w="892"/>
            <w:vAlign w:val="top"/>
          </w:tcPr>
          <w:p>
            <w:pPr>
              <w:spacing w:after="40" w:before="0" w:line="259" w:lineRule="auto"/>
            </w:pPr>
            <w:r>
              <w:rPr>
                <w:rFonts w:ascii="Calibri" w:hAnsi="Calibri"/>
                <w:b w:val="0"/>
                <w:i w:val="0"/>
                <w:color w:val="212121"/>
                <w:sz w:val="16"/>
              </w:rPr>
              <w:t>Doppler pressures</w:t>
            </w:r>
          </w:p>
        </w:tc>
        <w:tc>
          <w:tcPr>
            <w:tcW w:type="dxa" w:w="950"/>
            <w:vAlign w:val="top"/>
          </w:tcPr>
          <w:p>
            <w:pPr>
              <w:spacing w:after="40" w:before="0" w:line="259" w:lineRule="auto"/>
            </w:pPr>
            <w:r>
              <w:rPr>
                <w:rFonts w:ascii="Calibri" w:hAnsi="Calibri"/>
                <w:b w:val="0"/>
                <w:i w:val="0"/>
                <w:color w:val="212121"/>
                <w:sz w:val="16"/>
              </w:rPr>
              <w:t>0.9–1.3</w:t>
            </w:r>
          </w:p>
        </w:tc>
        <w:tc>
          <w:tcPr>
            <w:tcW w:type="dxa" w:w="950"/>
            <w:vAlign w:val="top"/>
          </w:tcPr>
          <w:p>
            <w:pPr>
              <w:spacing w:after="40" w:before="0" w:line="259" w:lineRule="auto"/>
            </w:pPr>
            <w:r>
              <w:rPr>
                <w:rFonts w:ascii="Calibri" w:hAnsi="Calibri"/>
                <w:b w:val="0"/>
                <w:i w:val="0"/>
                <w:color w:val="212121"/>
                <w:sz w:val="16"/>
              </w:rPr>
              <w:t>&lt; 0.9 (arterial disease)</w:t>
            </w:r>
          </w:p>
        </w:tc>
        <w:tc>
          <w:tcPr>
            <w:tcW w:type="dxa" w:w="1036"/>
            <w:vAlign w:val="top"/>
          </w:tcPr>
          <w:p>
            <w:pPr>
              <w:spacing w:after="40" w:before="0" w:line="259" w:lineRule="auto"/>
            </w:pPr>
            <w:r>
              <w:rPr>
                <w:rFonts w:ascii="Calibri" w:hAnsi="Calibri"/>
                <w:b w:val="0"/>
                <w:i w:val="0"/>
                <w:color w:val="212121"/>
                <w:sz w:val="16"/>
              </w:rPr>
              <w:t>Excludes peripheral arterial disease before compression is applied</w:t>
            </w:r>
          </w:p>
        </w:tc>
        <w:tc>
          <w:tcPr>
            <w:tcW w:type="dxa" w:w="1036"/>
            <w:vAlign w:val="top"/>
          </w:tcPr>
          <w:p>
            <w:pPr>
              <w:spacing w:after="40" w:before="0" w:line="259" w:lineRule="auto"/>
            </w:pPr>
            <w:r>
              <w:rPr>
                <w:rFonts w:ascii="Calibri" w:hAnsi="Calibri"/>
                <w:b w:val="0"/>
                <w:i w:val="0"/>
                <w:color w:val="212121"/>
                <w:sz w:val="16"/>
              </w:rPr>
              <w:t>Elderly, diabetics, smokers, ulcer patients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Safety screen</w:t>
            </w:r>
          </w:p>
        </w:tc>
        <w:tc>
          <w:tcPr>
            <w:tcW w:type="dxa" w:w="720"/>
            <w:vAlign w:val="top"/>
          </w:tcPr>
          <w:p>
            <w:pPr>
              <w:spacing w:after="40" w:before="0" w:line="259" w:lineRule="auto"/>
            </w:pPr>
            <w:r>
              <w:rPr>
                <w:rFonts w:ascii="Calibri" w:hAnsi="Calibri"/>
                <w:b w:val="0"/>
                <w:i w:val="0"/>
                <w:color w:val="212121"/>
                <w:sz w:val="16"/>
              </w:rPr>
              <w:t>Compression is hazardous if ABI &lt; 0.8.</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D-dimer</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&lt; 0.5 µg/mL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Supports suspicion of superficial vein thrombosis or DVT</w:t>
            </w:r>
          </w:p>
        </w:tc>
        <w:tc>
          <w:tcPr>
            <w:tcW w:type="dxa" w:w="1036"/>
            <w:vAlign w:val="top"/>
          </w:tcPr>
          <w:p>
            <w:pPr>
              <w:spacing w:after="40" w:before="0" w:line="259" w:lineRule="auto"/>
            </w:pPr>
            <w:r>
              <w:rPr>
                <w:rFonts w:ascii="Calibri" w:hAnsi="Calibri"/>
                <w:b w:val="0"/>
                <w:i w:val="0"/>
                <w:color w:val="212121"/>
                <w:sz w:val="16"/>
              </w:rPr>
              <w:t>Painful, hot, tender varix; suspected thrombosis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Non-specific; interpret with duplex.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&amp; coagulation profile</w:t>
            </w:r>
          </w:p>
        </w:tc>
        <w:tc>
          <w:tcPr>
            <w:tcW w:type="dxa" w:w="892"/>
            <w:vAlign w:val="top"/>
          </w:tcPr>
          <w:p>
            <w:pPr>
              <w:spacing w:after="40" w:before="0" w:line="259" w:lineRule="auto"/>
            </w:pPr>
            <w:r>
              <w:rPr>
                <w:rFonts w:ascii="Calibri" w:hAnsi="Calibri"/>
                <w:b w:val="0"/>
                <w:i w:val="0"/>
                <w:color w:val="212121"/>
                <w:sz w:val="16"/>
              </w:rPr>
              <w:t>Blood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thrombocytosis, thrombophilia markers</w:t>
            </w:r>
          </w:p>
        </w:tc>
        <w:tc>
          <w:tcPr>
            <w:tcW w:type="dxa" w:w="1036"/>
            <w:vAlign w:val="top"/>
          </w:tcPr>
          <w:p>
            <w:pPr>
              <w:spacing w:after="40" w:before="0" w:line="259" w:lineRule="auto"/>
            </w:pPr>
            <w:r>
              <w:rPr>
                <w:rFonts w:ascii="Calibri" w:hAnsi="Calibri"/>
                <w:b w:val="0"/>
                <w:i w:val="0"/>
                <w:color w:val="212121"/>
                <w:sz w:val="16"/>
              </w:rPr>
              <w:t>Pre-operative fitness and thrombophilia assessment</w:t>
            </w:r>
          </w:p>
        </w:tc>
        <w:tc>
          <w:tcPr>
            <w:tcW w:type="dxa" w:w="1036"/>
            <w:vAlign w:val="top"/>
          </w:tcPr>
          <w:p>
            <w:pPr>
              <w:spacing w:after="40" w:before="0" w:line="259" w:lineRule="auto"/>
            </w:pPr>
            <w:r>
              <w:rPr>
                <w:rFonts w:ascii="Calibri" w:hAnsi="Calibri"/>
                <w:b w:val="0"/>
                <w:i w:val="0"/>
                <w:color w:val="212121"/>
                <w:sz w:val="16"/>
              </w:rPr>
              <w:t>Pre-intervention, recurrent/atypical thrombosis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Consider thrombophilia work-up in young/recurrent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Deep venous patency / obstruction</w:t>
            </w:r>
          </w:p>
        </w:tc>
        <w:tc>
          <w:tcPr>
            <w:tcW w:type="dxa" w:w="892"/>
            <w:vAlign w:val="top"/>
          </w:tcPr>
          <w:p>
            <w:pPr>
              <w:spacing w:after="40" w:before="0" w:line="259" w:lineRule="auto"/>
            </w:pPr>
            <w:r>
              <w:rPr>
                <w:rFonts w:ascii="Calibri" w:hAnsi="Calibri"/>
                <w:b w:val="0"/>
                <w:i w:val="0"/>
                <w:color w:val="212121"/>
                <w:sz w:val="16"/>
              </w:rPr>
              <w:t>MR / CT venography or venogram</w:t>
            </w:r>
          </w:p>
        </w:tc>
        <w:tc>
          <w:tcPr>
            <w:tcW w:type="dxa" w:w="950"/>
            <w:vAlign w:val="top"/>
          </w:tcPr>
          <w:p>
            <w:pPr>
              <w:spacing w:after="40" w:before="0" w:line="259" w:lineRule="auto"/>
            </w:pPr>
            <w:r>
              <w:rPr>
                <w:rFonts w:ascii="Calibri" w:hAnsi="Calibri"/>
                <w:b w:val="0"/>
                <w:i w:val="0"/>
                <w:color w:val="212121"/>
                <w:sz w:val="16"/>
              </w:rPr>
              <w:t>Patent deep veins</w:t>
            </w:r>
          </w:p>
        </w:tc>
        <w:tc>
          <w:tcPr>
            <w:tcW w:type="dxa" w:w="950"/>
            <w:vAlign w:val="top"/>
          </w:tcPr>
          <w:p>
            <w:pPr>
              <w:spacing w:after="40" w:before="0" w:line="259" w:lineRule="auto"/>
            </w:pPr>
            <w:r>
              <w:rPr>
                <w:rFonts w:ascii="Calibri" w:hAnsi="Calibri"/>
                <w:b w:val="0"/>
                <w:i w:val="0"/>
                <w:color w:val="212121"/>
                <w:sz w:val="16"/>
              </w:rPr>
              <w:t>Obstruction / compression (e.g. May–Thurner)</w:t>
            </w:r>
          </w:p>
        </w:tc>
        <w:tc>
          <w:tcPr>
            <w:tcW w:type="dxa" w:w="1036"/>
            <w:vAlign w:val="top"/>
          </w:tcPr>
          <w:p>
            <w:pPr>
              <w:spacing w:after="40" w:before="0" w:line="259" w:lineRule="auto"/>
            </w:pPr>
            <w:r>
              <w:rPr>
                <w:rFonts w:ascii="Calibri" w:hAnsi="Calibri"/>
                <w:b w:val="0"/>
                <w:i w:val="0"/>
                <w:color w:val="212121"/>
                <w:sz w:val="16"/>
              </w:rPr>
              <w:t>Assesses secondary/obstructive causes and deep system before deep intervention</w:t>
            </w:r>
          </w:p>
        </w:tc>
        <w:tc>
          <w:tcPr>
            <w:tcW w:type="dxa" w:w="1036"/>
            <w:vAlign w:val="top"/>
          </w:tcPr>
          <w:p>
            <w:pPr>
              <w:spacing w:after="40" w:before="0" w:line="259" w:lineRule="auto"/>
            </w:pPr>
            <w:r>
              <w:rPr>
                <w:rFonts w:ascii="Calibri" w:hAnsi="Calibri"/>
                <w:b w:val="0"/>
                <w:i w:val="0"/>
                <w:color w:val="212121"/>
                <w:sz w:val="16"/>
              </w:rPr>
              <w:t>Recurrent, secondary or post-thrombotic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Reserved for complex or recurrent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Leg heaviness, aching, night cramps, itching, swelling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worse on standing, eased by elevation</w:t>
            </w:r>
          </w:p>
        </w:tc>
        <w:tc>
          <w:tcPr>
            <w:tcW w:type="dxa" w:w="1036"/>
            <w:vAlign w:val="top"/>
          </w:tcPr>
          <w:p>
            <w:pPr>
              <w:spacing w:after="40" w:before="0" w:line="259" w:lineRule="auto"/>
            </w:pPr>
            <w:r>
              <w:rPr>
                <w:rFonts w:ascii="Calibri" w:hAnsi="Calibri"/>
                <w:b w:val="0"/>
                <w:i w:val="0"/>
                <w:color w:val="212121"/>
                <w:sz w:val="16"/>
              </w:rPr>
              <w:t>Characteristic venous symptom pattern</w:t>
            </w:r>
          </w:p>
        </w:tc>
        <w:tc>
          <w:tcPr>
            <w:tcW w:type="dxa" w:w="1036"/>
            <w:vAlign w:val="top"/>
          </w:tcPr>
          <w:p>
            <w:pPr>
              <w:spacing w:after="40" w:before="0" w:line="259" w:lineRule="auto"/>
            </w:pPr>
            <w:r>
              <w:rPr>
                <w:rFonts w:ascii="Calibri" w:hAnsi="Calibri"/>
                <w:b w:val="0"/>
                <w:i w:val="0"/>
                <w:color w:val="212121"/>
                <w:sz w:val="16"/>
              </w:rPr>
              <w:t>Standing workers, pregnant women, obese adults</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often worse at day's end and in warm weather.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standing history</w:t>
            </w:r>
          </w:p>
        </w:tc>
        <w:tc>
          <w:tcPr>
            <w:tcW w:type="dxa" w:w="979"/>
            <w:vAlign w:val="top"/>
          </w:tcPr>
          <w:p>
            <w:pPr>
              <w:spacing w:after="40" w:before="0" w:line="259" w:lineRule="auto"/>
            </w:pPr>
            <w:r>
              <w:rPr>
                <w:rFonts w:ascii="Calibri" w:hAnsi="Calibri"/>
                <w:b w:val="0"/>
                <w:i w:val="0"/>
                <w:color w:val="212121"/>
                <w:sz w:val="16"/>
              </w:rPr>
              <w:t>Daily standing hours</w:t>
            </w:r>
          </w:p>
        </w:tc>
        <w:tc>
          <w:tcPr>
            <w:tcW w:type="dxa" w:w="950"/>
            <w:vAlign w:val="top"/>
          </w:tcPr>
          <w:p>
            <w:pPr>
              <w:spacing w:after="40" w:before="0" w:line="259" w:lineRule="auto"/>
            </w:pPr>
            <w:r>
              <w:rPr>
                <w:rFonts w:ascii="Calibri" w:hAnsi="Calibri"/>
                <w:b w:val="0"/>
                <w:i w:val="0"/>
                <w:color w:val="212121"/>
                <w:sz w:val="16"/>
              </w:rPr>
              <w:t>&lt; 4 h continuous</w:t>
            </w:r>
          </w:p>
        </w:tc>
        <w:tc>
          <w:tcPr>
            <w:tcW w:type="dxa" w:w="950"/>
            <w:vAlign w:val="top"/>
          </w:tcPr>
          <w:p>
            <w:pPr>
              <w:spacing w:after="40" w:before="0" w:line="259" w:lineRule="auto"/>
            </w:pPr>
            <w:r>
              <w:rPr>
                <w:rFonts w:ascii="Calibri" w:hAnsi="Calibri"/>
                <w:b w:val="0"/>
                <w:i w:val="0"/>
                <w:color w:val="212121"/>
                <w:sz w:val="16"/>
              </w:rPr>
              <w:t>≥ 4 h continuous standing</w:t>
            </w:r>
          </w:p>
        </w:tc>
        <w:tc>
          <w:tcPr>
            <w:tcW w:type="dxa" w:w="1036"/>
            <w:vAlign w:val="top"/>
          </w:tcPr>
          <w:p>
            <w:pPr>
              <w:spacing w:after="40" w:before="0" w:line="259" w:lineRule="auto"/>
            </w:pPr>
            <w:r>
              <w:rPr>
                <w:rFonts w:ascii="Calibri" w:hAnsi="Calibri"/>
                <w:b w:val="0"/>
                <w:i w:val="0"/>
                <w:color w:val="212121"/>
                <w:sz w:val="16"/>
              </w:rPr>
              <w:t>Key modifiable occupational risk</w:t>
            </w:r>
          </w:p>
        </w:tc>
        <w:tc>
          <w:tcPr>
            <w:tcW w:type="dxa" w:w="1036"/>
            <w:vAlign w:val="top"/>
          </w:tcPr>
          <w:p>
            <w:pPr>
              <w:spacing w:after="40" w:before="0" w:line="259" w:lineRule="auto"/>
            </w:pPr>
            <w:r>
              <w:rPr>
                <w:rFonts w:ascii="Calibri" w:hAnsi="Calibri"/>
                <w:b w:val="0"/>
                <w:i w:val="0"/>
                <w:color w:val="212121"/>
                <w:sz w:val="16"/>
              </w:rPr>
              <w:t>Nurses, police, teachers, cooks, field/factory workers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Standing ≥ 4 h/day tripled reflux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family history</w:t>
            </w:r>
          </w:p>
        </w:tc>
        <w:tc>
          <w:tcPr>
            <w:tcW w:type="dxa" w:w="979"/>
            <w:vAlign w:val="top"/>
          </w:tcPr>
          <w:p>
            <w:pPr>
              <w:spacing w:after="40" w:before="0" w:line="259" w:lineRule="auto"/>
            </w:pPr>
            <w:r>
              <w:rPr>
                <w:rFonts w:ascii="Calibri" w:hAnsi="Calibri"/>
                <w:b w:val="0"/>
                <w:i w:val="0"/>
                <w:color w:val="212121"/>
                <w:sz w:val="16"/>
              </w:rPr>
              <w:t>Parity; first-degree relatives affected</w:t>
            </w:r>
          </w:p>
        </w:tc>
        <w:tc>
          <w:tcPr>
            <w:tcW w:type="dxa" w:w="950"/>
            <w:vAlign w:val="top"/>
          </w:tcPr>
          <w:p>
            <w:pPr>
              <w:spacing w:after="40" w:before="0" w:line="259" w:lineRule="auto"/>
            </w:pPr>
            <w:r>
              <w:rPr>
                <w:rFonts w:ascii="Calibri" w:hAnsi="Calibri"/>
                <w:b w:val="0"/>
                <w:i w:val="0"/>
                <w:color w:val="212121"/>
                <w:sz w:val="16"/>
              </w:rPr>
              <w:t>Nulliparous / no family history</w:t>
            </w:r>
          </w:p>
        </w:tc>
        <w:tc>
          <w:tcPr>
            <w:tcW w:type="dxa" w:w="950"/>
            <w:vAlign w:val="top"/>
          </w:tcPr>
          <w:p>
            <w:pPr>
              <w:spacing w:after="40" w:before="0" w:line="259" w:lineRule="auto"/>
            </w:pPr>
            <w:r>
              <w:rPr>
                <w:rFonts w:ascii="Calibri" w:hAnsi="Calibri"/>
                <w:b w:val="0"/>
                <w:i w:val="0"/>
                <w:color w:val="212121"/>
                <w:sz w:val="16"/>
              </w:rPr>
              <w:t>Multiparous / ≥ 1 relative affected</w:t>
            </w:r>
          </w:p>
        </w:tc>
        <w:tc>
          <w:tcPr>
            <w:tcW w:type="dxa" w:w="1036"/>
            <w:vAlign w:val="top"/>
          </w:tcPr>
          <w:p>
            <w:pPr>
              <w:spacing w:after="40" w:before="0" w:line="259" w:lineRule="auto"/>
            </w:pPr>
            <w:r>
              <w:rPr>
                <w:rFonts w:ascii="Calibri" w:hAnsi="Calibri"/>
                <w:b w:val="0"/>
                <w:i w:val="0"/>
                <w:color w:val="212121"/>
                <w:sz w:val="16"/>
              </w:rPr>
              <w:t>Hormonal and inherited predisposition</w:t>
            </w:r>
          </w:p>
        </w:tc>
        <w:tc>
          <w:tcPr>
            <w:tcW w:type="dxa" w:w="1036"/>
            <w:vAlign w:val="top"/>
          </w:tcPr>
          <w:p>
            <w:pPr>
              <w:spacing w:after="40" w:before="0" w:line="259" w:lineRule="auto"/>
            </w:pPr>
            <w:r>
              <w:rPr>
                <w:rFonts w:ascii="Calibri" w:hAnsi="Calibri"/>
                <w:b w:val="0"/>
                <w:i w:val="0"/>
                <w:color w:val="212121"/>
                <w:sz w:val="16"/>
              </w:rPr>
              <w:t>Multiparous women, familial clustering (EFEMP1)</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Risk rises with each pregnancy.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Vein mapping &amp; CEAP staging</w:t>
            </w:r>
          </w:p>
        </w:tc>
        <w:tc>
          <w:tcPr>
            <w:tcW w:type="dxa" w:w="979"/>
            <w:vAlign w:val="top"/>
          </w:tcPr>
          <w:p>
            <w:pPr>
              <w:spacing w:after="40" w:before="0" w:line="259" w:lineRule="auto"/>
            </w:pPr>
            <w:r>
              <w:rPr>
                <w:rFonts w:ascii="Calibri" w:hAnsi="Calibri"/>
                <w:b w:val="0"/>
                <w:i w:val="0"/>
                <w:color w:val="212121"/>
                <w:sz w:val="16"/>
              </w:rPr>
              <w:t>Visible tortuous veins, skin changes, ulcer</w:t>
            </w:r>
          </w:p>
        </w:tc>
        <w:tc>
          <w:tcPr>
            <w:tcW w:type="dxa" w:w="950"/>
            <w:vAlign w:val="top"/>
          </w:tcPr>
          <w:p>
            <w:pPr>
              <w:spacing w:after="40" w:before="0" w:line="259" w:lineRule="auto"/>
            </w:pPr>
            <w:r>
              <w:rPr>
                <w:rFonts w:ascii="Calibri" w:hAnsi="Calibri"/>
                <w:b w:val="0"/>
                <w:i w:val="0"/>
                <w:color w:val="212121"/>
                <w:sz w:val="16"/>
              </w:rPr>
              <w:t>C0–C1</w:t>
            </w:r>
          </w:p>
        </w:tc>
        <w:tc>
          <w:tcPr>
            <w:tcW w:type="dxa" w:w="950"/>
            <w:vAlign w:val="top"/>
          </w:tcPr>
          <w:p>
            <w:pPr>
              <w:spacing w:after="40" w:before="0" w:line="259" w:lineRule="auto"/>
            </w:pPr>
            <w:r>
              <w:rPr>
                <w:rFonts w:ascii="Calibri" w:hAnsi="Calibri"/>
                <w:b w:val="0"/>
                <w:i w:val="0"/>
                <w:color w:val="212121"/>
                <w:sz w:val="16"/>
              </w:rPr>
              <w:t>C2–C6</w:t>
            </w:r>
          </w:p>
        </w:tc>
        <w:tc>
          <w:tcPr>
            <w:tcW w:type="dxa" w:w="1036"/>
            <w:vAlign w:val="top"/>
          </w:tcPr>
          <w:p>
            <w:pPr>
              <w:spacing w:after="40" w:before="0" w:line="259" w:lineRule="auto"/>
            </w:pPr>
            <w:r>
              <w:rPr>
                <w:rFonts w:ascii="Calibri" w:hAnsi="Calibri"/>
                <w:b w:val="0"/>
                <w:i w:val="0"/>
                <w:color w:val="212121"/>
                <w:sz w:val="16"/>
              </w:rPr>
              <w:t>Grades clinical severity and guides therapy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Examine standing in good light, both limbs.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w:t>
            </w:r>
          </w:p>
        </w:tc>
        <w:tc>
          <w:tcPr>
            <w:tcW w:type="dxa" w:w="950"/>
            <w:vAlign w:val="top"/>
          </w:tcPr>
          <w:p>
            <w:pPr>
              <w:spacing w:after="40" w:before="0" w:line="259" w:lineRule="auto"/>
            </w:pPr>
            <w:r>
              <w:rPr>
                <w:rFonts w:ascii="Calibri" w:hAnsi="Calibri"/>
                <w:b w:val="0"/>
                <w:i w:val="0"/>
                <w:color w:val="212121"/>
                <w:sz w:val="16"/>
              </w:rPr>
              <w:t>Trendelenburg / tourniquet test</w:t>
            </w:r>
          </w:p>
        </w:tc>
        <w:tc>
          <w:tcPr>
            <w:tcW w:type="dxa" w:w="979"/>
            <w:vAlign w:val="top"/>
          </w:tcPr>
          <w:p>
            <w:pPr>
              <w:spacing w:after="40" w:before="0" w:line="259" w:lineRule="auto"/>
            </w:pPr>
            <w:r>
              <w:rPr>
                <w:rFonts w:ascii="Calibri" w:hAnsi="Calibri"/>
                <w:b w:val="0"/>
                <w:i w:val="0"/>
                <w:color w:val="212121"/>
                <w:sz w:val="16"/>
              </w:rPr>
              <w:t>Vein refilling after tourniquet release</w:t>
            </w:r>
          </w:p>
        </w:tc>
        <w:tc>
          <w:tcPr>
            <w:tcW w:type="dxa" w:w="950"/>
            <w:vAlign w:val="top"/>
          </w:tcPr>
          <w:p>
            <w:pPr>
              <w:spacing w:after="40" w:before="0" w:line="259" w:lineRule="auto"/>
            </w:pPr>
            <w:r>
              <w:rPr>
                <w:rFonts w:ascii="Calibri" w:hAnsi="Calibri"/>
                <w:b w:val="0"/>
                <w:i w:val="0"/>
                <w:color w:val="212121"/>
                <w:sz w:val="16"/>
              </w:rPr>
              <w:t>Slow filling from below</w:t>
            </w:r>
          </w:p>
        </w:tc>
        <w:tc>
          <w:tcPr>
            <w:tcW w:type="dxa" w:w="950"/>
            <w:vAlign w:val="top"/>
          </w:tcPr>
          <w:p>
            <w:pPr>
              <w:spacing w:after="40" w:before="0" w:line="259" w:lineRule="auto"/>
            </w:pPr>
            <w:r>
              <w:rPr>
                <w:rFonts w:ascii="Calibri" w:hAnsi="Calibri"/>
                <w:b w:val="0"/>
                <w:i w:val="0"/>
                <w:color w:val="212121"/>
                <w:sz w:val="16"/>
              </w:rPr>
              <w:t>Rapid filling on release (reflux)</w:t>
            </w:r>
          </w:p>
        </w:tc>
        <w:tc>
          <w:tcPr>
            <w:tcW w:type="dxa" w:w="1036"/>
            <w:vAlign w:val="top"/>
          </w:tcPr>
          <w:p>
            <w:pPr>
              <w:spacing w:after="40" w:before="0" w:line="259" w:lineRule="auto"/>
            </w:pPr>
            <w:r>
              <w:rPr>
                <w:rFonts w:ascii="Calibri" w:hAnsi="Calibri"/>
                <w:b w:val="0"/>
                <w:i w:val="0"/>
                <w:color w:val="212121"/>
                <w:sz w:val="16"/>
              </w:rPr>
              <w:t>Localises saphenofemoral / perforator incompetence</w:t>
            </w:r>
          </w:p>
        </w:tc>
        <w:tc>
          <w:tcPr>
            <w:tcW w:type="dxa" w:w="1036"/>
            <w:vAlign w:val="top"/>
          </w:tcPr>
          <w:p>
            <w:pPr>
              <w:spacing w:after="40" w:before="0" w:line="259" w:lineRule="auto"/>
            </w:pPr>
            <w:r>
              <w:rPr>
                <w:rFonts w:ascii="Calibri" w:hAnsi="Calibri"/>
                <w:b w:val="0"/>
                <w:i w:val="0"/>
                <w:color w:val="212121"/>
                <w:sz w:val="16"/>
              </w:rPr>
              <w:t>Pre-imaging bedside assessment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Bedside</w:t>
            </w:r>
          </w:p>
        </w:tc>
        <w:tc>
          <w:tcPr>
            <w:tcW w:type="dxa" w:w="720"/>
            <w:vAlign w:val="top"/>
          </w:tcPr>
          <w:p>
            <w:pPr>
              <w:spacing w:after="40" w:before="0" w:line="259" w:lineRule="auto"/>
            </w:pPr>
            <w:r>
              <w:rPr>
                <w:rFonts w:ascii="Calibri" w:hAnsi="Calibri"/>
                <w:b w:val="0"/>
                <w:i w:val="0"/>
                <w:color w:val="212121"/>
                <w:sz w:val="16"/>
              </w:rPr>
              <w:t>Now largely confirmed by duplex.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w:t>
            </w:r>
          </w:p>
        </w:tc>
        <w:tc>
          <w:tcPr>
            <w:tcW w:type="dxa" w:w="950"/>
            <w:vAlign w:val="top"/>
          </w:tcPr>
          <w:p>
            <w:pPr>
              <w:spacing w:after="40" w:before="0" w:line="259" w:lineRule="auto"/>
            </w:pPr>
            <w:r>
              <w:rPr>
                <w:rFonts w:ascii="Calibri" w:hAnsi="Calibri"/>
                <w:b w:val="0"/>
                <w:i w:val="0"/>
                <w:color w:val="212121"/>
                <w:sz w:val="16"/>
              </w:rPr>
              <w:t>Cough impulse / tap (Morrissey) test</w:t>
            </w:r>
          </w:p>
        </w:tc>
        <w:tc>
          <w:tcPr>
            <w:tcW w:type="dxa" w:w="979"/>
            <w:vAlign w:val="top"/>
          </w:tcPr>
          <w:p>
            <w:pPr>
              <w:spacing w:after="40" w:before="0" w:line="259" w:lineRule="auto"/>
            </w:pPr>
            <w:r>
              <w:rPr>
                <w:rFonts w:ascii="Calibri" w:hAnsi="Calibri"/>
                <w:b w:val="0"/>
                <w:i w:val="0"/>
                <w:color w:val="212121"/>
                <w:sz w:val="16"/>
              </w:rPr>
              <w:t>Palpable impulse over saphenous vein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Palpable impulse / thrill</w:t>
            </w:r>
          </w:p>
        </w:tc>
        <w:tc>
          <w:tcPr>
            <w:tcW w:type="dxa" w:w="1036"/>
            <w:vAlign w:val="top"/>
          </w:tcPr>
          <w:p>
            <w:pPr>
              <w:spacing w:after="40" w:before="0" w:line="259" w:lineRule="auto"/>
            </w:pPr>
            <w:r>
              <w:rPr>
                <w:rFonts w:ascii="Calibri" w:hAnsi="Calibri"/>
                <w:b w:val="0"/>
                <w:i w:val="0"/>
                <w:color w:val="212121"/>
                <w:sz w:val="16"/>
              </w:rPr>
              <w:t>Indicates saphenofemoral valve incompetence</w:t>
            </w:r>
          </w:p>
        </w:tc>
        <w:tc>
          <w:tcPr>
            <w:tcW w:type="dxa" w:w="1036"/>
            <w:vAlign w:val="top"/>
          </w:tcPr>
          <w:p>
            <w:pPr>
              <w:spacing w:after="40" w:before="0" w:line="259" w:lineRule="auto"/>
            </w:pPr>
            <w:r>
              <w:rPr>
                <w:rFonts w:ascii="Calibri" w:hAnsi="Calibri"/>
                <w:b w:val="0"/>
                <w:i w:val="0"/>
                <w:color w:val="212121"/>
                <w:sz w:val="16"/>
              </w:rPr>
              <w:t>Bedside assessment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Bedside</w:t>
            </w:r>
          </w:p>
        </w:tc>
        <w:tc>
          <w:tcPr>
            <w:tcW w:type="dxa" w:w="720"/>
            <w:vAlign w:val="top"/>
          </w:tcPr>
          <w:p>
            <w:pPr>
              <w:spacing w:after="40" w:before="0" w:line="259" w:lineRule="auto"/>
            </w:pPr>
            <w:r>
              <w:rPr>
                <w:rFonts w:ascii="Calibri" w:hAnsi="Calibri"/>
                <w:b w:val="0"/>
                <w:i w:val="0"/>
                <w:color w:val="212121"/>
                <w:sz w:val="16"/>
              </w:rPr>
              <w:t>Complements Trendelenburg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 / inspection</w:t>
            </w:r>
          </w:p>
        </w:tc>
        <w:tc>
          <w:tcPr>
            <w:tcW w:type="dxa" w:w="950"/>
            <w:vAlign w:val="top"/>
          </w:tcPr>
          <w:p>
            <w:pPr>
              <w:spacing w:after="40" w:before="0" w:line="259" w:lineRule="auto"/>
            </w:pPr>
            <w:r>
              <w:rPr>
                <w:rFonts w:ascii="Calibri" w:hAnsi="Calibri"/>
                <w:b w:val="0"/>
                <w:i w:val="0"/>
                <w:color w:val="212121"/>
                <w:sz w:val="16"/>
              </w:rPr>
              <w:t>Skin &amp; complication survey</w:t>
            </w:r>
          </w:p>
        </w:tc>
        <w:tc>
          <w:tcPr>
            <w:tcW w:type="dxa" w:w="979"/>
            <w:vAlign w:val="top"/>
          </w:tcPr>
          <w:p>
            <w:pPr>
              <w:spacing w:after="40" w:before="0" w:line="259" w:lineRule="auto"/>
            </w:pPr>
            <w:r>
              <w:rPr>
                <w:rFonts w:ascii="Calibri" w:hAnsi="Calibri"/>
                <w:b w:val="0"/>
                <w:i w:val="0"/>
                <w:color w:val="212121"/>
                <w:sz w:val="16"/>
              </w:rPr>
              <w:t>Oedema, pigmentation, eczema, lipodermatosclerosis, ulcer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Detects advanced venous disease and complications</w:t>
            </w:r>
          </w:p>
        </w:tc>
        <w:tc>
          <w:tcPr>
            <w:tcW w:type="dxa" w:w="1036"/>
            <w:vAlign w:val="top"/>
          </w:tcPr>
          <w:p>
            <w:pPr>
              <w:spacing w:after="40" w:before="0" w:line="259" w:lineRule="auto"/>
            </w:pPr>
            <w:r>
              <w:rPr>
                <w:rFonts w:ascii="Calibri" w:hAnsi="Calibri"/>
                <w:b w:val="0"/>
                <w:i w:val="0"/>
                <w:color w:val="212121"/>
                <w:sz w:val="16"/>
              </w:rPr>
              <w:t>Elderly, longstanding disease, late presenters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Detects complications</w:t>
            </w:r>
          </w:p>
        </w:tc>
        <w:tc>
          <w:tcPr>
            <w:tcW w:type="dxa" w:w="720"/>
            <w:vAlign w:val="top"/>
          </w:tcPr>
          <w:p>
            <w:pPr>
              <w:spacing w:after="40" w:before="0" w:line="259" w:lineRule="auto"/>
            </w:pPr>
            <w:r>
              <w:rPr>
                <w:rFonts w:ascii="Calibri" w:hAnsi="Calibri"/>
                <w:b w:val="0"/>
                <w:i w:val="0"/>
                <w:color w:val="212121"/>
                <w:sz w:val="16"/>
              </w:rPr>
              <w:t>Venous ulcers cluster over the medial malleolus (gaiter area).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Leg heaviness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fatigued legs from venous pooling, worse after prolonged standing and towards day's end.</w:t>
            </w:r>
          </w:p>
        </w:tc>
      </w:tr>
      <w:tr>
        <w:trPr>
          <w:cantSplit/>
        </w:trPr>
        <w:tc>
          <w:tcPr>
            <w:tcW w:type="dxa" w:w="2304"/>
            <w:vAlign w:val="top"/>
          </w:tcPr>
          <w:p>
            <w:pPr>
              <w:spacing w:after="40" w:before="0" w:line="259" w:lineRule="auto"/>
            </w:pPr>
            <w:r>
              <w:rPr>
                <w:rFonts w:ascii="Calibri" w:hAnsi="Calibri"/>
                <w:b/>
                <w:i w:val="0"/>
                <w:color w:val="212121"/>
                <w:sz w:val="19"/>
              </w:rPr>
              <w:t>Aching or throbbing leg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along varicosities, relieved by elevation and walking; a hallmark venous symptom.</w:t>
            </w:r>
          </w:p>
        </w:tc>
      </w:tr>
      <w:tr>
        <w:trPr>
          <w:cantSplit/>
        </w:trPr>
        <w:tc>
          <w:tcPr>
            <w:tcW w:type="dxa" w:w="2304"/>
            <w:vAlign w:val="top"/>
          </w:tcPr>
          <w:p>
            <w:pPr>
              <w:spacing w:after="40" w:before="0" w:line="259" w:lineRule="auto"/>
            </w:pPr>
            <w:r>
              <w:rPr>
                <w:rFonts w:ascii="Calibri" w:hAnsi="Calibri"/>
                <w:b/>
                <w:i w:val="0"/>
                <w:color w:val="212121"/>
                <w:sz w:val="19"/>
              </w:rPr>
              <w:t>Visible bulging, rope-like veins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Dilated tortuous blue/green veins seen and felt just under the skin, most in the calf and thigh.</w:t>
            </w:r>
          </w:p>
        </w:tc>
      </w:tr>
      <w:tr>
        <w:trPr>
          <w:cantSplit/>
        </w:trPr>
        <w:tc>
          <w:tcPr>
            <w:tcW w:type="dxa" w:w="2304"/>
            <w:vAlign w:val="top"/>
          </w:tcPr>
          <w:p>
            <w:pPr>
              <w:spacing w:after="40" w:before="0" w:line="259" w:lineRule="auto"/>
            </w:pPr>
            <w:r>
              <w:rPr>
                <w:rFonts w:ascii="Calibri" w:hAnsi="Calibri"/>
                <w:b/>
                <w:i w:val="0"/>
                <w:color w:val="212121"/>
                <w:sz w:val="19"/>
              </w:rPr>
              <w:t>Night cramps in the calf</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Muscle cramps, especially nocturnal, associated with venous stasis.</w:t>
            </w:r>
          </w:p>
        </w:tc>
      </w:tr>
      <w:tr>
        <w:trPr>
          <w:cantSplit/>
        </w:trPr>
        <w:tc>
          <w:tcPr>
            <w:tcW w:type="dxa" w:w="2304"/>
            <w:vAlign w:val="top"/>
          </w:tcPr>
          <w:p>
            <w:pPr>
              <w:spacing w:after="40" w:before="0" w:line="259" w:lineRule="auto"/>
            </w:pPr>
            <w:r>
              <w:rPr>
                <w:rFonts w:ascii="Calibri" w:hAnsi="Calibri"/>
                <w:b/>
                <w:i w:val="0"/>
                <w:color w:val="212121"/>
                <w:sz w:val="19"/>
              </w:rPr>
              <w:t>Itching over the veins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Pruritus over dilated veins, an early sign of skin involvement (venous eczema).</w:t>
            </w:r>
          </w:p>
        </w:tc>
      </w:tr>
      <w:tr>
        <w:trPr>
          <w:cantSplit/>
        </w:trPr>
        <w:tc>
          <w:tcPr>
            <w:tcW w:type="dxa" w:w="2304"/>
            <w:vAlign w:val="top"/>
          </w:tcPr>
          <w:p>
            <w:pPr>
              <w:spacing w:after="40" w:before="0" w:line="259" w:lineRule="auto"/>
            </w:pPr>
            <w:r>
              <w:rPr>
                <w:rFonts w:ascii="Calibri" w:hAnsi="Calibri"/>
                <w:b/>
                <w:i w:val="0"/>
                <w:color w:val="212121"/>
                <w:sz w:val="19"/>
              </w:rPr>
              <w:t>Ankle / leg 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Dependent pitting oedema that worsens through the day and settles overnight.</w:t>
            </w:r>
          </w:p>
        </w:tc>
      </w:tr>
      <w:tr>
        <w:trPr>
          <w:cantSplit/>
        </w:trPr>
        <w:tc>
          <w:tcPr>
            <w:tcW w:type="dxa" w:w="2304"/>
            <w:vAlign w:val="top"/>
          </w:tcPr>
          <w:p>
            <w:pPr>
              <w:spacing w:after="40" w:before="0" w:line="259" w:lineRule="auto"/>
            </w:pPr>
            <w:r>
              <w:rPr>
                <w:rFonts w:ascii="Calibri" w:hAnsi="Calibri"/>
                <w:b/>
                <w:i w:val="0"/>
                <w:color w:val="212121"/>
                <w:sz w:val="19"/>
              </w:rPr>
              <w:t>Burning or tingling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Dysaesthesia over affected areas from venous congestion.</w:t>
            </w:r>
          </w:p>
        </w:tc>
      </w:tr>
      <w:tr>
        <w:trPr>
          <w:cantSplit/>
        </w:trPr>
        <w:tc>
          <w:tcPr>
            <w:tcW w:type="dxa" w:w="2304"/>
            <w:vAlign w:val="top"/>
          </w:tcPr>
          <w:p>
            <w:pPr>
              <w:spacing w:after="40" w:before="0" w:line="259" w:lineRule="auto"/>
            </w:pPr>
            <w:r>
              <w:rPr>
                <w:rFonts w:ascii="Calibri" w:hAnsi="Calibri"/>
                <w:b/>
                <w:i w:val="0"/>
                <w:color w:val="212121"/>
                <w:sz w:val="19"/>
              </w:rPr>
              <w:t>Restless legs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Urge to move the legs at rest, associated with venous insufficiency.</w:t>
            </w:r>
          </w:p>
        </w:tc>
      </w:tr>
      <w:tr>
        <w:trPr>
          <w:cantSplit/>
        </w:trPr>
        <w:tc>
          <w:tcPr>
            <w:tcW w:type="dxa" w:w="2304"/>
            <w:vAlign w:val="top"/>
          </w:tcPr>
          <w:p>
            <w:pPr>
              <w:spacing w:after="40" w:before="0" w:line="259" w:lineRule="auto"/>
            </w:pPr>
            <w:r>
              <w:rPr>
                <w:rFonts w:ascii="Calibri" w:hAnsi="Calibri"/>
                <w:b/>
                <w:i w:val="0"/>
                <w:color w:val="212121"/>
                <w:sz w:val="19"/>
              </w:rPr>
              <w:t>Skin discoloration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Brownish pigmentation around the ankle from haemosiderin deposition.</w:t>
            </w:r>
          </w:p>
        </w:tc>
      </w:tr>
      <w:tr>
        <w:trPr>
          <w:cantSplit/>
        </w:trPr>
        <w:tc>
          <w:tcPr>
            <w:tcW w:type="dxa" w:w="2304"/>
            <w:vAlign w:val="top"/>
          </w:tcPr>
          <w:p>
            <w:pPr>
              <w:spacing w:after="40" w:before="0" w:line="259" w:lineRule="auto"/>
            </w:pPr>
            <w:r>
              <w:rPr>
                <w:rFonts w:ascii="Calibri" w:hAnsi="Calibri"/>
                <w:b/>
                <w:i w:val="0"/>
                <w:color w:val="212121"/>
                <w:sz w:val="19"/>
              </w:rPr>
              <w:t>Premenstrual / pregnancy aggravation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Symptoms intensify with hormonal changes and during pregnancy.</w:t>
            </w:r>
          </w:p>
        </w:tc>
      </w:tr>
      <w:tr>
        <w:trPr>
          <w:cantSplit/>
        </w:trPr>
        <w:tc>
          <w:tcPr>
            <w:tcW w:type="dxa" w:w="2304"/>
            <w:vAlign w:val="top"/>
          </w:tcPr>
          <w:p>
            <w:pPr>
              <w:spacing w:after="40" w:before="0" w:line="259" w:lineRule="auto"/>
            </w:pPr>
            <w:r>
              <w:rPr>
                <w:rFonts w:ascii="Calibri" w:hAnsi="Calibri"/>
                <w:b/>
                <w:i w:val="0"/>
                <w:color w:val="212121"/>
                <w:sz w:val="19"/>
              </w:rPr>
              <w:t>Bleeding from a varix</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Profuse bleeding after minor trauma to a thin-walled surface vein; controlled by elevation and pressure.</w:t>
            </w:r>
          </w:p>
        </w:tc>
      </w:tr>
      <w:tr>
        <w:trPr>
          <w:cantSplit/>
        </w:trPr>
        <w:tc>
          <w:tcPr>
            <w:tcW w:type="dxa" w:w="2304"/>
            <w:vAlign w:val="top"/>
          </w:tcPr>
          <w:p>
            <w:pPr>
              <w:spacing w:after="40" w:before="0" w:line="259" w:lineRule="auto"/>
            </w:pPr>
            <w:r>
              <w:rPr>
                <w:rFonts w:ascii="Calibri" w:hAnsi="Calibri"/>
                <w:b/>
                <w:i w:val="0"/>
                <w:color w:val="212121"/>
                <w:sz w:val="19"/>
              </w:rPr>
              <w:t>Painful non-healing ulcer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Aching ulcer near the ankle in advanced (C6) disease; commoner in late presenters.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Dilated, tortuous subcutaneous veins ≥ 3 mm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sign (CEAP C2), most prominent on standing along the saphenous territories.</w:t>
            </w:r>
          </w:p>
        </w:tc>
      </w:tr>
      <w:tr>
        <w:trPr>
          <w:cantSplit/>
        </w:trPr>
        <w:tc>
          <w:tcPr>
            <w:tcW w:type="dxa" w:w="3456"/>
            <w:vAlign w:val="top"/>
          </w:tcPr>
          <w:p>
            <w:pPr>
              <w:spacing w:after="40" w:before="0" w:line="259" w:lineRule="auto"/>
            </w:pPr>
            <w:r>
              <w:rPr>
                <w:rFonts w:ascii="Calibri" w:hAnsi="Calibri"/>
                <w:b/>
                <w:i w:val="0"/>
                <w:color w:val="212121"/>
                <w:sz w:val="19"/>
              </w:rPr>
              <w:t>Dependent pitting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Ankle/leg swelling (C3) from raised venous pressure and capillary leak.</w:t>
            </w:r>
          </w:p>
        </w:tc>
      </w:tr>
      <w:tr>
        <w:trPr>
          <w:cantSplit/>
        </w:trPr>
        <w:tc>
          <w:tcPr>
            <w:tcW w:type="dxa" w:w="3456"/>
            <w:vAlign w:val="top"/>
          </w:tcPr>
          <w:p>
            <w:pPr>
              <w:spacing w:after="40" w:before="0" w:line="259" w:lineRule="auto"/>
            </w:pPr>
            <w:r>
              <w:rPr>
                <w:rFonts w:ascii="Calibri" w:hAnsi="Calibri"/>
                <w:b/>
                <w:i w:val="0"/>
                <w:color w:val="212121"/>
                <w:sz w:val="19"/>
              </w:rPr>
              <w:t>Haemosiderin hyperpigmentation (gaiter area)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 staining above the medial malleolus from red-cell extravasation (C4a).</w:t>
            </w:r>
          </w:p>
        </w:tc>
      </w:tr>
      <w:tr>
        <w:trPr>
          <w:cantSplit/>
        </w:trPr>
        <w:tc>
          <w:tcPr>
            <w:tcW w:type="dxa" w:w="3456"/>
            <w:vAlign w:val="top"/>
          </w:tcPr>
          <w:p>
            <w:pPr>
              <w:spacing w:after="40" w:before="0" w:line="259" w:lineRule="auto"/>
            </w:pPr>
            <w:r>
              <w:rPr>
                <w:rFonts w:ascii="Calibri" w:hAnsi="Calibri"/>
                <w:b/>
                <w:i w:val="0"/>
                <w:color w:val="212121"/>
                <w:sz w:val="19"/>
              </w:rPr>
              <w:t>Venous eczema / stasis dermatitis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Itchy, scaly, inflamed skin over varicosities (C4a); reported in 27.1% of an Indian surgical series.</w:t>
            </w:r>
          </w:p>
        </w:tc>
      </w:tr>
      <w:tr>
        <w:trPr>
          <w:cantSplit/>
        </w:trPr>
        <w:tc>
          <w:tcPr>
            <w:tcW w:type="dxa" w:w="3456"/>
            <w:vAlign w:val="top"/>
          </w:tcPr>
          <w:p>
            <w:pPr>
              <w:spacing w:after="40" w:before="0" w:line="259" w:lineRule="auto"/>
            </w:pPr>
            <w:r>
              <w:rPr>
                <w:rFonts w:ascii="Calibri" w:hAnsi="Calibri"/>
                <w:b/>
                <w:i w:val="0"/>
                <w:color w:val="212121"/>
                <w:sz w:val="19"/>
              </w:rPr>
              <w:t>Positive Trendelenburg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vein refill on tourniquet release indicating saphenofemoral/perforator incompetence.</w:t>
            </w:r>
          </w:p>
        </w:tc>
      </w:tr>
      <w:tr>
        <w:trPr>
          <w:cantSplit/>
        </w:trPr>
        <w:tc>
          <w:tcPr>
            <w:tcW w:type="dxa" w:w="3456"/>
            <w:vAlign w:val="top"/>
          </w:tcPr>
          <w:p>
            <w:pPr>
              <w:spacing w:after="40" w:before="0" w:line="259" w:lineRule="auto"/>
            </w:pPr>
            <w:r>
              <w:rPr>
                <w:rFonts w:ascii="Calibri" w:hAnsi="Calibri"/>
                <w:b/>
                <w:i w:val="0"/>
                <w:color w:val="212121"/>
                <w:sz w:val="19"/>
              </w:rPr>
              <w:t>Lipodermatosclerosis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indurated, tapered lower leg (‘inverted champagne bottle’) from chronic fibrosis (C4b).</w:t>
            </w:r>
          </w:p>
        </w:tc>
      </w:tr>
      <w:tr>
        <w:trPr>
          <w:cantSplit/>
        </w:trPr>
        <w:tc>
          <w:tcPr>
            <w:tcW w:type="dxa" w:w="3456"/>
            <w:vAlign w:val="top"/>
          </w:tcPr>
          <w:p>
            <w:pPr>
              <w:spacing w:after="40" w:before="0" w:line="259" w:lineRule="auto"/>
            </w:pPr>
            <w:r>
              <w:rPr>
                <w:rFonts w:ascii="Calibri" w:hAnsi="Calibri"/>
                <w:b/>
                <w:i w:val="0"/>
                <w:color w:val="212121"/>
                <w:sz w:val="19"/>
              </w:rPr>
              <w:t>Atrophie blanche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Ivory-white atrophic scarred patches with surrounding pigmentation (C4b).</w:t>
            </w:r>
          </w:p>
        </w:tc>
      </w:tr>
      <w:tr>
        <w:trPr>
          <w:cantSplit/>
        </w:trPr>
        <w:tc>
          <w:tcPr>
            <w:tcW w:type="dxa" w:w="3456"/>
            <w:vAlign w:val="top"/>
          </w:tcPr>
          <w:p>
            <w:pPr>
              <w:spacing w:after="40" w:before="0" w:line="259" w:lineRule="auto"/>
            </w:pPr>
            <w:r>
              <w:rPr>
                <w:rFonts w:ascii="Calibri" w:hAnsi="Calibri"/>
                <w:b/>
                <w:i w:val="0"/>
                <w:color w:val="212121"/>
                <w:sz w:val="19"/>
              </w:rPr>
              <w:t>Corona phlebectatica (ankle flare)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Fan of small dilated intradermal veins around the ankle (C4c), an early marker of advanced disease.</w:t>
            </w:r>
          </w:p>
        </w:tc>
      </w:tr>
      <w:tr>
        <w:trPr>
          <w:cantSplit/>
        </w:trPr>
        <w:tc>
          <w:tcPr>
            <w:tcW w:type="dxa" w:w="3456"/>
            <w:vAlign w:val="top"/>
          </w:tcPr>
          <w:p>
            <w:pPr>
              <w:spacing w:after="40" w:before="0" w:line="259" w:lineRule="auto"/>
            </w:pPr>
            <w:r>
              <w:rPr>
                <w:rFonts w:ascii="Calibri" w:hAnsi="Calibri"/>
                <w:b/>
                <w:i w:val="0"/>
                <w:color w:val="212121"/>
                <w:sz w:val="19"/>
              </w:rPr>
              <w:t>Venous ulcer (medial malleolus)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Shallow, exudative gaiter-area ulcer (C5/C6); frequent at presentation in India (57.6% in one series) due to late care.</w:t>
            </w:r>
          </w:p>
        </w:tc>
      </w:tr>
      <w:tr>
        <w:trPr>
          <w:cantSplit/>
        </w:trPr>
        <w:tc>
          <w:tcPr>
            <w:tcW w:type="dxa" w:w="3456"/>
            <w:vAlign w:val="top"/>
          </w:tcPr>
          <w:p>
            <w:pPr>
              <w:spacing w:after="40" w:before="0" w:line="259" w:lineRule="auto"/>
            </w:pPr>
            <w:r>
              <w:rPr>
                <w:rFonts w:ascii="Calibri" w:hAnsi="Calibri"/>
                <w:b/>
                <w:i w:val="0"/>
                <w:color w:val="212121"/>
                <w:sz w:val="19"/>
              </w:rPr>
              <w:t>Superficial thrombophlebitis (tender cord)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hot, tender palpable cord along a thrombosed superficial varix.</w:t>
            </w:r>
          </w:p>
        </w:tc>
      </w:tr>
      <w:tr>
        <w:trPr>
          <w:cantSplit/>
        </w:trPr>
        <w:tc>
          <w:tcPr>
            <w:tcW w:type="dxa" w:w="3456"/>
            <w:vAlign w:val="top"/>
          </w:tcPr>
          <w:p>
            <w:pPr>
              <w:spacing w:after="40" w:before="0" w:line="259" w:lineRule="auto"/>
            </w:pPr>
            <w:r>
              <w:rPr>
                <w:rFonts w:ascii="Calibri" w:hAnsi="Calibri"/>
                <w:b/>
                <w:i w:val="0"/>
                <w:color w:val="212121"/>
                <w:sz w:val="19"/>
              </w:rPr>
              <w:t>Palpable saphenofemoral cough impulse / thrill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Impulse felt at the groin on coughing, indicating junctional valve incompetence.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Superficial vein thrombosis (thrombophlebitis) of a varix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 haemorrhage from a ruptured surface varix after minor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tender, inflamed varicosities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 oedema and progressive skin discomfort</w:t>
            </w:r>
          </w:p>
        </w:tc>
        <w:tc>
          <w:tcPr>
            <w:tcW w:type="dxa" w:w="2980"/>
            <w:vAlign w:val="top"/>
          </w:tcPr>
          <w:p>
            <w:pPr>
              <w:spacing w:after="40" w:before="0" w:line="259" w:lineRule="auto"/>
            </w:pPr>
            <w:r>
              <w:rPr>
                <w:rFonts w:ascii="Calibri" w:hAnsi="Calibri"/>
                <w:b w:val="0"/>
                <w:i w:val="0"/>
                <w:color w:val="212121"/>
                <w:sz w:val="19"/>
              </w:rPr>
              <w:t>Direct local consequences of dilated, high-pressure superficial veins.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venous insufficiency with sustained venous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eczema / stasis dermatitis and hyperpigmentation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Lipodermatosclerosis and atrophie blanche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vein thrombosis (varicose veins raise DVT risk ~5-fold) and risk of pulmonary 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Superimposed cellulitis and skin infection</w:t>
            </w:r>
          </w:p>
        </w:tc>
        <w:tc>
          <w:tcPr>
            <w:tcW w:type="dxa" w:w="2980"/>
            <w:vAlign w:val="top"/>
          </w:tcPr>
          <w:p>
            <w:pPr>
              <w:spacing w:after="40" w:before="0" w:line="259" w:lineRule="auto"/>
            </w:pPr>
            <w:r>
              <w:rPr>
                <w:rFonts w:ascii="Calibri" w:hAnsi="Calibri"/>
                <w:b w:val="0"/>
                <w:i w:val="0"/>
                <w:color w:val="212121"/>
                <w:sz w:val="19"/>
              </w:rPr>
              <w:t>Result from progressive venous hypertension, skin damage and propagation of thrombosis.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non-healing venous leg ulcers (medial malleolus)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fibrosis, ankle stiffness and reduced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reduction in quality of life, work capacity and body image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Post-thrombotic syndrome after DVT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malignant (Marjolin) transformation of longstanding venous ulcers (~0.4–1%)</w:t>
            </w:r>
          </w:p>
        </w:tc>
        <w:tc>
          <w:tcPr>
            <w:tcW w:type="dxa" w:w="2980"/>
            <w:vAlign w:val="top"/>
          </w:tcPr>
          <w:p>
            <w:pPr>
              <w:spacing w:after="40" w:before="0" w:line="259" w:lineRule="auto"/>
            </w:pPr>
            <w:r>
              <w:rPr>
                <w:rFonts w:ascii="Calibri" w:hAnsi="Calibri"/>
                <w:b w:val="0"/>
                <w:i w:val="0"/>
                <w:color w:val="212121"/>
                <w:sz w:val="19"/>
              </w:rPr>
              <w:t>Disabling, often irreversible outcomes of longstanding, untreated venous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venous insufficiency (CVI)</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Varicose veins and CVI share venous hypertension; untreated varicosities progress to CVI with skin changes and ulceration.</w:t>
            </w:r>
          </w:p>
          <w:p>
            <w:pPr>
              <w:spacing w:after="40" w:before="0" w:line="259" w:lineRule="auto"/>
            </w:pPr>
            <w:r>
              <w:rPr>
                <w:rFonts w:ascii="Calibri" w:hAnsi="Calibri"/>
                <w:b/>
                <w:i w:val="0"/>
                <w:color w:val="212121"/>
                <w:sz w:val="19"/>
              </w:rPr>
              <w:t>10–35% of adults (CVI)</w:t>
            </w:r>
          </w:p>
        </w:tc>
      </w:tr>
      <w:tr>
        <w:trPr>
          <w:cantSplit/>
        </w:trPr>
        <w:tc>
          <w:tcPr>
            <w:tcW w:type="dxa" w:w="2232"/>
            <w:vAlign w:val="top"/>
          </w:tcPr>
          <w:p>
            <w:pPr>
              <w:spacing w:after="40" w:before="0" w:line="259" w:lineRule="auto"/>
            </w:pPr>
            <w:r>
              <w:rPr>
                <w:rFonts w:ascii="Calibri" w:hAnsi="Calibri"/>
                <w:b/>
                <w:i w:val="0"/>
                <w:color w:val="212121"/>
                <w:sz w:val="19"/>
              </w:rPr>
              <w:t>Deep vein thrombosis (DVT)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Varicose veins markedly increase DVT risk and prior DVT causes secondary varicosities; coexistence alters anticoagulation and intervention planning.</w:t>
            </w:r>
          </w:p>
          <w:p>
            <w:pPr>
              <w:spacing w:after="40" w:before="0" w:line="259" w:lineRule="auto"/>
            </w:pPr>
            <w:r>
              <w:rPr>
                <w:rFonts w:ascii="Calibri" w:hAnsi="Calibri"/>
                <w:b/>
                <w:i w:val="0"/>
                <w:color w:val="212121"/>
                <w:sz w:val="19"/>
              </w:rPr>
              <w:t>~5× risk (HR 5.30)</w:t>
            </w:r>
          </w:p>
        </w:tc>
      </w:tr>
      <w:tr>
        <w:trPr>
          <w:cantSplit/>
        </w:trPr>
        <w:tc>
          <w:tcPr>
            <w:tcW w:type="dxa" w:w="2232"/>
            <w:vAlign w:val="top"/>
          </w:tcPr>
          <w:p>
            <w:pPr>
              <w:spacing w:after="40" w:before="0" w:line="259" w:lineRule="auto"/>
            </w:pPr>
            <w:r>
              <w:rPr>
                <w:rFonts w:ascii="Calibri" w:hAnsi="Calibri"/>
                <w:b/>
                <w:i w:val="0"/>
                <w:color w:val="212121"/>
                <w:sz w:val="19"/>
              </w:rPr>
              <w:t>Superficial vein thrombosis (thrombophlebitis)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Thrombosis within a varicose vein is a frequent complication and can extend to the deep system.</w:t>
            </w:r>
          </w:p>
        </w:tc>
      </w:tr>
      <w:tr>
        <w:trPr>
          <w:cantSplit/>
        </w:trPr>
        <w:tc>
          <w:tcPr>
            <w:tcW w:type="dxa" w:w="2232"/>
            <w:vAlign w:val="top"/>
          </w:tcPr>
          <w:p>
            <w:pPr>
              <w:spacing w:after="40" w:before="0" w:line="259" w:lineRule="auto"/>
            </w:pPr>
            <w:r>
              <w:rPr>
                <w:rFonts w:ascii="Calibri" w:hAnsi="Calibri"/>
                <w:b/>
                <w:i w:val="0"/>
                <w:color w:val="212121"/>
                <w:sz w:val="19"/>
              </w:rPr>
              <w:t>Venous leg ulcer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End-stage skin breakdown from venous hypertension; drives most of the morbidity and cost, and dictates compression-based management.</w:t>
            </w:r>
          </w:p>
          <w:p>
            <w:pPr>
              <w:spacing w:after="40" w:before="0" w:line="259" w:lineRule="auto"/>
            </w:pPr>
            <w:r>
              <w:rPr>
                <w:rFonts w:ascii="Calibri" w:hAnsi="Calibri"/>
                <w:b/>
                <w:i w:val="0"/>
                <w:color w:val="212121"/>
                <w:sz w:val="19"/>
              </w:rPr>
              <w:t>Non-healing ulcers 12.3% (Indian surgical series)</w:t>
            </w:r>
          </w:p>
        </w:tc>
      </w:tr>
      <w:tr>
        <w:trPr>
          <w:cantSplit/>
        </w:trPr>
        <w:tc>
          <w:tcPr>
            <w:tcW w:type="dxa" w:w="2232"/>
            <w:vAlign w:val="top"/>
          </w:tcPr>
          <w:p>
            <w:pPr>
              <w:spacing w:after="40" w:before="0" w:line="259" w:lineRule="auto"/>
            </w:pPr>
            <w:r>
              <w:rPr>
                <w:rFonts w:ascii="Calibri" w:hAnsi="Calibri"/>
                <w:b/>
                <w:i w:val="0"/>
                <w:color w:val="212121"/>
                <w:sz w:val="19"/>
              </w:rPr>
              <w:t>Venous eczema / stasis dermatitis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Inflammatory skin change overlying varicosities from chronic venous stasis and haemosiderin deposition.</w:t>
            </w:r>
          </w:p>
          <w:p>
            <w:pPr>
              <w:spacing w:after="40" w:before="0" w:line="259" w:lineRule="auto"/>
            </w:pPr>
            <w:r>
              <w:rPr>
                <w:rFonts w:ascii="Calibri" w:hAnsi="Calibri"/>
                <w:b/>
                <w:i w:val="0"/>
                <w:color w:val="212121"/>
                <w:sz w:val="19"/>
              </w:rPr>
              <w:t>Up to 27.1% (Indian surgical series)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obesity raises venous pressure and is a leading modifiable driver; it complicates surgery, compression and healing.</w:t>
            </w:r>
          </w:p>
        </w:tc>
      </w:tr>
      <w:tr>
        <w:trPr>
          <w:cantSplit/>
        </w:trPr>
        <w:tc>
          <w:tcPr>
            <w:tcW w:type="dxa" w:w="2232"/>
            <w:vAlign w:val="top"/>
          </w:tcPr>
          <w:p>
            <w:pPr>
              <w:spacing w:after="40" w:before="0" w:line="259" w:lineRule="auto"/>
            </w:pPr>
            <w:r>
              <w:rPr>
                <w:rFonts w:ascii="Calibri" w:hAnsi="Calibri"/>
                <w:b/>
                <w:i w:val="0"/>
                <w:color w:val="212121"/>
                <w:sz w:val="19"/>
              </w:rPr>
              <w:t>Pulmonary embolism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Potentially fatal sequel when superficial thrombosis propagates to DVT and embolises; mandates vigilance in thrombosed varices.</w:t>
            </w:r>
          </w:p>
        </w:tc>
      </w:tr>
      <w:tr>
        <w:trPr>
          <w:cantSplit/>
        </w:trPr>
        <w:tc>
          <w:tcPr>
            <w:tcW w:type="dxa" w:w="2232"/>
            <w:vAlign w:val="top"/>
          </w:tcPr>
          <w:p>
            <w:pPr>
              <w:spacing w:after="40" w:before="0" w:line="259" w:lineRule="auto"/>
            </w:pPr>
            <w:r>
              <w:rPr>
                <w:rFonts w:ascii="Calibri" w:hAnsi="Calibri"/>
                <w:b/>
                <w:i w:val="0"/>
                <w:color w:val="212121"/>
                <w:sz w:val="19"/>
              </w:rPr>
              <w:t>Pregnancy-related venous changes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Pregnancy provokes or worsens varicosities via volume, hormones and pelvic compression; management is modified (conservative until postpartum).</w:t>
            </w:r>
          </w:p>
        </w:tc>
      </w:tr>
      <w:tr>
        <w:trPr>
          <w:cantSplit/>
        </w:trPr>
        <w:tc>
          <w:tcPr>
            <w:tcW w:type="dxa" w:w="2232"/>
            <w:vAlign w:val="top"/>
          </w:tcPr>
          <w:p>
            <w:pPr>
              <w:spacing w:after="40" w:before="0" w:line="259" w:lineRule="auto"/>
            </w:pPr>
            <w:r>
              <w:rPr>
                <w:rFonts w:ascii="Calibri" w:hAnsi="Calibri"/>
                <w:b/>
                <w:i w:val="0"/>
                <w:color w:val="212121"/>
                <w:sz w:val="19"/>
              </w:rPr>
              <w:t>Peripheral arterial disease (PAD)</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Shared cardiovascular risk factors; coexisting PAD contraindicates high compression, so ABI must be checked before therapy.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varicose veins arise from leaky vein valves and high venous pressure, and are worsened by prolonged standing, obesity and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leg heaviness, aching, itching, ankle swelling and visible veins — and seek assessment before skin changes or ulcers develop.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standing occupations (nursing, teaching, policing, cooking, factory/field work) take regular movement breaks, shift weight and do calf-pump exercises hourly.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legs above heart level for 15–30 minutes several times a day and at night to relieve pooling.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tight constrictive clothing at the groin/thigh, prolonged motionless standing or sitting, and excessive heat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duplex ultrasound assessment if veins are symptomatic (CEAP C2S) or worsening, rather than treating them as purely cosmetic.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Standing-occupation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Walk regularly and do calf-raise exercises to activate the muscle pump and lower venous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standing or sitting every 30–60 minutes with movement or leg elevation.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 150 minutes/week of moderate activity such as brisk walking, cycling or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correctly fitted graduated compression stockings (after excluding arterial disease by ABI) during standing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(Asian-Indian BMI 18.5–22.9) to reduce venous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low-impact leg exercise; elevate limbs after activity to aid venous return.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varicose veins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Standing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Post-procedure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(25–30 g/day) with whole grains, millets, pulses, vegetables and fruit to prevent constipation and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daily fruit — independently linked to markedly lower odds of chronic venous disease in rural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flavonoid-rich foods (citrus, berries, grapes, leafy greens) that support venous tone.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limit high-salt, ultra-processed foods that promote fluid retention and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calorie intake to control weight and reduce intra-abdominal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Standing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foot of the bed or place a pillow under the legs so the limbs rest above heart level overnight.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gentle ankle and calf movements before sleep to reduce nocturnal cramps and restless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cool, as heat aggravates venous dilatation and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compression stockings at night unless specifically advised otherwise.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oedema or night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(C3–C6)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protect endothelial function and improve skin and ulcer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 counselling, quit-lines and nicotine-replacement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weight and activity measures for maximum vascular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skin changes or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Pre-procedure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chronic heavy intake causes vasodilatation that can aggravate venous pooling.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within moderate limits and have alcohol-free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trigger for weight gain, which raises venous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when drinking to limit fluid shifts and leg swelling.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oedema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impact of visible veins, chronic aching and ulceration on mood, body image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treatment expectations, as effective vein treatment improves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support groups or counselling for patients with disabling or recurrent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disturbance and chronic pain, which compound low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advanced/ulcerated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distressed by appearance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4878844/" TargetMode="External"/><Relationship Id="rId10" Type="http://schemas.openxmlformats.org/officeDocument/2006/relationships/hyperlink" Target="https://pubmed.ncbi.nlm.nih.gov/39701487/" TargetMode="External"/><Relationship Id="rId11" Type="http://schemas.openxmlformats.org/officeDocument/2006/relationships/hyperlink" Target="https://www.ncbi.nlm.nih.gov/books/NBK470194/" TargetMode="External"/><Relationship Id="rId12" Type="http://schemas.openxmlformats.org/officeDocument/2006/relationships/hyperlink" Target="https://pubmed.ncbi.nlm.nih.gov/38609985/" TargetMode="External"/><Relationship Id="rId13" Type="http://schemas.openxmlformats.org/officeDocument/2006/relationships/hyperlink" Target="https://pmc.ncbi.nlm.nih.gov/articles/PMC12914658/" TargetMode="External"/><Relationship Id="rId14" Type="http://schemas.openxmlformats.org/officeDocument/2006/relationships/hyperlink" Target="https://pubmed.ncbi.nlm.nih.gov/32931383/" TargetMode="External"/><Relationship Id="rId15" Type="http://schemas.openxmlformats.org/officeDocument/2006/relationships/hyperlink" Target="https://pubmed.ncbi.nlm.nih.gov/30363079/" TargetMode="External"/><Relationship Id="rId16" Type="http://schemas.openxmlformats.org/officeDocument/2006/relationships/hyperlink" Target="https://pubmed.ncbi.nlm.nih.gov/34242131/" TargetMode="External"/><Relationship Id="rId17" Type="http://schemas.openxmlformats.org/officeDocument/2006/relationships/hyperlink" Target="https://pubmed.ncbi.nlm.nih.gov/38729190/" TargetMode="External"/><Relationship Id="rId18" Type="http://schemas.openxmlformats.org/officeDocument/2006/relationships/hyperlink" Target="https://www.ncbi.nlm.nih.gov/books/NBK430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