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Chronic Venous Insufficiency</w:t>
      </w:r>
    </w:p>
    <w:p>
      <w:pPr>
        <w:spacing w:before="0" w:after="160"/>
      </w:pPr>
      <w:r>
        <w:rPr>
          <w:rFonts w:ascii="Calibri" w:hAnsi="Calibri"/>
          <w:b/>
          <w:i w:val="0"/>
          <w:color w:val="212121"/>
          <w:sz w:val="22"/>
        </w:rPr>
        <w:t xml:space="preserve">AKA </w:t>
      </w:r>
      <w:r>
        <w:rPr>
          <w:rFonts w:ascii="Calibri" w:hAnsi="Calibri"/>
          <w:b w:val="0"/>
          <w:i w:val="0"/>
          <w:color w:val="212121"/>
          <w:sz w:val="22"/>
        </w:rPr>
        <w:t>i.e., CVI, Chronic Venous Disease (advanced stages), Venous Stasis, Venous Insufficiency of the legs; clinically encompasses varicose veins, venous eczema, venous stasis dermatitis and venous (stasis) leg ulcers</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Chronic venous insufficiency (CVI) is a progressive disorder in which impaired return of blood from the lower limbs — due to incompetent (leaky) venous valves causing reflux, venous outflow obstruction, or failure of the calf muscle pump — produces sustained ambulatory venous hypertension. Persistently raised venous pressure drives inflammation, capillary leak and tissue damage, giving rise to leg heaviness, aching, swelling, skin pigmentation, eczema, lipodermatosclerosis and, in advanced disease, venous leg ulceration. CVI represents the advanced end (broadly CEAP clinical classes C3–C6) of the chronic venous disease spectrum.</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Chronic venous disease is common but under-recognised in India. A 2026 community-based study of 1,151 rural adults (≥18 years) in Tamil Nadu found chronic venous disorders in 7.2% (95% CI 5.7–8.8%), with varicose veins (4.5%) and telangiectasias (2.1%) the most common forms. Indian hospital series show varicose veins clustering in working-age adults — most commonly 41–50 years — and heavily among men in unskilled, prolonged-standing occupations, who often present late with skin changes or ulcers. Globally the prevalence of CVI is estimated at roughly 10–35% of adults, rising with age.</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CVI is a clinical diagnosis confirmed and staged with duplex ultrasound; the following criteria and investigations establish the diagnosis, its cause and severity: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Venous duplex (colour Doppler) ultrasound performed with the patient standing is the diagnostic gold standard: pathological reflux is defined as reversed flow lasting &gt; 0.5 seconds in superficial veins (great/small saphenous and tributaries) or &gt; 1.0 second in the deep veins (femoral, popliteal);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Perforator incompetence: outward flow &gt; 0.5 second in a perforating vein of diameter ≥ 3.5 mm, particularly in the gaiter (ankle) area;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Assignment of the clinical CEAP class (C0–C6) on inspection — telangiectasia, varicose veins, oedema, skin changes or ulceration;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Ankle–Brachial Pressure Index (ABPI) 0.8–1.3 to exclude significant peripheral arterial disease before applying compression, mandatory before treating a leg ulcer;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Venous Clinical Severity Score (VCSS) to grade severity and monitor response to treatment;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Duplex/D-dimer to exclude acute deep vein thrombosis, and CT or MR venography where proximal obstruction (e.g., May–Thurner or post-thrombotic iliac vein disease) is suspected.</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Chronic venous disorders are classified using the internationally standardised CEAP system (Clinical, Etiology, Anatomy, Pathophysiology); CVI denotes the more advanced clinical grades:</w:t>
      </w:r>
    </w:p>
    <w:p>
      <w:pPr>
        <w:spacing w:before="0" w:after="80"/>
      </w:pPr>
      <w:r>
        <w:rPr>
          <w:rFonts w:ascii="Calibri" w:hAnsi="Calibri"/>
          <w:b w:val="0"/>
          <w:i w:val="0"/>
          <w:color w:val="212121"/>
          <w:sz w:val="21"/>
        </w:rPr>
        <w:t>(1) Clinical (C0–C6): C0 — no visible/palpable venous disease; C1 — telangiectasias or reticular veins; C2 — varicose veins; C3 — oedema; C4a — pigmentation or eczema; C4b — lipodermatosclerosis or atrophie blanche; C5 — healed venous ulcer; C6 — active venous ulcer. Classes C3–C6 are generally regarded as CVI. Each may be asymptomatic (A) or symptomatic (S).</w:t>
      </w:r>
    </w:p>
    <w:p>
      <w:pPr>
        <w:spacing w:before="0" w:after="80"/>
      </w:pPr>
      <w:r>
        <w:rPr>
          <w:rFonts w:ascii="Calibri" w:hAnsi="Calibri"/>
          <w:b w:val="0"/>
          <w:i w:val="0"/>
          <w:color w:val="212121"/>
          <w:sz w:val="21"/>
        </w:rPr>
        <w:t>(2) Etiology: Ec — congenital; Ep — primary (idiopathic valvular incompetence, the commonest form); Es — secondary (most often post-thrombotic, following deep vein thrombosis); En — no venous cause identified.</w:t>
      </w:r>
    </w:p>
    <w:p>
      <w:pPr>
        <w:spacing w:before="0" w:after="80"/>
      </w:pPr>
      <w:r>
        <w:rPr>
          <w:rFonts w:ascii="Calibri" w:hAnsi="Calibri"/>
          <w:b w:val="0"/>
          <w:i w:val="0"/>
          <w:color w:val="212121"/>
          <w:sz w:val="21"/>
        </w:rPr>
        <w:t>(3) Anatomy: As — superficial veins; Ap — perforator veins; Ad — deep veins; An — no venous location identified. Involvement is frequently combined.</w:t>
      </w:r>
    </w:p>
    <w:p>
      <w:pPr>
        <w:spacing w:before="0" w:after="80"/>
      </w:pPr>
      <w:r>
        <w:rPr>
          <w:rFonts w:ascii="Calibri" w:hAnsi="Calibri"/>
          <w:b w:val="0"/>
          <w:i w:val="0"/>
          <w:color w:val="212121"/>
          <w:sz w:val="21"/>
        </w:rPr>
        <w:t>(4) Pathophysiology: Pr — reflux; Po — obstruction; Pr,o — reflux and obstruction together; Pn — no pathophysiology identified. Reflux (valvular incompetence) accounts for the majority of primary CVI.</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Valvular incompetence (reflux): Failure of one-way venous valves — usually primary and idiopathic — allows blood to flow backwards and pool in the leg, the commonest cause of CVI.</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Venous obstruction / post-thrombotic syndrome: A previous deep vein thrombosis damages valves and scars/obstructs the deep veins, producing secondary CVI; iliac vein compression (May–Thurner) is another obstructive cause.</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Calf muscle pump failure: Immobility, ankle stiffness, obesity or neurological disease reduce the pumping action that normally drives venous return against gravity.</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Genetic predisposition / family history: A positive family history of varicose veins markedly raises risk, reflecting inherited weakness of the vein wall and valves.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Sustained mechanical loading: Prolonged standing or sitting, central obesity and pregnancy raise intra-abdominal and venous pressure, distending veins and stressing valves over time.</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Hormonal and reproductive factors: Oestrogen and progesterone in pregnancy and with oral contraceptives relax vein walls and increase venous distensibility; multiparity is an added risk.</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Ageing: Progressive loss of vein-wall elasticity and valve competence increases CVI prevalence and severity with advancing age.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 age, ~40–50 years)</w:t>
            </w:r>
          </w:p>
        </w:tc>
        <w:tc>
          <w:tcPr>
            <w:tcW w:type="dxa" w:w="4276"/>
            <w:vAlign w:val="top"/>
          </w:tcPr>
          <w:p>
            <w:pPr>
              <w:spacing w:after="60" w:line="259" w:lineRule="auto"/>
            </w:pPr>
            <w:r>
              <w:rPr>
                <w:rFonts w:ascii="Calibri" w:hAnsi="Calibri"/>
                <w:b w:val="0"/>
                <w:i w:val="0"/>
                <w:color w:val="212121"/>
                <w:sz w:val="19"/>
              </w:rPr>
              <w:t>Cumulative years of upright posture, occupational standing and rising body weight progressively stress venous valves, so symptomatic disease typically emerges in mid-adult life.</w:t>
            </w:r>
          </w:p>
          <w:p>
            <w:pPr>
              <w:spacing w:after="40" w:before="60" w:line="259" w:lineRule="auto"/>
            </w:pPr>
            <w:r>
              <w:rPr>
                <w:rFonts w:ascii="Calibri" w:hAnsi="Calibri"/>
                <w:b w:val="0"/>
                <w:i w:val="0"/>
                <w:color w:val="212121"/>
                <w:sz w:val="19"/>
              </w:rPr>
              <w:t>In an Indian multicentre hospital review of varicose veins, the largest group (31.2%) was aged 41–50 years.</w:t>
            </w:r>
          </w:p>
          <w:p>
            <w:pPr>
              <w:spacing w:after="40" w:line="252" w:lineRule="auto"/>
            </w:pPr>
            <w:hyperlink r:id="rId9">
              <w:r>
                <w:rPr>
                  <w:rFonts w:ascii="Calibri" w:hAnsi="Calibri" w:cs="Calibri"/>
                  <w:sz w:val="18"/>
                  <w:color w:val="1155CC"/>
                  <w:u w:val="single"/>
                </w:rPr>
                <w:t xml:space="preserve">pmc.ncbi.nlm.nih.gov — Joseph et al., varicose vein epidemiology (India)</w:t>
              </w:r>
            </w:hyperlink>
          </w:p>
          <w:p>
            <w:pPr>
              <w:spacing w:before="60" w:after="40"/>
            </w:pPr>
            <w:r>
              <w:rPr>
                <w:rFonts w:ascii="Calibri" w:hAnsi="Calibri"/>
                <w:b w:val="0"/>
                <w:i w:val="0"/>
                <w:color w:val="5A5A5A"/>
                <w:sz w:val="18"/>
              </w:rPr>
              <w:t>#venoushypertension  #workingage  #reflux  #standingjob  #varicoseveins</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w:t>
            </w:r>
          </w:p>
        </w:tc>
        <w:tc>
          <w:tcPr>
            <w:tcW w:type="dxa" w:w="4276"/>
            <w:vAlign w:val="top"/>
          </w:tcPr>
          <w:p>
            <w:pPr>
              <w:spacing w:after="60" w:line="259" w:lineRule="auto"/>
            </w:pPr>
            <w:r>
              <w:rPr>
                <w:rFonts w:ascii="Calibri" w:hAnsi="Calibri"/>
                <w:b w:val="0"/>
                <w:i w:val="0"/>
                <w:color w:val="212121"/>
                <w:sz w:val="19"/>
              </w:rPr>
              <w:t>Age-related loss of vein-wall elasticity and valve competence, reduced calf-pump efficiency and immobility make CVI more prevalent and more severe (skin changes, ulcers) in older adults.</w:t>
            </w:r>
          </w:p>
          <w:p>
            <w:pPr>
              <w:spacing w:after="40" w:before="60" w:line="259" w:lineRule="auto"/>
            </w:pPr>
            <w:r>
              <w:rPr>
                <w:rFonts w:ascii="Calibri" w:hAnsi="Calibri"/>
                <w:b w:val="0"/>
                <w:i w:val="0"/>
                <w:color w:val="212121"/>
                <w:sz w:val="19"/>
              </w:rPr>
              <w:t>Chronic venous insufficiency is estimated to affect up to ~10–35% of adults, with prevalence and severity rising with age; ~4% of those ≥65 years develop venous ulcers.</w:t>
            </w:r>
          </w:p>
          <w:p>
            <w:pPr>
              <w:spacing w:after="40" w:line="252" w:lineRule="auto"/>
            </w:pPr>
            <w:hyperlink r:id="rId10">
              <w:r>
                <w:rPr>
                  <w:rFonts w:ascii="Calibri" w:hAnsi="Calibri" w:cs="Calibri"/>
                  <w:sz w:val="18"/>
                  <w:color w:val="1155CC"/>
                  <w:u w:val="single"/>
                </w:rPr>
                <w:t xml:space="preserve">ncbi.nlm.nih.gov — StatPearls, Chronic Venous Insufficiency</w:t>
              </w:r>
            </w:hyperlink>
          </w:p>
          <w:p>
            <w:pPr>
              <w:spacing w:before="60" w:after="40"/>
            </w:pPr>
            <w:r>
              <w:rPr>
                <w:rFonts w:ascii="Calibri" w:hAnsi="Calibri"/>
                <w:b w:val="0"/>
                <w:i w:val="0"/>
                <w:color w:val="5A5A5A"/>
                <w:sz w:val="18"/>
              </w:rPr>
              <w:t>#ageing  #valvefailure  #venousulcer  #immobility</w:t>
            </w:r>
          </w:p>
        </w:tc>
      </w:tr>
      <w:tr>
        <w:trPr>
          <w:cantSplit/>
        </w:trPr>
        <w:tc>
          <w:tcPr>
            <w:tcW w:type="dxa" w:w="1512"/>
            <w:vMerge/>
            <w:vAlign w:val="top"/>
          </w:tcPr>
          <w:p>
            <w:pPr>
              <w:spacing w:after="40" w:before="0" w:line="259" w:lineRule="auto"/>
            </w:pPr>
          </w:p>
        </w:tc>
        <w:tc>
          <w:tcPr>
            <w:tcW w:type="dxa" w:w="1655"/>
            <w:vMerge w:val="restart"/>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Female</w:t>
            </w:r>
          </w:p>
        </w:tc>
        <w:tc>
          <w:tcPr>
            <w:tcW w:type="dxa" w:w="4276"/>
            <w:vAlign w:val="top"/>
          </w:tcPr>
          <w:p>
            <w:pPr>
              <w:spacing w:after="60" w:line="259" w:lineRule="auto"/>
            </w:pPr>
            <w:r>
              <w:rPr>
                <w:rFonts w:ascii="Calibri" w:hAnsi="Calibri"/>
                <w:b w:val="0"/>
                <w:i w:val="0"/>
                <w:color w:val="212121"/>
                <w:sz w:val="19"/>
              </w:rPr>
              <w:t>Pregnancy-related increases in blood volume and pelvic venous pressure, plus the vein-relaxing effects of oestrogen/progesterone and multiparity, raise female susceptibility, especially to varicose veins and oedema.</w:t>
            </w:r>
          </w:p>
          <w:p>
            <w:pPr>
              <w:spacing w:after="40" w:before="60" w:line="259" w:lineRule="auto"/>
            </w:pPr>
            <w:r>
              <w:rPr>
                <w:rFonts w:ascii="Calibri" w:hAnsi="Calibri"/>
                <w:b w:val="0"/>
                <w:i w:val="0"/>
                <w:color w:val="212121"/>
                <w:sz w:val="19"/>
              </w:rPr>
              <w:t>Female sex is a recognised risk factor; global prevalence estimates range from about 1–40% in women. In North Indian patients with skin changes, prior pregnancy was among the highest-prevalence risk factors.</w:t>
            </w:r>
          </w:p>
          <w:p>
            <w:pPr>
              <w:spacing w:after="40" w:line="252" w:lineRule="auto"/>
            </w:pPr>
            <w:hyperlink r:id="rId11">
              <w:r>
                <w:rPr>
                  <w:rFonts w:ascii="Calibri" w:hAnsi="Calibri" w:cs="Calibri"/>
                  <w:sz w:val="18"/>
                  <w:color w:val="1155CC"/>
                  <w:u w:val="single"/>
                </w:rPr>
                <w:t xml:space="preserve">pubmed.ncbi.nlm.nih.gov — Jain et al., venous reflux &amp; risk factors (North India)</w:t>
              </w:r>
            </w:hyperlink>
          </w:p>
          <w:p>
            <w:pPr>
              <w:spacing w:before="60" w:after="40"/>
            </w:pPr>
            <w:r>
              <w:rPr>
                <w:rFonts w:ascii="Calibri" w:hAnsi="Calibri"/>
                <w:b w:val="0"/>
                <w:i w:val="0"/>
                <w:color w:val="5A5A5A"/>
                <w:sz w:val="18"/>
              </w:rPr>
              <w:t>#pregnancy  #hormonal  #multiparity  #oedema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Male (occupational, hospital-presenting)</w:t>
            </w:r>
          </w:p>
        </w:tc>
        <w:tc>
          <w:tcPr>
            <w:tcW w:type="dxa" w:w="4276"/>
            <w:vAlign w:val="top"/>
          </w:tcPr>
          <w:p>
            <w:pPr>
              <w:spacing w:after="60" w:line="259" w:lineRule="auto"/>
            </w:pPr>
            <w:r>
              <w:rPr>
                <w:rFonts w:ascii="Calibri" w:hAnsi="Calibri"/>
                <w:b w:val="0"/>
                <w:i w:val="0"/>
                <w:color w:val="212121"/>
                <w:sz w:val="19"/>
              </w:rPr>
              <w:t>Men in India predominate in surgical/hospital varicose-vein series, reflecting heavy representation in unskilled, prolonged-standing manual occupations and later presentation with advanced disease.</w:t>
            </w:r>
          </w:p>
          <w:p>
            <w:pPr>
              <w:spacing w:after="40" w:before="60" w:line="259" w:lineRule="auto"/>
            </w:pPr>
            <w:r>
              <w:rPr>
                <w:rFonts w:ascii="Calibri" w:hAnsi="Calibri"/>
                <w:b w:val="0"/>
                <w:i w:val="0"/>
                <w:color w:val="212121"/>
                <w:sz w:val="19"/>
              </w:rPr>
              <w:t>In an Indian hospital review, 74.7% of varicose-vein cases were male and 59.4% were unskilled workers; prolonged standing was significantly commoner in men.</w:t>
            </w:r>
          </w:p>
          <w:p>
            <w:pPr>
              <w:spacing w:after="40" w:line="252" w:lineRule="auto"/>
            </w:pPr>
            <w:hyperlink r:id="rId9">
              <w:r>
                <w:rPr>
                  <w:rFonts w:ascii="Calibri" w:hAnsi="Calibri" w:cs="Calibri"/>
                  <w:sz w:val="18"/>
                  <w:color w:val="1155CC"/>
                  <w:u w:val="single"/>
                </w:rPr>
                <w:t xml:space="preserve">pmc.ncbi.nlm.nih.gov — Joseph et al. (India)</w:t>
              </w:r>
            </w:hyperlink>
          </w:p>
          <w:p>
            <w:pPr>
              <w:spacing w:before="60" w:after="40"/>
            </w:pPr>
            <w:r>
              <w:rPr>
                <w:rFonts w:ascii="Calibri" w:hAnsi="Calibri"/>
                <w:b w:val="0"/>
                <w:i w:val="0"/>
                <w:color w:val="5A5A5A"/>
                <w:sz w:val="18"/>
              </w:rPr>
              <w:t>#manuallabour  #latepresentation  #ulceration  #malepredominance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Manual / unskilled workers</w:t>
            </w:r>
          </w:p>
        </w:tc>
        <w:tc>
          <w:tcPr>
            <w:tcW w:type="dxa" w:w="4276"/>
            <w:vAlign w:val="top"/>
          </w:tcPr>
          <w:p>
            <w:pPr>
              <w:spacing w:after="60" w:line="259" w:lineRule="auto"/>
            </w:pPr>
            <w:r>
              <w:rPr>
                <w:rFonts w:ascii="Calibri" w:hAnsi="Calibri"/>
                <w:b w:val="0"/>
                <w:i w:val="0"/>
                <w:color w:val="212121"/>
                <w:sz w:val="19"/>
              </w:rPr>
              <w:t>Occupations demanding long hours of standing or lifting sustain high venous pressure, while limited access to early care leads to presentation at the ulcer stage.</w:t>
            </w:r>
          </w:p>
          <w:p>
            <w:pPr>
              <w:spacing w:after="40" w:before="60" w:line="259" w:lineRule="auto"/>
            </w:pPr>
            <w:r>
              <w:rPr>
                <w:rFonts w:ascii="Calibri" w:hAnsi="Calibri"/>
                <w:b w:val="0"/>
                <w:i w:val="0"/>
                <w:color w:val="212121"/>
                <w:sz w:val="19"/>
              </w:rPr>
              <w:t>59.4% of varicose-vein cases in an Indian series were unskilled workers, and prolonged standing (seen in 50.6%) was significantly associated with unskilled occupations.</w:t>
            </w:r>
          </w:p>
          <w:p>
            <w:pPr>
              <w:spacing w:after="40" w:line="252" w:lineRule="auto"/>
            </w:pPr>
            <w:hyperlink r:id="rId9">
              <w:r>
                <w:rPr>
                  <w:rFonts w:ascii="Calibri" w:hAnsi="Calibri" w:cs="Calibri"/>
                  <w:sz w:val="18"/>
                  <w:color w:val="1155CC"/>
                  <w:u w:val="single"/>
                </w:rPr>
                <w:t xml:space="preserve">pmc.ncbi.nlm.nih.gov — Joseph et al. (India)</w:t>
              </w:r>
            </w:hyperlink>
          </w:p>
          <w:p>
            <w:pPr>
              <w:spacing w:before="60" w:after="40"/>
            </w:pPr>
            <w:r>
              <w:rPr>
                <w:rFonts w:ascii="Calibri" w:hAnsi="Calibri"/>
                <w:b w:val="0"/>
                <w:i w:val="0"/>
                <w:color w:val="5A5A5A"/>
                <w:sz w:val="18"/>
              </w:rPr>
              <w:t>#occupationalrisk  #prolongedstanding  #accesstocare  #unskilledlabour</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rural India</w:t>
            </w:r>
          </w:p>
        </w:tc>
        <w:tc>
          <w:tcPr>
            <w:tcW w:type="dxa" w:w="2160"/>
            <w:vAlign w:val="top"/>
          </w:tcPr>
          <w:p>
            <w:pPr>
              <w:spacing w:after="40" w:before="0" w:line="259" w:lineRule="auto"/>
            </w:pPr>
            <w:r>
              <w:rPr>
                <w:rFonts w:ascii="Calibri" w:hAnsi="Calibri"/>
                <w:b w:val="0"/>
                <w:i w:val="0"/>
                <w:color w:val="212121"/>
                <w:sz w:val="19"/>
              </w:rPr>
              <w:t>Rural South Indian adults</w:t>
            </w:r>
          </w:p>
        </w:tc>
        <w:tc>
          <w:tcPr>
            <w:tcW w:type="dxa" w:w="4276"/>
            <w:vAlign w:val="top"/>
          </w:tcPr>
          <w:p>
            <w:pPr>
              <w:spacing w:after="60" w:line="259" w:lineRule="auto"/>
            </w:pPr>
            <w:r>
              <w:rPr>
                <w:rFonts w:ascii="Calibri" w:hAnsi="Calibri"/>
                <w:b w:val="0"/>
                <w:i w:val="0"/>
                <w:color w:val="212121"/>
                <w:sz w:val="19"/>
              </w:rPr>
              <w:t>Agricultural and household work involving prolonged standing, high parity and diets low in fruit contribute to venous disease in rural communities, where it is often untreated.</w:t>
            </w:r>
          </w:p>
          <w:p>
            <w:pPr>
              <w:spacing w:after="40" w:before="60" w:line="259" w:lineRule="auto"/>
            </w:pPr>
            <w:r>
              <w:rPr>
                <w:rFonts w:ascii="Calibri" w:hAnsi="Calibri"/>
                <w:b w:val="0"/>
                <w:i w:val="0"/>
                <w:color w:val="212121"/>
                <w:sz w:val="19"/>
              </w:rPr>
              <w:t>Community study of 1,151 rural adults in Tamil Nadu: chronic venous disorder prevalence 7.2% (varicose veins 4.5%, telangiectasias 2.1%); daily fruit consumption was protective (aOR 0.26).</w:t>
            </w:r>
          </w:p>
          <w:p>
            <w:pPr>
              <w:spacing w:after="40" w:line="252" w:lineRule="auto"/>
            </w:pPr>
            <w:hyperlink r:id="rId12">
              <w:r>
                <w:rPr>
                  <w:rFonts w:ascii="Calibri" w:hAnsi="Calibri" w:cs="Calibri"/>
                  <w:sz w:val="18"/>
                  <w:color w:val="1155CC"/>
                  <w:u w:val="single"/>
                </w:rPr>
                <w:t xml:space="preserve">pmc.ncbi.nlm.nih.gov — Paul et al., rural Tamil Nadu CVD prevalence</w:t>
              </w:r>
            </w:hyperlink>
          </w:p>
          <w:p>
            <w:pPr>
              <w:spacing w:before="60" w:after="40"/>
            </w:pPr>
            <w:r>
              <w:rPr>
                <w:rFonts w:ascii="Calibri" w:hAnsi="Calibri"/>
                <w:b w:val="0"/>
                <w:i w:val="0"/>
                <w:color w:val="5A5A5A"/>
                <w:sz w:val="18"/>
              </w:rPr>
              <w:t>#ruralindia  #tamilnadu  #lowfruitdiet  #undertreated  #communityburden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Region / referral pattern</w:t>
            </w:r>
          </w:p>
        </w:tc>
        <w:tc>
          <w:tcPr>
            <w:tcW w:type="dxa" w:w="2160"/>
            <w:vAlign w:val="top"/>
          </w:tcPr>
          <w:p>
            <w:pPr>
              <w:spacing w:after="40" w:before="0" w:line="259" w:lineRule="auto"/>
            </w:pPr>
            <w:r>
              <w:rPr>
                <w:rFonts w:ascii="Calibri" w:hAnsi="Calibri"/>
                <w:b w:val="0"/>
                <w:i w:val="0"/>
                <w:color w:val="212121"/>
                <w:sz w:val="19"/>
              </w:rPr>
              <w:t>North Indian patients with skin changes (C4–C6)</w:t>
            </w:r>
          </w:p>
        </w:tc>
        <w:tc>
          <w:tcPr>
            <w:tcW w:type="dxa" w:w="4276"/>
            <w:vAlign w:val="top"/>
          </w:tcPr>
          <w:p>
            <w:pPr>
              <w:spacing w:after="60" w:line="259" w:lineRule="auto"/>
            </w:pPr>
            <w:r>
              <w:rPr>
                <w:rFonts w:ascii="Calibri" w:hAnsi="Calibri"/>
                <w:b w:val="0"/>
                <w:i w:val="0"/>
                <w:color w:val="212121"/>
                <w:sz w:val="19"/>
              </w:rPr>
              <w:t>Patients presenting with advanced skin changes show a very high burden of perforator and superficial reflux, and heavy exposure to standing occupations and obesity.</w:t>
            </w:r>
          </w:p>
          <w:p>
            <w:pPr>
              <w:spacing w:after="40" w:before="60" w:line="259" w:lineRule="auto"/>
            </w:pPr>
            <w:r>
              <w:rPr>
                <w:rFonts w:ascii="Calibri" w:hAnsi="Calibri"/>
                <w:b w:val="0"/>
                <w:i w:val="0"/>
                <w:color w:val="212121"/>
                <w:sz w:val="19"/>
              </w:rPr>
              <w:t>Among 200 C4–C6 limbs in North India, perforator reflux was present in 90%, superficial reflux in 81.5% and deep reflux in 5%; prolonged standing, obesity and pregnancy had the highest risk-factor prevalence.</w:t>
            </w:r>
          </w:p>
          <w:p>
            <w:pPr>
              <w:spacing w:after="40" w:line="252" w:lineRule="auto"/>
            </w:pPr>
            <w:hyperlink r:id="rId11">
              <w:r>
                <w:rPr>
                  <w:rFonts w:ascii="Calibri" w:hAnsi="Calibri" w:cs="Calibri"/>
                  <w:sz w:val="18"/>
                  <w:color w:val="1155CC"/>
                  <w:u w:val="single"/>
                </w:rPr>
                <w:t xml:space="preserve">pubmed.ncbi.nlm.nih.gov — Jain et al. (North India)</w:t>
              </w:r>
            </w:hyperlink>
          </w:p>
          <w:p>
            <w:pPr>
              <w:spacing w:before="60" w:after="40"/>
            </w:pPr>
            <w:r>
              <w:rPr>
                <w:rFonts w:ascii="Calibri" w:hAnsi="Calibri"/>
                <w:b w:val="0"/>
                <w:i w:val="0"/>
                <w:color w:val="5A5A5A"/>
                <w:sz w:val="18"/>
              </w:rPr>
              <w:t>#perforatorreflux  #advanceddisease  #northindia  #skinchanges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Prolonged standing / sedentary posture</w:t>
            </w:r>
          </w:p>
        </w:tc>
        <w:tc>
          <w:tcPr>
            <w:tcW w:type="dxa" w:w="2160"/>
            <w:vAlign w:val="top"/>
          </w:tcPr>
          <w:p>
            <w:pPr>
              <w:spacing w:after="40" w:before="0" w:line="259" w:lineRule="auto"/>
            </w:pPr>
            <w:r>
              <w:rPr>
                <w:rFonts w:ascii="Calibri" w:hAnsi="Calibri"/>
                <w:b w:val="0"/>
                <w:i w:val="0"/>
                <w:color w:val="212121"/>
                <w:sz w:val="19"/>
              </w:rPr>
              <w:t>Traffic police, teachers, nurses, surgeons, cooks, retail &amp; factory workers, security guards</w:t>
            </w:r>
          </w:p>
        </w:tc>
        <w:tc>
          <w:tcPr>
            <w:tcW w:type="dxa" w:w="4276"/>
            <w:vAlign w:val="top"/>
          </w:tcPr>
          <w:p>
            <w:pPr>
              <w:spacing w:after="60" w:line="259" w:lineRule="auto"/>
            </w:pPr>
            <w:r>
              <w:rPr>
                <w:rFonts w:ascii="Calibri" w:hAnsi="Calibri"/>
                <w:b w:val="0"/>
                <w:i w:val="0"/>
                <w:color w:val="212121"/>
                <w:sz w:val="19"/>
              </w:rPr>
              <w:t>Static standing or sitting keeps the legs dependent and the calf muscle pump idle, so venous pressure stays high and valves are progressively overloaded.</w:t>
            </w:r>
          </w:p>
          <w:p>
            <w:pPr>
              <w:spacing w:after="40" w:before="60" w:line="259" w:lineRule="auto"/>
            </w:pPr>
            <w:r>
              <w:rPr>
                <w:rFonts w:ascii="Calibri" w:hAnsi="Calibri"/>
                <w:b w:val="0"/>
                <w:i w:val="0"/>
                <w:color w:val="212121"/>
                <w:sz w:val="19"/>
              </w:rPr>
              <w:t>Prolonged standing was documented in 50.6% of Indian varicose-vein cases and was one of the highest-prevalence risk factors in patients with advanced skin changes.</w:t>
            </w:r>
          </w:p>
          <w:p>
            <w:pPr>
              <w:spacing w:after="40" w:line="252" w:lineRule="auto"/>
            </w:pPr>
            <w:hyperlink r:id="rId9">
              <w:r>
                <w:rPr>
                  <w:rFonts w:ascii="Calibri" w:hAnsi="Calibri" w:cs="Calibri"/>
                  <w:sz w:val="18"/>
                  <w:color w:val="1155CC"/>
                  <w:u w:val="single"/>
                </w:rPr>
                <w:t xml:space="preserve">pmc.ncbi.nlm.nih.gov — Joseph et al. (India)</w:t>
              </w:r>
            </w:hyperlink>
          </w:p>
          <w:p>
            <w:pPr>
              <w:spacing w:before="60" w:after="40"/>
            </w:pPr>
            <w:r>
              <w:rPr>
                <w:rFonts w:ascii="Calibri" w:hAnsi="Calibri"/>
                <w:b w:val="0"/>
                <w:i w:val="0"/>
                <w:color w:val="5A5A5A"/>
                <w:sz w:val="18"/>
              </w:rPr>
              <w:t>#prolongedstanding  #calfpump  #occupational  #dependentlegs  #sedentary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w:t>
            </w:r>
          </w:p>
        </w:tc>
        <w:tc>
          <w:tcPr>
            <w:tcW w:type="dxa" w:w="4276"/>
            <w:vAlign w:val="top"/>
          </w:tcPr>
          <w:p>
            <w:pPr>
              <w:spacing w:after="60" w:line="259" w:lineRule="auto"/>
            </w:pPr>
            <w:r>
              <w:rPr>
                <w:rFonts w:ascii="Calibri" w:hAnsi="Calibri"/>
                <w:b w:val="0"/>
                <w:i w:val="0"/>
                <w:color w:val="212121"/>
                <w:sz w:val="19"/>
              </w:rPr>
              <w:t>Tobacco causes endothelial dysfunction and a pro-inflammatory, pro-thrombotic state that impairs the vein wall and delays healing of venous ulcers.</w:t>
            </w:r>
          </w:p>
          <w:p>
            <w:pPr>
              <w:spacing w:after="40" w:before="60" w:line="259" w:lineRule="auto"/>
            </w:pPr>
            <w:r>
              <w:rPr>
                <w:rFonts w:ascii="Calibri" w:hAnsi="Calibri"/>
                <w:b w:val="0"/>
                <w:i w:val="0"/>
                <w:color w:val="212121"/>
                <w:sz w:val="19"/>
              </w:rPr>
              <w:t>Tobacco use is listed among the established risk factors for chronic venous insufficiency.</w:t>
            </w:r>
          </w:p>
          <w:p>
            <w:pPr>
              <w:spacing w:after="40" w:line="252" w:lineRule="auto"/>
            </w:pPr>
            <w:hyperlink r:id="rId10">
              <w:r>
                <w:rPr>
                  <w:rFonts w:ascii="Calibri" w:hAnsi="Calibri" w:cs="Calibri"/>
                  <w:sz w:val="18"/>
                  <w:color w:val="1155CC"/>
                  <w:u w:val="single"/>
                </w:rPr>
                <w:t xml:space="preserve">ncbi.nlm.nih.gov — StatPearls, CVI risk factors</w:t>
              </w:r>
            </w:hyperlink>
          </w:p>
          <w:p>
            <w:pPr>
              <w:spacing w:before="60" w:after="40"/>
            </w:pPr>
            <w:r>
              <w:rPr>
                <w:rFonts w:ascii="Calibri" w:hAnsi="Calibri"/>
                <w:b w:val="0"/>
                <w:i w:val="0"/>
                <w:color w:val="5A5A5A"/>
                <w:sz w:val="18"/>
              </w:rPr>
              <w:t>#smoking  #endothelialdysfunction  #poorhealing  #tobacco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Overweight / Obese</w:t>
            </w:r>
          </w:p>
        </w:tc>
        <w:tc>
          <w:tcPr>
            <w:tcW w:type="dxa" w:w="2160"/>
            <w:vAlign w:val="top"/>
          </w:tcPr>
          <w:p>
            <w:pPr>
              <w:spacing w:after="40" w:before="0" w:line="259" w:lineRule="auto"/>
            </w:pPr>
            <w:r>
              <w:rPr>
                <w:rFonts w:ascii="Calibri" w:hAnsi="Calibri"/>
                <w:b w:val="0"/>
                <w:i w:val="0"/>
                <w:color w:val="212121"/>
                <w:sz w:val="19"/>
              </w:rPr>
              <w:t>Central (abdominal) obesity</w:t>
            </w:r>
          </w:p>
        </w:tc>
        <w:tc>
          <w:tcPr>
            <w:tcW w:type="dxa" w:w="4276"/>
            <w:vAlign w:val="top"/>
          </w:tcPr>
          <w:p>
            <w:pPr>
              <w:spacing w:after="60" w:line="259" w:lineRule="auto"/>
            </w:pPr>
            <w:r>
              <w:rPr>
                <w:rFonts w:ascii="Calibri" w:hAnsi="Calibri"/>
                <w:b w:val="0"/>
                <w:i w:val="0"/>
                <w:color w:val="212121"/>
                <w:sz w:val="19"/>
              </w:rPr>
              <w:t>Excess abdominal weight raises intra-abdominal and femoral venous pressure and impairs the calf pump, accelerating valve failure and oedema; Asian populations develop these risks at lower BMI/waist thresholds.</w:t>
            </w:r>
          </w:p>
          <w:p>
            <w:pPr>
              <w:spacing w:after="40" w:before="60" w:line="259" w:lineRule="auto"/>
            </w:pPr>
            <w:r>
              <w:rPr>
                <w:rFonts w:ascii="Calibri" w:hAnsi="Calibri"/>
                <w:b w:val="0"/>
                <w:i w:val="0"/>
                <w:color w:val="212121"/>
                <w:sz w:val="19"/>
              </w:rPr>
              <w:t>Obesity was among the top risk factors in North Indian patients with advanced venous skin changes and is a consistently reported modifiable driver of CVI.</w:t>
            </w:r>
          </w:p>
          <w:p>
            <w:pPr>
              <w:spacing w:after="40" w:line="252" w:lineRule="auto"/>
            </w:pPr>
            <w:hyperlink r:id="rId11">
              <w:r>
                <w:rPr>
                  <w:rFonts w:ascii="Calibri" w:hAnsi="Calibri" w:cs="Calibri"/>
                  <w:sz w:val="18"/>
                  <w:color w:val="1155CC"/>
                  <w:u w:val="single"/>
                </w:rPr>
                <w:t xml:space="preserve">pubmed.ncbi.nlm.nih.gov — Jain et al. (North India)</w:t>
              </w:r>
            </w:hyperlink>
          </w:p>
          <w:p>
            <w:pPr>
              <w:spacing w:before="60" w:after="40"/>
            </w:pPr>
            <w:r>
              <w:rPr>
                <w:rFonts w:ascii="Calibri" w:hAnsi="Calibri"/>
                <w:b w:val="0"/>
                <w:i w:val="0"/>
                <w:color w:val="5A5A5A"/>
                <w:sz w:val="18"/>
              </w:rPr>
              <w:t>#centralobesity  #intraabdominalpressure  #asianbmi  #modifiable</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Low-fibre, low-fruit diet</w:t>
            </w:r>
          </w:p>
        </w:tc>
        <w:tc>
          <w:tcPr>
            <w:tcW w:type="dxa" w:w="2160"/>
            <w:vAlign w:val="top"/>
          </w:tcPr>
          <w:p>
            <w:pPr>
              <w:spacing w:after="40" w:before="0" w:line="259" w:lineRule="auto"/>
            </w:pPr>
            <w:r>
              <w:rPr>
                <w:rFonts w:ascii="Calibri" w:hAnsi="Calibri"/>
                <w:b w:val="0"/>
                <w:i w:val="0"/>
                <w:color w:val="212121"/>
                <w:sz w:val="19"/>
              </w:rPr>
              <w:t>Adults with constipation / straining</w:t>
            </w:r>
          </w:p>
        </w:tc>
        <w:tc>
          <w:tcPr>
            <w:tcW w:type="dxa" w:w="4276"/>
            <w:vAlign w:val="top"/>
          </w:tcPr>
          <w:p>
            <w:pPr>
              <w:spacing w:after="60" w:line="259" w:lineRule="auto"/>
            </w:pPr>
            <w:r>
              <w:rPr>
                <w:rFonts w:ascii="Calibri" w:hAnsi="Calibri"/>
                <w:b w:val="0"/>
                <w:i w:val="0"/>
                <w:color w:val="212121"/>
                <w:sz w:val="19"/>
              </w:rPr>
              <w:t>A diet poor in fibre and fruit promotes chronic constipation and straining, which repeatedly raises intra-abdominal and lower-limb venous pressure; adequate fruit/fibre appears protective.</w:t>
            </w:r>
          </w:p>
          <w:p>
            <w:pPr>
              <w:spacing w:after="40" w:before="60" w:line="259" w:lineRule="auto"/>
            </w:pPr>
            <w:r>
              <w:rPr>
                <w:rFonts w:ascii="Calibri" w:hAnsi="Calibri"/>
                <w:b w:val="0"/>
                <w:i w:val="0"/>
                <w:color w:val="212121"/>
                <w:sz w:val="19"/>
              </w:rPr>
              <w:t>In rural Tamil Nadu, daily fruit consumption was independently associated with lower odds of chronic venous disease (aOR 0.26; 95% CI 0.14–0.49).</w:t>
            </w:r>
          </w:p>
          <w:p>
            <w:pPr>
              <w:spacing w:after="40" w:line="252" w:lineRule="auto"/>
            </w:pPr>
            <w:hyperlink r:id="rId12">
              <w:r>
                <w:rPr>
                  <w:rFonts w:ascii="Calibri" w:hAnsi="Calibri" w:cs="Calibri"/>
                  <w:sz w:val="18"/>
                  <w:color w:val="1155CC"/>
                  <w:u w:val="single"/>
                </w:rPr>
                <w:t xml:space="preserve">pmc.ncbi.nlm.nih.gov — Paul et al., rural Tamil Nadu</w:t>
              </w:r>
            </w:hyperlink>
          </w:p>
          <w:p>
            <w:pPr>
              <w:spacing w:before="60" w:after="40"/>
            </w:pPr>
            <w:r>
              <w:rPr>
                <w:rFonts w:ascii="Calibri" w:hAnsi="Calibri"/>
                <w:b w:val="0"/>
                <w:i w:val="0"/>
                <w:color w:val="5A5A5A"/>
                <w:sz w:val="18"/>
              </w:rPr>
              <w:t>#lowfibre  #constipation  #straining  #fruitprotective  #diet</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with varicose veins / CVI</w:t>
            </w:r>
          </w:p>
        </w:tc>
        <w:tc>
          <w:tcPr>
            <w:tcW w:type="dxa" w:w="4276"/>
            <w:vAlign w:val="top"/>
          </w:tcPr>
          <w:p>
            <w:pPr>
              <w:spacing w:after="60" w:line="259" w:lineRule="auto"/>
            </w:pPr>
            <w:r>
              <w:rPr>
                <w:rFonts w:ascii="Calibri" w:hAnsi="Calibri"/>
                <w:b w:val="0"/>
                <w:i w:val="0"/>
                <w:color w:val="212121"/>
                <w:sz w:val="19"/>
              </w:rPr>
              <w:t>Inherited weakness of the vein wall and valve leaflets strongly predisposes to primary varicose veins and CVI, often at a younger age.</w:t>
            </w:r>
          </w:p>
          <w:p>
            <w:pPr>
              <w:spacing w:after="40" w:before="60" w:line="259" w:lineRule="auto"/>
            </w:pPr>
            <w:r>
              <w:rPr>
                <w:rFonts w:ascii="Calibri" w:hAnsi="Calibri"/>
                <w:b w:val="0"/>
                <w:i w:val="0"/>
                <w:color w:val="212121"/>
                <w:sz w:val="19"/>
              </w:rPr>
              <w:t>Family history of varicose veins is a well-established, strong risk factor for chronic venous insufficiency.</w:t>
            </w:r>
          </w:p>
          <w:p>
            <w:pPr>
              <w:spacing w:after="40" w:line="252" w:lineRule="auto"/>
            </w:pPr>
            <w:hyperlink r:id="rId10">
              <w:r>
                <w:rPr>
                  <w:rFonts w:ascii="Calibri" w:hAnsi="Calibri" w:cs="Calibri"/>
                  <w:sz w:val="18"/>
                  <w:color w:val="1155CC"/>
                  <w:u w:val="single"/>
                </w:rPr>
                <w:t xml:space="preserve">ncbi.nlm.nih.gov — StatPearls, CVI risk factors</w:t>
              </w:r>
            </w:hyperlink>
          </w:p>
          <w:p>
            <w:pPr>
              <w:spacing w:before="60" w:after="40"/>
            </w:pPr>
            <w:r>
              <w:rPr>
                <w:rFonts w:ascii="Calibri" w:hAnsi="Calibri"/>
                <w:b w:val="0"/>
                <w:i w:val="0"/>
                <w:color w:val="5A5A5A"/>
                <w:sz w:val="18"/>
              </w:rPr>
              <w:t>#familyhistory  #inheritedvalveweakness  #primaryvaricose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Pregnancy / multiparity</w:t>
            </w:r>
          </w:p>
        </w:tc>
        <w:tc>
          <w:tcPr>
            <w:tcW w:type="dxa" w:w="2160"/>
            <w:vAlign w:val="top"/>
          </w:tcPr>
          <w:p>
            <w:pPr>
              <w:spacing w:after="40" w:before="0" w:line="259" w:lineRule="auto"/>
            </w:pPr>
            <w:r>
              <w:rPr>
                <w:rFonts w:ascii="Calibri" w:hAnsi="Calibri"/>
                <w:b w:val="0"/>
                <w:i w:val="0"/>
                <w:color w:val="212121"/>
                <w:sz w:val="19"/>
              </w:rPr>
              <w:t>Multiparous women</w:t>
            </w:r>
          </w:p>
        </w:tc>
        <w:tc>
          <w:tcPr>
            <w:tcW w:type="dxa" w:w="4276"/>
            <w:vAlign w:val="top"/>
          </w:tcPr>
          <w:p>
            <w:pPr>
              <w:spacing w:after="60" w:line="259" w:lineRule="auto"/>
            </w:pPr>
            <w:r>
              <w:rPr>
                <w:rFonts w:ascii="Calibri" w:hAnsi="Calibri"/>
                <w:b w:val="0"/>
                <w:i w:val="0"/>
                <w:color w:val="212121"/>
                <w:sz w:val="19"/>
              </w:rPr>
              <w:t>Rising blood volume, hormonal vein relaxation and gravid-uterus compression of pelvic veins in repeated pregnancies distend leg veins and damage valves.</w:t>
            </w:r>
          </w:p>
          <w:p>
            <w:pPr>
              <w:spacing w:after="40" w:before="60" w:line="259" w:lineRule="auto"/>
            </w:pPr>
            <w:r>
              <w:rPr>
                <w:rFonts w:ascii="Calibri" w:hAnsi="Calibri"/>
                <w:b w:val="0"/>
                <w:i w:val="0"/>
                <w:color w:val="212121"/>
                <w:sz w:val="19"/>
              </w:rPr>
              <w:t>Prior pregnancy ranked among the highest-prevalence risk factors in North Indian CVI patients; in rural Tamil Nadu, parity of one or less was protective (aOR 0.07).</w:t>
            </w:r>
          </w:p>
          <w:p>
            <w:pPr>
              <w:spacing w:after="40" w:line="252" w:lineRule="auto"/>
            </w:pPr>
            <w:hyperlink r:id="rId12">
              <w:r>
                <w:rPr>
                  <w:rFonts w:ascii="Calibri" w:hAnsi="Calibri" w:cs="Calibri"/>
                  <w:sz w:val="18"/>
                  <w:color w:val="1155CC"/>
                  <w:u w:val="single"/>
                </w:rPr>
                <w:t xml:space="preserve">pmc.ncbi.nlm.nih.gov — Paul et al., rural Tamil Nadu</w:t>
              </w:r>
            </w:hyperlink>
          </w:p>
          <w:p>
            <w:pPr>
              <w:spacing w:before="60" w:after="40"/>
            </w:pPr>
            <w:r>
              <w:rPr>
                <w:rFonts w:ascii="Calibri" w:hAnsi="Calibri"/>
                <w:b w:val="0"/>
                <w:i w:val="0"/>
                <w:color w:val="5A5A5A"/>
                <w:sz w:val="18"/>
              </w:rPr>
              <w:t>#pregnancy  #multiparity  #pelvicveins  #hormonal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Deep vein thrombosis / Post-thrombotic syndrome</w:t>
            </w:r>
          </w:p>
        </w:tc>
        <w:tc>
          <w:tcPr>
            <w:tcW w:type="dxa" w:w="2160"/>
            <w:vAlign w:val="top"/>
          </w:tcPr>
          <w:p>
            <w:pPr>
              <w:spacing w:after="40" w:before="0" w:line="259" w:lineRule="auto"/>
            </w:pPr>
            <w:r>
              <w:rPr>
                <w:rFonts w:ascii="Calibri" w:hAnsi="Calibri"/>
                <w:b w:val="0"/>
                <w:i w:val="0"/>
                <w:color w:val="212121"/>
                <w:sz w:val="19"/>
              </w:rPr>
              <w:t>Patients with prior DVT</w:t>
            </w:r>
          </w:p>
        </w:tc>
        <w:tc>
          <w:tcPr>
            <w:tcW w:type="dxa" w:w="4276"/>
            <w:vAlign w:val="top"/>
          </w:tcPr>
          <w:p>
            <w:pPr>
              <w:spacing w:after="60" w:line="259" w:lineRule="auto"/>
            </w:pPr>
            <w:r>
              <w:rPr>
                <w:rFonts w:ascii="Calibri" w:hAnsi="Calibri"/>
                <w:b w:val="0"/>
                <w:i w:val="0"/>
                <w:color w:val="212121"/>
                <w:sz w:val="19"/>
              </w:rPr>
              <w:t>A previous deep vein thrombosis scars and obstructs deep veins and destroys valve function, producing secondary (post-thrombotic) CVI that is often severe.</w:t>
            </w:r>
          </w:p>
          <w:p>
            <w:pPr>
              <w:spacing w:after="40" w:before="60" w:line="259" w:lineRule="auto"/>
            </w:pPr>
            <w:r>
              <w:rPr>
                <w:rFonts w:ascii="Calibri" w:hAnsi="Calibri"/>
                <w:b w:val="0"/>
                <w:i w:val="0"/>
                <w:color w:val="212121"/>
                <w:sz w:val="19"/>
              </w:rPr>
              <w:t>Post-thrombotic syndrome is a common chronic complication of DVT and a leading cause of secondary CVI and venous ulceration.</w:t>
            </w:r>
          </w:p>
          <w:p>
            <w:pPr>
              <w:spacing w:after="40" w:line="252" w:lineRule="auto"/>
            </w:pPr>
            <w:hyperlink r:id="rId13">
              <w:r>
                <w:rPr>
                  <w:rFonts w:ascii="Calibri" w:hAnsi="Calibri" w:cs="Calibri"/>
                  <w:sz w:val="18"/>
                  <w:color w:val="1155CC"/>
                  <w:u w:val="single"/>
                </w:rPr>
                <w:t xml:space="preserve">pubmed.ncbi.nlm.nih.gov — Pompilio et al., post-thrombotic syndrome</w:t>
              </w:r>
            </w:hyperlink>
          </w:p>
          <w:p>
            <w:pPr>
              <w:spacing w:before="60" w:after="40"/>
            </w:pPr>
            <w:r>
              <w:rPr>
                <w:rFonts w:ascii="Calibri" w:hAnsi="Calibri"/>
                <w:b w:val="0"/>
                <w:i w:val="0"/>
                <w:color w:val="5A5A5A"/>
                <w:sz w:val="18"/>
              </w:rPr>
              <w:t>#DVT  #postthrombotic  #secondaryCVI  #deepvalvedamage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Prolonged immobility / calf-pump dysfunction</w:t>
            </w:r>
          </w:p>
        </w:tc>
        <w:tc>
          <w:tcPr>
            <w:tcW w:type="dxa" w:w="2160"/>
            <w:vAlign w:val="top"/>
          </w:tcPr>
          <w:p>
            <w:pPr>
              <w:spacing w:after="40" w:before="0" w:line="259" w:lineRule="auto"/>
            </w:pPr>
            <w:r>
              <w:rPr>
                <w:rFonts w:ascii="Calibri" w:hAnsi="Calibri"/>
                <w:b w:val="0"/>
                <w:i w:val="0"/>
                <w:color w:val="212121"/>
                <w:sz w:val="19"/>
              </w:rPr>
              <w:t>Patients with ankle stiffness, paresis or chronic bed rest</w:t>
            </w:r>
          </w:p>
        </w:tc>
        <w:tc>
          <w:tcPr>
            <w:tcW w:type="dxa" w:w="4276"/>
            <w:vAlign w:val="top"/>
          </w:tcPr>
          <w:p>
            <w:pPr>
              <w:spacing w:after="60" w:line="259" w:lineRule="auto"/>
            </w:pPr>
            <w:r>
              <w:rPr>
                <w:rFonts w:ascii="Calibri" w:hAnsi="Calibri"/>
                <w:b w:val="0"/>
                <w:i w:val="0"/>
                <w:color w:val="212121"/>
                <w:sz w:val="19"/>
              </w:rPr>
              <w:t>Reduced ankle movement disables the calf muscle pump so venous blood is not propelled upward, sustaining venous hypertension even without valve reflux.</w:t>
            </w:r>
          </w:p>
          <w:p>
            <w:pPr>
              <w:spacing w:after="40" w:before="60" w:line="259" w:lineRule="auto"/>
            </w:pPr>
            <w:r>
              <w:rPr>
                <w:rFonts w:ascii="Calibri" w:hAnsi="Calibri"/>
                <w:b w:val="0"/>
                <w:i w:val="0"/>
                <w:color w:val="212121"/>
                <w:sz w:val="19"/>
              </w:rPr>
              <w:t>Structured exercise that activates the calf ('the body’s second heart') measurably improves calf-muscle-pump function and lower-limb circulation.</w:t>
            </w:r>
          </w:p>
          <w:p>
            <w:pPr>
              <w:spacing w:after="40" w:line="252" w:lineRule="auto"/>
            </w:pPr>
            <w:hyperlink r:id="rId14">
              <w:r>
                <w:rPr>
                  <w:rFonts w:ascii="Calibri" w:hAnsi="Calibri" w:cs="Calibri"/>
                  <w:sz w:val="18"/>
                  <w:color w:val="1155CC"/>
                  <w:u w:val="single"/>
                </w:rPr>
                <w:t xml:space="preserve">pubmed.ncbi.nlm.nih.gov — Bolton, exercise &amp; calf muscle pump</w:t>
              </w:r>
            </w:hyperlink>
          </w:p>
          <w:p>
            <w:pPr>
              <w:spacing w:before="60" w:after="40"/>
            </w:pPr>
            <w:r>
              <w:rPr>
                <w:rFonts w:ascii="Calibri" w:hAnsi="Calibri"/>
                <w:b w:val="0"/>
                <w:i w:val="0"/>
                <w:color w:val="5A5A5A"/>
                <w:sz w:val="18"/>
              </w:rPr>
              <w:t>#calfpump  #immobility  #anklestiffness  #secondheart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Small-vein reflux / disease severity</w:t>
            </w:r>
          </w:p>
        </w:tc>
        <w:tc>
          <w:tcPr>
            <w:tcW w:type="dxa" w:w="2160"/>
            <w:vAlign w:val="top"/>
          </w:tcPr>
          <w:p>
            <w:pPr>
              <w:spacing w:after="40" w:before="0" w:line="259" w:lineRule="auto"/>
            </w:pPr>
            <w:r>
              <w:rPr>
                <w:rFonts w:ascii="Calibri" w:hAnsi="Calibri"/>
                <w:b w:val="0"/>
                <w:i w:val="0"/>
                <w:color w:val="212121"/>
                <w:sz w:val="19"/>
              </w:rPr>
              <w:t>Patients with small superficial-vein varicosities (non-truncal)</w:t>
            </w:r>
          </w:p>
        </w:tc>
        <w:tc>
          <w:tcPr>
            <w:tcW w:type="dxa" w:w="4276"/>
            <w:vAlign w:val="top"/>
          </w:tcPr>
          <w:p>
            <w:pPr>
              <w:spacing w:after="60" w:line="259" w:lineRule="auto"/>
            </w:pPr>
            <w:r>
              <w:rPr>
                <w:rFonts w:ascii="Calibri" w:hAnsi="Calibri"/>
                <w:b w:val="0"/>
                <w:i w:val="0"/>
                <w:color w:val="212121"/>
                <w:sz w:val="19"/>
              </w:rPr>
              <w:t>Reflux confined to small superficial veins (without truncal saphenous involvement) can still drive severe venous hypertension in the skin, producing oedema, pigmentation and ulceration disproportionate to the visible varicosities.</w:t>
            </w:r>
          </w:p>
          <w:p>
            <w:pPr>
              <w:spacing w:after="40" w:before="60" w:line="259" w:lineRule="auto"/>
            </w:pPr>
            <w:r>
              <w:rPr>
                <w:rFonts w:ascii="Calibri" w:hAnsi="Calibri"/>
                <w:b w:val="0"/>
                <w:i w:val="0"/>
                <w:color w:val="212121"/>
                <w:sz w:val="19"/>
              </w:rPr>
              <w:t>In a Kerala study of 6,350 CVD patients, 47.67% had CEAP C3 disease; small-vein varicosities carried 2.85× the risk of oedema, 5.71× more hyperpigmentation and higher ulceration risk (OR 3.93) than truncal reflux.</w:t>
            </w:r>
          </w:p>
          <w:p>
            <w:pPr>
              <w:spacing w:after="40" w:line="252" w:lineRule="auto"/>
            </w:pPr>
            <w:hyperlink r:id="rId15">
              <w:r>
                <w:rPr>
                  <w:rFonts w:ascii="Calibri" w:hAnsi="Calibri" w:cs="Calibri"/>
                  <w:sz w:val="18"/>
                  <w:color w:val="1155CC"/>
                  <w:u w:val="single"/>
                </w:rPr>
                <w:t xml:space="preserve">pubmed.ncbi.nlm.nih.gov — Radhakrishnan et al., vein size &amp; severity (Kerala, India)</w:t>
              </w:r>
            </w:hyperlink>
          </w:p>
          <w:p>
            <w:pPr>
              <w:spacing w:before="60" w:after="40"/>
            </w:pPr>
            <w:r>
              <w:rPr>
                <w:rFonts w:ascii="Calibri" w:hAnsi="Calibri"/>
                <w:b w:val="0"/>
                <w:i w:val="0"/>
                <w:color w:val="5A5A5A"/>
                <w:sz w:val="18"/>
              </w:rPr>
              <w:t>#smallveinreflux  #CEAPc3  #skindamage  #severity  #kerala</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venous leg ulcer</w:t>
            </w:r>
          </w:p>
        </w:tc>
        <w:tc>
          <w:tcPr>
            <w:tcW w:type="dxa" w:w="2160"/>
            <w:vAlign w:val="top"/>
          </w:tcPr>
          <w:p>
            <w:pPr>
              <w:spacing w:after="40" w:before="0" w:line="259" w:lineRule="auto"/>
            </w:pPr>
            <w:r>
              <w:rPr>
                <w:rFonts w:ascii="Calibri" w:hAnsi="Calibri"/>
                <w:b w:val="0"/>
                <w:i w:val="0"/>
                <w:color w:val="212121"/>
                <w:sz w:val="19"/>
              </w:rPr>
              <w:t>Patients with non-healing gaiter-area ulcers</w:t>
            </w:r>
          </w:p>
        </w:tc>
        <w:tc>
          <w:tcPr>
            <w:tcW w:type="dxa" w:w="4276"/>
            <w:vAlign w:val="top"/>
          </w:tcPr>
          <w:p>
            <w:pPr>
              <w:spacing w:after="60" w:line="259" w:lineRule="auto"/>
            </w:pPr>
            <w:r>
              <w:rPr>
                <w:rFonts w:ascii="Calibri" w:hAnsi="Calibri"/>
                <w:b w:val="0"/>
                <w:i w:val="0"/>
                <w:color w:val="212121"/>
                <w:sz w:val="19"/>
              </w:rPr>
              <w:t>Longstanding venous hypertension and skin damage culminate in venous ulcers that heal slowly and recur, marking the most severe (C6) stage of CVI.</w:t>
            </w:r>
          </w:p>
          <w:p>
            <w:pPr>
              <w:spacing w:after="40" w:before="60" w:line="259" w:lineRule="auto"/>
            </w:pPr>
            <w:r>
              <w:rPr>
                <w:rFonts w:ascii="Calibri" w:hAnsi="Calibri"/>
                <w:b w:val="0"/>
                <w:i w:val="0"/>
                <w:color w:val="212121"/>
                <w:sz w:val="19"/>
              </w:rPr>
              <w:t>Venous ulcers recur frequently: a tropical-region cohort reported a 1-year recurrence rate of 52.5% for venous leg ulcers.</w:t>
            </w:r>
          </w:p>
          <w:p>
            <w:pPr>
              <w:spacing w:after="40" w:line="252" w:lineRule="auto"/>
            </w:pPr>
            <w:hyperlink r:id="rId16">
              <w:r>
                <w:rPr>
                  <w:rFonts w:ascii="Calibri" w:hAnsi="Calibri" w:cs="Calibri"/>
                  <w:sz w:val="18"/>
                  <w:color w:val="1155CC"/>
                  <w:u w:val="single"/>
                </w:rPr>
                <w:t xml:space="preserve">pmc.ncbi.nlm.nih.gov — Lo et al., wound burden in the tropics</w:t>
              </w:r>
            </w:hyperlink>
          </w:p>
          <w:p>
            <w:pPr>
              <w:spacing w:before="60" w:after="40"/>
            </w:pPr>
            <w:r>
              <w:rPr>
                <w:rFonts w:ascii="Calibri" w:hAnsi="Calibri"/>
                <w:b w:val="0"/>
                <w:i w:val="0"/>
                <w:color w:val="5A5A5A"/>
                <w:sz w:val="18"/>
              </w:rPr>
              <w:t>#venousulcer  #recurrence  #gaiterarea  #C6  #nonhealing</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calf muscle pump ('second heart') is the main force returning venous blood against gravity; sedentary behaviour and immobility disable it and sustain venous hypertension, while walking and structured calf exercise measurably improve pump function and limb circulation.</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Low-fibre, low-fruit diets promote constipation and straining that raise intra-abdominal and leg venous pressure, and drive obesity; in rural Tamil Nadu daily fruit intake was independently protective (aOR 0.26).</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Sleeping with the legs elevated slightly above heart level reduces overnight venous pressure and oedema; poor mobility and prolonged dependency worsen morning swelling and skin damage.</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Tobacco causes endothelial dysfunction and a pro-inflammatory, pro-thrombotic state that weakens the vein wall and delays venous ulcer healing; smoking is an established CVI risk factor.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strong direct causal link; heavy intake acts indirectly through weight gain, poor nutrition and (in cirrhosis) portal/venous congestion, and can reduce adherence to compression and leg-care.</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pain, malodorous exudative ulcers and restricted mobility markedly reduce quality of life and are bidirectionally linked with depression and anxiety, which in turn worsen self-care and healing.</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general circulation and skin integrity, but there is little direct evidence that fluid intake alters venous reflux or oedema independently of other factors.</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No established direct effect on venous valve function or CVI progression; any influence is minor and indirect.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Meticulous skin and foot hygiene, emollients and prompt care of breaks prevent venous eczema, cellulitis and ulcer infection; poor hygiene accelerates skin breakdown and delays healing.</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Prolonged standing or sitting with dependent legs, pregnancy, obesity, heat, and tight garments at the groin precipitate and aggravate venous hypertension; leg crossing and long journeys are common triggers.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Dependent (hanging-down) leg posture during long standing or sitting raises venous pressure, whereas periodic leg elevation, calf raises and walking lower it; posture is directly modifiable and central to prevention.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Continuous standing/sitting time</w:t>
            </w:r>
          </w:p>
        </w:tc>
        <w:tc>
          <w:tcPr>
            <w:tcW w:type="dxa" w:w="1655"/>
            <w:vAlign w:val="top"/>
          </w:tcPr>
          <w:p>
            <w:pPr>
              <w:spacing w:after="40" w:before="0" w:line="259" w:lineRule="auto"/>
            </w:pPr>
            <w:r>
              <w:rPr>
                <w:rFonts w:ascii="Calibri" w:hAnsi="Calibri"/>
                <w:b w:val="0"/>
                <w:i w:val="0"/>
                <w:color w:val="212121"/>
                <w:sz w:val="19"/>
              </w:rPr>
              <w:t>Standing-occupation adults</w:t>
            </w:r>
          </w:p>
        </w:tc>
        <w:tc>
          <w:tcPr>
            <w:tcW w:type="dxa" w:w="1512"/>
            <w:vAlign w:val="top"/>
          </w:tcPr>
          <w:p>
            <w:pPr>
              <w:spacing w:after="40" w:before="0" w:line="259" w:lineRule="auto"/>
            </w:pPr>
            <w:r>
              <w:rPr>
                <w:rFonts w:ascii="Calibri" w:hAnsi="Calibri"/>
                <w:b w:val="0"/>
                <w:i w:val="0"/>
                <w:color w:val="212121"/>
                <w:sz w:val="19"/>
              </w:rPr>
              <w:t>Break every 30–60 min; move/walk</w:t>
            </w:r>
          </w:p>
        </w:tc>
        <w:tc>
          <w:tcPr>
            <w:tcW w:type="dxa" w:w="1512"/>
            <w:vAlign w:val="top"/>
          </w:tcPr>
          <w:p>
            <w:pPr>
              <w:spacing w:after="40" w:before="0" w:line="259" w:lineRule="auto"/>
            </w:pPr>
            <w:r>
              <w:rPr>
                <w:rFonts w:ascii="Calibri" w:hAnsi="Calibri"/>
                <w:b w:val="0"/>
                <w:i w:val="0"/>
                <w:color w:val="212121"/>
                <w:sz w:val="19"/>
              </w:rPr>
              <w:t>&gt; 6 hours continuous standing or sitting</w:t>
            </w:r>
          </w:p>
        </w:tc>
        <w:tc>
          <w:tcPr>
            <w:tcW w:type="dxa" w:w="1468"/>
            <w:vAlign w:val="top"/>
          </w:tcPr>
          <w:p>
            <w:pPr>
              <w:spacing w:after="60" w:line="259" w:lineRule="auto"/>
            </w:pPr>
            <w:r>
              <w:rPr>
                <w:rFonts w:ascii="Calibri" w:hAnsi="Calibri"/>
                <w:b w:val="0"/>
                <w:i w:val="0"/>
                <w:color w:val="212121"/>
                <w:sz w:val="19"/>
              </w:rPr>
              <w:t>Static dependency keeps venous pressure high and disables the calf pump</w:t>
            </w:r>
          </w:p>
          <w:p>
            <w:pPr>
              <w:spacing w:after="40" w:line="252" w:lineRule="auto"/>
            </w:pPr>
            <w:hyperlink r:id="rId9">
              <w:r>
                <w:rPr>
                  <w:rFonts w:ascii="Calibri" w:hAnsi="Calibri" w:cs="Calibri"/>
                  <w:sz w:val="18"/>
                  <w:color w:val="1155CC"/>
                  <w:u w:val="single"/>
                </w:rPr>
                <w:t xml:space="preserve">https://pmc.ncbi.nlm.nih.gov/articles/PMC4878844/</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(Asian cut-offs,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 kg/m²</w:t>
            </w:r>
          </w:p>
        </w:tc>
        <w:tc>
          <w:tcPr>
            <w:tcW w:type="dxa" w:w="1512"/>
            <w:vAlign w:val="top"/>
          </w:tcPr>
          <w:p>
            <w:pPr>
              <w:spacing w:after="40" w:before="0" w:line="259" w:lineRule="auto"/>
            </w:pPr>
            <w:r>
              <w:rPr>
                <w:rFonts w:ascii="Calibri" w:hAnsi="Calibri"/>
                <w:b w:val="0"/>
                <w:i w:val="0"/>
                <w:color w:val="212121"/>
                <w:sz w:val="19"/>
              </w:rPr>
              <w:t>≥ 23 (overweight); ≥ 25 (obese)</w:t>
            </w:r>
          </w:p>
        </w:tc>
        <w:tc>
          <w:tcPr>
            <w:tcW w:type="dxa" w:w="1468"/>
            <w:vAlign w:val="top"/>
          </w:tcPr>
          <w:p>
            <w:pPr>
              <w:spacing w:after="60" w:line="259" w:lineRule="auto"/>
            </w:pPr>
            <w:r>
              <w:rPr>
                <w:rFonts w:ascii="Calibri" w:hAnsi="Calibri"/>
                <w:b w:val="0"/>
                <w:i w:val="0"/>
                <w:color w:val="212121"/>
                <w:sz w:val="19"/>
              </w:rPr>
              <w:t>Central obesity raises intra-abdominal &amp; venous pressure and impairs the calf pump</w:t>
            </w:r>
          </w:p>
          <w:p>
            <w:pPr>
              <w:spacing w:after="40" w:line="252" w:lineRule="auto"/>
            </w:pPr>
            <w:hyperlink r:id="rId11">
              <w:r>
                <w:rPr>
                  <w:rFonts w:ascii="Calibri" w:hAnsi="Calibri" w:cs="Calibri"/>
                  <w:sz w:val="18"/>
                  <w:color w:val="1155CC"/>
                  <w:u w:val="single"/>
                </w:rPr>
                <w:t xml:space="preserve">https://pubmed.ncbi.nlm.nih.gov/32931383/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Waist circumference (India)</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M &lt; 90 cm; F &lt; 80 cm</w:t>
            </w:r>
          </w:p>
        </w:tc>
        <w:tc>
          <w:tcPr>
            <w:tcW w:type="dxa" w:w="1512"/>
            <w:vAlign w:val="top"/>
          </w:tcPr>
          <w:p>
            <w:pPr>
              <w:spacing w:after="40" w:before="0" w:line="259" w:lineRule="auto"/>
            </w:pPr>
            <w:r>
              <w:rPr>
                <w:rFonts w:ascii="Calibri" w:hAnsi="Calibri"/>
                <w:b w:val="0"/>
                <w:i w:val="0"/>
                <w:color w:val="212121"/>
                <w:sz w:val="19"/>
              </w:rPr>
              <w:t>M ≥ 90 cm; F ≥ 80 cm</w:t>
            </w:r>
          </w:p>
        </w:tc>
        <w:tc>
          <w:tcPr>
            <w:tcW w:type="dxa" w:w="1468"/>
            <w:vAlign w:val="top"/>
          </w:tcPr>
          <w:p>
            <w:pPr>
              <w:spacing w:after="40" w:before="0" w:line="259" w:lineRule="auto"/>
            </w:pPr>
            <w:r>
              <w:rPr>
                <w:rFonts w:ascii="Calibri" w:hAnsi="Calibri"/>
                <w:b w:val="0"/>
                <w:i w:val="0"/>
                <w:color w:val="212121"/>
                <w:sz w:val="19"/>
              </w:rPr>
              <w:t>Abdominal adiposity is a modifiable driver of venous hypertension</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Aerobic activity (min/week)</w:t>
            </w:r>
          </w:p>
        </w:tc>
        <w:tc>
          <w:tcPr>
            <w:tcW w:type="dxa" w:w="1655"/>
            <w:vAlign w:val="top"/>
          </w:tcPr>
          <w:p>
            <w:pPr>
              <w:spacing w:after="40" w:before="0" w:line="259" w:lineRule="auto"/>
            </w:pPr>
            <w:r>
              <w:rPr>
                <w:rFonts w:ascii="Calibri" w:hAnsi="Calibri"/>
                <w:b w:val="0"/>
                <w:i w:val="0"/>
                <w:color w:val="212121"/>
                <w:sz w:val="19"/>
              </w:rPr>
              <w:t>All adults with/at risk of CVI</w:t>
            </w:r>
          </w:p>
        </w:tc>
        <w:tc>
          <w:tcPr>
            <w:tcW w:type="dxa" w:w="1512"/>
            <w:vAlign w:val="top"/>
          </w:tcPr>
          <w:p>
            <w:pPr>
              <w:spacing w:after="40" w:before="0" w:line="259" w:lineRule="auto"/>
            </w:pPr>
            <w:r>
              <w:rPr>
                <w:rFonts w:ascii="Calibri" w:hAnsi="Calibri"/>
                <w:b w:val="0"/>
                <w:i w:val="0"/>
                <w:color w:val="212121"/>
                <w:sz w:val="19"/>
              </w:rPr>
              <w:t>≥ 150 min/week; daily walking</w:t>
            </w:r>
          </w:p>
        </w:tc>
        <w:tc>
          <w:tcPr>
            <w:tcW w:type="dxa" w:w="1512"/>
            <w:vAlign w:val="top"/>
          </w:tcPr>
          <w:p>
            <w:pPr>
              <w:spacing w:after="40" w:before="0" w:line="259" w:lineRule="auto"/>
            </w:pPr>
            <w:r>
              <w:rPr>
                <w:rFonts w:ascii="Calibri" w:hAnsi="Calibri"/>
                <w:b w:val="0"/>
                <w:i w:val="0"/>
                <w:color w:val="212121"/>
                <w:sz w:val="19"/>
              </w:rPr>
              <w:t>&lt; 150 min/week; sedentary</w:t>
            </w:r>
          </w:p>
        </w:tc>
        <w:tc>
          <w:tcPr>
            <w:tcW w:type="dxa" w:w="1468"/>
            <w:vAlign w:val="top"/>
          </w:tcPr>
          <w:p>
            <w:pPr>
              <w:spacing w:after="60" w:line="259" w:lineRule="auto"/>
            </w:pPr>
            <w:r>
              <w:rPr>
                <w:rFonts w:ascii="Calibri" w:hAnsi="Calibri"/>
                <w:b w:val="0"/>
                <w:i w:val="0"/>
                <w:color w:val="212121"/>
                <w:sz w:val="19"/>
              </w:rPr>
              <w:t>Walking and calf exercise improve calf-pump function and circulation</w:t>
            </w:r>
          </w:p>
          <w:p>
            <w:pPr>
              <w:spacing w:after="40" w:line="252" w:lineRule="auto"/>
            </w:pPr>
            <w:hyperlink r:id="rId14">
              <w:r>
                <w:rPr>
                  <w:rFonts w:ascii="Calibri" w:hAnsi="Calibri" w:cs="Calibri"/>
                  <w:sz w:val="18"/>
                  <w:color w:val="1155CC"/>
                  <w:u w:val="single"/>
                </w:rPr>
                <w:t xml:space="preserve">https://pubmed.ncbi.nlm.nih.gov/30694211/</w:t>
              </w:r>
            </w:hyperlink>
          </w:p>
        </w:tc>
      </w:tr>
      <w:tr>
        <w:trPr>
          <w:cantSplit/>
        </w:trPr>
        <w:tc>
          <w:tcPr>
            <w:tcW w:type="dxa" w:w="1512"/>
            <w:vAlign w:val="center"/>
          </w:tcPr>
          <w:p>
            <w:pPr>
              <w:spacing w:after="40"/>
            </w:pPr>
            <w:r>
              <w:rPr>
                <w:rFonts w:ascii="Calibri" w:hAnsi="Calibri"/>
                <w:b w:val="0"/>
                <w:i w:val="0"/>
                <w:color w:val="212121"/>
                <w:sz w:val="19"/>
              </w:rPr>
              <w:t>Posture</w:t>
            </w:r>
          </w:p>
        </w:tc>
        <w:tc>
          <w:tcPr>
            <w:tcW w:type="dxa" w:w="1944"/>
            <w:vAlign w:val="top"/>
          </w:tcPr>
          <w:p>
            <w:pPr>
              <w:spacing w:after="40" w:before="0" w:line="259" w:lineRule="auto"/>
            </w:pPr>
            <w:r>
              <w:rPr>
                <w:rFonts w:ascii="Calibri" w:hAnsi="Calibri"/>
                <w:b w:val="0"/>
                <w:i w:val="0"/>
                <w:color w:val="212121"/>
                <w:sz w:val="19"/>
              </w:rPr>
              <w:t>Leg-elevation time</w:t>
            </w:r>
          </w:p>
        </w:tc>
        <w:tc>
          <w:tcPr>
            <w:tcW w:type="dxa" w:w="1655"/>
            <w:vAlign w:val="top"/>
          </w:tcPr>
          <w:p>
            <w:pPr>
              <w:spacing w:after="40" w:before="0" w:line="259" w:lineRule="auto"/>
            </w:pPr>
            <w:r>
              <w:rPr>
                <w:rFonts w:ascii="Calibri" w:hAnsi="Calibri"/>
                <w:b w:val="0"/>
                <w:i w:val="0"/>
                <w:color w:val="212121"/>
                <w:sz w:val="19"/>
              </w:rPr>
              <w:t>Oedema / skin-change / ulcer patients</w:t>
            </w:r>
          </w:p>
        </w:tc>
        <w:tc>
          <w:tcPr>
            <w:tcW w:type="dxa" w:w="1512"/>
            <w:vAlign w:val="top"/>
          </w:tcPr>
          <w:p>
            <w:pPr>
              <w:spacing w:after="40" w:before="0" w:line="259" w:lineRule="auto"/>
            </w:pPr>
            <w:r>
              <w:rPr>
                <w:rFonts w:ascii="Calibri" w:hAnsi="Calibri"/>
                <w:b w:val="0"/>
                <w:i w:val="0"/>
                <w:color w:val="212121"/>
                <w:sz w:val="19"/>
              </w:rPr>
              <w:t>Legs above heart 15–30 min, 3–4×/day</w:t>
            </w:r>
          </w:p>
        </w:tc>
        <w:tc>
          <w:tcPr>
            <w:tcW w:type="dxa" w:w="1512"/>
            <w:vAlign w:val="top"/>
          </w:tcPr>
          <w:p>
            <w:pPr>
              <w:spacing w:after="40" w:before="0" w:line="259" w:lineRule="auto"/>
            </w:pPr>
            <w:r>
              <w:rPr>
                <w:rFonts w:ascii="Calibri" w:hAnsi="Calibri"/>
                <w:b w:val="0"/>
                <w:i w:val="0"/>
                <w:color w:val="212121"/>
                <w:sz w:val="19"/>
              </w:rPr>
              <w:t>No elevation; legs dependent all day</w:t>
            </w:r>
          </w:p>
        </w:tc>
        <w:tc>
          <w:tcPr>
            <w:tcW w:type="dxa" w:w="1468"/>
            <w:vAlign w:val="top"/>
          </w:tcPr>
          <w:p>
            <w:pPr>
              <w:spacing w:after="40" w:before="0" w:line="259" w:lineRule="auto"/>
            </w:pPr>
            <w:r>
              <w:rPr>
                <w:rFonts w:ascii="Calibri" w:hAnsi="Calibri"/>
                <w:b w:val="0"/>
                <w:i w:val="0"/>
                <w:color w:val="212121"/>
                <w:sz w:val="19"/>
              </w:rPr>
              <w:t>Elevation lowers ambulatory venous pressure and reduces oedema</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Graduated compression pressure (ankle)</w:t>
            </w:r>
          </w:p>
        </w:tc>
        <w:tc>
          <w:tcPr>
            <w:tcW w:type="dxa" w:w="1655"/>
            <w:vAlign w:val="top"/>
          </w:tcPr>
          <w:p>
            <w:pPr>
              <w:spacing w:after="40" w:before="0" w:line="259" w:lineRule="auto"/>
            </w:pPr>
            <w:r>
              <w:rPr>
                <w:rFonts w:ascii="Calibri" w:hAnsi="Calibri"/>
                <w:b w:val="0"/>
                <w:i w:val="0"/>
                <w:color w:val="212121"/>
                <w:sz w:val="19"/>
              </w:rPr>
              <w:t>C3–C6 CVI</w:t>
            </w:r>
          </w:p>
        </w:tc>
        <w:tc>
          <w:tcPr>
            <w:tcW w:type="dxa" w:w="1512"/>
            <w:vAlign w:val="top"/>
          </w:tcPr>
          <w:p>
            <w:pPr>
              <w:spacing w:after="40" w:before="0" w:line="259" w:lineRule="auto"/>
            </w:pPr>
            <w:r>
              <w:rPr>
                <w:rFonts w:ascii="Calibri" w:hAnsi="Calibri"/>
                <w:b w:val="0"/>
                <w:i w:val="0"/>
                <w:color w:val="212121"/>
                <w:sz w:val="19"/>
              </w:rPr>
              <w:t>20–30 mmHg (skin changes); 30–40 mmHg (ulcer/severe)</w:t>
            </w:r>
          </w:p>
        </w:tc>
        <w:tc>
          <w:tcPr>
            <w:tcW w:type="dxa" w:w="1512"/>
            <w:vAlign w:val="top"/>
          </w:tcPr>
          <w:p>
            <w:pPr>
              <w:spacing w:after="40" w:before="0" w:line="259" w:lineRule="auto"/>
            </w:pPr>
            <w:r>
              <w:rPr>
                <w:rFonts w:ascii="Calibri" w:hAnsi="Calibri"/>
                <w:b w:val="0"/>
                <w:i w:val="0"/>
                <w:color w:val="212121"/>
                <w:sz w:val="19"/>
              </w:rPr>
              <w:t>No compression despite oedema/ulcer</w:t>
            </w:r>
          </w:p>
        </w:tc>
        <w:tc>
          <w:tcPr>
            <w:tcW w:type="dxa" w:w="1468"/>
            <w:vAlign w:val="top"/>
          </w:tcPr>
          <w:p>
            <w:pPr>
              <w:spacing w:after="60" w:line="259" w:lineRule="auto"/>
            </w:pPr>
            <w:r>
              <w:rPr>
                <w:rFonts w:ascii="Calibri" w:hAnsi="Calibri"/>
                <w:b w:val="0"/>
                <w:i w:val="0"/>
                <w:color w:val="212121"/>
                <w:sz w:val="19"/>
              </w:rPr>
              <w:t>Multi-component / high compression heals more ulcers; check ABPI ≥ 0.8 first</w:t>
            </w:r>
          </w:p>
          <w:p>
            <w:pPr>
              <w:spacing w:after="40" w:line="252" w:lineRule="auto"/>
            </w:pPr>
            <w:hyperlink r:id="rId17">
              <w:r>
                <w:rPr>
                  <w:rFonts w:ascii="Calibri" w:hAnsi="Calibri" w:cs="Calibri"/>
                  <w:sz w:val="18"/>
                  <w:color w:val="1155CC"/>
                  <w:u w:val="single"/>
                </w:rPr>
                <w:t xml:space="preserve">https://pmc.ncbi.nlm.nih.gov/articles/PMC7068175/</w:t>
              </w:r>
            </w:hyperlink>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Dietary fibre</w:t>
            </w:r>
          </w:p>
        </w:tc>
        <w:tc>
          <w:tcPr>
            <w:tcW w:type="dxa" w:w="1655"/>
            <w:vAlign w:val="top"/>
          </w:tcPr>
          <w:p>
            <w:pPr>
              <w:spacing w:after="40" w:before="0" w:line="259" w:lineRule="auto"/>
            </w:pPr>
            <w:r>
              <w:rPr>
                <w:rFonts w:ascii="Calibri" w:hAnsi="Calibri"/>
                <w:b w:val="0"/>
                <w:i w:val="0"/>
                <w:color w:val="212121"/>
                <w:sz w:val="19"/>
              </w:rPr>
              <w:t>Adults with constipation risk</w:t>
            </w:r>
          </w:p>
        </w:tc>
        <w:tc>
          <w:tcPr>
            <w:tcW w:type="dxa" w:w="1512"/>
            <w:vAlign w:val="top"/>
          </w:tcPr>
          <w:p>
            <w:pPr>
              <w:spacing w:after="40" w:before="0" w:line="259" w:lineRule="auto"/>
            </w:pPr>
            <w:r>
              <w:rPr>
                <w:rFonts w:ascii="Calibri" w:hAnsi="Calibri"/>
                <w:b w:val="0"/>
                <w:i w:val="0"/>
                <w:color w:val="212121"/>
                <w:sz w:val="19"/>
              </w:rPr>
              <w:t>25–35 g/day</w:t>
            </w:r>
          </w:p>
        </w:tc>
        <w:tc>
          <w:tcPr>
            <w:tcW w:type="dxa" w:w="1512"/>
            <w:vAlign w:val="top"/>
          </w:tcPr>
          <w:p>
            <w:pPr>
              <w:spacing w:after="40" w:before="0" w:line="259" w:lineRule="auto"/>
            </w:pPr>
            <w:r>
              <w:rPr>
                <w:rFonts w:ascii="Calibri" w:hAnsi="Calibri"/>
                <w:b w:val="0"/>
                <w:i w:val="0"/>
                <w:color w:val="212121"/>
                <w:sz w:val="19"/>
              </w:rPr>
              <w:t>&lt; 20 g/day</w:t>
            </w:r>
          </w:p>
        </w:tc>
        <w:tc>
          <w:tcPr>
            <w:tcW w:type="dxa" w:w="1468"/>
            <w:vAlign w:val="top"/>
          </w:tcPr>
          <w:p>
            <w:pPr>
              <w:spacing w:after="40" w:before="0" w:line="259" w:lineRule="auto"/>
            </w:pPr>
            <w:r>
              <w:rPr>
                <w:rFonts w:ascii="Calibri" w:hAnsi="Calibri"/>
                <w:b w:val="0"/>
                <w:i w:val="0"/>
                <w:color w:val="212121"/>
                <w:sz w:val="19"/>
              </w:rPr>
              <w:t>Prevents straining that raises intra-abdominal/venous pressure</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Fruit intake</w:t>
            </w:r>
          </w:p>
        </w:tc>
        <w:tc>
          <w:tcPr>
            <w:tcW w:type="dxa" w:w="1655"/>
            <w:vAlign w:val="top"/>
          </w:tcPr>
          <w:p>
            <w:pPr>
              <w:spacing w:after="40" w:before="0" w:line="259" w:lineRule="auto"/>
            </w:pPr>
            <w:r>
              <w:rPr>
                <w:rFonts w:ascii="Calibri" w:hAnsi="Calibri"/>
                <w:b w:val="0"/>
                <w:i w:val="0"/>
                <w:color w:val="212121"/>
                <w:sz w:val="19"/>
              </w:rPr>
              <w:t>Rural / general adults</w:t>
            </w:r>
          </w:p>
        </w:tc>
        <w:tc>
          <w:tcPr>
            <w:tcW w:type="dxa" w:w="1512"/>
            <w:vAlign w:val="top"/>
          </w:tcPr>
          <w:p>
            <w:pPr>
              <w:spacing w:after="40" w:before="0" w:line="259" w:lineRule="auto"/>
            </w:pPr>
            <w:r>
              <w:rPr>
                <w:rFonts w:ascii="Calibri" w:hAnsi="Calibri"/>
                <w:b w:val="0"/>
                <w:i w:val="0"/>
                <w:color w:val="212121"/>
                <w:sz w:val="19"/>
              </w:rPr>
              <w:t>Daily fruit; ≥5 fruit+veg servings/day</w:t>
            </w:r>
          </w:p>
        </w:tc>
        <w:tc>
          <w:tcPr>
            <w:tcW w:type="dxa" w:w="1512"/>
            <w:vAlign w:val="top"/>
          </w:tcPr>
          <w:p>
            <w:pPr>
              <w:spacing w:after="40" w:before="0" w:line="259" w:lineRule="auto"/>
            </w:pPr>
            <w:r>
              <w:rPr>
                <w:rFonts w:ascii="Calibri" w:hAnsi="Calibri"/>
                <w:b w:val="0"/>
                <w:i w:val="0"/>
                <w:color w:val="212121"/>
                <w:sz w:val="19"/>
              </w:rPr>
              <w:t>Rare/no fruit intake</w:t>
            </w:r>
          </w:p>
        </w:tc>
        <w:tc>
          <w:tcPr>
            <w:tcW w:type="dxa" w:w="1468"/>
            <w:vAlign w:val="top"/>
          </w:tcPr>
          <w:p>
            <w:pPr>
              <w:spacing w:after="60" w:line="259" w:lineRule="auto"/>
            </w:pPr>
            <w:r>
              <w:rPr>
                <w:rFonts w:ascii="Calibri" w:hAnsi="Calibri"/>
                <w:b w:val="0"/>
                <w:i w:val="0"/>
                <w:color w:val="212121"/>
                <w:sz w:val="19"/>
              </w:rPr>
              <w:t>Daily fruit independently associated with lower CVD odds (aOR 0.26)</w:t>
            </w:r>
          </w:p>
          <w:p>
            <w:pPr>
              <w:spacing w:after="40" w:line="252" w:lineRule="auto"/>
            </w:pPr>
            <w:hyperlink r:id="rId12">
              <w:r>
                <w:rPr>
                  <w:rFonts w:ascii="Calibri" w:hAnsi="Calibri" w:cs="Calibri"/>
                  <w:sz w:val="18"/>
                  <w:color w:val="1155CC"/>
                  <w:u w:val="single"/>
                </w:rPr>
                <w:t xml:space="preserve">https://pmc.ncbi.nlm.nih.gov/articles/PMC12914658/</w:t>
              </w:r>
            </w:hyperlink>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ulcer patients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60" w:line="259" w:lineRule="auto"/>
            </w:pPr>
            <w:r>
              <w:rPr>
                <w:rFonts w:ascii="Calibri" w:hAnsi="Calibri"/>
                <w:b w:val="0"/>
                <w:i w:val="0"/>
                <w:color w:val="212121"/>
                <w:sz w:val="19"/>
              </w:rPr>
              <w:t>Smoking impairs vein-wall health and ulcer healing</w:t>
            </w:r>
          </w:p>
          <w:p>
            <w:pPr>
              <w:spacing w:after="40" w:line="252" w:lineRule="auto"/>
            </w:pPr>
            <w:hyperlink r:id="rId10">
              <w:r>
                <w:rPr>
                  <w:rFonts w:ascii="Calibri" w:hAnsi="Calibri" w:cs="Calibri"/>
                  <w:sz w:val="18"/>
                  <w:color w:val="1155CC"/>
                  <w:u w:val="single"/>
                </w:rPr>
                <w:t xml:space="preserve">https://www.ncbi.nlm.nih.gov/books/NBK430975/</w:t>
              </w:r>
            </w:hyperlink>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Night-time leg elevation</w:t>
            </w:r>
          </w:p>
        </w:tc>
        <w:tc>
          <w:tcPr>
            <w:tcW w:type="dxa" w:w="1655"/>
            <w:vAlign w:val="top"/>
          </w:tcPr>
          <w:p>
            <w:pPr>
              <w:spacing w:after="40" w:before="0" w:line="259" w:lineRule="auto"/>
            </w:pPr>
            <w:r>
              <w:rPr>
                <w:rFonts w:ascii="Calibri" w:hAnsi="Calibri"/>
                <w:b w:val="0"/>
                <w:i w:val="0"/>
                <w:color w:val="212121"/>
                <w:sz w:val="19"/>
              </w:rPr>
              <w:t>Oedema/ulcer patients</w:t>
            </w:r>
          </w:p>
        </w:tc>
        <w:tc>
          <w:tcPr>
            <w:tcW w:type="dxa" w:w="1512"/>
            <w:vAlign w:val="top"/>
          </w:tcPr>
          <w:p>
            <w:pPr>
              <w:spacing w:after="40" w:before="0" w:line="259" w:lineRule="auto"/>
            </w:pPr>
            <w:r>
              <w:rPr>
                <w:rFonts w:ascii="Calibri" w:hAnsi="Calibri"/>
                <w:b w:val="0"/>
                <w:i w:val="0"/>
                <w:color w:val="212121"/>
                <w:sz w:val="19"/>
              </w:rPr>
              <w:t>Foot of bed raised ~10–15 cm</w:t>
            </w:r>
          </w:p>
        </w:tc>
        <w:tc>
          <w:tcPr>
            <w:tcW w:type="dxa" w:w="1512"/>
            <w:vAlign w:val="top"/>
          </w:tcPr>
          <w:p>
            <w:pPr>
              <w:spacing w:after="40" w:before="0" w:line="259" w:lineRule="auto"/>
            </w:pPr>
            <w:r>
              <w:rPr>
                <w:rFonts w:ascii="Calibri" w:hAnsi="Calibri"/>
                <w:b w:val="0"/>
                <w:i w:val="0"/>
                <w:color w:val="212121"/>
                <w:sz w:val="19"/>
              </w:rPr>
              <w:t>Flat/dependent legs with morning swelling</w:t>
            </w:r>
          </w:p>
        </w:tc>
        <w:tc>
          <w:tcPr>
            <w:tcW w:type="dxa" w:w="1468"/>
            <w:vAlign w:val="top"/>
          </w:tcPr>
          <w:p>
            <w:pPr>
              <w:spacing w:after="40" w:before="0" w:line="259" w:lineRule="auto"/>
            </w:pPr>
            <w:r>
              <w:rPr>
                <w:rFonts w:ascii="Calibri" w:hAnsi="Calibri"/>
                <w:b w:val="0"/>
                <w:i w:val="0"/>
                <w:color w:val="212121"/>
                <w:sz w:val="19"/>
              </w:rPr>
              <w:t>Overnight elevation reduces venous pressure and oedema</w:t>
            </w:r>
          </w:p>
        </w:tc>
      </w:tr>
      <w:tr>
        <w:trPr>
          <w:cantSplit/>
        </w:trPr>
        <w:tc>
          <w:tcPr>
            <w:tcW w:type="dxa" w:w="1512"/>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Ankle range of motion</w:t>
            </w:r>
          </w:p>
        </w:tc>
        <w:tc>
          <w:tcPr>
            <w:tcW w:type="dxa" w:w="1655"/>
            <w:vAlign w:val="top"/>
          </w:tcPr>
          <w:p>
            <w:pPr>
              <w:spacing w:after="40" w:before="0" w:line="259" w:lineRule="auto"/>
            </w:pPr>
            <w:r>
              <w:rPr>
                <w:rFonts w:ascii="Calibri" w:hAnsi="Calibri"/>
                <w:b w:val="0"/>
                <w:i w:val="0"/>
                <w:color w:val="212121"/>
                <w:sz w:val="19"/>
              </w:rPr>
              <w:t>Elderly, post-DVT, ulcer patients</w:t>
            </w:r>
          </w:p>
        </w:tc>
        <w:tc>
          <w:tcPr>
            <w:tcW w:type="dxa" w:w="1512"/>
            <w:vAlign w:val="top"/>
          </w:tcPr>
          <w:p>
            <w:pPr>
              <w:spacing w:after="40" w:before="0" w:line="259" w:lineRule="auto"/>
            </w:pPr>
            <w:r>
              <w:rPr>
                <w:rFonts w:ascii="Calibri" w:hAnsi="Calibri"/>
                <w:b w:val="0"/>
                <w:i w:val="0"/>
                <w:color w:val="212121"/>
                <w:sz w:val="19"/>
              </w:rPr>
              <w:t>Full ankle dorsi/plantar-flexion; regular pumps</w:t>
            </w:r>
          </w:p>
        </w:tc>
        <w:tc>
          <w:tcPr>
            <w:tcW w:type="dxa" w:w="1512"/>
            <w:vAlign w:val="top"/>
          </w:tcPr>
          <w:p>
            <w:pPr>
              <w:spacing w:after="40" w:before="0" w:line="259" w:lineRule="auto"/>
            </w:pPr>
            <w:r>
              <w:rPr>
                <w:rFonts w:ascii="Calibri" w:hAnsi="Calibri"/>
                <w:b w:val="0"/>
                <w:i w:val="0"/>
                <w:color w:val="212121"/>
                <w:sz w:val="19"/>
              </w:rPr>
              <w:t>Fixed/stiff ankle, minimal movement</w:t>
            </w:r>
          </w:p>
        </w:tc>
        <w:tc>
          <w:tcPr>
            <w:tcW w:type="dxa" w:w="1468"/>
            <w:vAlign w:val="top"/>
          </w:tcPr>
          <w:p>
            <w:pPr>
              <w:spacing w:after="60" w:line="259" w:lineRule="auto"/>
            </w:pPr>
            <w:r>
              <w:rPr>
                <w:rFonts w:ascii="Calibri" w:hAnsi="Calibri"/>
                <w:b w:val="0"/>
                <w:i w:val="0"/>
                <w:color w:val="212121"/>
                <w:sz w:val="19"/>
              </w:rPr>
              <w:t>Ankle motion powers the calf pump; stiffness sustains venous stasis</w:t>
            </w:r>
          </w:p>
          <w:p>
            <w:pPr>
              <w:spacing w:after="40" w:line="252" w:lineRule="auto"/>
            </w:pPr>
            <w:hyperlink r:id="rId14">
              <w:r>
                <w:rPr>
                  <w:rFonts w:ascii="Calibri" w:hAnsi="Calibri" w:cs="Calibri"/>
                  <w:sz w:val="18"/>
                  <w:color w:val="1155CC"/>
                  <w:u w:val="single"/>
                </w:rPr>
                <w:t xml:space="preserve">https://pubmed.ncbi.nlm.nih.gov/30694211/</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Vascular imaging</w:t>
            </w:r>
          </w:p>
        </w:tc>
        <w:tc>
          <w:tcPr>
            <w:tcW w:type="dxa" w:w="1036"/>
            <w:vAlign w:val="top"/>
          </w:tcPr>
          <w:p>
            <w:pPr>
              <w:spacing w:after="40" w:before="0" w:line="259" w:lineRule="auto"/>
            </w:pPr>
            <w:r>
              <w:rPr>
                <w:rFonts w:ascii="Calibri" w:hAnsi="Calibri"/>
                <w:b w:val="0"/>
                <w:i w:val="0"/>
                <w:color w:val="212121"/>
                <w:sz w:val="16"/>
              </w:rPr>
              <w:t>Venous reflux time</w:t>
            </w:r>
          </w:p>
        </w:tc>
        <w:tc>
          <w:tcPr>
            <w:tcW w:type="dxa" w:w="892"/>
            <w:vAlign w:val="top"/>
          </w:tcPr>
          <w:p>
            <w:pPr>
              <w:spacing w:after="40" w:before="0" w:line="259" w:lineRule="auto"/>
            </w:pPr>
            <w:r>
              <w:rPr>
                <w:rFonts w:ascii="Calibri" w:hAnsi="Calibri"/>
                <w:b w:val="0"/>
                <w:i w:val="0"/>
                <w:color w:val="212121"/>
                <w:sz w:val="16"/>
              </w:rPr>
              <w:t>Venous Duplex Ultrasound (standing)</w:t>
            </w:r>
          </w:p>
        </w:tc>
        <w:tc>
          <w:tcPr>
            <w:tcW w:type="dxa" w:w="950"/>
            <w:vAlign w:val="top"/>
          </w:tcPr>
          <w:p>
            <w:pPr>
              <w:spacing w:after="40" w:before="0" w:line="259" w:lineRule="auto"/>
            </w:pPr>
            <w:r>
              <w:rPr>
                <w:rFonts w:ascii="Calibri" w:hAnsi="Calibri"/>
                <w:b w:val="0"/>
                <w:i w:val="0"/>
                <w:color w:val="212121"/>
                <w:sz w:val="16"/>
              </w:rPr>
              <w:t>Reflux ≤ 0.5 s (superficial); ≤ 1.0 s (deep)</w:t>
            </w:r>
          </w:p>
        </w:tc>
        <w:tc>
          <w:tcPr>
            <w:tcW w:type="dxa" w:w="950"/>
            <w:vAlign w:val="top"/>
          </w:tcPr>
          <w:p>
            <w:pPr>
              <w:spacing w:after="40" w:before="0" w:line="259" w:lineRule="auto"/>
            </w:pPr>
            <w:r>
              <w:rPr>
                <w:rFonts w:ascii="Calibri" w:hAnsi="Calibri"/>
                <w:b w:val="0"/>
                <w:i w:val="0"/>
                <w:color w:val="212121"/>
                <w:sz w:val="16"/>
              </w:rPr>
              <w:t>&gt; 0.5 s superficial or &gt; 1.0 s deep</w:t>
            </w:r>
          </w:p>
        </w:tc>
        <w:tc>
          <w:tcPr>
            <w:tcW w:type="dxa" w:w="1036"/>
            <w:vAlign w:val="top"/>
          </w:tcPr>
          <w:p>
            <w:pPr>
              <w:spacing w:after="40" w:before="0" w:line="259" w:lineRule="auto"/>
            </w:pPr>
            <w:r>
              <w:rPr>
                <w:rFonts w:ascii="Calibri" w:hAnsi="Calibri"/>
                <w:b w:val="0"/>
                <w:i w:val="0"/>
                <w:color w:val="212121"/>
                <w:sz w:val="16"/>
              </w:rPr>
              <w:t>Confirms and localises valvular reflux; gold standard for diagnosis and planning</w:t>
            </w:r>
          </w:p>
        </w:tc>
        <w:tc>
          <w:tcPr>
            <w:tcW w:type="dxa" w:w="1036"/>
            <w:vAlign w:val="top"/>
          </w:tcPr>
          <w:p>
            <w:pPr>
              <w:spacing w:after="40" w:before="0" w:line="259" w:lineRule="auto"/>
            </w:pPr>
            <w:r>
              <w:rPr>
                <w:rFonts w:ascii="Calibri" w:hAnsi="Calibri"/>
                <w:b w:val="0"/>
                <w:i w:val="0"/>
                <w:color w:val="212121"/>
                <w:sz w:val="16"/>
              </w:rPr>
              <w:t>All suspected CVI, varicose veins, skin changes, ulcers</w:t>
            </w:r>
          </w:p>
        </w:tc>
        <w:tc>
          <w:tcPr>
            <w:tcW w:type="dxa" w:w="720"/>
            <w:vAlign w:val="top"/>
          </w:tcPr>
          <w:p>
            <w:pPr>
              <w:spacing w:after="40" w:before="0" w:line="259" w:lineRule="auto"/>
            </w:pPr>
            <w:r>
              <w:rPr>
                <w:rFonts w:ascii="Calibri" w:hAnsi="Calibri"/>
                <w:b w:val="0"/>
                <w:i w:val="0"/>
                <w:color w:val="212121"/>
                <w:sz w:val="16"/>
              </w:rPr>
              <w:t>Physical activity; Posture</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Perforator: outward flow &gt; 0.5 s with diameter ≥ 3.5 mm</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Vascular / haemodynamic</w:t>
            </w:r>
          </w:p>
        </w:tc>
        <w:tc>
          <w:tcPr>
            <w:tcW w:type="dxa" w:w="1036"/>
            <w:vAlign w:val="top"/>
          </w:tcPr>
          <w:p>
            <w:pPr>
              <w:spacing w:after="40" w:before="0" w:line="259" w:lineRule="auto"/>
            </w:pPr>
            <w:r>
              <w:rPr>
                <w:rFonts w:ascii="Calibri" w:hAnsi="Calibri"/>
                <w:b w:val="0"/>
                <w:i w:val="0"/>
                <w:color w:val="212121"/>
                <w:sz w:val="16"/>
              </w:rPr>
              <w:t>Ankle–Brachial Pressure Index</w:t>
            </w:r>
          </w:p>
        </w:tc>
        <w:tc>
          <w:tcPr>
            <w:tcW w:type="dxa" w:w="892"/>
            <w:vAlign w:val="top"/>
          </w:tcPr>
          <w:p>
            <w:pPr>
              <w:spacing w:after="40" w:before="0" w:line="259" w:lineRule="auto"/>
            </w:pPr>
            <w:r>
              <w:rPr>
                <w:rFonts w:ascii="Calibri" w:hAnsi="Calibri"/>
                <w:b w:val="0"/>
                <w:i w:val="0"/>
                <w:color w:val="212121"/>
                <w:sz w:val="16"/>
              </w:rPr>
              <w:t>ABPI (hand-held Doppler)</w:t>
            </w:r>
          </w:p>
        </w:tc>
        <w:tc>
          <w:tcPr>
            <w:tcW w:type="dxa" w:w="950"/>
            <w:vAlign w:val="top"/>
          </w:tcPr>
          <w:p>
            <w:pPr>
              <w:spacing w:after="40" w:before="0" w:line="259" w:lineRule="auto"/>
            </w:pPr>
            <w:r>
              <w:rPr>
                <w:rFonts w:ascii="Calibri" w:hAnsi="Calibri"/>
                <w:b w:val="0"/>
                <w:i w:val="0"/>
                <w:color w:val="212121"/>
                <w:sz w:val="16"/>
              </w:rPr>
              <w:t>0.9–1.3</w:t>
            </w:r>
          </w:p>
        </w:tc>
        <w:tc>
          <w:tcPr>
            <w:tcW w:type="dxa" w:w="950"/>
            <w:vAlign w:val="top"/>
          </w:tcPr>
          <w:p>
            <w:pPr>
              <w:spacing w:after="40" w:before="0" w:line="259" w:lineRule="auto"/>
            </w:pPr>
            <w:r>
              <w:rPr>
                <w:rFonts w:ascii="Calibri" w:hAnsi="Calibri"/>
                <w:b w:val="0"/>
                <w:i w:val="0"/>
                <w:color w:val="212121"/>
                <w:sz w:val="16"/>
              </w:rPr>
              <w:t>&lt; 0.8 (arterial disease) or &gt; 1.3 (calcified/incompressible)</w:t>
            </w:r>
          </w:p>
        </w:tc>
        <w:tc>
          <w:tcPr>
            <w:tcW w:type="dxa" w:w="1036"/>
            <w:vAlign w:val="top"/>
          </w:tcPr>
          <w:p>
            <w:pPr>
              <w:spacing w:after="40" w:before="0" w:line="259" w:lineRule="auto"/>
            </w:pPr>
            <w:r>
              <w:rPr>
                <w:rFonts w:ascii="Calibri" w:hAnsi="Calibri"/>
                <w:b w:val="0"/>
                <w:i w:val="0"/>
                <w:color w:val="212121"/>
                <w:sz w:val="16"/>
              </w:rPr>
              <w:t>Excludes significant peripheral arterial disease before compression</w:t>
            </w:r>
          </w:p>
        </w:tc>
        <w:tc>
          <w:tcPr>
            <w:tcW w:type="dxa" w:w="1036"/>
            <w:vAlign w:val="top"/>
          </w:tcPr>
          <w:p>
            <w:pPr>
              <w:spacing w:after="40" w:before="0" w:line="259" w:lineRule="auto"/>
            </w:pPr>
            <w:r>
              <w:rPr>
                <w:rFonts w:ascii="Calibri" w:hAnsi="Calibri"/>
                <w:b w:val="0"/>
                <w:i w:val="0"/>
                <w:color w:val="212121"/>
                <w:sz w:val="16"/>
              </w:rPr>
              <w:t>Any leg ulcer or candidate for compression, diabetics, elderly</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Mandatory before compression</w:t>
            </w:r>
          </w:p>
        </w:tc>
        <w:tc>
          <w:tcPr>
            <w:tcW w:type="dxa" w:w="720"/>
            <w:vAlign w:val="top"/>
          </w:tcPr>
          <w:p>
            <w:pPr>
              <w:spacing w:after="40" w:before="0" w:line="259" w:lineRule="auto"/>
            </w:pPr>
            <w:r>
              <w:rPr>
                <w:rFonts w:ascii="Calibri" w:hAnsi="Calibri"/>
                <w:b w:val="0"/>
                <w:i w:val="0"/>
                <w:color w:val="212121"/>
                <w:sz w:val="16"/>
              </w:rPr>
              <w:t>ABPI &lt; 0.8 contraindicates high compression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Haemodynamic</w:t>
            </w:r>
          </w:p>
        </w:tc>
        <w:tc>
          <w:tcPr>
            <w:tcW w:type="dxa" w:w="1036"/>
            <w:vAlign w:val="top"/>
          </w:tcPr>
          <w:p>
            <w:pPr>
              <w:spacing w:after="40" w:before="0" w:line="259" w:lineRule="auto"/>
            </w:pPr>
            <w:r>
              <w:rPr>
                <w:rFonts w:ascii="Calibri" w:hAnsi="Calibri"/>
                <w:b w:val="0"/>
                <w:i w:val="0"/>
                <w:color w:val="212121"/>
                <w:sz w:val="16"/>
              </w:rPr>
              <w:t>Venous refill / filling index</w:t>
            </w:r>
          </w:p>
        </w:tc>
        <w:tc>
          <w:tcPr>
            <w:tcW w:type="dxa" w:w="892"/>
            <w:vAlign w:val="top"/>
          </w:tcPr>
          <w:p>
            <w:pPr>
              <w:spacing w:after="40" w:before="0" w:line="259" w:lineRule="auto"/>
            </w:pPr>
            <w:r>
              <w:rPr>
                <w:rFonts w:ascii="Calibri" w:hAnsi="Calibri"/>
                <w:b w:val="0"/>
                <w:i w:val="0"/>
                <w:color w:val="212121"/>
                <w:sz w:val="16"/>
              </w:rPr>
              <w:t>Air/Photo-plethysmography</w:t>
            </w:r>
          </w:p>
        </w:tc>
        <w:tc>
          <w:tcPr>
            <w:tcW w:type="dxa" w:w="950"/>
            <w:vAlign w:val="top"/>
          </w:tcPr>
          <w:p>
            <w:pPr>
              <w:spacing w:after="40" w:before="0" w:line="259" w:lineRule="auto"/>
            </w:pPr>
            <w:r>
              <w:rPr>
                <w:rFonts w:ascii="Calibri" w:hAnsi="Calibri"/>
                <w:b w:val="0"/>
                <w:i w:val="0"/>
                <w:color w:val="212121"/>
                <w:sz w:val="16"/>
              </w:rPr>
              <w:t>Normal venous refill time (&gt; 20 s)</w:t>
            </w:r>
          </w:p>
        </w:tc>
        <w:tc>
          <w:tcPr>
            <w:tcW w:type="dxa" w:w="950"/>
            <w:vAlign w:val="top"/>
          </w:tcPr>
          <w:p>
            <w:pPr>
              <w:spacing w:after="40" w:before="0" w:line="259" w:lineRule="auto"/>
            </w:pPr>
            <w:r>
              <w:rPr>
                <w:rFonts w:ascii="Calibri" w:hAnsi="Calibri"/>
                <w:b w:val="0"/>
                <w:i w:val="0"/>
                <w:color w:val="212121"/>
                <w:sz w:val="16"/>
              </w:rPr>
              <w:t>Shortened refill; high venous filling index</w:t>
            </w:r>
          </w:p>
        </w:tc>
        <w:tc>
          <w:tcPr>
            <w:tcW w:type="dxa" w:w="1036"/>
            <w:vAlign w:val="top"/>
          </w:tcPr>
          <w:p>
            <w:pPr>
              <w:spacing w:after="40" w:before="0" w:line="259" w:lineRule="auto"/>
            </w:pPr>
            <w:r>
              <w:rPr>
                <w:rFonts w:ascii="Calibri" w:hAnsi="Calibri"/>
                <w:b w:val="0"/>
                <w:i w:val="0"/>
                <w:color w:val="212121"/>
                <w:sz w:val="16"/>
              </w:rPr>
              <w:t>Quantifies reflux, obstruction and calf-pump function</w:t>
            </w:r>
          </w:p>
        </w:tc>
        <w:tc>
          <w:tcPr>
            <w:tcW w:type="dxa" w:w="1036"/>
            <w:vAlign w:val="top"/>
          </w:tcPr>
          <w:p>
            <w:pPr>
              <w:spacing w:after="40" w:before="0" w:line="259" w:lineRule="auto"/>
            </w:pPr>
            <w:r>
              <w:rPr>
                <w:rFonts w:ascii="Calibri" w:hAnsi="Calibri"/>
                <w:b w:val="0"/>
                <w:i w:val="0"/>
                <w:color w:val="212121"/>
                <w:sz w:val="16"/>
              </w:rPr>
              <w:t>Complex/recurrent CVI, pre-intervention</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Non-invasive functional assessment</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Coagulation / imaging</w:t>
            </w:r>
          </w:p>
        </w:tc>
        <w:tc>
          <w:tcPr>
            <w:tcW w:type="dxa" w:w="1036"/>
            <w:vAlign w:val="top"/>
          </w:tcPr>
          <w:p>
            <w:pPr>
              <w:spacing w:after="40" w:before="0" w:line="259" w:lineRule="auto"/>
            </w:pPr>
            <w:r>
              <w:rPr>
                <w:rFonts w:ascii="Calibri" w:hAnsi="Calibri"/>
                <w:b w:val="0"/>
                <w:i w:val="0"/>
                <w:color w:val="212121"/>
                <w:sz w:val="16"/>
              </w:rPr>
              <w:t>D-dimer + compression duplex</w:t>
            </w:r>
          </w:p>
        </w:tc>
        <w:tc>
          <w:tcPr>
            <w:tcW w:type="dxa" w:w="892"/>
            <w:vAlign w:val="top"/>
          </w:tcPr>
          <w:p>
            <w:pPr>
              <w:spacing w:after="40" w:before="0" w:line="259" w:lineRule="auto"/>
            </w:pPr>
            <w:r>
              <w:rPr>
                <w:rFonts w:ascii="Calibri" w:hAnsi="Calibri"/>
                <w:b w:val="0"/>
                <w:i w:val="0"/>
                <w:color w:val="212121"/>
                <w:sz w:val="16"/>
              </w:rPr>
              <w:t>DVT exclusion</w:t>
            </w:r>
          </w:p>
        </w:tc>
        <w:tc>
          <w:tcPr>
            <w:tcW w:type="dxa" w:w="950"/>
            <w:vAlign w:val="top"/>
          </w:tcPr>
          <w:p>
            <w:pPr>
              <w:spacing w:after="40" w:before="0" w:line="259" w:lineRule="auto"/>
            </w:pPr>
            <w:r>
              <w:rPr>
                <w:rFonts w:ascii="Calibri" w:hAnsi="Calibri"/>
                <w:b w:val="0"/>
                <w:i w:val="0"/>
                <w:color w:val="212121"/>
                <w:sz w:val="16"/>
              </w:rPr>
              <w:t>Negative D-dimer; compressible veins</w:t>
            </w:r>
          </w:p>
        </w:tc>
        <w:tc>
          <w:tcPr>
            <w:tcW w:type="dxa" w:w="950"/>
            <w:vAlign w:val="top"/>
          </w:tcPr>
          <w:p>
            <w:pPr>
              <w:spacing w:after="40" w:before="0" w:line="259" w:lineRule="auto"/>
            </w:pPr>
            <w:r>
              <w:rPr>
                <w:rFonts w:ascii="Calibri" w:hAnsi="Calibri"/>
                <w:b w:val="0"/>
                <w:i w:val="0"/>
                <w:color w:val="212121"/>
                <w:sz w:val="16"/>
              </w:rPr>
              <w:t>Raised D-dimer; non-compressible vein / thrombus</w:t>
            </w:r>
          </w:p>
        </w:tc>
        <w:tc>
          <w:tcPr>
            <w:tcW w:type="dxa" w:w="1036"/>
            <w:vAlign w:val="top"/>
          </w:tcPr>
          <w:p>
            <w:pPr>
              <w:spacing w:after="40" w:before="0" w:line="259" w:lineRule="auto"/>
            </w:pPr>
            <w:r>
              <w:rPr>
                <w:rFonts w:ascii="Calibri" w:hAnsi="Calibri"/>
                <w:b w:val="0"/>
                <w:i w:val="0"/>
                <w:color w:val="212121"/>
                <w:sz w:val="16"/>
              </w:rPr>
              <w:t>Excludes acute DVT presenting as new unilateral swelling/pain</w:t>
            </w:r>
          </w:p>
        </w:tc>
        <w:tc>
          <w:tcPr>
            <w:tcW w:type="dxa" w:w="1036"/>
            <w:vAlign w:val="top"/>
          </w:tcPr>
          <w:p>
            <w:pPr>
              <w:spacing w:after="40" w:before="0" w:line="259" w:lineRule="auto"/>
            </w:pPr>
            <w:r>
              <w:rPr>
                <w:rFonts w:ascii="Calibri" w:hAnsi="Calibri"/>
                <w:b w:val="0"/>
                <w:i w:val="0"/>
                <w:color w:val="212121"/>
                <w:sz w:val="16"/>
              </w:rPr>
              <w:t>Acute-on-chronic swelling, prior DVT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Rule-out</w:t>
            </w:r>
          </w:p>
        </w:tc>
        <w:tc>
          <w:tcPr>
            <w:tcW w:type="dxa" w:w="720"/>
            <w:vAlign w:val="top"/>
          </w:tcPr>
          <w:p>
            <w:pPr>
              <w:spacing w:after="40" w:before="0" w:line="259" w:lineRule="auto"/>
            </w:pPr>
            <w:r>
              <w:rPr>
                <w:rFonts w:ascii="Calibri" w:hAnsi="Calibri"/>
                <w:b w:val="0"/>
                <w:i w:val="0"/>
                <w:color w:val="212121"/>
                <w:sz w:val="16"/>
              </w:rPr>
              <w:t>D-dimer non-specific; imaging confirms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Cross-sectional imaging</w:t>
            </w:r>
          </w:p>
        </w:tc>
        <w:tc>
          <w:tcPr>
            <w:tcW w:type="dxa" w:w="1036"/>
            <w:vAlign w:val="top"/>
          </w:tcPr>
          <w:p>
            <w:pPr>
              <w:spacing w:after="40" w:before="0" w:line="259" w:lineRule="auto"/>
            </w:pPr>
            <w:r>
              <w:rPr>
                <w:rFonts w:ascii="Calibri" w:hAnsi="Calibri"/>
                <w:b w:val="0"/>
                <w:i w:val="0"/>
                <w:color w:val="212121"/>
                <w:sz w:val="16"/>
              </w:rPr>
              <w:t>Ilio-caval patency</w:t>
            </w:r>
          </w:p>
        </w:tc>
        <w:tc>
          <w:tcPr>
            <w:tcW w:type="dxa" w:w="892"/>
            <w:vAlign w:val="top"/>
          </w:tcPr>
          <w:p>
            <w:pPr>
              <w:spacing w:after="40" w:before="0" w:line="259" w:lineRule="auto"/>
            </w:pPr>
            <w:r>
              <w:rPr>
                <w:rFonts w:ascii="Calibri" w:hAnsi="Calibri"/>
                <w:b w:val="0"/>
                <w:i w:val="0"/>
                <w:color w:val="212121"/>
                <w:sz w:val="16"/>
              </w:rPr>
              <w:t>CT / MR Venography</w:t>
            </w:r>
          </w:p>
        </w:tc>
        <w:tc>
          <w:tcPr>
            <w:tcW w:type="dxa" w:w="950"/>
            <w:vAlign w:val="top"/>
          </w:tcPr>
          <w:p>
            <w:pPr>
              <w:spacing w:after="40" w:before="0" w:line="259" w:lineRule="auto"/>
            </w:pPr>
            <w:r>
              <w:rPr>
                <w:rFonts w:ascii="Calibri" w:hAnsi="Calibri"/>
                <w:b w:val="0"/>
                <w:i w:val="0"/>
                <w:color w:val="212121"/>
                <w:sz w:val="16"/>
              </w:rPr>
              <w:t>Patent, non-compressed iliac/caval veins</w:t>
            </w:r>
          </w:p>
        </w:tc>
        <w:tc>
          <w:tcPr>
            <w:tcW w:type="dxa" w:w="950"/>
            <w:vAlign w:val="top"/>
          </w:tcPr>
          <w:p>
            <w:pPr>
              <w:spacing w:after="40" w:before="0" w:line="259" w:lineRule="auto"/>
            </w:pPr>
            <w:r>
              <w:rPr>
                <w:rFonts w:ascii="Calibri" w:hAnsi="Calibri"/>
                <w:b w:val="0"/>
                <w:i w:val="0"/>
                <w:color w:val="212121"/>
                <w:sz w:val="16"/>
              </w:rPr>
              <w:t>Stenosis/obstruction (e.g., May–Thurner, post-thrombotic)</w:t>
            </w:r>
          </w:p>
        </w:tc>
        <w:tc>
          <w:tcPr>
            <w:tcW w:type="dxa" w:w="1036"/>
            <w:vAlign w:val="top"/>
          </w:tcPr>
          <w:p>
            <w:pPr>
              <w:spacing w:after="40" w:before="0" w:line="259" w:lineRule="auto"/>
            </w:pPr>
            <w:r>
              <w:rPr>
                <w:rFonts w:ascii="Calibri" w:hAnsi="Calibri"/>
                <w:b w:val="0"/>
                <w:i w:val="0"/>
                <w:color w:val="212121"/>
                <w:sz w:val="16"/>
              </w:rPr>
              <w:t>Detects proximal obstruction amenable to venous stenting</w:t>
            </w:r>
          </w:p>
        </w:tc>
        <w:tc>
          <w:tcPr>
            <w:tcW w:type="dxa" w:w="1036"/>
            <w:vAlign w:val="top"/>
          </w:tcPr>
          <w:p>
            <w:pPr>
              <w:spacing w:after="40" w:before="0" w:line="259" w:lineRule="auto"/>
            </w:pPr>
            <w:r>
              <w:rPr>
                <w:rFonts w:ascii="Calibri" w:hAnsi="Calibri"/>
                <w:b w:val="0"/>
                <w:i w:val="0"/>
                <w:color w:val="212121"/>
                <w:sz w:val="16"/>
              </w:rPr>
              <w:t>Severe/refractory CVI, young women, post-DVT</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Reserved for suspected outflow obstruction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Microbiology</w:t>
            </w:r>
          </w:p>
        </w:tc>
        <w:tc>
          <w:tcPr>
            <w:tcW w:type="dxa" w:w="1036"/>
            <w:vAlign w:val="top"/>
          </w:tcPr>
          <w:p>
            <w:pPr>
              <w:spacing w:after="40" w:before="0" w:line="259" w:lineRule="auto"/>
            </w:pPr>
            <w:r>
              <w:rPr>
                <w:rFonts w:ascii="Calibri" w:hAnsi="Calibri"/>
                <w:b w:val="0"/>
                <w:i w:val="0"/>
                <w:color w:val="212121"/>
                <w:sz w:val="16"/>
              </w:rPr>
              <w:t>Wound culture</w:t>
            </w:r>
          </w:p>
        </w:tc>
        <w:tc>
          <w:tcPr>
            <w:tcW w:type="dxa" w:w="892"/>
            <w:vAlign w:val="top"/>
          </w:tcPr>
          <w:p>
            <w:pPr>
              <w:spacing w:after="40" w:before="0" w:line="259" w:lineRule="auto"/>
            </w:pPr>
            <w:r>
              <w:rPr>
                <w:rFonts w:ascii="Calibri" w:hAnsi="Calibri"/>
                <w:b w:val="0"/>
                <w:i w:val="0"/>
                <w:color w:val="212121"/>
                <w:sz w:val="16"/>
              </w:rPr>
              <w:t>Ulcer swab / tissue culture</w:t>
            </w:r>
          </w:p>
        </w:tc>
        <w:tc>
          <w:tcPr>
            <w:tcW w:type="dxa" w:w="950"/>
            <w:vAlign w:val="top"/>
          </w:tcPr>
          <w:p>
            <w:pPr>
              <w:spacing w:after="40" w:before="0" w:line="259" w:lineRule="auto"/>
            </w:pPr>
            <w:r>
              <w:rPr>
                <w:rFonts w:ascii="Calibri" w:hAnsi="Calibri"/>
                <w:b w:val="0"/>
                <w:i w:val="0"/>
                <w:color w:val="212121"/>
                <w:sz w:val="16"/>
              </w:rPr>
              <w:t>No pathogenic growth / colonisation only</w:t>
            </w:r>
          </w:p>
        </w:tc>
        <w:tc>
          <w:tcPr>
            <w:tcW w:type="dxa" w:w="950"/>
            <w:vAlign w:val="top"/>
          </w:tcPr>
          <w:p>
            <w:pPr>
              <w:spacing w:after="40" w:before="0" w:line="259" w:lineRule="auto"/>
            </w:pPr>
            <w:r>
              <w:rPr>
                <w:rFonts w:ascii="Calibri" w:hAnsi="Calibri"/>
                <w:b w:val="0"/>
                <w:i w:val="0"/>
                <w:color w:val="212121"/>
                <w:sz w:val="16"/>
              </w:rPr>
              <w:t>Significant growth with clinical infection signs</w:t>
            </w:r>
          </w:p>
        </w:tc>
        <w:tc>
          <w:tcPr>
            <w:tcW w:type="dxa" w:w="1036"/>
            <w:vAlign w:val="top"/>
          </w:tcPr>
          <w:p>
            <w:pPr>
              <w:spacing w:after="40" w:before="0" w:line="259" w:lineRule="auto"/>
            </w:pPr>
            <w:r>
              <w:rPr>
                <w:rFonts w:ascii="Calibri" w:hAnsi="Calibri"/>
                <w:b w:val="0"/>
                <w:i w:val="0"/>
                <w:color w:val="212121"/>
                <w:sz w:val="16"/>
              </w:rPr>
              <w:t>Guides antibiotics only when clinical infection is present (not for colonisation)</w:t>
            </w:r>
          </w:p>
        </w:tc>
        <w:tc>
          <w:tcPr>
            <w:tcW w:type="dxa" w:w="1036"/>
            <w:vAlign w:val="top"/>
          </w:tcPr>
          <w:p>
            <w:pPr>
              <w:spacing w:after="40" w:before="0" w:line="259" w:lineRule="auto"/>
            </w:pPr>
            <w:r>
              <w:rPr>
                <w:rFonts w:ascii="Calibri" w:hAnsi="Calibri"/>
                <w:b w:val="0"/>
                <w:i w:val="0"/>
                <w:color w:val="212121"/>
                <w:sz w:val="16"/>
              </w:rPr>
              <w:t>Infected/deteriorating venous ulcers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Targeted</w:t>
            </w:r>
          </w:p>
        </w:tc>
        <w:tc>
          <w:tcPr>
            <w:tcW w:type="dxa" w:w="720"/>
            <w:vAlign w:val="top"/>
          </w:tcPr>
          <w:p>
            <w:pPr>
              <w:spacing w:after="40" w:before="0" w:line="259" w:lineRule="auto"/>
            </w:pPr>
            <w:r>
              <w:rPr>
                <w:rFonts w:ascii="Calibri" w:hAnsi="Calibri"/>
                <w:b w:val="0"/>
                <w:i w:val="0"/>
                <w:color w:val="212121"/>
                <w:sz w:val="16"/>
              </w:rPr>
              <w:t>Treat the patient, not the swab</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Diabetes screen</w:t>
            </w:r>
          </w:p>
        </w:tc>
        <w:tc>
          <w:tcPr>
            <w:tcW w:type="dxa" w:w="950"/>
            <w:vAlign w:val="top"/>
          </w:tcPr>
          <w:p>
            <w:pPr>
              <w:spacing w:after="40" w:before="0" w:line="259" w:lineRule="auto"/>
            </w:pPr>
            <w:r>
              <w:rPr>
                <w:rFonts w:ascii="Calibri" w:hAnsi="Calibri"/>
                <w:b w:val="0"/>
                <w:i w:val="0"/>
                <w:color w:val="212121"/>
                <w:sz w:val="16"/>
              </w:rPr>
              <w:t>HbA1c &lt; 5.7%</w:t>
            </w:r>
          </w:p>
        </w:tc>
        <w:tc>
          <w:tcPr>
            <w:tcW w:type="dxa" w:w="950"/>
            <w:vAlign w:val="top"/>
          </w:tcPr>
          <w:p>
            <w:pPr>
              <w:spacing w:after="40" w:before="0" w:line="259" w:lineRule="auto"/>
            </w:pPr>
            <w:r>
              <w:rPr>
                <w:rFonts w:ascii="Calibri" w:hAnsi="Calibri"/>
                <w:b w:val="0"/>
                <w:i w:val="0"/>
                <w:color w:val="212121"/>
                <w:sz w:val="16"/>
              </w:rPr>
              <w:t>HbA1c ≥ 6.5%</w:t>
            </w:r>
          </w:p>
        </w:tc>
        <w:tc>
          <w:tcPr>
            <w:tcW w:type="dxa" w:w="1036"/>
            <w:vAlign w:val="top"/>
          </w:tcPr>
          <w:p>
            <w:pPr>
              <w:spacing w:after="40" w:before="0" w:line="259" w:lineRule="auto"/>
            </w:pPr>
            <w:r>
              <w:rPr>
                <w:rFonts w:ascii="Calibri" w:hAnsi="Calibri"/>
                <w:b w:val="0"/>
                <w:i w:val="0"/>
                <w:color w:val="212121"/>
                <w:sz w:val="16"/>
              </w:rPr>
              <w:t>Identifies coexisting diabetes that impairs ulcer healing and may cause mixed ulcers</w:t>
            </w:r>
          </w:p>
        </w:tc>
        <w:tc>
          <w:tcPr>
            <w:tcW w:type="dxa" w:w="1036"/>
            <w:vAlign w:val="top"/>
          </w:tcPr>
          <w:p>
            <w:pPr>
              <w:spacing w:after="40" w:before="0" w:line="259" w:lineRule="auto"/>
            </w:pPr>
            <w:r>
              <w:rPr>
                <w:rFonts w:ascii="Calibri" w:hAnsi="Calibri"/>
                <w:b w:val="0"/>
                <w:i w:val="0"/>
                <w:color w:val="212121"/>
                <w:sz w:val="16"/>
              </w:rPr>
              <w:t>Leg-ulcer patients, elderly, high-risk adults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Comorbidity screen</w:t>
            </w:r>
          </w:p>
        </w:tc>
        <w:tc>
          <w:tcPr>
            <w:tcW w:type="dxa" w:w="720"/>
            <w:vAlign w:val="top"/>
          </w:tcPr>
          <w:p>
            <w:pPr>
              <w:spacing w:after="40" w:before="0" w:line="259" w:lineRule="auto"/>
            </w:pPr>
            <w:r>
              <w:rPr>
                <w:rFonts w:ascii="Calibri" w:hAnsi="Calibri"/>
                <w:b w:val="0"/>
                <w:i w:val="0"/>
                <w:color w:val="212121"/>
                <w:sz w:val="16"/>
              </w:rPr>
              <w:t>India has high undiagnosed diabetes burden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Leg heaviness, aching, swelling worse on standing, relieved by elevation</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One or more present, worse at day's end</w:t>
            </w:r>
          </w:p>
        </w:tc>
        <w:tc>
          <w:tcPr>
            <w:tcW w:type="dxa" w:w="1036"/>
            <w:vAlign w:val="top"/>
          </w:tcPr>
          <w:p>
            <w:pPr>
              <w:spacing w:after="40" w:before="0" w:line="259" w:lineRule="auto"/>
            </w:pPr>
            <w:r>
              <w:rPr>
                <w:rFonts w:ascii="Calibri" w:hAnsi="Calibri"/>
                <w:b w:val="0"/>
                <w:i w:val="0"/>
                <w:color w:val="212121"/>
                <w:sz w:val="16"/>
              </w:rPr>
              <w:t>Classic symptom pattern of venous hypertension</w:t>
            </w:r>
          </w:p>
        </w:tc>
        <w:tc>
          <w:tcPr>
            <w:tcW w:type="dxa" w:w="1036"/>
            <w:vAlign w:val="top"/>
          </w:tcPr>
          <w:p>
            <w:pPr>
              <w:spacing w:after="40" w:before="0" w:line="259" w:lineRule="auto"/>
            </w:pPr>
            <w:r>
              <w:rPr>
                <w:rFonts w:ascii="Calibri" w:hAnsi="Calibri"/>
                <w:b w:val="0"/>
                <w:i w:val="0"/>
                <w:color w:val="212121"/>
                <w:sz w:val="16"/>
              </w:rPr>
              <w:t>Standing-occupation adults, elderly, obese, pregnant</w:t>
            </w:r>
          </w:p>
        </w:tc>
        <w:tc>
          <w:tcPr>
            <w:tcW w:type="dxa" w:w="720"/>
            <w:vAlign w:val="top"/>
          </w:tcPr>
          <w:p>
            <w:pPr>
              <w:spacing w:after="40" w:before="0" w:line="259" w:lineRule="auto"/>
            </w:pPr>
            <w:r>
              <w:rPr>
                <w:rFonts w:ascii="Calibri" w:hAnsi="Calibri"/>
                <w:b w:val="0"/>
                <w:i w:val="0"/>
                <w:color w:val="212121"/>
                <w:sz w:val="16"/>
              </w:rPr>
              <w:t>Posture; 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Symptoms may precede visible signs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Occupational &amp; lifestyle history</w:t>
            </w:r>
          </w:p>
        </w:tc>
        <w:tc>
          <w:tcPr>
            <w:tcW w:type="dxa" w:w="979"/>
            <w:vAlign w:val="top"/>
          </w:tcPr>
          <w:p>
            <w:pPr>
              <w:spacing w:after="40" w:before="0" w:line="259" w:lineRule="auto"/>
            </w:pPr>
            <w:r>
              <w:rPr>
                <w:rFonts w:ascii="Calibri" w:hAnsi="Calibri"/>
                <w:b w:val="0"/>
                <w:i w:val="0"/>
                <w:color w:val="212121"/>
                <w:sz w:val="16"/>
              </w:rPr>
              <w:t>Prolonged standing/sitting, obesity, smoking</w:t>
            </w:r>
          </w:p>
        </w:tc>
        <w:tc>
          <w:tcPr>
            <w:tcW w:type="dxa" w:w="950"/>
            <w:vAlign w:val="top"/>
          </w:tcPr>
          <w:p>
            <w:pPr>
              <w:spacing w:after="40" w:before="0" w:line="259" w:lineRule="auto"/>
            </w:pPr>
            <w:r>
              <w:rPr>
                <w:rFonts w:ascii="Calibri" w:hAnsi="Calibri"/>
                <w:b w:val="0"/>
                <w:i w:val="0"/>
                <w:color w:val="212121"/>
                <w:sz w:val="16"/>
              </w:rPr>
              <w:t>No prolonged dependency; active</w:t>
            </w:r>
          </w:p>
        </w:tc>
        <w:tc>
          <w:tcPr>
            <w:tcW w:type="dxa" w:w="950"/>
            <w:vAlign w:val="top"/>
          </w:tcPr>
          <w:p>
            <w:pPr>
              <w:spacing w:after="40" w:before="0" w:line="259" w:lineRule="auto"/>
            </w:pPr>
            <w:r>
              <w:rPr>
                <w:rFonts w:ascii="Calibri" w:hAnsi="Calibri"/>
                <w:b w:val="0"/>
                <w:i w:val="0"/>
                <w:color w:val="212121"/>
                <w:sz w:val="16"/>
              </w:rPr>
              <w:t>Long standing/sitting, sedentary, smoker</w:t>
            </w:r>
          </w:p>
        </w:tc>
        <w:tc>
          <w:tcPr>
            <w:tcW w:type="dxa" w:w="1036"/>
            <w:vAlign w:val="top"/>
          </w:tcPr>
          <w:p>
            <w:pPr>
              <w:spacing w:after="40" w:before="0" w:line="259" w:lineRule="auto"/>
            </w:pPr>
            <w:r>
              <w:rPr>
                <w:rFonts w:ascii="Calibri" w:hAnsi="Calibri"/>
                <w:b w:val="0"/>
                <w:i w:val="0"/>
                <w:color w:val="212121"/>
                <w:sz w:val="16"/>
              </w:rPr>
              <w:t>Identifies modifiable drivers and target for advice</w:t>
            </w:r>
          </w:p>
        </w:tc>
        <w:tc>
          <w:tcPr>
            <w:tcW w:type="dxa" w:w="1036"/>
            <w:vAlign w:val="top"/>
          </w:tcPr>
          <w:p>
            <w:pPr>
              <w:spacing w:after="40" w:before="0" w:line="259" w:lineRule="auto"/>
            </w:pPr>
            <w:r>
              <w:rPr>
                <w:rFonts w:ascii="Calibri" w:hAnsi="Calibri"/>
                <w:b w:val="0"/>
                <w:i w:val="0"/>
                <w:color w:val="212121"/>
                <w:sz w:val="16"/>
              </w:rPr>
              <w:t>Traffic police, teachers, nurses, cooks, retail/factory workers</w:t>
            </w:r>
          </w:p>
        </w:tc>
        <w:tc>
          <w:tcPr>
            <w:tcW w:type="dxa" w:w="720"/>
            <w:vAlign w:val="top"/>
          </w:tcPr>
          <w:p>
            <w:pPr>
              <w:spacing w:after="40" w:before="0" w:line="259" w:lineRule="auto"/>
            </w:pPr>
            <w:r>
              <w:rPr>
                <w:rFonts w:ascii="Calibri" w:hAnsi="Calibri"/>
                <w:b w:val="0"/>
                <w:i w:val="0"/>
                <w:color w:val="212121"/>
                <w:sz w:val="16"/>
              </w:rPr>
              <w:t>Provoking factors; Smoking</w:t>
            </w:r>
          </w:p>
        </w:tc>
        <w:tc>
          <w:tcPr>
            <w:tcW w:type="dxa" w:w="720"/>
            <w:vAlign w:val="top"/>
          </w:tcPr>
          <w:p>
            <w:pPr>
              <w:spacing w:after="40" w:before="0" w:line="259" w:lineRule="auto"/>
            </w:pPr>
            <w:r>
              <w:rPr>
                <w:rFonts w:ascii="Calibri" w:hAnsi="Calibri"/>
                <w:b w:val="0"/>
                <w:i w:val="0"/>
                <w:color w:val="212121"/>
                <w:sz w:val="16"/>
              </w:rPr>
              <w:t>Risk stratification</w:t>
            </w:r>
          </w:p>
        </w:tc>
        <w:tc>
          <w:tcPr>
            <w:tcW w:type="dxa" w:w="720"/>
            <w:vAlign w:val="top"/>
          </w:tcPr>
          <w:p>
            <w:pPr>
              <w:spacing w:after="40" w:before="0" w:line="259" w:lineRule="auto"/>
            </w:pPr>
            <w:r>
              <w:rPr>
                <w:rFonts w:ascii="Calibri" w:hAnsi="Calibri"/>
                <w:b w:val="0"/>
                <w:i w:val="0"/>
                <w:color w:val="212121"/>
                <w:sz w:val="16"/>
              </w:rPr>
              <w:t>Prolonged standing in ~50% of Indian cases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Reproductive &amp; thrombotic history</w:t>
            </w:r>
          </w:p>
        </w:tc>
        <w:tc>
          <w:tcPr>
            <w:tcW w:type="dxa" w:w="979"/>
            <w:vAlign w:val="top"/>
          </w:tcPr>
          <w:p>
            <w:pPr>
              <w:spacing w:after="40" w:before="0" w:line="259" w:lineRule="auto"/>
            </w:pPr>
            <w:r>
              <w:rPr>
                <w:rFonts w:ascii="Calibri" w:hAnsi="Calibri"/>
                <w:b w:val="0"/>
                <w:i w:val="0"/>
                <w:color w:val="212121"/>
                <w:sz w:val="16"/>
              </w:rPr>
              <w:t>Parity, prior DVT, family history</w:t>
            </w:r>
          </w:p>
        </w:tc>
        <w:tc>
          <w:tcPr>
            <w:tcW w:type="dxa" w:w="950"/>
            <w:vAlign w:val="top"/>
          </w:tcPr>
          <w:p>
            <w:pPr>
              <w:spacing w:after="40" w:before="0" w:line="259" w:lineRule="auto"/>
            </w:pPr>
            <w:r>
              <w:rPr>
                <w:rFonts w:ascii="Calibri" w:hAnsi="Calibri"/>
                <w:b w:val="0"/>
                <w:i w:val="0"/>
                <w:color w:val="212121"/>
                <w:sz w:val="16"/>
              </w:rPr>
              <w:t>Low parity, no DVT, no family history</w:t>
            </w:r>
          </w:p>
        </w:tc>
        <w:tc>
          <w:tcPr>
            <w:tcW w:type="dxa" w:w="950"/>
            <w:vAlign w:val="top"/>
          </w:tcPr>
          <w:p>
            <w:pPr>
              <w:spacing w:after="40" w:before="0" w:line="259" w:lineRule="auto"/>
            </w:pPr>
            <w:r>
              <w:rPr>
                <w:rFonts w:ascii="Calibri" w:hAnsi="Calibri"/>
                <w:b w:val="0"/>
                <w:i w:val="0"/>
                <w:color w:val="212121"/>
                <w:sz w:val="16"/>
              </w:rPr>
              <w:t>Multiparity, prior DVT, positive family history</w:t>
            </w:r>
          </w:p>
        </w:tc>
        <w:tc>
          <w:tcPr>
            <w:tcW w:type="dxa" w:w="1036"/>
            <w:vAlign w:val="top"/>
          </w:tcPr>
          <w:p>
            <w:pPr>
              <w:spacing w:after="40" w:before="0" w:line="259" w:lineRule="auto"/>
            </w:pPr>
            <w:r>
              <w:rPr>
                <w:rFonts w:ascii="Calibri" w:hAnsi="Calibri"/>
                <w:b w:val="0"/>
                <w:i w:val="0"/>
                <w:color w:val="212121"/>
                <w:sz w:val="16"/>
              </w:rPr>
              <w:t>Distinguishes primary vs secondary (post-thrombotic) CVI</w:t>
            </w:r>
          </w:p>
        </w:tc>
        <w:tc>
          <w:tcPr>
            <w:tcW w:type="dxa" w:w="1036"/>
            <w:vAlign w:val="top"/>
          </w:tcPr>
          <w:p>
            <w:pPr>
              <w:spacing w:after="40" w:before="0" w:line="259" w:lineRule="auto"/>
            </w:pPr>
            <w:r>
              <w:rPr>
                <w:rFonts w:ascii="Calibri" w:hAnsi="Calibri"/>
                <w:b w:val="0"/>
                <w:i w:val="0"/>
                <w:color w:val="212121"/>
                <w:sz w:val="16"/>
              </w:rPr>
              <w:t>Multiparous women, post-DVT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Aetiological</w:t>
            </w:r>
          </w:p>
        </w:tc>
        <w:tc>
          <w:tcPr>
            <w:tcW w:type="dxa" w:w="720"/>
            <w:vAlign w:val="top"/>
          </w:tcPr>
          <w:p>
            <w:pPr>
              <w:spacing w:after="40" w:before="0" w:line="259" w:lineRule="auto"/>
            </w:pPr>
            <w:r>
              <w:rPr>
                <w:rFonts w:ascii="Calibri" w:hAnsi="Calibri"/>
                <w:b w:val="0"/>
                <w:i w:val="0"/>
                <w:color w:val="212121"/>
                <w:sz w:val="16"/>
              </w:rPr>
              <w:t>Prior DVT points to secondary CVI</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Inspection</w:t>
            </w:r>
          </w:p>
        </w:tc>
        <w:tc>
          <w:tcPr>
            <w:tcW w:type="dxa" w:w="950"/>
            <w:vAlign w:val="top"/>
          </w:tcPr>
          <w:p>
            <w:pPr>
              <w:spacing w:after="40" w:before="0" w:line="259" w:lineRule="auto"/>
            </w:pPr>
            <w:r>
              <w:rPr>
                <w:rFonts w:ascii="Calibri" w:hAnsi="Calibri"/>
                <w:b w:val="0"/>
                <w:i w:val="0"/>
                <w:color w:val="212121"/>
                <w:sz w:val="16"/>
              </w:rPr>
              <w:t>CEAP clinical signs</w:t>
            </w:r>
          </w:p>
        </w:tc>
        <w:tc>
          <w:tcPr>
            <w:tcW w:type="dxa" w:w="979"/>
            <w:vAlign w:val="top"/>
          </w:tcPr>
          <w:p>
            <w:pPr>
              <w:spacing w:after="40" w:before="0" w:line="259" w:lineRule="auto"/>
            </w:pPr>
            <w:r>
              <w:rPr>
                <w:rFonts w:ascii="Calibri" w:hAnsi="Calibri"/>
                <w:b w:val="0"/>
                <w:i w:val="0"/>
                <w:color w:val="212121"/>
                <w:sz w:val="16"/>
              </w:rPr>
              <w:t>Varicose veins, oedema, pigmentation, eczema, lipodermatosclerosis, ulcer</w:t>
            </w:r>
          </w:p>
        </w:tc>
        <w:tc>
          <w:tcPr>
            <w:tcW w:type="dxa" w:w="950"/>
            <w:vAlign w:val="top"/>
          </w:tcPr>
          <w:p>
            <w:pPr>
              <w:spacing w:after="40" w:before="0" w:line="259" w:lineRule="auto"/>
            </w:pPr>
            <w:r>
              <w:rPr>
                <w:rFonts w:ascii="Calibri" w:hAnsi="Calibri"/>
                <w:b w:val="0"/>
                <w:i w:val="0"/>
                <w:color w:val="212121"/>
                <w:sz w:val="16"/>
              </w:rPr>
              <w:t>C0–C1 only</w:t>
            </w:r>
          </w:p>
        </w:tc>
        <w:tc>
          <w:tcPr>
            <w:tcW w:type="dxa" w:w="950"/>
            <w:vAlign w:val="top"/>
          </w:tcPr>
          <w:p>
            <w:pPr>
              <w:spacing w:after="40" w:before="0" w:line="259" w:lineRule="auto"/>
            </w:pPr>
            <w:r>
              <w:rPr>
                <w:rFonts w:ascii="Calibri" w:hAnsi="Calibri"/>
                <w:b w:val="0"/>
                <w:i w:val="0"/>
                <w:color w:val="212121"/>
                <w:sz w:val="16"/>
              </w:rPr>
              <w:t>C3–C6 features present</w:t>
            </w:r>
          </w:p>
        </w:tc>
        <w:tc>
          <w:tcPr>
            <w:tcW w:type="dxa" w:w="1036"/>
            <w:vAlign w:val="top"/>
          </w:tcPr>
          <w:p>
            <w:pPr>
              <w:spacing w:after="40" w:before="0" w:line="259" w:lineRule="auto"/>
            </w:pPr>
            <w:r>
              <w:rPr>
                <w:rFonts w:ascii="Calibri" w:hAnsi="Calibri"/>
                <w:b w:val="0"/>
                <w:i w:val="0"/>
                <w:color w:val="212121"/>
                <w:sz w:val="16"/>
              </w:rPr>
              <w:t>Assigns clinical class and severity</w:t>
            </w:r>
          </w:p>
        </w:tc>
        <w:tc>
          <w:tcPr>
            <w:tcW w:type="dxa" w:w="1036"/>
            <w:vAlign w:val="top"/>
          </w:tcPr>
          <w:p>
            <w:pPr>
              <w:spacing w:after="40" w:before="0" w:line="259" w:lineRule="auto"/>
            </w:pPr>
            <w:r>
              <w:rPr>
                <w:rFonts w:ascii="Calibri" w:hAnsi="Calibri"/>
                <w:b w:val="0"/>
                <w:i w:val="0"/>
                <w:color w:val="212121"/>
                <w:sz w:val="16"/>
              </w:rPr>
              <w:t>All CVI patients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Staging</w:t>
            </w:r>
          </w:p>
        </w:tc>
        <w:tc>
          <w:tcPr>
            <w:tcW w:type="dxa" w:w="720"/>
            <w:vAlign w:val="top"/>
          </w:tcPr>
          <w:p>
            <w:pPr>
              <w:spacing w:after="40" w:before="0" w:line="259" w:lineRule="auto"/>
            </w:pPr>
            <w:r>
              <w:rPr>
                <w:rFonts w:ascii="Calibri" w:hAnsi="Calibri"/>
                <w:b w:val="0"/>
                <w:i w:val="0"/>
                <w:color w:val="212121"/>
                <w:sz w:val="16"/>
              </w:rPr>
              <w:t>Ulcers typically over the medial malleolus / gaiter area</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Palpation</w:t>
            </w:r>
          </w:p>
        </w:tc>
        <w:tc>
          <w:tcPr>
            <w:tcW w:type="dxa" w:w="950"/>
            <w:vAlign w:val="top"/>
          </w:tcPr>
          <w:p>
            <w:pPr>
              <w:spacing w:after="40" w:before="0" w:line="259" w:lineRule="auto"/>
            </w:pPr>
            <w:r>
              <w:rPr>
                <w:rFonts w:ascii="Calibri" w:hAnsi="Calibri"/>
                <w:b w:val="0"/>
                <w:i w:val="0"/>
                <w:color w:val="212121"/>
                <w:sz w:val="16"/>
              </w:rPr>
              <w:t>Oedema &amp; tenderness</w:t>
            </w:r>
          </w:p>
        </w:tc>
        <w:tc>
          <w:tcPr>
            <w:tcW w:type="dxa" w:w="979"/>
            <w:vAlign w:val="top"/>
          </w:tcPr>
          <w:p>
            <w:pPr>
              <w:spacing w:after="40" w:before="0" w:line="259" w:lineRule="auto"/>
            </w:pPr>
            <w:r>
              <w:rPr>
                <w:rFonts w:ascii="Calibri" w:hAnsi="Calibri"/>
                <w:b w:val="0"/>
                <w:i w:val="0"/>
                <w:color w:val="212121"/>
                <w:sz w:val="16"/>
              </w:rPr>
              <w:t>Pitting oedema, tender cord, warmth</w:t>
            </w:r>
          </w:p>
        </w:tc>
        <w:tc>
          <w:tcPr>
            <w:tcW w:type="dxa" w:w="950"/>
            <w:vAlign w:val="top"/>
          </w:tcPr>
          <w:p>
            <w:pPr>
              <w:spacing w:after="40" w:before="0" w:line="259" w:lineRule="auto"/>
            </w:pPr>
            <w:r>
              <w:rPr>
                <w:rFonts w:ascii="Calibri" w:hAnsi="Calibri"/>
                <w:b w:val="0"/>
                <w:i w:val="0"/>
                <w:color w:val="212121"/>
                <w:sz w:val="16"/>
              </w:rPr>
              <w:t>No oedema/tenderness</w:t>
            </w:r>
          </w:p>
        </w:tc>
        <w:tc>
          <w:tcPr>
            <w:tcW w:type="dxa" w:w="950"/>
            <w:vAlign w:val="top"/>
          </w:tcPr>
          <w:p>
            <w:pPr>
              <w:spacing w:after="40" w:before="0" w:line="259" w:lineRule="auto"/>
            </w:pPr>
            <w:r>
              <w:rPr>
                <w:rFonts w:ascii="Calibri" w:hAnsi="Calibri"/>
                <w:b w:val="0"/>
                <w:i w:val="0"/>
                <w:color w:val="212121"/>
                <w:sz w:val="16"/>
              </w:rPr>
              <w:t>Pitting oedema, tender palpable cord (thrombophlebitis)</w:t>
            </w:r>
          </w:p>
        </w:tc>
        <w:tc>
          <w:tcPr>
            <w:tcW w:type="dxa" w:w="1036"/>
            <w:vAlign w:val="top"/>
          </w:tcPr>
          <w:p>
            <w:pPr>
              <w:spacing w:after="40" w:before="0" w:line="259" w:lineRule="auto"/>
            </w:pPr>
            <w:r>
              <w:rPr>
                <w:rFonts w:ascii="Calibri" w:hAnsi="Calibri"/>
                <w:b w:val="0"/>
                <w:i w:val="0"/>
                <w:color w:val="212121"/>
                <w:sz w:val="16"/>
              </w:rPr>
              <w:t>Assesses oedema severity and superficial thrombophlebitis</w:t>
            </w:r>
          </w:p>
        </w:tc>
        <w:tc>
          <w:tcPr>
            <w:tcW w:type="dxa" w:w="1036"/>
            <w:vAlign w:val="top"/>
          </w:tcPr>
          <w:p>
            <w:pPr>
              <w:spacing w:after="40" w:before="0" w:line="259" w:lineRule="auto"/>
            </w:pPr>
            <w:r>
              <w:rPr>
                <w:rFonts w:ascii="Calibri" w:hAnsi="Calibri"/>
                <w:b w:val="0"/>
                <w:i w:val="0"/>
                <w:color w:val="212121"/>
                <w:sz w:val="16"/>
              </w:rPr>
              <w:t>Swollen/painful legs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Bedside</w:t>
            </w:r>
          </w:p>
        </w:tc>
        <w:tc>
          <w:tcPr>
            <w:tcW w:type="dxa" w:w="720"/>
            <w:vAlign w:val="top"/>
          </w:tcPr>
          <w:p>
            <w:pPr>
              <w:spacing w:after="40" w:before="0" w:line="259" w:lineRule="auto"/>
            </w:pPr>
            <w:r>
              <w:rPr>
                <w:rFonts w:ascii="Calibri" w:hAnsi="Calibri"/>
                <w:b w:val="0"/>
                <w:i w:val="0"/>
                <w:color w:val="212121"/>
                <w:sz w:val="16"/>
              </w:rPr>
              <w:t>Sudden tender cord suggests thrombophlebitis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Special tests</w:t>
            </w:r>
          </w:p>
        </w:tc>
        <w:tc>
          <w:tcPr>
            <w:tcW w:type="dxa" w:w="950"/>
            <w:vAlign w:val="top"/>
          </w:tcPr>
          <w:p>
            <w:pPr>
              <w:spacing w:after="40" w:before="0" w:line="259" w:lineRule="auto"/>
            </w:pPr>
            <w:r>
              <w:rPr>
                <w:rFonts w:ascii="Calibri" w:hAnsi="Calibri"/>
                <w:b w:val="0"/>
                <w:i w:val="0"/>
                <w:color w:val="212121"/>
                <w:sz w:val="16"/>
              </w:rPr>
              <w:t>Trendelenburg / tourniquet test</w:t>
            </w:r>
          </w:p>
        </w:tc>
        <w:tc>
          <w:tcPr>
            <w:tcW w:type="dxa" w:w="979"/>
            <w:vAlign w:val="top"/>
          </w:tcPr>
          <w:p>
            <w:pPr>
              <w:spacing w:after="40" w:before="0" w:line="259" w:lineRule="auto"/>
            </w:pPr>
            <w:r>
              <w:rPr>
                <w:rFonts w:ascii="Calibri" w:hAnsi="Calibri"/>
                <w:b w:val="0"/>
                <w:i w:val="0"/>
                <w:color w:val="212121"/>
                <w:sz w:val="16"/>
              </w:rPr>
              <w:t>Level of venous incompetence</w:t>
            </w:r>
          </w:p>
        </w:tc>
        <w:tc>
          <w:tcPr>
            <w:tcW w:type="dxa" w:w="950"/>
            <w:vAlign w:val="top"/>
          </w:tcPr>
          <w:p>
            <w:pPr>
              <w:spacing w:after="40" w:before="0" w:line="259" w:lineRule="auto"/>
            </w:pPr>
            <w:r>
              <w:rPr>
                <w:rFonts w:ascii="Calibri" w:hAnsi="Calibri"/>
                <w:b w:val="0"/>
                <w:i w:val="0"/>
                <w:color w:val="212121"/>
                <w:sz w:val="16"/>
              </w:rPr>
              <w:t>Slow filling from below on standing</w:t>
            </w:r>
          </w:p>
        </w:tc>
        <w:tc>
          <w:tcPr>
            <w:tcW w:type="dxa" w:w="950"/>
            <w:vAlign w:val="top"/>
          </w:tcPr>
          <w:p>
            <w:pPr>
              <w:spacing w:after="40" w:before="0" w:line="259" w:lineRule="auto"/>
            </w:pPr>
            <w:r>
              <w:rPr>
                <w:rFonts w:ascii="Calibri" w:hAnsi="Calibri"/>
                <w:b w:val="0"/>
                <w:i w:val="0"/>
                <w:color w:val="212121"/>
                <w:sz w:val="16"/>
              </w:rPr>
              <w:t>Rapid filling on tourniquet release</w:t>
            </w:r>
          </w:p>
        </w:tc>
        <w:tc>
          <w:tcPr>
            <w:tcW w:type="dxa" w:w="1036"/>
            <w:vAlign w:val="top"/>
          </w:tcPr>
          <w:p>
            <w:pPr>
              <w:spacing w:after="40" w:before="0" w:line="259" w:lineRule="auto"/>
            </w:pPr>
            <w:r>
              <w:rPr>
                <w:rFonts w:ascii="Calibri" w:hAnsi="Calibri"/>
                <w:b w:val="0"/>
                <w:i w:val="0"/>
                <w:color w:val="212121"/>
                <w:sz w:val="16"/>
              </w:rPr>
              <w:t>Bedside localisation of saphenofemoral/perforator incompetence</w:t>
            </w:r>
          </w:p>
        </w:tc>
        <w:tc>
          <w:tcPr>
            <w:tcW w:type="dxa" w:w="1036"/>
            <w:vAlign w:val="top"/>
          </w:tcPr>
          <w:p>
            <w:pPr>
              <w:spacing w:after="40" w:before="0" w:line="259" w:lineRule="auto"/>
            </w:pPr>
            <w:r>
              <w:rPr>
                <w:rFonts w:ascii="Calibri" w:hAnsi="Calibri"/>
                <w:b w:val="0"/>
                <w:i w:val="0"/>
                <w:color w:val="212121"/>
                <w:sz w:val="16"/>
              </w:rPr>
              <w:t>Varicose-vein patients</w:t>
            </w:r>
          </w:p>
        </w:tc>
        <w:tc>
          <w:tcPr>
            <w:tcW w:type="dxa" w:w="720"/>
            <w:vAlign w:val="top"/>
          </w:tcPr>
          <w:p>
            <w:pPr>
              <w:spacing w:after="40" w:before="0" w:line="259" w:lineRule="auto"/>
            </w:pPr>
            <w:r>
              <w:rPr>
                <w:rFonts w:ascii="Calibri" w:hAnsi="Calibri"/>
                <w:b w:val="0"/>
                <w:i w:val="0"/>
                <w:color w:val="212121"/>
                <w:sz w:val="16"/>
              </w:rPr>
              <w:t>Posture</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Now largely superseded by duplex</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Severity scoring</w:t>
            </w:r>
          </w:p>
        </w:tc>
        <w:tc>
          <w:tcPr>
            <w:tcW w:type="dxa" w:w="950"/>
            <w:vAlign w:val="top"/>
          </w:tcPr>
          <w:p>
            <w:pPr>
              <w:spacing w:after="40" w:before="0" w:line="259" w:lineRule="auto"/>
            </w:pPr>
            <w:r>
              <w:rPr>
                <w:rFonts w:ascii="Calibri" w:hAnsi="Calibri"/>
                <w:b w:val="0"/>
                <w:i w:val="0"/>
                <w:color w:val="212121"/>
                <w:sz w:val="16"/>
              </w:rPr>
              <w:t>Venous Clinical Severity Score</w:t>
            </w:r>
          </w:p>
        </w:tc>
        <w:tc>
          <w:tcPr>
            <w:tcW w:type="dxa" w:w="979"/>
            <w:vAlign w:val="top"/>
          </w:tcPr>
          <w:p>
            <w:pPr>
              <w:spacing w:after="40" w:before="0" w:line="259" w:lineRule="auto"/>
            </w:pPr>
            <w:r>
              <w:rPr>
                <w:rFonts w:ascii="Calibri" w:hAnsi="Calibri"/>
                <w:b w:val="0"/>
                <w:i w:val="0"/>
                <w:color w:val="212121"/>
                <w:sz w:val="16"/>
              </w:rPr>
              <w:t>VCSS (0–30)</w:t>
            </w:r>
          </w:p>
        </w:tc>
        <w:tc>
          <w:tcPr>
            <w:tcW w:type="dxa" w:w="950"/>
            <w:vAlign w:val="top"/>
          </w:tcPr>
          <w:p>
            <w:pPr>
              <w:spacing w:after="40" w:before="0" w:line="259" w:lineRule="auto"/>
            </w:pPr>
            <w:r>
              <w:rPr>
                <w:rFonts w:ascii="Calibri" w:hAnsi="Calibri"/>
                <w:b w:val="0"/>
                <w:i w:val="0"/>
                <w:color w:val="212121"/>
                <w:sz w:val="16"/>
              </w:rPr>
              <w:t>Low score</w:t>
            </w:r>
          </w:p>
        </w:tc>
        <w:tc>
          <w:tcPr>
            <w:tcW w:type="dxa" w:w="950"/>
            <w:vAlign w:val="top"/>
          </w:tcPr>
          <w:p>
            <w:pPr>
              <w:spacing w:after="40" w:before="0" w:line="259" w:lineRule="auto"/>
            </w:pPr>
            <w:r>
              <w:rPr>
                <w:rFonts w:ascii="Calibri" w:hAnsi="Calibri"/>
                <w:b w:val="0"/>
                <w:i w:val="0"/>
                <w:color w:val="212121"/>
                <w:sz w:val="16"/>
              </w:rPr>
              <w:t>Higher score with more/worse features</w:t>
            </w:r>
          </w:p>
        </w:tc>
        <w:tc>
          <w:tcPr>
            <w:tcW w:type="dxa" w:w="1036"/>
            <w:vAlign w:val="top"/>
          </w:tcPr>
          <w:p>
            <w:pPr>
              <w:spacing w:after="40" w:before="0" w:line="259" w:lineRule="auto"/>
            </w:pPr>
            <w:r>
              <w:rPr>
                <w:rFonts w:ascii="Calibri" w:hAnsi="Calibri"/>
                <w:b w:val="0"/>
                <w:i w:val="0"/>
                <w:color w:val="212121"/>
                <w:sz w:val="16"/>
              </w:rPr>
              <w:t>Standardised severity grading and response monitoring</w:t>
            </w:r>
          </w:p>
        </w:tc>
        <w:tc>
          <w:tcPr>
            <w:tcW w:type="dxa" w:w="1036"/>
            <w:vAlign w:val="top"/>
          </w:tcPr>
          <w:p>
            <w:pPr>
              <w:spacing w:after="40" w:before="0" w:line="259" w:lineRule="auto"/>
            </w:pPr>
            <w:r>
              <w:rPr>
                <w:rFonts w:ascii="Calibri" w:hAnsi="Calibri"/>
                <w:b w:val="0"/>
                <w:i w:val="0"/>
                <w:color w:val="212121"/>
                <w:sz w:val="16"/>
              </w:rPr>
              <w:t>All CVI, treatment follow-up</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Complements CEAP over time</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Leg heaviness / tiredness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Dull heaviness in the legs, worse after prolonged standing and towards the end of the day.</w:t>
            </w:r>
          </w:p>
        </w:tc>
      </w:tr>
      <w:tr>
        <w:trPr>
          <w:cantSplit/>
        </w:trPr>
        <w:tc>
          <w:tcPr>
            <w:tcW w:type="dxa" w:w="2304"/>
            <w:vAlign w:val="top"/>
          </w:tcPr>
          <w:p>
            <w:pPr>
              <w:spacing w:after="40" w:before="0" w:line="259" w:lineRule="auto"/>
            </w:pPr>
            <w:r>
              <w:rPr>
                <w:rFonts w:ascii="Calibri" w:hAnsi="Calibri"/>
                <w:b/>
                <w:i w:val="0"/>
                <w:color w:val="212121"/>
                <w:sz w:val="19"/>
              </w:rPr>
              <w:t>Aching / dragging leg pain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Venous pain that worsens on standing/sitting and is relieved by walking and leg elevation.</w:t>
            </w:r>
          </w:p>
        </w:tc>
      </w:tr>
      <w:tr>
        <w:trPr>
          <w:cantSplit/>
        </w:trPr>
        <w:tc>
          <w:tcPr>
            <w:tcW w:type="dxa" w:w="2304"/>
            <w:vAlign w:val="top"/>
          </w:tcPr>
          <w:p>
            <w:pPr>
              <w:spacing w:after="40" w:before="0" w:line="259" w:lineRule="auto"/>
            </w:pPr>
            <w:r>
              <w:rPr>
                <w:rFonts w:ascii="Calibri" w:hAnsi="Calibri"/>
                <w:b/>
                <w:i w:val="0"/>
                <w:color w:val="212121"/>
                <w:sz w:val="19"/>
              </w:rPr>
              <w:t>Ankle and leg swelling (oedema)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Dependent pitting oedema, typically worse in the evening and better after overnight elevation.</w:t>
            </w:r>
          </w:p>
        </w:tc>
      </w:tr>
      <w:tr>
        <w:trPr>
          <w:cantSplit/>
        </w:trPr>
        <w:tc>
          <w:tcPr>
            <w:tcW w:type="dxa" w:w="2304"/>
            <w:vAlign w:val="top"/>
          </w:tcPr>
          <w:p>
            <w:pPr>
              <w:spacing w:after="40" w:before="0" w:line="259" w:lineRule="auto"/>
            </w:pPr>
            <w:r>
              <w:rPr>
                <w:rFonts w:ascii="Calibri" w:hAnsi="Calibri"/>
                <w:b/>
                <w:i w:val="0"/>
                <w:color w:val="212121"/>
                <w:sz w:val="19"/>
              </w:rPr>
              <w:t>Itching (pruritus) of lower leg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over varicosities or in the gaiter area; an early feature of venous eczema.</w:t>
            </w:r>
          </w:p>
        </w:tc>
      </w:tr>
      <w:tr>
        <w:trPr>
          <w:cantSplit/>
        </w:trPr>
        <w:tc>
          <w:tcPr>
            <w:tcW w:type="dxa" w:w="2304"/>
            <w:vAlign w:val="top"/>
          </w:tcPr>
          <w:p>
            <w:pPr>
              <w:spacing w:after="40" w:before="0" w:line="259" w:lineRule="auto"/>
            </w:pPr>
            <w:r>
              <w:rPr>
                <w:rFonts w:ascii="Calibri" w:hAnsi="Calibri"/>
                <w:b/>
                <w:i w:val="0"/>
                <w:color w:val="212121"/>
                <w:sz w:val="19"/>
              </w:rPr>
              <w:t>Night cramps in calves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Muscle cramps, particularly at night, associated with venous congestion.</w:t>
            </w:r>
          </w:p>
        </w:tc>
      </w:tr>
      <w:tr>
        <w:trPr>
          <w:cantSplit/>
        </w:trPr>
        <w:tc>
          <w:tcPr>
            <w:tcW w:type="dxa" w:w="2304"/>
            <w:vAlign w:val="top"/>
          </w:tcPr>
          <w:p>
            <w:pPr>
              <w:spacing w:after="40" w:before="0" w:line="259" w:lineRule="auto"/>
            </w:pPr>
            <w:r>
              <w:rPr>
                <w:rFonts w:ascii="Calibri" w:hAnsi="Calibri"/>
                <w:b/>
                <w:i w:val="0"/>
                <w:color w:val="212121"/>
                <w:sz w:val="19"/>
              </w:rPr>
              <w:t>Restless legs / tingling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Uncomfortable urge to move the legs and paraesthesiae linked to venous stasis.</w:t>
            </w:r>
          </w:p>
        </w:tc>
      </w:tr>
      <w:tr>
        <w:trPr>
          <w:cantSplit/>
        </w:trPr>
        <w:tc>
          <w:tcPr>
            <w:tcW w:type="dxa" w:w="2304"/>
            <w:vAlign w:val="top"/>
          </w:tcPr>
          <w:p>
            <w:pPr>
              <w:spacing w:after="40" w:before="0" w:line="259" w:lineRule="auto"/>
            </w:pPr>
            <w:r>
              <w:rPr>
                <w:rFonts w:ascii="Calibri" w:hAnsi="Calibri"/>
                <w:b/>
                <w:i w:val="0"/>
                <w:color w:val="212121"/>
                <w:sz w:val="19"/>
              </w:rPr>
              <w:t>Skin discolouration / darkening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Brownish pigmentation around the ankle from haemosiderin deposition (chronic venous hypertension).</w:t>
            </w:r>
          </w:p>
        </w:tc>
      </w:tr>
      <w:tr>
        <w:trPr>
          <w:cantSplit/>
        </w:trPr>
        <w:tc>
          <w:tcPr>
            <w:tcW w:type="dxa" w:w="2304"/>
            <w:vAlign w:val="top"/>
          </w:tcPr>
          <w:p>
            <w:pPr>
              <w:spacing w:after="40" w:before="0" w:line="259" w:lineRule="auto"/>
            </w:pPr>
            <w:r>
              <w:rPr>
                <w:rFonts w:ascii="Calibri" w:hAnsi="Calibri"/>
                <w:b/>
                <w:i w:val="0"/>
                <w:color w:val="212121"/>
                <w:sz w:val="19"/>
              </w:rPr>
              <w:t>Burning or throbbing over varices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Localised burning/throbbing over dilated superficial veins.</w:t>
            </w:r>
          </w:p>
        </w:tc>
      </w:tr>
      <w:tr>
        <w:trPr>
          <w:cantSplit/>
        </w:trPr>
        <w:tc>
          <w:tcPr>
            <w:tcW w:type="dxa" w:w="2304"/>
            <w:vAlign w:val="top"/>
          </w:tcPr>
          <w:p>
            <w:pPr>
              <w:spacing w:after="40" w:before="0" w:line="259" w:lineRule="auto"/>
            </w:pPr>
            <w:r>
              <w:rPr>
                <w:rFonts w:ascii="Calibri" w:hAnsi="Calibri"/>
                <w:b/>
                <w:i w:val="0"/>
                <w:color w:val="212121"/>
                <w:sz w:val="19"/>
              </w:rPr>
              <w:t>Leg ulcer with exudate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 shallow, exudative ulcer over the medial malleolus signalling advanced (C6) disease.</w:t>
            </w:r>
          </w:p>
        </w:tc>
      </w:tr>
      <w:tr>
        <w:trPr>
          <w:cantSplit/>
        </w:trPr>
        <w:tc>
          <w:tcPr>
            <w:tcW w:type="dxa" w:w="2304"/>
            <w:vAlign w:val="top"/>
          </w:tcPr>
          <w:p>
            <w:pPr>
              <w:spacing w:after="40" w:before="0" w:line="259" w:lineRule="auto"/>
            </w:pPr>
            <w:r>
              <w:rPr>
                <w:rFonts w:ascii="Calibri" w:hAnsi="Calibri"/>
                <w:b/>
                <w:i w:val="0"/>
                <w:color w:val="212121"/>
                <w:sz w:val="19"/>
              </w:rPr>
              <w:t>Bleeding from a varicose vein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Minor trauma to a thin-walled superficial varix can cause brisk bleeding; controlled by elevation and pressure.</w:t>
            </w:r>
          </w:p>
        </w:tc>
      </w:tr>
      <w:tr>
        <w:trPr>
          <w:cantSplit/>
        </w:trPr>
        <w:tc>
          <w:tcPr>
            <w:tcW w:type="dxa" w:w="2304"/>
            <w:vAlign w:val="top"/>
          </w:tcPr>
          <w:p>
            <w:pPr>
              <w:spacing w:after="40" w:before="0" w:line="259" w:lineRule="auto"/>
            </w:pPr>
            <w:r>
              <w:rPr>
                <w:rFonts w:ascii="Calibri" w:hAnsi="Calibri"/>
                <w:b/>
                <w:i w:val="0"/>
                <w:color w:val="212121"/>
                <w:sz w:val="19"/>
              </w:rPr>
              <w:t>Severe unremitting ulcer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Marked pain may indicate infection, mixed arterial disease or, very rarely, malignant change.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Dilated tortuous superficial (varicose) veins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Visible, bulging veins along the great/small saphenous distribution (CEAP C2).</w:t>
            </w:r>
          </w:p>
        </w:tc>
      </w:tr>
      <w:tr>
        <w:trPr>
          <w:cantSplit/>
        </w:trPr>
        <w:tc>
          <w:tcPr>
            <w:tcW w:type="dxa" w:w="3456"/>
            <w:vAlign w:val="top"/>
          </w:tcPr>
          <w:p>
            <w:pPr>
              <w:spacing w:after="40" w:before="0" w:line="259" w:lineRule="auto"/>
            </w:pPr>
            <w:r>
              <w:rPr>
                <w:rFonts w:ascii="Calibri" w:hAnsi="Calibri"/>
                <w:b/>
                <w:i w:val="0"/>
                <w:color w:val="212121"/>
                <w:sz w:val="19"/>
              </w:rPr>
              <w:t>Pitting ankle/leg oedema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Dependent oedema that pits on pressure, worse distally (C3).</w:t>
            </w:r>
          </w:p>
        </w:tc>
      </w:tr>
      <w:tr>
        <w:trPr>
          <w:cantSplit/>
        </w:trPr>
        <w:tc>
          <w:tcPr>
            <w:tcW w:type="dxa" w:w="3456"/>
            <w:vAlign w:val="top"/>
          </w:tcPr>
          <w:p>
            <w:pPr>
              <w:spacing w:after="40" w:before="0" w:line="259" w:lineRule="auto"/>
            </w:pPr>
            <w:r>
              <w:rPr>
                <w:rFonts w:ascii="Calibri" w:hAnsi="Calibri"/>
                <w:b/>
                <w:i w:val="0"/>
                <w:color w:val="212121"/>
                <w:sz w:val="19"/>
              </w:rPr>
              <w:t>Hyperpigmentation / haemosiderin staining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Brown discolouration of the gaiter area from red-cell extravasation (C4a).</w:t>
            </w:r>
          </w:p>
        </w:tc>
      </w:tr>
      <w:tr>
        <w:trPr>
          <w:cantSplit/>
        </w:trPr>
        <w:tc>
          <w:tcPr>
            <w:tcW w:type="dxa" w:w="3456"/>
            <w:vAlign w:val="top"/>
          </w:tcPr>
          <w:p>
            <w:pPr>
              <w:spacing w:after="40" w:before="0" w:line="259" w:lineRule="auto"/>
            </w:pPr>
            <w:r>
              <w:rPr>
                <w:rFonts w:ascii="Calibri" w:hAnsi="Calibri"/>
                <w:b/>
                <w:i w:val="0"/>
                <w:color w:val="212121"/>
                <w:sz w:val="19"/>
              </w:rPr>
              <w:t>Venous (stasis) eczema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 scaly, itchy dermatitis over the lower leg (C4a).</w:t>
            </w:r>
          </w:p>
        </w:tc>
      </w:tr>
      <w:tr>
        <w:trPr>
          <w:cantSplit/>
        </w:trPr>
        <w:tc>
          <w:tcPr>
            <w:tcW w:type="dxa" w:w="3456"/>
            <w:vAlign w:val="top"/>
          </w:tcPr>
          <w:p>
            <w:pPr>
              <w:spacing w:after="40" w:before="0" w:line="259" w:lineRule="auto"/>
            </w:pPr>
            <w:r>
              <w:rPr>
                <w:rFonts w:ascii="Calibri" w:hAnsi="Calibri"/>
                <w:b/>
                <w:i w:val="0"/>
                <w:color w:val="212121"/>
                <w:sz w:val="19"/>
              </w:rPr>
              <w:t>Lipodermatosclerosis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Woody induration and tapering above the ankle giving an 'inverted champagne bottle' leg (C4b).</w:t>
            </w:r>
          </w:p>
        </w:tc>
      </w:tr>
      <w:tr>
        <w:trPr>
          <w:cantSplit/>
        </w:trPr>
        <w:tc>
          <w:tcPr>
            <w:tcW w:type="dxa" w:w="3456"/>
            <w:vAlign w:val="top"/>
          </w:tcPr>
          <w:p>
            <w:pPr>
              <w:spacing w:after="40" w:before="0" w:line="259" w:lineRule="auto"/>
            </w:pPr>
            <w:r>
              <w:rPr>
                <w:rFonts w:ascii="Calibri" w:hAnsi="Calibri"/>
                <w:b/>
                <w:i w:val="0"/>
                <w:color w:val="212121"/>
                <w:sz w:val="19"/>
              </w:rPr>
              <w:t>Atrophie blanche</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Smooth ivory-white atrophic scarring with surrounding pigmentation (C4b).</w:t>
            </w:r>
          </w:p>
        </w:tc>
      </w:tr>
      <w:tr>
        <w:trPr>
          <w:cantSplit/>
        </w:trPr>
        <w:tc>
          <w:tcPr>
            <w:tcW w:type="dxa" w:w="3456"/>
            <w:vAlign w:val="top"/>
          </w:tcPr>
          <w:p>
            <w:pPr>
              <w:spacing w:after="40" w:before="0" w:line="259" w:lineRule="auto"/>
            </w:pPr>
            <w:r>
              <w:rPr>
                <w:rFonts w:ascii="Calibri" w:hAnsi="Calibri"/>
                <w:b/>
                <w:i w:val="0"/>
                <w:color w:val="212121"/>
                <w:sz w:val="19"/>
              </w:rPr>
              <w:t>Corona phlebectatica (ankle flare)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Fan of fine dilated intradermal veins around the medial ankle — early sign of venous hypertension.</w:t>
            </w:r>
          </w:p>
        </w:tc>
      </w:tr>
      <w:tr>
        <w:trPr>
          <w:cantSplit/>
        </w:trPr>
        <w:tc>
          <w:tcPr>
            <w:tcW w:type="dxa" w:w="3456"/>
            <w:vAlign w:val="top"/>
          </w:tcPr>
          <w:p>
            <w:pPr>
              <w:spacing w:after="40" w:before="0" w:line="259" w:lineRule="auto"/>
            </w:pPr>
            <w:r>
              <w:rPr>
                <w:rFonts w:ascii="Calibri" w:hAnsi="Calibri"/>
                <w:b/>
                <w:i w:val="0"/>
                <w:color w:val="212121"/>
                <w:sz w:val="19"/>
              </w:rPr>
              <w:t>Active venous ulcer over medial malleolus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Shallow, irregular, exudative ulcer in the gaiter area with sloping edges (C6).</w:t>
            </w:r>
          </w:p>
        </w:tc>
      </w:tr>
      <w:tr>
        <w:trPr>
          <w:cantSplit/>
        </w:trPr>
        <w:tc>
          <w:tcPr>
            <w:tcW w:type="dxa" w:w="3456"/>
            <w:vAlign w:val="top"/>
          </w:tcPr>
          <w:p>
            <w:pPr>
              <w:spacing w:after="40" w:before="0" w:line="259" w:lineRule="auto"/>
            </w:pPr>
            <w:r>
              <w:rPr>
                <w:rFonts w:ascii="Calibri" w:hAnsi="Calibri"/>
                <w:b/>
                <w:i w:val="0"/>
                <w:color w:val="212121"/>
                <w:sz w:val="19"/>
              </w:rPr>
              <w:t>Healed venous ulcer (scar)</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Scarring from a previously healed ulcer (C5), marking prior severe disease.</w:t>
            </w:r>
          </w:p>
        </w:tc>
      </w:tr>
      <w:tr>
        <w:trPr>
          <w:cantSplit/>
        </w:trPr>
        <w:tc>
          <w:tcPr>
            <w:tcW w:type="dxa" w:w="3456"/>
            <w:vAlign w:val="top"/>
          </w:tcPr>
          <w:p>
            <w:pPr>
              <w:spacing w:after="40" w:before="0" w:line="259" w:lineRule="auto"/>
            </w:pPr>
            <w:r>
              <w:rPr>
                <w:rFonts w:ascii="Calibri" w:hAnsi="Calibri"/>
                <w:b/>
                <w:i w:val="0"/>
                <w:color w:val="212121"/>
                <w:sz w:val="19"/>
              </w:rPr>
              <w:t>Positive Trendelenburg / tourniquet test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Rapid venous refilling on tourniquet release indicating valvular incompetence.</w:t>
            </w:r>
          </w:p>
        </w:tc>
      </w:tr>
      <w:tr>
        <w:trPr>
          <w:cantSplit/>
        </w:trPr>
        <w:tc>
          <w:tcPr>
            <w:tcW w:type="dxa" w:w="3456"/>
            <w:vAlign w:val="top"/>
          </w:tcPr>
          <w:p>
            <w:pPr>
              <w:spacing w:after="40" w:before="0" w:line="259" w:lineRule="auto"/>
            </w:pPr>
            <w:r>
              <w:rPr>
                <w:rFonts w:ascii="Calibri" w:hAnsi="Calibri"/>
                <w:b/>
                <w:i w:val="0"/>
                <w:color w:val="212121"/>
                <w:sz w:val="19"/>
              </w:rPr>
              <w:t>Tender palpable venous cord</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Firm, tender, cord-like superficial vein indicating superficial thrombophlebitis.</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dependent oedema of the legs and ankles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(stasis) eczema and pruritus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Superficial thrombophlebitis of varicose veins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Bleeding (haemorrhage) from a thin-walled superficial varix</w:t>
            </w:r>
          </w:p>
        </w:tc>
        <w:tc>
          <w:tcPr>
            <w:tcW w:type="dxa" w:w="2980"/>
            <w:vAlign w:val="top"/>
          </w:tcPr>
          <w:p>
            <w:pPr>
              <w:spacing w:after="40" w:before="0" w:line="259" w:lineRule="auto"/>
            </w:pPr>
            <w:r>
              <w:rPr>
                <w:rFonts w:ascii="Calibri" w:hAnsi="Calibri"/>
                <w:b w:val="0"/>
                <w:i w:val="0"/>
                <w:color w:val="212121"/>
                <w:sz w:val="19"/>
              </w:rPr>
              <w:t>Direct early consequences of sustained ambulatory venous hypertension and superficial vein dilatation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Hyperpigmentation and haemosiderin staining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Lipodermatosclerosis and atrophie blanche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leg ulceration (gaiter area / medial malleolus)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cellulitis and skin infection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Secondary lymphoedema (phlebolymphoedema)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Deep vein thrombosis from venous stasis</w:t>
            </w:r>
          </w:p>
        </w:tc>
        <w:tc>
          <w:tcPr>
            <w:tcW w:type="dxa" w:w="2980"/>
            <w:vAlign w:val="top"/>
          </w:tcPr>
          <w:p>
            <w:pPr>
              <w:spacing w:after="40" w:before="0" w:line="259" w:lineRule="auto"/>
            </w:pPr>
            <w:r>
              <w:rPr>
                <w:rFonts w:ascii="Calibri" w:hAnsi="Calibri"/>
                <w:b w:val="0"/>
                <w:i w:val="0"/>
                <w:color w:val="212121"/>
                <w:sz w:val="19"/>
              </w:rPr>
              <w:t>Result from chronic skin/subcutaneous inflammation, fibrosis and impaired healing driven by venous hypertension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non-healing and frequently recurrent venous ulcers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Marjolin ulcer (squamous cell carcinoma arising in a longstanding ulcer) — rare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Disabling chronic pain and impaired 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Ankle ankylosis / fixed 'frozen' ankle from chronic fibrosis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Major loss of quality of life, work productivity and, rarely, limb loss</w:t>
            </w:r>
          </w:p>
        </w:tc>
        <w:tc>
          <w:tcPr>
            <w:tcW w:type="dxa" w:w="2980"/>
            <w:vAlign w:val="top"/>
          </w:tcPr>
          <w:p>
            <w:pPr>
              <w:spacing w:after="40" w:before="0" w:line="259" w:lineRule="auto"/>
            </w:pPr>
            <w:r>
              <w:rPr>
                <w:rFonts w:ascii="Calibri" w:hAnsi="Calibri"/>
                <w:b w:val="0"/>
                <w:i w:val="0"/>
                <w:color w:val="212121"/>
                <w:sz w:val="19"/>
              </w:rPr>
              <w:t>Irreversible, disabling outcomes of longstanding advanced disease; ulcers recur in roughly half of patients within a year</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Deep vein thrombosis / Post-thrombotic syndrome</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Prior DVT damages deep-vein valves and obstructs outflow, causing secondary CVI; conversely venous stasis in CVI predisposes to new DVT — a two-way relationship with shared mechanisms.</w:t>
            </w:r>
          </w:p>
          <w:p>
            <w:pPr>
              <w:spacing w:after="40" w:before="0" w:line="259" w:lineRule="auto"/>
            </w:pPr>
            <w:r>
              <w:rPr>
                <w:rFonts w:ascii="Calibri" w:hAnsi="Calibri"/>
                <w:b/>
                <w:i w:val="0"/>
                <w:color w:val="212121"/>
                <w:sz w:val="19"/>
              </w:rPr>
              <w:t>Over 50% (untreated CVI may progress to DVT)</w:t>
            </w:r>
          </w:p>
        </w:tc>
      </w:tr>
      <w:tr>
        <w:trPr>
          <w:cantSplit/>
        </w:trPr>
        <w:tc>
          <w:tcPr>
            <w:tcW w:type="dxa" w:w="2232"/>
            <w:vAlign w:val="top"/>
          </w:tcPr>
          <w:p>
            <w:pPr>
              <w:spacing w:after="40" w:before="0" w:line="259" w:lineRule="auto"/>
            </w:pPr>
            <w:r>
              <w:rPr>
                <w:rFonts w:ascii="Calibri" w:hAnsi="Calibri"/>
                <w:b/>
                <w:i w:val="0"/>
                <w:color w:val="212121"/>
                <w:sz w:val="19"/>
              </w:rPr>
              <w:t>Venous leg ulcer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most severe (C6) manifestation of CVI; venous disease underlies the majority of chronic leg ulcers and they recur frequently.</w:t>
            </w:r>
          </w:p>
          <w:p>
            <w:pPr>
              <w:spacing w:after="40" w:before="0" w:line="259" w:lineRule="auto"/>
            </w:pPr>
            <w:r>
              <w:rPr>
                <w:rFonts w:ascii="Calibri" w:hAnsi="Calibri"/>
                <w:b/>
                <w:i w:val="0"/>
                <w:color w:val="212121"/>
                <w:sz w:val="19"/>
              </w:rPr>
              <w:t>~70% of leg ulcers are venous</w:t>
            </w:r>
          </w:p>
        </w:tc>
      </w:tr>
      <w:tr>
        <w:trPr>
          <w:cantSplit/>
        </w:trPr>
        <w:tc>
          <w:tcPr>
            <w:tcW w:type="dxa" w:w="2232"/>
            <w:vAlign w:val="top"/>
          </w:tcPr>
          <w:p>
            <w:pPr>
              <w:spacing w:after="40" w:before="0" w:line="259" w:lineRule="auto"/>
            </w:pPr>
            <w:r>
              <w:rPr>
                <w:rFonts w:ascii="Calibri" w:hAnsi="Calibri"/>
                <w:b/>
                <w:i w:val="0"/>
                <w:color w:val="212121"/>
                <w:sz w:val="19"/>
              </w:rPr>
              <w:t>Superficial thrombophlebitis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Thrombosis and inflammation of varicose superficial veins is a common complication and can extend to the deep system.</w:t>
            </w:r>
          </w:p>
          <w:p>
            <w:pPr>
              <w:spacing w:after="40" w:before="0" w:line="259" w:lineRule="auto"/>
            </w:pPr>
            <w:r>
              <w:rPr>
                <w:rFonts w:ascii="Calibri" w:hAnsi="Calibri"/>
                <w:b/>
                <w:i w:val="0"/>
                <w:color w:val="212121"/>
                <w:sz w:val="19"/>
              </w:rPr>
              <w:t>Up to ~60% (phlebitis in untreated disease)</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Central obesity raises intra-abdominal and venous pressure and impairs the calf pump, worsening CVI; weight loss improves symptoms and compression tolerance.</w:t>
            </w:r>
          </w:p>
        </w:tc>
      </w:tr>
      <w:tr>
        <w:trPr>
          <w:cantSplit/>
        </w:trPr>
        <w:tc>
          <w:tcPr>
            <w:tcW w:type="dxa" w:w="2232"/>
            <w:vAlign w:val="top"/>
          </w:tcPr>
          <w:p>
            <w:pPr>
              <w:spacing w:after="40" w:before="0" w:line="259" w:lineRule="auto"/>
            </w:pPr>
            <w:r>
              <w:rPr>
                <w:rFonts w:ascii="Calibri" w:hAnsi="Calibri"/>
                <w:b/>
                <w:i w:val="0"/>
                <w:color w:val="212121"/>
                <w:sz w:val="19"/>
              </w:rPr>
              <w:t>Secondary lymphoedema (phlebolymphoedema)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Chronic venous hypertension overwhelms lymphatic drainage, producing combined veno-lymphatic swelling that is harder to treat.</w:t>
            </w:r>
          </w:p>
        </w:tc>
      </w:tr>
      <w:tr>
        <w:trPr>
          <w:cantSplit/>
        </w:trPr>
        <w:tc>
          <w:tcPr>
            <w:tcW w:type="dxa" w:w="2232"/>
            <w:vAlign w:val="top"/>
          </w:tcPr>
          <w:p>
            <w:pPr>
              <w:spacing w:after="40" w:before="0" w:line="259" w:lineRule="auto"/>
            </w:pPr>
            <w:r>
              <w:rPr>
                <w:rFonts w:ascii="Calibri" w:hAnsi="Calibri"/>
                <w:b/>
                <w:i w:val="0"/>
                <w:color w:val="212121"/>
                <w:sz w:val="19"/>
              </w:rPr>
              <w:t>Peripheral arterial disease (PAD)</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Coexisting arterial disease produces mixed arterio-venous ulcers and limits safe compression; ABPI must be checked before compression.</w:t>
            </w:r>
          </w:p>
        </w:tc>
      </w:tr>
      <w:tr>
        <w:trPr>
          <w:cantSplit/>
        </w:trPr>
        <w:tc>
          <w:tcPr>
            <w:tcW w:type="dxa" w:w="2232"/>
            <w:vAlign w:val="top"/>
          </w:tcPr>
          <w:p>
            <w:pPr>
              <w:spacing w:after="40" w:before="0" w:line="259" w:lineRule="auto"/>
            </w:pPr>
            <w:r>
              <w:rPr>
                <w:rFonts w:ascii="Calibri" w:hAnsi="Calibri"/>
                <w:b/>
                <w:i w:val="0"/>
                <w:color w:val="212121"/>
                <w:sz w:val="19"/>
              </w:rPr>
              <w:t>Cellulitis / recurrent skin infection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Damaged, oedematous skin is prone to recurrent bacterial infection, which further delays ulcer healing.</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Common in India and impairs wound healing and immunity, causing slow-healing mixed neuropathic-venous ulcers and altering management.</w:t>
            </w:r>
          </w:p>
        </w:tc>
      </w:tr>
      <w:tr>
        <w:trPr>
          <w:cantSplit/>
        </w:trPr>
        <w:tc>
          <w:tcPr>
            <w:tcW w:type="dxa" w:w="2232"/>
            <w:vAlign w:val="top"/>
          </w:tcPr>
          <w:p>
            <w:pPr>
              <w:spacing w:after="40" w:before="0" w:line="259" w:lineRule="auto"/>
            </w:pPr>
            <w:r>
              <w:rPr>
                <w:rFonts w:ascii="Calibri" w:hAnsi="Calibri"/>
                <w:b/>
                <w:i w:val="0"/>
                <w:color w:val="212121"/>
                <w:sz w:val="19"/>
              </w:rPr>
              <w:t>Depression / anxiety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Chronic pain, malodorous ulcers and immobility reduce quality of life; mood disorder in turn impairs self-care, compression adherence and healing.</w:t>
            </w:r>
          </w:p>
        </w:tc>
      </w:tr>
      <w:tr>
        <w:trPr>
          <w:cantSplit/>
        </w:trPr>
        <w:tc>
          <w:tcPr>
            <w:tcW w:type="dxa" w:w="2232"/>
            <w:vAlign w:val="top"/>
          </w:tcPr>
          <w:p>
            <w:pPr>
              <w:spacing w:after="40" w:before="0" w:line="259" w:lineRule="auto"/>
            </w:pPr>
            <w:r>
              <w:rPr>
                <w:rFonts w:ascii="Calibri" w:hAnsi="Calibri"/>
                <w:b/>
                <w:i w:val="0"/>
                <w:color w:val="212121"/>
                <w:sz w:val="19"/>
              </w:rPr>
              <w:t>Chronic constipation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Straining raises intra-abdominal and lower-limb venous pressure; a shared low-fibre dietary pattern links it with CVI.</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CVI results from raised leg-vein pressure and is largely controllable with posture, movement, weight and compression — not just an unavoidable 'age' problem.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 (evening leg heaviness, ankle swelling, itching, ankle skin darkening) and seek assessment before ulcers develop.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standing occupations (traffic police, teachers, nurses, cooks, retail/factory workers), take regular movement breaks and use compression stockings at work.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prolonged uninterrupted standing or sitting, leg-crossing, very hot baths and tight groin garments that worsen venous pressure.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legs above heart level for 15–30 minutes several times a day and at night, and inspect the lower legs daily for skin changes or breaks.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Attend for duplex assessment and, where advised, minimally invasive treatment of varicose veins rather than waiting for complications.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Standing-occupation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Multiparous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family history of varicose veins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Walk regularly and aim for ≥150 minutes/week of moderate activity to activate the calf muscle pump ('the second heart').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Perform daily calf-raise and ankle dorsiflexion/plantarflexion exercises, especially during long standing or sitting and on long journeys.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full ankle mobility; in patients with stiff ankles or ulcers, use supervised structured exercise and physiotherapy.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graduated compression (20–30 mmHg for skin changes; 30–40 mmHg for ulcers/severe disease) with walking — after confirming ABPI ≥ 0.8.</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Elevate the legs during rest periods and after exercise to reduce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gradual weight loss in overweight/obese patients to lower venous pressure and improve symptoms.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CVI (C3–C6)</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ulcer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Sedentary/immobile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Post-DVT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and obese adults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Eat fruit daily and ≥5 servings/day of fruit and vegetables — associated with lower odds of venous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high-fibre diet (25–35 g/day: whole grains, millets, pulses, vegetables) to prevent constipation and straining.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hydration and limit excess salt to help control leg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a calorie-appropriate diet to achieve and maintain a healthy weight (Asian BMI 18.5–22.9 kg/m²).</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foods supporting skin integrity and wound healing (adequate protein, vitamin C, zinc), particularly in ulcer patients.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constipation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Overweight/obese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ulcer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Raise the foot of the bed by about 10–15 cm (or use a pillow under the calves) so the legs rest slightly above heart level overnight.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Remove compression stockings at night unless specifically advised otherwise, and reapply in the morning before getting up.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night cramps and restless legs with gentle stretching and daytime activity rather than prolonged inactivity.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the lower-leg skin moisturised at bedtime to reduce itching and prevent eczema-related sleep disturbance.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leg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eczema/ulcer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with nocturnal cramps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completely — tobacco damages the vein wall and endothelium and delays venous ulcer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cessation support (counselling, nicotine replacement or pharmacotherapy) and set a quit date.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which also impairs microcirculation and healing.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Reinforce cessation particularly in patients with non-healing ulcers or coexisting arterial disease.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ulcer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coexisting PAD</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alcohol within low-risk limits; heavy intake promotes weight gain and poor nutrition that indirectly worsen CVI.</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excess that reduces adherence to compression, leg elevation and wound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 patients with liver disease, recognise that portal/venous congestion can compound lower-limb oedema.</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with high alcohol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Overweight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liver disease</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depression and anxiety in patients with chronic pain or long-standing/recurrent ulcers and treat proactively.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reassurance, realistic expectations and structured follow-up to sustain compression adherence and self-care.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social isolation, malodour and body-image concerns associated with chronic venous ulcers.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pain-management strategies (elevation, appropriate analgesia, effective compression) to break the pain–inactivity–swelling cycle.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and community health workers to support ongoing leg care in rural and elderly patients.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Chronic/recurrent venous ulcer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disabling leg pain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Socially isolated or elderly patients</w:t>
            </w:r>
          </w:p>
        </w:tc>
        <w:tc>
          <w:tcPr>
            <w:tcW w:type="dxa" w:w="1036"/>
            <w:vAlign w:val="top"/>
          </w:tcPr>
          <w:p>
            <w:pPr>
              <w:spacing w:after="40" w:before="0" w:line="259" w:lineRule="auto"/>
            </w:pPr>
            <w:r>
              <w:rPr>
                <w:rFonts w:ascii="Calibri" w:hAnsi="Calibri"/>
                <w:b w:val="0"/>
                <w:i w:val="0"/>
                <w:color w:val="212121"/>
                <w:sz w:val="19"/>
              </w:rPr>
              <w:t>Medium</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mc.ncbi.nlm.nih.gov/articles/PMC4878844/" TargetMode="External"/><Relationship Id="rId10" Type="http://schemas.openxmlformats.org/officeDocument/2006/relationships/hyperlink" Target="https://www.ncbi.nlm.nih.gov/books/NBK430975/" TargetMode="External"/><Relationship Id="rId11" Type="http://schemas.openxmlformats.org/officeDocument/2006/relationships/hyperlink" Target="https://pubmed.ncbi.nlm.nih.gov/32931383/" TargetMode="External"/><Relationship Id="rId12" Type="http://schemas.openxmlformats.org/officeDocument/2006/relationships/hyperlink" Target="https://pmc.ncbi.nlm.nih.gov/articles/PMC12914658/" TargetMode="External"/><Relationship Id="rId13" Type="http://schemas.openxmlformats.org/officeDocument/2006/relationships/hyperlink" Target="https://pubmed.ncbi.nlm.nih.gov/36591846/" TargetMode="External"/><Relationship Id="rId14" Type="http://schemas.openxmlformats.org/officeDocument/2006/relationships/hyperlink" Target="https://pubmed.ncbi.nlm.nih.gov/30694211/" TargetMode="External"/><Relationship Id="rId15" Type="http://schemas.openxmlformats.org/officeDocument/2006/relationships/hyperlink" Target="https://pubmed.ncbi.nlm.nih.gov/30410288/" TargetMode="External"/><Relationship Id="rId16" Type="http://schemas.openxmlformats.org/officeDocument/2006/relationships/hyperlink" Target="https://pmc.ncbi.nlm.nih.gov/articles/PMC7948834/" TargetMode="External"/><Relationship Id="rId17" Type="http://schemas.openxmlformats.org/officeDocument/2006/relationships/hyperlink" Target="https://pmc.ncbi.nlm.nih.gov/articles/PMC70681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