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Bronchial Asthma</w:t>
      </w:r>
    </w:p>
    <w:p>
      <w:pPr>
        <w:spacing w:before="0" w:after="160"/>
      </w:pPr>
      <w:r>
        <w:rPr>
          <w:rFonts w:ascii="Calibri" w:hAnsi="Calibri"/>
          <w:b/>
          <w:i w:val="0"/>
          <w:color w:val="212121"/>
          <w:sz w:val="22"/>
        </w:rPr>
        <w:t xml:space="preserve">AKA </w:t>
      </w:r>
      <w:r>
        <w:rPr>
          <w:rFonts w:ascii="Calibri" w:hAnsi="Calibri"/>
          <w:b w:val="0"/>
          <w:i w:val="0"/>
          <w:color w:val="212121"/>
          <w:sz w:val="22"/>
        </w:rPr>
        <w:t>i.e., Asthma, Reactive airway disease, Bronchial hyper-reactivity; lay/Hindi: Dama, Saans ki bimari (wheezing/breathing illness)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Bronchial asthma is a chronic inflammatory disorder of the airways characterised by variable and recurring symptoms — wheeze, breathlessness, chest tightness and cough — together with reversible expiratory airflow limitation and bronchial hyper-responsiveness. Airway inflammation, smooth-muscle bronchoconstriction, mucus hypersecretion and, over time, airway remodelling produce episodic narrowing of the bronchi that is typically reversible spontaneously or with treatment. Symptoms characteristically vary in intensity and over time and are commonly triggered by allergens, exercise, cold air, respiratory infections, tobacco smoke or air pollution.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Asthma affects an estimated 34–35 million Indians. The ICMR-backed INSEARCH study estimated an adult prevalence of about 2.05% (≈17.23 million), while the Global Asthma Network (GAN) Phase I found 'current wheeze' in roughly 3.3% of adults and 3.2–3.6% of children; community meta-analyses of Indian children report a pooled prevalence near 7.9%. Although India holds only ~13% of the world's asthma cases (≈34.3 million), it accounts for a disproportionate 42.3% of global asthma deaths (about 198,798 deaths in 2019) and the highest asthma DALY burden worldwide — driven largely by under-diagnosis (over 80% of current wheezers remain clinically undiagnosed) and severe under-use of inhaled corticosteroids (only ~6.8% of the required ICS is dispensed).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Asthma is a clinical diagnosis resting on a characteristic pattern of variable respiratory symptoms plus objective confirmation of variable expiratory airflow limitation (GINA framework):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variable respiratory symptoms — wheeze, shortness of breath, chest tightness and cough — that vary over time and in intensity, are often worse at night or in the early morning, and are provoked by exercise, allergens, cold air, laughter or viral infections;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documented expiratory airflow limitation on spirometry, i.e. a reduced FEV1/FVC ratio (below the lower limit of normal; typically &lt; 0.75–0.80 in adults and &lt; 0.90 in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bronchodilator reversibility — an increase in FEV1 of &gt; 12% and &gt; 200 mL in adults (or &gt; 12% of predicted in children) 10–15 minutes after a short-acting bronchodilator;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excessive diurnal peak expiratory flow (PEF) variability (&gt; 10% in adults, &gt; 13% in children) on twice-daily monitoring, or a significant improvement in lung function after 4 weeks of anti-inflammatory (ICS) treatment;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tests where available: a raised fractional exhaled nitric oxide (FeNO &gt; 25 ppb) and blood/sputum eosinophilia indicate type-2 airway inflammation, and a positive bronchial provocation (methacholine or exercise challenge) confirms airway hyper-responsiveness when resting spirometry is normal.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Asthma is classified by phenotype/aetiology, by severity, and by the level of current symptom control (GINA):</w:t>
      </w:r>
    </w:p>
    <w:p>
      <w:pPr>
        <w:spacing w:before="0" w:after="80"/>
      </w:pPr>
      <w:r>
        <w:rPr>
          <w:rFonts w:ascii="Calibri" w:hAnsi="Calibri"/>
          <w:b w:val="0"/>
          <w:i w:val="0"/>
          <w:color w:val="212121"/>
          <w:sz w:val="21"/>
        </w:rPr>
        <w:t>(1) By phenotype: allergic (extrinsic) asthma — the commonest form, beginning in childhood with atopy, eosinophilic type-2 inflammation and a good corticosteroid response; non-allergic (intrinsic) asthma — often adult-onset, neutrophilic or paucigranulocytic and less steroid-responsive; plus late-onset, obesity-related, exercise-induced and occupational sub-types;</w:t>
      </w:r>
    </w:p>
    <w:p>
      <w:pPr>
        <w:spacing w:before="0" w:after="80"/>
      </w:pPr>
      <w:r>
        <w:rPr>
          <w:rFonts w:ascii="Calibri" w:hAnsi="Calibri"/>
          <w:b w:val="0"/>
          <w:i w:val="0"/>
          <w:color w:val="212121"/>
          <w:sz w:val="21"/>
        </w:rPr>
        <w:t>(2) By severity, assessed by the treatment intensity required to achieve control: intermittent, mild persistent, moderate persistent and severe persistent asthma; GINA now grades severity retrospectively by the treatment step (1–5) needed to keep symptoms controlled;</w:t>
      </w:r>
    </w:p>
    <w:p>
      <w:pPr>
        <w:spacing w:before="0" w:after="80"/>
      </w:pPr>
      <w:r>
        <w:rPr>
          <w:rFonts w:ascii="Calibri" w:hAnsi="Calibri"/>
          <w:b w:val="0"/>
          <w:i w:val="0"/>
          <w:color w:val="212121"/>
          <w:sz w:val="21"/>
        </w:rPr>
        <w:t>(3) By control: well-controlled, partly-controlled and uncontrolled, judged over the preceding four weeks on daytime symptoms, night-waking, reliever use and activity limitation (e.g. the Asthma Control Test / GINA symptom-control tool);</w:t>
      </w:r>
    </w:p>
    <w:p>
      <w:pPr>
        <w:spacing w:before="0" w:after="80"/>
      </w:pPr>
      <w:r>
        <w:rPr>
          <w:rFonts w:ascii="Calibri" w:hAnsi="Calibri"/>
          <w:b w:val="0"/>
          <w:i w:val="0"/>
          <w:color w:val="212121"/>
          <w:sz w:val="21"/>
        </w:rPr>
        <w:t>(4) Special forms: cough-variant asthma, aspirin-exacerbated respiratory disease (AERD / Samter's triad), allergic bronchopulmonary aspergillosis (ABPA)-associated asthma, and asthma-COPD overlap (ACO) in older or smoking patients with persistent airflow limitation.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and atopic predisposition: Heritability is high; a personal or family history of asthma, allergic rhinitis or eczema and a type-2 (atopic) immune tendency strongly raise risk.</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Aeroallergen exposure: Sensitisation to house-dust mite, cockroach, moulds, pollen and animal dander drives IgE-mediated airway inflammation — highly relevant in India's warm, humid and densely occupied homes.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Air pollution: Ambient PM2.5, NO2 and ozone, together with indoor biomass-fuel smoke, mosquito coils and environmental tobacco smoke, provoke and sustain airway inflammation.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Tobacco smoke: Active and passive (including in-utero) smoke exposure increases asthma incidence and severity and blunts the response to inhaled corticosteroids.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Respiratory infections: Early-life viral infections (RSV, rhinovirus) shape airway development, and recurrent respiratory infections are among the commonest exacerbation triggers.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Occupational and environmental exposures: Isocyanates, flour and grain dust, cotton dust, cleaning agents and other workplace sensitisers cause or aggravate adult-onset asthma.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Obesity: Excess adiposity produces a distinct, harder-to-control asthma phenotype through mechanical restriction and systemic low-grade inflammation.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Adult-onset asthma is often non-allergic (intrinsic), obesity-related or occupational and tends to be less steroid-responsive and more persistent than childhood atopic asthma. Cumulative exposure to smoke, pollution and allergens sustains airway inflammation.</w:t>
            </w:r>
          </w:p>
          <w:p>
            <w:pPr>
              <w:spacing w:after="40" w:before="60" w:line="259" w:lineRule="auto"/>
            </w:pPr>
            <w:r>
              <w:rPr>
                <w:rFonts w:ascii="Calibri" w:hAnsi="Calibri"/>
                <w:b w:val="0"/>
                <w:i w:val="0"/>
                <w:color w:val="212121"/>
                <w:sz w:val="19"/>
              </w:rPr>
              <w:t>GAN Phase I found 'current wheeze' in 3.30% of Indian adults, and women showed significantly higher rates of doctor-diagnosed asthma than men.</w:t>
            </w:r>
          </w:p>
          <w:p>
            <w:pPr>
              <w:spacing w:after="40" w:line="252" w:lineRule="auto"/>
            </w:pPr>
            <w:hyperlink r:id="rId9">
              <w:r>
                <w:rPr>
                  <w:rFonts w:ascii="Calibri" w:hAnsi="Calibri" w:cs="Calibri"/>
                  <w:sz w:val="18"/>
                  <w:color w:val="1155CC"/>
                  <w:u w:val="single"/>
                </w:rPr>
                <w:t xml:space="preserve">openres.ersjournals.com — GAN India</w:t>
              </w:r>
            </w:hyperlink>
          </w:p>
          <w:p>
            <w:pPr>
              <w:spacing w:before="60" w:after="40"/>
            </w:pPr>
            <w:r>
              <w:rPr>
                <w:rFonts w:ascii="Calibri" w:hAnsi="Calibri"/>
                <w:b w:val="0"/>
                <w:i w:val="0"/>
                <w:color w:val="5A5A5A"/>
                <w:sz w:val="18"/>
              </w:rPr>
              <w:t>#asthma  #adultonset  #airwayinflammation  #occupational  #urbanpollution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asthma is frequently under-diagnosed, overlaps with COPD (asthma-COPD overlap) and coexists with cardiac and other comorbidity, so exacerbations are more dangerous and airflow limitation may become fixed. Blunted symptom perception delays care.</w:t>
            </w:r>
          </w:p>
          <w:p>
            <w:pPr>
              <w:spacing w:after="40" w:before="60" w:line="259" w:lineRule="auto"/>
            </w:pPr>
            <w:r>
              <w:rPr>
                <w:rFonts w:ascii="Calibri" w:hAnsi="Calibri"/>
                <w:b w:val="0"/>
                <w:i w:val="0"/>
                <w:color w:val="212121"/>
                <w:sz w:val="19"/>
              </w:rPr>
              <w:t>Asthma in the elderly carries higher exacerbation and mortality risk; India records the world's highest asthma death and DALY burden, concentrated in older and poorly-treated patients.</w:t>
            </w:r>
          </w:p>
          <w:p>
            <w:pPr>
              <w:spacing w:after="40" w:line="252" w:lineRule="auto"/>
            </w:pPr>
            <w:hyperlink r:id="rId10">
              <w:r>
                <w:rPr>
                  <w:rFonts w:ascii="Calibri" w:hAnsi="Calibri" w:cs="Calibri"/>
                  <w:sz w:val="18"/>
                  <w:color w:val="1155CC"/>
                  <w:u w:val="single"/>
                </w:rPr>
                <w:t xml:space="preserve">pmc.ncbi.nlm.nih.gov — India asthma mortality/DALYs</w:t>
              </w:r>
            </w:hyperlink>
          </w:p>
          <w:p>
            <w:pPr>
              <w:spacing w:before="60" w:after="40"/>
            </w:pPr>
            <w:r>
              <w:rPr>
                <w:rFonts w:ascii="Calibri" w:hAnsi="Calibri"/>
                <w:b w:val="0"/>
                <w:i w:val="0"/>
                <w:color w:val="5A5A5A"/>
                <w:sz w:val="18"/>
              </w:rPr>
              <w:t>#elderly  #ACO  #fixedobstruction  #comorbidity  #underdiagnosis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Childhood asthma is predominantly allergic/atopic, often following the 'atopic march' from eczema and food allergy to rhinitis and asthma, and is strongly linked to early-life viral infections and indoor allergen and smoke exposure.</w:t>
            </w:r>
          </w:p>
          <w:p>
            <w:pPr>
              <w:spacing w:after="40" w:before="60" w:line="259" w:lineRule="auto"/>
            </w:pPr>
            <w:r>
              <w:rPr>
                <w:rFonts w:ascii="Calibri" w:hAnsi="Calibri"/>
                <w:b w:val="0"/>
                <w:i w:val="0"/>
                <w:color w:val="212121"/>
                <w:sz w:val="19"/>
              </w:rPr>
              <w:t>A meta-analysis of 33 Indian studies (167,626 children) found a pooled asthma prevalence of 7.9% (95% CI 6.3–9.6%), ranging from 2% in Karnataka to 18.2% in Rajasthan.</w:t>
            </w:r>
          </w:p>
          <w:p>
            <w:pPr>
              <w:spacing w:after="40" w:line="252" w:lineRule="auto"/>
            </w:pPr>
            <w:hyperlink r:id="rId11">
              <w:r>
                <w:rPr>
                  <w:rFonts w:ascii="Calibri" w:hAnsi="Calibri" w:cs="Calibri"/>
                  <w:sz w:val="18"/>
                  <w:color w:val="1155CC"/>
                  <w:u w:val="single"/>
                </w:rPr>
                <w:t xml:space="preserve">pmc.ncbi.nlm.nih.gov — Indian children meta-analysis</w:t>
              </w:r>
            </w:hyperlink>
          </w:p>
          <w:p>
            <w:pPr>
              <w:spacing w:before="60" w:after="40"/>
            </w:pPr>
            <w:r>
              <w:rPr>
                <w:rFonts w:ascii="Calibri" w:hAnsi="Calibri"/>
                <w:b w:val="0"/>
                <w:i w:val="0"/>
                <w:color w:val="5A5A5A"/>
                <w:sz w:val="18"/>
              </w:rPr>
              <w:t>#childhoodasthma  #atopicmarch  #wheeze  #viraltrigger  #schoolchildren</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Boys (pre-puberty)</w:t>
            </w:r>
          </w:p>
        </w:tc>
        <w:tc>
          <w:tcPr>
            <w:tcW w:type="dxa" w:w="4276"/>
            <w:vAlign w:val="top"/>
          </w:tcPr>
          <w:p>
            <w:pPr>
              <w:spacing w:after="60" w:line="259" w:lineRule="auto"/>
            </w:pPr>
            <w:r>
              <w:rPr>
                <w:rFonts w:ascii="Calibri" w:hAnsi="Calibri"/>
                <w:b w:val="0"/>
                <w:i w:val="0"/>
                <w:color w:val="212121"/>
                <w:sz w:val="19"/>
              </w:rPr>
              <w:t>Before puberty boys have narrower airways relative to lung volume and higher atopy rates, so childhood asthma is commoner and often more symptomatic in boys.</w:t>
            </w:r>
          </w:p>
          <w:p>
            <w:pPr>
              <w:spacing w:after="40" w:before="60" w:line="259" w:lineRule="auto"/>
            </w:pPr>
            <w:r>
              <w:rPr>
                <w:rFonts w:ascii="Calibri" w:hAnsi="Calibri"/>
                <w:b w:val="0"/>
                <w:i w:val="0"/>
                <w:color w:val="212121"/>
                <w:sz w:val="19"/>
              </w:rPr>
              <w:t>In the Indian children meta-analysis prevalence was 8.0% in boys versus 5.9% in girls.</w:t>
            </w:r>
          </w:p>
          <w:p>
            <w:pPr>
              <w:spacing w:after="40" w:line="252" w:lineRule="auto"/>
            </w:pPr>
            <w:hyperlink r:id="rId11">
              <w:r>
                <w:rPr>
                  <w:rFonts w:ascii="Calibri" w:hAnsi="Calibri" w:cs="Calibri"/>
                  <w:sz w:val="18"/>
                  <w:color w:val="1155CC"/>
                  <w:u w:val="single"/>
                </w:rPr>
                <w:t xml:space="preserve">pmc.ncbi.nlm.nih.gov — Indian children meta-analysis</w:t>
              </w:r>
            </w:hyperlink>
          </w:p>
          <w:p>
            <w:pPr>
              <w:spacing w:before="60" w:after="40"/>
            </w:pPr>
            <w:r>
              <w:rPr>
                <w:rFonts w:ascii="Calibri" w:hAnsi="Calibri"/>
                <w:b w:val="0"/>
                <w:i w:val="0"/>
                <w:color w:val="5A5A5A"/>
                <w:sz w:val="18"/>
              </w:rPr>
              <w:t>#boys  #childhood  #atopy  #airwaycalibre  #wheeze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 women</w:t>
            </w:r>
          </w:p>
        </w:tc>
        <w:tc>
          <w:tcPr>
            <w:tcW w:type="dxa" w:w="4276"/>
            <w:vAlign w:val="top"/>
          </w:tcPr>
          <w:p>
            <w:pPr>
              <w:spacing w:after="60" w:line="259" w:lineRule="auto"/>
            </w:pPr>
            <w:r>
              <w:rPr>
                <w:rFonts w:ascii="Calibri" w:hAnsi="Calibri"/>
                <w:b w:val="0"/>
                <w:i w:val="0"/>
                <w:color w:val="212121"/>
                <w:sz w:val="19"/>
              </w:rPr>
              <w:t>After puberty the sex ratio reverses; hormonal influences, smaller airways and an obesity-related phenotype make asthma more prevalent, more symptomatic and harder to control in adult women.</w:t>
            </w:r>
          </w:p>
          <w:p>
            <w:pPr>
              <w:spacing w:after="40" w:before="60" w:line="259" w:lineRule="auto"/>
            </w:pPr>
            <w:r>
              <w:rPr>
                <w:rFonts w:ascii="Calibri" w:hAnsi="Calibri"/>
                <w:b w:val="0"/>
                <w:i w:val="0"/>
                <w:color w:val="212121"/>
                <w:sz w:val="19"/>
              </w:rPr>
              <w:t>In GAN India, women had significantly higher rates of asthma-ever and doctor-diagnosed asthma than men (p &lt; 0.001).</w:t>
            </w:r>
          </w:p>
          <w:p>
            <w:pPr>
              <w:spacing w:after="40" w:line="252" w:lineRule="auto"/>
            </w:pPr>
            <w:hyperlink r:id="rId9">
              <w:r>
                <w:rPr>
                  <w:rFonts w:ascii="Calibri" w:hAnsi="Calibri" w:cs="Calibri"/>
                  <w:sz w:val="18"/>
                  <w:color w:val="1155CC"/>
                  <w:u w:val="single"/>
                </w:rPr>
                <w:t xml:space="preserve">openres.ersjournals.com — GAN India</w:t>
              </w:r>
            </w:hyperlink>
          </w:p>
          <w:p>
            <w:pPr>
              <w:spacing w:before="60" w:after="40"/>
            </w:pPr>
            <w:r>
              <w:rPr>
                <w:rFonts w:ascii="Calibri" w:hAnsi="Calibri"/>
                <w:b w:val="0"/>
                <w:i w:val="0"/>
                <w:color w:val="5A5A5A"/>
                <w:sz w:val="18"/>
              </w:rPr>
              <w:t>#women  #hormonal  #obesityasthma  #difficultcontrol  #adultasthma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households</w:t>
            </w:r>
          </w:p>
        </w:tc>
        <w:tc>
          <w:tcPr>
            <w:tcW w:type="dxa" w:w="4276"/>
            <w:vAlign w:val="top"/>
          </w:tcPr>
          <w:p>
            <w:pPr>
              <w:spacing w:after="60" w:line="259" w:lineRule="auto"/>
            </w:pPr>
            <w:r>
              <w:rPr>
                <w:rFonts w:ascii="Calibri" w:hAnsi="Calibri"/>
                <w:b w:val="0"/>
                <w:i w:val="0"/>
                <w:color w:val="212121"/>
                <w:sz w:val="19"/>
              </w:rPr>
              <w:t>Poverty concentrates biomass-fuel smoke, damp and crowded housing, allergen and occupational exposure, and limited access to diagnosis and inhaled steroids — so asthma is under-treated and disproportionately fatal.</w:t>
            </w:r>
          </w:p>
          <w:p>
            <w:pPr>
              <w:spacing w:after="40" w:before="60" w:line="259" w:lineRule="auto"/>
            </w:pPr>
            <w:r>
              <w:rPr>
                <w:rFonts w:ascii="Calibri" w:hAnsi="Calibri"/>
                <w:b w:val="0"/>
                <w:i w:val="0"/>
                <w:color w:val="212121"/>
                <w:sz w:val="19"/>
              </w:rPr>
              <w:t>India accounts for 42.3% of global asthma deaths despite only ~13% of cases, reflecting poor access and severe ICS under-use (only ~6.8% of the required inhaled steroid is dispensed).</w:t>
            </w:r>
          </w:p>
          <w:p>
            <w:pPr>
              <w:spacing w:after="40" w:line="252" w:lineRule="auto"/>
            </w:pPr>
            <w:hyperlink r:id="rId10">
              <w:r>
                <w:rPr>
                  <w:rFonts w:ascii="Calibri" w:hAnsi="Calibri" w:cs="Calibri"/>
                  <w:sz w:val="18"/>
                  <w:color w:val="1155CC"/>
                  <w:u w:val="single"/>
                </w:rPr>
                <w:t xml:space="preserve">pmc.ncbi.nlm.nih.gov — global asthma deaths / ICS underuse</w:t>
              </w:r>
            </w:hyperlink>
          </w:p>
          <w:p>
            <w:pPr>
              <w:spacing w:before="60" w:after="40"/>
            </w:pPr>
            <w:r>
              <w:rPr>
                <w:rFonts w:ascii="Calibri" w:hAnsi="Calibri"/>
                <w:b w:val="0"/>
                <w:i w:val="0"/>
                <w:color w:val="5A5A5A"/>
                <w:sz w:val="18"/>
              </w:rPr>
              <w:t>#poverty  #ICSunderuse  #healthaccess  #biomass  #asthmadeaths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State</w:t>
            </w:r>
          </w:p>
        </w:tc>
        <w:tc>
          <w:tcPr>
            <w:tcW w:type="dxa" w:w="2160"/>
            <w:vAlign w:val="top"/>
          </w:tcPr>
          <w:p>
            <w:pPr>
              <w:spacing w:after="40" w:before="0" w:line="259" w:lineRule="auto"/>
            </w:pPr>
            <w:r>
              <w:rPr>
                <w:rFonts w:ascii="Calibri" w:hAnsi="Calibri"/>
                <w:b w:val="0"/>
                <w:i w:val="0"/>
                <w:color w:val="212121"/>
                <w:sz w:val="19"/>
              </w:rPr>
              <w:t>High-prevalence Indian cities &amp; states</w:t>
            </w:r>
          </w:p>
        </w:tc>
        <w:tc>
          <w:tcPr>
            <w:tcW w:type="dxa" w:w="4276"/>
            <w:vAlign w:val="top"/>
          </w:tcPr>
          <w:p>
            <w:pPr>
              <w:spacing w:after="60" w:line="259" w:lineRule="auto"/>
            </w:pPr>
            <w:r>
              <w:rPr>
                <w:rFonts w:ascii="Calibri" w:hAnsi="Calibri"/>
                <w:b w:val="0"/>
                <w:i w:val="0"/>
                <w:color w:val="212121"/>
                <w:sz w:val="19"/>
              </w:rPr>
              <w:t>Marked geographic variation reflects differences in climate, aeroallergen load, urban air pollution and diagnostic practice across India.</w:t>
            </w:r>
          </w:p>
          <w:p>
            <w:pPr>
              <w:spacing w:after="40" w:before="60" w:line="259" w:lineRule="auto"/>
            </w:pPr>
            <w:r>
              <w:rPr>
                <w:rFonts w:ascii="Calibri" w:hAnsi="Calibri"/>
                <w:b w:val="0"/>
                <w:i w:val="0"/>
                <w:color w:val="212121"/>
                <w:sz w:val="19"/>
              </w:rPr>
              <w:t>GAN current-wheeze prevalence ranged from 0.35% (Bikaner) to 8.54% (Chandigarh) in 6–7 year-olds and up to 6.02% in adults (Kottayam); the state of Rajasthan records the maximum asthma deaths and DALYs.</w:t>
            </w:r>
          </w:p>
          <w:p>
            <w:pPr>
              <w:spacing w:after="40" w:line="252" w:lineRule="auto"/>
            </w:pPr>
            <w:hyperlink r:id="rId9">
              <w:r>
                <w:rPr>
                  <w:rFonts w:ascii="Calibri" w:hAnsi="Calibri" w:cs="Calibri"/>
                  <w:sz w:val="18"/>
                  <w:color w:val="1155CC"/>
                  <w:u w:val="single"/>
                </w:rPr>
                <w:t xml:space="preserve">openres.ersjournals.com — GAN India regional data</w:t>
              </w:r>
            </w:hyperlink>
          </w:p>
          <w:p>
            <w:pPr>
              <w:spacing w:before="60" w:after="40"/>
            </w:pPr>
            <w:r>
              <w:rPr>
                <w:rFonts w:ascii="Calibri" w:hAnsi="Calibri"/>
                <w:b w:val="0"/>
                <w:i w:val="0"/>
                <w:color w:val="5A5A5A"/>
                <w:sz w:val="18"/>
              </w:rPr>
              <w:t>#geographicvariation  #Chandigarh  #Rajasthan  #Kottayam  #climate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Environmental air quality</w:t>
            </w:r>
          </w:p>
        </w:tc>
        <w:tc>
          <w:tcPr>
            <w:tcW w:type="dxa" w:w="2160"/>
            <w:vAlign w:val="top"/>
          </w:tcPr>
          <w:p>
            <w:pPr>
              <w:spacing w:after="40" w:before="0" w:line="259" w:lineRule="auto"/>
            </w:pPr>
            <w:r>
              <w:rPr>
                <w:rFonts w:ascii="Calibri" w:hAnsi="Calibri"/>
                <w:b w:val="0"/>
                <w:i w:val="0"/>
                <w:color w:val="212121"/>
                <w:sz w:val="19"/>
              </w:rPr>
              <w:t>Residents of high-pollution urban &amp; North-Indian plains</w:t>
            </w:r>
          </w:p>
        </w:tc>
        <w:tc>
          <w:tcPr>
            <w:tcW w:type="dxa" w:w="4276"/>
            <w:vAlign w:val="top"/>
          </w:tcPr>
          <w:p>
            <w:pPr>
              <w:spacing w:after="60" w:line="259" w:lineRule="auto"/>
            </w:pPr>
            <w:r>
              <w:rPr>
                <w:rFonts w:ascii="Calibri" w:hAnsi="Calibri"/>
                <w:b w:val="0"/>
                <w:i w:val="0"/>
                <w:color w:val="212121"/>
                <w:sz w:val="19"/>
              </w:rPr>
              <w:t>Chronic exposure to ambient PM2.5, NO2 and ozone, seasonal crop-residue burning and winter smog inflames the airways, triggers exacerbations and increases new-onset asthma, particularly in children and adolescents in polluted cities.</w:t>
            </w:r>
          </w:p>
          <w:p>
            <w:pPr>
              <w:spacing w:after="40" w:before="60" w:line="259" w:lineRule="auto"/>
            </w:pPr>
            <w:r>
              <w:rPr>
                <w:rFonts w:ascii="Calibri" w:hAnsi="Calibri"/>
                <w:b w:val="0"/>
                <w:i w:val="0"/>
                <w:color w:val="212121"/>
                <w:sz w:val="19"/>
              </w:rPr>
              <w:t>Air pollution is a recognised driver of the disproportionately high asthma burden and mortality documented across Indian states in GBD analyses.</w:t>
            </w:r>
          </w:p>
          <w:p>
            <w:pPr>
              <w:spacing w:after="40" w:line="252" w:lineRule="auto"/>
            </w:pPr>
            <w:hyperlink r:id="rId10">
              <w:r>
                <w:rPr>
                  <w:rFonts w:ascii="Calibri" w:hAnsi="Calibri" w:cs="Calibri"/>
                  <w:sz w:val="18"/>
                  <w:color w:val="1155CC"/>
                  <w:u w:val="single"/>
                </w:rPr>
                <w:t xml:space="preserve">pmc.ncbi.nlm.nih.gov — India asthma burden</w:t>
              </w:r>
            </w:hyperlink>
          </w:p>
          <w:p>
            <w:pPr>
              <w:spacing w:before="60" w:after="40"/>
            </w:pPr>
            <w:r>
              <w:rPr>
                <w:rFonts w:ascii="Calibri" w:hAnsi="Calibri"/>
                <w:b w:val="0"/>
                <w:i w:val="0"/>
                <w:color w:val="5A5A5A"/>
                <w:sz w:val="18"/>
              </w:rPr>
              <w:t>#PM25  #airpollution  #smog  #cropburning  #urbanasthma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 / Sedentary</w:t>
            </w:r>
          </w:p>
        </w:tc>
        <w:tc>
          <w:tcPr>
            <w:tcW w:type="dxa" w:w="2160"/>
            <w:vAlign w:val="top"/>
          </w:tcPr>
          <w:p>
            <w:pPr>
              <w:spacing w:after="40" w:before="0" w:line="259" w:lineRule="auto"/>
            </w:pPr>
            <w:r>
              <w:rPr>
                <w:rFonts w:ascii="Calibri" w:hAnsi="Calibri"/>
                <w:b w:val="0"/>
                <w:i w:val="0"/>
                <w:color w:val="212121"/>
                <w:sz w:val="19"/>
              </w:rPr>
              <w:t>Overweight, physically inactive urban adults</w:t>
            </w:r>
          </w:p>
        </w:tc>
        <w:tc>
          <w:tcPr>
            <w:tcW w:type="dxa" w:w="4276"/>
            <w:vAlign w:val="top"/>
          </w:tcPr>
          <w:p>
            <w:pPr>
              <w:spacing w:after="60" w:line="259" w:lineRule="auto"/>
            </w:pPr>
            <w:r>
              <w:rPr>
                <w:rFonts w:ascii="Calibri" w:hAnsi="Calibri"/>
                <w:b w:val="0"/>
                <w:i w:val="0"/>
                <w:color w:val="212121"/>
                <w:sz w:val="19"/>
              </w:rPr>
              <w:t>Excess adiposity restricts the chest wall, lowers lung volumes and drives systemic inflammation, producing a distinct obesity-related asthma phenotype that is more symptomatic and less responsive to inhaled steroids; deconditioning compounds breathlessness.</w:t>
            </w:r>
          </w:p>
          <w:p>
            <w:pPr>
              <w:spacing w:after="40" w:before="60" w:line="259" w:lineRule="auto"/>
            </w:pPr>
            <w:r>
              <w:rPr>
                <w:rFonts w:ascii="Calibri" w:hAnsi="Calibri"/>
                <w:b w:val="0"/>
                <w:i w:val="0"/>
                <w:color w:val="212121"/>
                <w:sz w:val="19"/>
              </w:rPr>
              <w:t>A meta-analysis of prospective studies found overweight/obesity raised incident-asthma odds by 51% (OR 1.51), with a clear dose-response — overweight OR 1.38 and obesity OR 1.92.</w:t>
            </w:r>
          </w:p>
          <w:p>
            <w:pPr>
              <w:spacing w:after="40" w:line="252" w:lineRule="auto"/>
            </w:pPr>
            <w:hyperlink r:id="rId12">
              <w:r>
                <w:rPr>
                  <w:rFonts w:ascii="Calibri" w:hAnsi="Calibri" w:cs="Calibri"/>
                  <w:sz w:val="18"/>
                  <w:color w:val="1155CC"/>
                  <w:u w:val="single"/>
                </w:rPr>
                <w:t xml:space="preserve">pubmed.ncbi.nlm.nih.gov/17234901 — obesity &amp; incident asthma</w:t>
              </w:r>
            </w:hyperlink>
          </w:p>
          <w:p>
            <w:pPr>
              <w:spacing w:before="60" w:after="40"/>
            </w:pPr>
            <w:r>
              <w:rPr>
                <w:rFonts w:ascii="Calibri" w:hAnsi="Calibri"/>
                <w:b w:val="0"/>
                <w:i w:val="0"/>
                <w:color w:val="5A5A5A"/>
                <w:sz w:val="18"/>
              </w:rPr>
              <w:t>#obesityasthma  #sedentary  #visceralfat  #deconditioning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Active smokers &amp; passively-exposed household members</w:t>
            </w:r>
          </w:p>
        </w:tc>
        <w:tc>
          <w:tcPr>
            <w:tcW w:type="dxa" w:w="4276"/>
            <w:vAlign w:val="top"/>
          </w:tcPr>
          <w:p>
            <w:pPr>
              <w:spacing w:after="60" w:line="259" w:lineRule="auto"/>
            </w:pPr>
            <w:r>
              <w:rPr>
                <w:rFonts w:ascii="Calibri" w:hAnsi="Calibri"/>
                <w:b w:val="0"/>
                <w:i w:val="0"/>
                <w:color w:val="212121"/>
                <w:sz w:val="19"/>
              </w:rPr>
              <w:t>Active and second-hand (including in-utero) tobacco smoke inflames and remodels the airways, increases new-onset asthma and severity, accelerates lung-function decline and blunts the response to inhaled corticosteroids.</w:t>
            </w:r>
          </w:p>
          <w:p>
            <w:pPr>
              <w:spacing w:after="40" w:before="60" w:line="259" w:lineRule="auto"/>
            </w:pPr>
            <w:r>
              <w:rPr>
                <w:rFonts w:ascii="Calibri" w:hAnsi="Calibri"/>
                <w:b w:val="0"/>
                <w:i w:val="0"/>
                <w:color w:val="212121"/>
                <w:sz w:val="19"/>
              </w:rPr>
              <w:t>Smoke exposure is a well-established, modifiable driver of asthma incidence, poorer control and steroid resistance in adults and children.</w:t>
            </w:r>
          </w:p>
          <w:p>
            <w:pPr>
              <w:spacing w:before="60" w:after="40"/>
            </w:pPr>
            <w:r>
              <w:rPr>
                <w:rFonts w:ascii="Calibri" w:hAnsi="Calibri"/>
                <w:b w:val="0"/>
                <w:i w:val="0"/>
                <w:color w:val="5A5A5A"/>
                <w:sz w:val="18"/>
              </w:rPr>
              <w:t>#smoking  #passivesmoke  #steroidresistance  #airwayremodelling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Textile, flour-mill, chemical, paint &amp; construction workers</w:t>
            </w:r>
          </w:p>
        </w:tc>
        <w:tc>
          <w:tcPr>
            <w:tcW w:type="dxa" w:w="4276"/>
            <w:vAlign w:val="top"/>
          </w:tcPr>
          <w:p>
            <w:pPr>
              <w:spacing w:after="60" w:line="259" w:lineRule="auto"/>
            </w:pPr>
            <w:r>
              <w:rPr>
                <w:rFonts w:ascii="Calibri" w:hAnsi="Calibri"/>
                <w:b w:val="0"/>
                <w:i w:val="0"/>
                <w:color w:val="212121"/>
                <w:sz w:val="19"/>
              </w:rPr>
              <w:t>Inhaled workplace sensitisers and irritants — cotton and grain dust, isocyanates, solvents, cleaning agents and welding fumes — cause occupational asthma and worsen pre-existing disease; symptoms often improve away from work.</w:t>
            </w:r>
          </w:p>
          <w:p>
            <w:pPr>
              <w:spacing w:after="40" w:before="60" w:line="259" w:lineRule="auto"/>
            </w:pPr>
            <w:r>
              <w:rPr>
                <w:rFonts w:ascii="Calibri" w:hAnsi="Calibri"/>
                <w:b w:val="0"/>
                <w:i w:val="0"/>
                <w:color w:val="212121"/>
                <w:sz w:val="19"/>
              </w:rPr>
              <w:t>Occupational exposures are a recognised cause of adult-onset asthma, a large share of which is preventable through exposure control.</w:t>
            </w:r>
          </w:p>
          <w:p>
            <w:pPr>
              <w:spacing w:before="60" w:after="40"/>
            </w:pPr>
            <w:r>
              <w:rPr>
                <w:rFonts w:ascii="Calibri" w:hAnsi="Calibri"/>
                <w:b w:val="0"/>
                <w:i w:val="0"/>
                <w:color w:val="5A5A5A"/>
                <w:sz w:val="18"/>
              </w:rPr>
              <w:t>#occupationalasthma  #isocyanates  #cottondust  #workplace  #sensitisers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Indoor exposures</w:t>
            </w:r>
          </w:p>
        </w:tc>
        <w:tc>
          <w:tcPr>
            <w:tcW w:type="dxa" w:w="2160"/>
            <w:vAlign w:val="top"/>
          </w:tcPr>
          <w:p>
            <w:pPr>
              <w:spacing w:after="40" w:before="0" w:line="259" w:lineRule="auto"/>
            </w:pPr>
            <w:r>
              <w:rPr>
                <w:rFonts w:ascii="Calibri" w:hAnsi="Calibri"/>
                <w:b w:val="0"/>
                <w:i w:val="0"/>
                <w:color w:val="212121"/>
                <w:sz w:val="19"/>
              </w:rPr>
              <w:t>Homes using biomass fuel, mosquito coils or with damp/mould</w:t>
            </w:r>
          </w:p>
        </w:tc>
        <w:tc>
          <w:tcPr>
            <w:tcW w:type="dxa" w:w="4276"/>
            <w:vAlign w:val="top"/>
          </w:tcPr>
          <w:p>
            <w:pPr>
              <w:spacing w:after="60" w:line="259" w:lineRule="auto"/>
            </w:pPr>
            <w:r>
              <w:rPr>
                <w:rFonts w:ascii="Calibri" w:hAnsi="Calibri"/>
                <w:b w:val="0"/>
                <w:i w:val="0"/>
                <w:color w:val="212121"/>
                <w:sz w:val="19"/>
              </w:rPr>
              <w:t>Solid-fuel cooking smoke, mosquito-coil combustion, damp and mould, and dense house-dust-mite and cockroach allergen loads are major indoor triggers of wheeze and exacerbations, especially for women and children who spend more time indoors.</w:t>
            </w:r>
          </w:p>
          <w:p>
            <w:pPr>
              <w:spacing w:after="40" w:before="60" w:line="259" w:lineRule="auto"/>
            </w:pPr>
            <w:r>
              <w:rPr>
                <w:rFonts w:ascii="Calibri" w:hAnsi="Calibri"/>
                <w:b w:val="0"/>
                <w:i w:val="0"/>
                <w:color w:val="212121"/>
                <w:sz w:val="19"/>
              </w:rPr>
              <w:t>Household air pollution from biomass fuel is a recognised respiratory hazard for rural Indian women and children.</w:t>
            </w:r>
          </w:p>
          <w:p>
            <w:pPr>
              <w:spacing w:before="60" w:after="40"/>
            </w:pPr>
            <w:r>
              <w:rPr>
                <w:rFonts w:ascii="Calibri" w:hAnsi="Calibri"/>
                <w:b w:val="0"/>
                <w:i w:val="0"/>
                <w:color w:val="5A5A5A"/>
                <w:sz w:val="18"/>
              </w:rPr>
              <w:t>#biomass  #housedustmite  #mould  #mosquitocoil  #indoorair</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Low fruit/vegetable, high processed-food ('Westernised') diets</w:t>
            </w:r>
          </w:p>
        </w:tc>
        <w:tc>
          <w:tcPr>
            <w:tcW w:type="dxa" w:w="4276"/>
            <w:vAlign w:val="top"/>
          </w:tcPr>
          <w:p>
            <w:pPr>
              <w:spacing w:after="60" w:line="259" w:lineRule="auto"/>
            </w:pPr>
            <w:r>
              <w:rPr>
                <w:rFonts w:ascii="Calibri" w:hAnsi="Calibri"/>
                <w:b w:val="0"/>
                <w:i w:val="0"/>
                <w:color w:val="212121"/>
                <w:sz w:val="19"/>
              </w:rPr>
              <w:t>Diets low in fresh fruit, vegetables and antioxidants and high in processed and energy-dense foods are associated with greater obesity, oxidative stress and airway inflammation, while traditional fibre- and antioxidant-rich diets appear protective.</w:t>
            </w:r>
          </w:p>
          <w:p>
            <w:pPr>
              <w:spacing w:after="40" w:before="60" w:line="259" w:lineRule="auto"/>
            </w:pPr>
            <w:r>
              <w:rPr>
                <w:rFonts w:ascii="Calibri" w:hAnsi="Calibri"/>
                <w:b w:val="0"/>
                <w:i w:val="0"/>
                <w:color w:val="212121"/>
                <w:sz w:val="19"/>
              </w:rPr>
              <w:t>A shift toward Westernised, low-antioxidant diets parallels rising asthma and allergy prevalence in urbanising Indian populations.</w:t>
            </w:r>
          </w:p>
          <w:p>
            <w:pPr>
              <w:spacing w:before="60" w:after="40"/>
            </w:pPr>
            <w:r>
              <w:rPr>
                <w:rFonts w:ascii="Calibri" w:hAnsi="Calibri"/>
                <w:b w:val="0"/>
                <w:i w:val="0"/>
                <w:color w:val="5A5A5A"/>
                <w:sz w:val="18"/>
              </w:rPr>
              <w:t>#diet  #antioxidants  #processedfood  #obesity  #oxidativestress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asthma or atopy</w:t>
            </w:r>
          </w:p>
        </w:tc>
        <w:tc>
          <w:tcPr>
            <w:tcW w:type="dxa" w:w="4276"/>
            <w:vAlign w:val="top"/>
          </w:tcPr>
          <w:p>
            <w:pPr>
              <w:spacing w:after="60" w:line="259" w:lineRule="auto"/>
            </w:pPr>
            <w:r>
              <w:rPr>
                <w:rFonts w:ascii="Calibri" w:hAnsi="Calibri"/>
                <w:b w:val="0"/>
                <w:i w:val="0"/>
                <w:color w:val="212121"/>
                <w:sz w:val="19"/>
              </w:rPr>
              <w:t>Asthma is strongly heritable and polygenic; a parental or sibling history of asthma, allergic rhinitis or eczema substantially increases a child's risk through inherited atopic and airway-hyper-responsiveness traits.</w:t>
            </w:r>
          </w:p>
          <w:p>
            <w:pPr>
              <w:spacing w:after="40" w:before="60" w:line="259" w:lineRule="auto"/>
            </w:pPr>
            <w:r>
              <w:rPr>
                <w:rFonts w:ascii="Calibri" w:hAnsi="Calibri"/>
                <w:b w:val="0"/>
                <w:i w:val="0"/>
                <w:color w:val="212121"/>
                <w:sz w:val="19"/>
              </w:rPr>
              <w:t>Coexisting asthma, rhinitis and eczema cluster within families and individuals — reflecting a shared atopic (type-2) genetic tendency.</w:t>
            </w:r>
          </w:p>
          <w:p>
            <w:pPr>
              <w:spacing w:before="60" w:after="40"/>
            </w:pPr>
            <w:r>
              <w:rPr>
                <w:rFonts w:ascii="Calibri" w:hAnsi="Calibri"/>
                <w:b w:val="0"/>
                <w:i w:val="0"/>
                <w:color w:val="5A5A5A"/>
                <w:sz w:val="18"/>
              </w:rPr>
              <w:t>#familyhistory  #heritable  #atopy  #polygenic  #type2immunity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Personal atopy</w:t>
            </w:r>
          </w:p>
        </w:tc>
        <w:tc>
          <w:tcPr>
            <w:tcW w:type="dxa" w:w="2160"/>
            <w:vAlign w:val="top"/>
          </w:tcPr>
          <w:p>
            <w:pPr>
              <w:spacing w:after="40" w:before="0" w:line="259" w:lineRule="auto"/>
            </w:pPr>
            <w:r>
              <w:rPr>
                <w:rFonts w:ascii="Calibri" w:hAnsi="Calibri"/>
                <w:b w:val="0"/>
                <w:i w:val="0"/>
                <w:color w:val="212121"/>
                <w:sz w:val="19"/>
              </w:rPr>
              <w:t>Individuals with allergic rhinitis or atopic eczema</w:t>
            </w:r>
          </w:p>
        </w:tc>
        <w:tc>
          <w:tcPr>
            <w:tcW w:type="dxa" w:w="4276"/>
            <w:vAlign w:val="top"/>
          </w:tcPr>
          <w:p>
            <w:pPr>
              <w:spacing w:after="60" w:line="259" w:lineRule="auto"/>
            </w:pPr>
            <w:r>
              <w:rPr>
                <w:rFonts w:ascii="Calibri" w:hAnsi="Calibri"/>
                <w:b w:val="0"/>
                <w:i w:val="0"/>
                <w:color w:val="212121"/>
                <w:sz w:val="19"/>
              </w:rPr>
              <w:t>Atopic sensitisation is the single strongest risk factor for allergic asthma; the 'atopic march' from eczema and rhinitis to asthma reflects a common IgE-mediated type-2 inflammatory mechanism across the airways and skin.</w:t>
            </w:r>
          </w:p>
          <w:p>
            <w:pPr>
              <w:spacing w:after="40" w:before="60" w:line="259" w:lineRule="auto"/>
            </w:pPr>
            <w:r>
              <w:rPr>
                <w:rFonts w:ascii="Calibri" w:hAnsi="Calibri"/>
                <w:b w:val="0"/>
                <w:i w:val="0"/>
                <w:color w:val="212121"/>
                <w:sz w:val="19"/>
              </w:rPr>
              <w:t>In GAN India, allergic rhinitis affected 7.7% of 6–7-year-olds, 23.5% of adolescents and 9.8% of adults, and coexisting asthma was among the strongest predictors of rhinitis.</w:t>
            </w:r>
          </w:p>
          <w:p>
            <w:pPr>
              <w:spacing w:after="40" w:line="252" w:lineRule="auto"/>
            </w:pPr>
            <w:hyperlink r:id="rId13">
              <w:r>
                <w:rPr>
                  <w:rFonts w:ascii="Calibri" w:hAnsi="Calibri" w:cs="Calibri"/>
                  <w:sz w:val="18"/>
                  <w:color w:val="1155CC"/>
                  <w:u w:val="single"/>
                </w:rPr>
                <w:t xml:space="preserve">pmc.ncbi.nlm.nih.gov — GAN India rhinitis/eczema</w:t>
              </w:r>
            </w:hyperlink>
          </w:p>
          <w:p>
            <w:pPr>
              <w:spacing w:before="60" w:after="40"/>
            </w:pPr>
            <w:r>
              <w:rPr>
                <w:rFonts w:ascii="Calibri" w:hAnsi="Calibri"/>
                <w:b w:val="0"/>
                <w:i w:val="0"/>
                <w:color w:val="5A5A5A"/>
                <w:sz w:val="18"/>
              </w:rPr>
              <w:t>#atopy  #allergicrhinitis  #eczema  #IgE  #atopicmarch</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Allergic rhinitis</w:t>
            </w:r>
          </w:p>
        </w:tc>
        <w:tc>
          <w:tcPr>
            <w:tcW w:type="dxa" w:w="2160"/>
            <w:vAlign w:val="top"/>
          </w:tcPr>
          <w:p>
            <w:pPr>
              <w:spacing w:after="40" w:before="0" w:line="259" w:lineRule="auto"/>
            </w:pPr>
            <w:r>
              <w:rPr>
                <w:rFonts w:ascii="Calibri" w:hAnsi="Calibri"/>
                <w:b w:val="0"/>
                <w:i w:val="0"/>
                <w:color w:val="212121"/>
                <w:sz w:val="19"/>
              </w:rPr>
              <w:t>Patients with allergic rhinitis</w:t>
            </w:r>
          </w:p>
        </w:tc>
        <w:tc>
          <w:tcPr>
            <w:tcW w:type="dxa" w:w="4276"/>
            <w:vAlign w:val="top"/>
          </w:tcPr>
          <w:p>
            <w:pPr>
              <w:spacing w:after="60" w:line="259" w:lineRule="auto"/>
            </w:pPr>
            <w:r>
              <w:rPr>
                <w:rFonts w:ascii="Calibri" w:hAnsi="Calibri"/>
                <w:b w:val="0"/>
                <w:i w:val="0"/>
                <w:color w:val="212121"/>
                <w:sz w:val="19"/>
              </w:rPr>
              <w:t>Rhinitis and asthma are the 'united airway': the same type-2 inflammation affects upper and lower airways, and uncontrolled rhinitis worsens asthma symptoms, exacerbations and control.</w:t>
            </w:r>
          </w:p>
          <w:p>
            <w:pPr>
              <w:spacing w:after="40" w:before="60" w:line="259" w:lineRule="auto"/>
            </w:pPr>
            <w:r>
              <w:rPr>
                <w:rFonts w:ascii="Calibri" w:hAnsi="Calibri"/>
                <w:b w:val="0"/>
                <w:i w:val="0"/>
                <w:color w:val="212121"/>
                <w:sz w:val="19"/>
              </w:rPr>
              <w:t>In the Indian CARAS survey, 65.24% of adult asthmatics had concomitant allergic rhinitis, which is frequently under-recognised during asthma care.</w:t>
            </w:r>
          </w:p>
          <w:p>
            <w:pPr>
              <w:spacing w:after="40" w:line="252" w:lineRule="auto"/>
            </w:pPr>
            <w:hyperlink r:id="rId14">
              <w:r>
                <w:rPr>
                  <w:rFonts w:ascii="Calibri" w:hAnsi="Calibri" w:cs="Calibri"/>
                  <w:sz w:val="18"/>
                  <w:color w:val="1155CC"/>
                  <w:u w:val="single"/>
                </w:rPr>
                <w:t xml:space="preserve">link.springer.com — AR-in-asthma India consensus (CARAS)</w:t>
              </w:r>
            </w:hyperlink>
          </w:p>
          <w:p>
            <w:pPr>
              <w:spacing w:before="60" w:after="40"/>
            </w:pPr>
            <w:r>
              <w:rPr>
                <w:rFonts w:ascii="Calibri" w:hAnsi="Calibri"/>
                <w:b w:val="0"/>
                <w:i w:val="0"/>
                <w:color w:val="5A5A5A"/>
                <w:sz w:val="18"/>
              </w:rPr>
              <w:t>#unitedairway  #allergicrhinitis  #CARAS  #type2  #controlgap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Obese individuals (BMI ≥ 30)</w:t>
            </w:r>
          </w:p>
        </w:tc>
        <w:tc>
          <w:tcPr>
            <w:tcW w:type="dxa" w:w="4276"/>
            <w:vAlign w:val="top"/>
          </w:tcPr>
          <w:p>
            <w:pPr>
              <w:spacing w:after="60" w:line="259" w:lineRule="auto"/>
            </w:pPr>
            <w:r>
              <w:rPr>
                <w:rFonts w:ascii="Calibri" w:hAnsi="Calibri"/>
                <w:b w:val="0"/>
                <w:i w:val="0"/>
                <w:color w:val="212121"/>
                <w:sz w:val="19"/>
              </w:rPr>
              <w:t>Obesity both predisposes to asthma and defines a harder-to-treat phenotype through reduced lung volumes, mechanical loading and adipokine-driven systemic inflammation.</w:t>
            </w:r>
          </w:p>
          <w:p>
            <w:pPr>
              <w:spacing w:after="40" w:before="60" w:line="259" w:lineRule="auto"/>
            </w:pPr>
            <w:r>
              <w:rPr>
                <w:rFonts w:ascii="Calibri" w:hAnsi="Calibri"/>
                <w:b w:val="0"/>
                <w:i w:val="0"/>
                <w:color w:val="212121"/>
                <w:sz w:val="19"/>
              </w:rPr>
              <w:t>Obesity raises incident-asthma odds by roughly 92% (OR 1.92) versus normal weight, with a dose-response across BMI categories.</w:t>
            </w:r>
          </w:p>
          <w:p>
            <w:pPr>
              <w:spacing w:after="40" w:line="252" w:lineRule="auto"/>
            </w:pPr>
            <w:hyperlink r:id="rId12">
              <w:r>
                <w:rPr>
                  <w:rFonts w:ascii="Calibri" w:hAnsi="Calibri" w:cs="Calibri"/>
                  <w:sz w:val="18"/>
                  <w:color w:val="1155CC"/>
                  <w:u w:val="single"/>
                </w:rPr>
                <w:t xml:space="preserve">pubmed.ncbi.nlm.nih.gov/17234901 — obesity &amp; incident asthma</w:t>
              </w:r>
            </w:hyperlink>
          </w:p>
          <w:p>
            <w:pPr>
              <w:spacing w:before="60" w:after="40"/>
            </w:pPr>
            <w:r>
              <w:rPr>
                <w:rFonts w:ascii="Calibri" w:hAnsi="Calibri"/>
                <w:b w:val="0"/>
                <w:i w:val="0"/>
                <w:color w:val="5A5A5A"/>
                <w:sz w:val="18"/>
              </w:rPr>
              <w:t>#obesity  #adipokines  #lowlungvolume  #difficultasthma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Gastro-oesophageal reflux</w:t>
            </w:r>
          </w:p>
        </w:tc>
        <w:tc>
          <w:tcPr>
            <w:tcW w:type="dxa" w:w="2160"/>
            <w:vAlign w:val="top"/>
          </w:tcPr>
          <w:p>
            <w:pPr>
              <w:spacing w:after="40" w:before="0" w:line="259" w:lineRule="auto"/>
            </w:pPr>
            <w:r>
              <w:rPr>
                <w:rFonts w:ascii="Calibri" w:hAnsi="Calibri"/>
                <w:b w:val="0"/>
                <w:i w:val="0"/>
                <w:color w:val="212121"/>
                <w:sz w:val="19"/>
              </w:rPr>
              <w:t>Patients with GERD</w:t>
            </w:r>
          </w:p>
        </w:tc>
        <w:tc>
          <w:tcPr>
            <w:tcW w:type="dxa" w:w="4276"/>
            <w:vAlign w:val="top"/>
          </w:tcPr>
          <w:p>
            <w:pPr>
              <w:spacing w:after="60" w:line="259" w:lineRule="auto"/>
            </w:pPr>
            <w:r>
              <w:rPr>
                <w:rFonts w:ascii="Calibri" w:hAnsi="Calibri"/>
                <w:b w:val="0"/>
                <w:i w:val="0"/>
                <w:color w:val="212121"/>
                <w:sz w:val="19"/>
              </w:rPr>
              <w:t>Reflux can trigger and sustain asthma via micro-aspiration of acid and a vagally-mediated bronchoconstrictor reflex, while asthma and its treatment can in turn worsen reflux; GERD is a common, often silent contributor to poor control.</w:t>
            </w:r>
          </w:p>
          <w:p>
            <w:pPr>
              <w:spacing w:after="40" w:before="60" w:line="259" w:lineRule="auto"/>
            </w:pPr>
            <w:r>
              <w:rPr>
                <w:rFonts w:ascii="Calibri" w:hAnsi="Calibri"/>
                <w:b w:val="0"/>
                <w:i w:val="0"/>
                <w:color w:val="212121"/>
                <w:sz w:val="19"/>
              </w:rPr>
              <w:t>GERD is a frequently under-recognised comorbidity in difficult-to-control asthma and is associated with more symptoms and worse lung function.</w:t>
            </w:r>
          </w:p>
          <w:p>
            <w:pPr>
              <w:spacing w:before="60" w:after="40"/>
            </w:pPr>
            <w:r>
              <w:rPr>
                <w:rFonts w:ascii="Calibri" w:hAnsi="Calibri"/>
                <w:b w:val="0"/>
                <w:i w:val="0"/>
                <w:color w:val="5A5A5A"/>
                <w:sz w:val="18"/>
              </w:rPr>
              <w:t>#GERD  #microaspiration  #vagalreflex  #difficultcontrol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&amp; depression</w:t>
            </w:r>
          </w:p>
        </w:tc>
        <w:tc>
          <w:tcPr>
            <w:tcW w:type="dxa" w:w="2160"/>
            <w:vAlign w:val="top"/>
          </w:tcPr>
          <w:p>
            <w:pPr>
              <w:spacing w:after="40" w:before="0" w:line="259" w:lineRule="auto"/>
            </w:pPr>
            <w:r>
              <w:rPr>
                <w:rFonts w:ascii="Calibri" w:hAnsi="Calibri"/>
                <w:b w:val="0"/>
                <w:i w:val="0"/>
                <w:color w:val="212121"/>
                <w:sz w:val="19"/>
              </w:rPr>
              <w:t>Patients with anxiety or depression</w:t>
            </w:r>
          </w:p>
        </w:tc>
        <w:tc>
          <w:tcPr>
            <w:tcW w:type="dxa" w:w="4276"/>
            <w:vAlign w:val="top"/>
          </w:tcPr>
          <w:p>
            <w:pPr>
              <w:spacing w:after="60" w:line="259" w:lineRule="auto"/>
            </w:pPr>
            <w:r>
              <w:rPr>
                <w:rFonts w:ascii="Calibri" w:hAnsi="Calibri"/>
                <w:b w:val="0"/>
                <w:i w:val="0"/>
                <w:color w:val="212121"/>
                <w:sz w:val="19"/>
              </w:rPr>
              <w:t>Psychological distress and asthma interact bidirectionally: anxiety and depression worsen symptom perception, adherence and control, while poorly controlled asthma and steroid use aggravate mood and anxiety.</w:t>
            </w:r>
          </w:p>
          <w:p>
            <w:pPr>
              <w:spacing w:after="40" w:before="60" w:line="259" w:lineRule="auto"/>
            </w:pPr>
            <w:r>
              <w:rPr>
                <w:rFonts w:ascii="Calibri" w:hAnsi="Calibri"/>
                <w:b w:val="0"/>
                <w:i w:val="0"/>
                <w:color w:val="212121"/>
                <w:sz w:val="19"/>
              </w:rPr>
              <w:t>A meta-analysis found anxiety symptoms in about 32% and anxiety disorders in about 24% of adults with asthma — roughly twice the rate in non-asthmatic controls.</w:t>
            </w:r>
          </w:p>
          <w:p>
            <w:pPr>
              <w:spacing w:after="40" w:line="252" w:lineRule="auto"/>
            </w:pPr>
            <w:hyperlink r:id="rId15">
              <w:r>
                <w:rPr>
                  <w:rFonts w:ascii="Calibri" w:hAnsi="Calibri" w:cs="Calibri"/>
                  <w:sz w:val="18"/>
                  <w:color w:val="1155CC"/>
                  <w:u w:val="single"/>
                </w:rPr>
                <w:t xml:space="preserve">cambridge.org — anxiety in asthma meta-analysis</w:t>
              </w:r>
            </w:hyperlink>
          </w:p>
          <w:p>
            <w:pPr>
              <w:spacing w:before="60" w:after="40"/>
            </w:pPr>
            <w:r>
              <w:rPr>
                <w:rFonts w:ascii="Calibri" w:hAnsi="Calibri"/>
                <w:b w:val="0"/>
                <w:i w:val="0"/>
                <w:color w:val="5A5A5A"/>
                <w:sz w:val="18"/>
              </w:rPr>
              <w:t>#anxiety  #depression  #symptomperception  #adherence  #bidirectional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aerobic training improves asthma control, symptoms and quality of life and reduces breathlessness, whereas inactivity and obesity worsen control; a minority experience exercise-induced bronchoconstriction that is manageable with pre-treatment and warm-up.</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Obesity and diets low in fruit, vegetables and antioxidants are linked to more asthma and poorer control; specific food allergens and sulphite additives trigger symptoms in sensitised individuals.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Nocturnal and early-morning symptoms are hallmarks of poorly controlled asthma; comorbid obstructive sleep apnoea and poor sleep quality worsen control, and night-waking is a key marker used to grade control.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smoking increase asthma incidence and severity, accelerate lung-function decline and induce relative corticosteroid resistance; cessation improves control and treatment response.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Alcoholic drinks — especially wine and beer containing sulphites, histamine and other congeners — can provoke wheeze in sensitive individuals, but population-level effects on asthma risk are modest.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Anxiety, depression and acute stress worsen symptom perception, adherence and exacerbation risk and are about twice as common in asthma; panic and hyperventilation can mimic or trigger attacks.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keeps airway secretions loose, but a direct effect of water intake on asthma risk or control is weak and under-studied.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a weak bronchodilator (structurally related to theophylline) that can modestly improve airway function for a few hours and may need to be withheld before lung-function testing, but it is not a treatment.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Indoor-allergen and dust control (bedding, damp/mould, pets, cockroaches) reduces triggers; the 'hygiene hypothesis' also links reduced early-life microbial exposure to higher atopy and asthma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Identifiable triggers — aeroallergens, viral infections, cold air, exercise, tobacco smoke, air pollution, strong odours, NSAIDs/aspirin, beta-blockers and emotional stress — precipitate most exacerbations and are central to management.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During acute attacks patients adopt an upright, forward-leaning 'tripod' posture with accessory-muscle use to ease the work of breathing; posture does not cause asthma but reflects severity.</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overweight/obese</w:t>
            </w:r>
          </w:p>
        </w:tc>
        <w:tc>
          <w:tcPr>
            <w:tcW w:type="dxa" w:w="1512"/>
            <w:vAlign w:val="top"/>
          </w:tcPr>
          <w:p>
            <w:pPr>
              <w:spacing w:after="40" w:before="0" w:line="259" w:lineRule="auto"/>
            </w:pPr>
            <w:r>
              <w:rPr>
                <w:rFonts w:ascii="Calibri" w:hAnsi="Calibri"/>
                <w:b w:val="0"/>
                <w:i w:val="0"/>
                <w:color w:val="212121"/>
                <w:sz w:val="19"/>
              </w:rPr>
              <w:t>18.5–24.9 kg/m² (Asian-Indian ≥ 23 is overweight)</w:t>
            </w:r>
          </w:p>
        </w:tc>
        <w:tc>
          <w:tcPr>
            <w:tcW w:type="dxa" w:w="1512"/>
            <w:vAlign w:val="top"/>
          </w:tcPr>
          <w:p>
            <w:pPr>
              <w:spacing w:after="40" w:before="0" w:line="259" w:lineRule="auto"/>
            </w:pPr>
            <w:r>
              <w:rPr>
                <w:rFonts w:ascii="Calibri" w:hAnsi="Calibri"/>
                <w:b w:val="0"/>
                <w:i w:val="0"/>
                <w:color w:val="212121"/>
                <w:sz w:val="19"/>
              </w:rPr>
              <w:t>≥ 25 (overweight); ≥ 30 (obese)</w:t>
            </w:r>
          </w:p>
        </w:tc>
        <w:tc>
          <w:tcPr>
            <w:tcW w:type="dxa" w:w="1468"/>
            <w:vAlign w:val="top"/>
          </w:tcPr>
          <w:p>
            <w:pPr>
              <w:spacing w:after="60" w:line="259" w:lineRule="auto"/>
            </w:pPr>
            <w:r>
              <w:rPr>
                <w:rFonts w:ascii="Calibri" w:hAnsi="Calibri"/>
                <w:b w:val="0"/>
                <w:i w:val="0"/>
                <w:color w:val="212121"/>
                <w:sz w:val="19"/>
              </w:rPr>
              <w:t>Higher BMI worsens control and raises incident-asthma odds (OR up to 1.92)</w:t>
            </w:r>
          </w:p>
          <w:p>
            <w:pPr>
              <w:spacing w:after="40" w:line="252" w:lineRule="auto"/>
            </w:pPr>
            <w:hyperlink r:id="rId12">
              <w:r>
                <w:rPr>
                  <w:rFonts w:ascii="Calibri" w:hAnsi="Calibri" w:cs="Calibri"/>
                  <w:sz w:val="18"/>
                  <w:color w:val="1155CC"/>
                  <w:u w:val="single"/>
                </w:rPr>
                <w:t xml:space="preserve">https://pubmed.ncbi.nlm.nih.gov/17234901/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Aerobic activity (min/week)</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 150 min/week moderate activity</w:t>
            </w:r>
          </w:p>
        </w:tc>
        <w:tc>
          <w:tcPr>
            <w:tcW w:type="dxa" w:w="1512"/>
            <w:vAlign w:val="top"/>
          </w:tcPr>
          <w:p>
            <w:pPr>
              <w:spacing w:after="40" w:before="0" w:line="259" w:lineRule="auto"/>
            </w:pPr>
            <w:r>
              <w:rPr>
                <w:rFonts w:ascii="Calibri" w:hAnsi="Calibri"/>
                <w:b w:val="0"/>
                <w:i w:val="0"/>
                <w:color w:val="212121"/>
                <w:sz w:val="19"/>
              </w:rPr>
              <w:t>&lt; 150 min/week / sedentary</w:t>
            </w:r>
          </w:p>
        </w:tc>
        <w:tc>
          <w:tcPr>
            <w:tcW w:type="dxa" w:w="1468"/>
            <w:vAlign w:val="top"/>
          </w:tcPr>
          <w:p>
            <w:pPr>
              <w:spacing w:after="60" w:line="259" w:lineRule="auto"/>
            </w:pPr>
            <w:r>
              <w:rPr>
                <w:rFonts w:ascii="Calibri" w:hAnsi="Calibri"/>
                <w:b w:val="0"/>
                <w:i w:val="0"/>
                <w:color w:val="212121"/>
                <w:sz w:val="19"/>
              </w:rPr>
              <w:t>Regular training improves control and reduces breathlessness</w:t>
            </w:r>
          </w:p>
          <w:p>
            <w:pPr>
              <w:spacing w:after="40" w:line="252" w:lineRule="auto"/>
            </w:pPr>
            <w:hyperlink r:id="rId16">
              <w:r>
                <w:rPr>
                  <w:rFonts w:ascii="Calibri" w:hAnsi="Calibri" w:cs="Calibri"/>
                  <w:sz w:val="18"/>
                  <w:color w:val="1155CC"/>
                  <w:u w:val="single"/>
                </w:rPr>
                <w:t xml:space="preserve">https://www.nature.com/articles/s41598-019-48484-8</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Peak Expiratory Flow – diurnal variability</w:t>
            </w:r>
          </w:p>
        </w:tc>
        <w:tc>
          <w:tcPr>
            <w:tcW w:type="dxa" w:w="1655"/>
            <w:vAlign w:val="top"/>
          </w:tcPr>
          <w:p>
            <w:pPr>
              <w:spacing w:after="40" w:before="0" w:line="259" w:lineRule="auto"/>
            </w:pPr>
            <w:r>
              <w:rPr>
                <w:rFonts w:ascii="Calibri" w:hAnsi="Calibri"/>
                <w:b w:val="0"/>
                <w:i w:val="0"/>
                <w:color w:val="212121"/>
                <w:sz w:val="19"/>
              </w:rPr>
              <w:t>Adults, children</w:t>
            </w:r>
          </w:p>
        </w:tc>
        <w:tc>
          <w:tcPr>
            <w:tcW w:type="dxa" w:w="1512"/>
            <w:vAlign w:val="top"/>
          </w:tcPr>
          <w:p>
            <w:pPr>
              <w:spacing w:after="40" w:before="0" w:line="259" w:lineRule="auto"/>
            </w:pPr>
            <w:r>
              <w:rPr>
                <w:rFonts w:ascii="Calibri" w:hAnsi="Calibri"/>
                <w:b w:val="0"/>
                <w:i w:val="0"/>
                <w:color w:val="212121"/>
                <w:sz w:val="19"/>
              </w:rPr>
              <w:t>&lt; 10% (adults); &lt; 13% (children)</w:t>
            </w:r>
          </w:p>
        </w:tc>
        <w:tc>
          <w:tcPr>
            <w:tcW w:type="dxa" w:w="1512"/>
            <w:vAlign w:val="top"/>
          </w:tcPr>
          <w:p>
            <w:pPr>
              <w:spacing w:after="40" w:before="0" w:line="259" w:lineRule="auto"/>
            </w:pPr>
            <w:r>
              <w:rPr>
                <w:rFonts w:ascii="Calibri" w:hAnsi="Calibri"/>
                <w:b w:val="0"/>
                <w:i w:val="0"/>
                <w:color w:val="212121"/>
                <w:sz w:val="19"/>
              </w:rPr>
              <w:t>&gt; 10% (adults); &gt; 13% (children)</w:t>
            </w:r>
          </w:p>
        </w:tc>
        <w:tc>
          <w:tcPr>
            <w:tcW w:type="dxa" w:w="1468"/>
            <w:vAlign w:val="top"/>
          </w:tcPr>
          <w:p>
            <w:pPr>
              <w:spacing w:after="60" w:line="259" w:lineRule="auto"/>
            </w:pPr>
            <w:r>
              <w:rPr>
                <w:rFonts w:ascii="Calibri" w:hAnsi="Calibri"/>
                <w:b w:val="0"/>
                <w:i w:val="0"/>
                <w:color w:val="212121"/>
                <w:sz w:val="19"/>
              </w:rPr>
              <w:t>Excess PEF variability confirms variable airflow limitation</w:t>
            </w:r>
          </w:p>
          <w:p>
            <w:pPr>
              <w:spacing w:after="40" w:line="252" w:lineRule="auto"/>
            </w:pPr>
            <w:hyperlink r:id="rId17">
              <w:r>
                <w:rPr>
                  <w:rFonts w:ascii="Calibri" w:hAnsi="Calibri" w:cs="Calibri"/>
                  <w:sz w:val="18"/>
                  <w:color w:val="1155CC"/>
                  <w:u w:val="single"/>
                </w:rPr>
                <w:t xml:space="preserve">https://pmc.ncbi.nlm.nih.gov/articles/PMC9907191/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PEF vs personal best (%)</w:t>
            </w:r>
          </w:p>
        </w:tc>
        <w:tc>
          <w:tcPr>
            <w:tcW w:type="dxa" w:w="1655"/>
            <w:vAlign w:val="top"/>
          </w:tcPr>
          <w:p>
            <w:pPr>
              <w:spacing w:after="40" w:before="0" w:line="259" w:lineRule="auto"/>
            </w:pPr>
            <w:r>
              <w:rPr>
                <w:rFonts w:ascii="Calibri" w:hAnsi="Calibri"/>
                <w:b w:val="0"/>
                <w:i w:val="0"/>
                <w:color w:val="212121"/>
                <w:sz w:val="19"/>
              </w:rPr>
              <w:t>Diagnosed asthmatics (home monitoring)</w:t>
            </w:r>
          </w:p>
        </w:tc>
        <w:tc>
          <w:tcPr>
            <w:tcW w:type="dxa" w:w="1512"/>
            <w:vAlign w:val="top"/>
          </w:tcPr>
          <w:p>
            <w:pPr>
              <w:spacing w:after="40" w:before="0" w:line="259" w:lineRule="auto"/>
            </w:pPr>
            <w:r>
              <w:rPr>
                <w:rFonts w:ascii="Calibri" w:hAnsi="Calibri"/>
                <w:b w:val="0"/>
                <w:i w:val="0"/>
                <w:color w:val="212121"/>
                <w:sz w:val="19"/>
              </w:rPr>
              <w:t>&gt; 80% of personal best (green zone)</w:t>
            </w:r>
          </w:p>
        </w:tc>
        <w:tc>
          <w:tcPr>
            <w:tcW w:type="dxa" w:w="1512"/>
            <w:vAlign w:val="top"/>
          </w:tcPr>
          <w:p>
            <w:pPr>
              <w:spacing w:after="40" w:before="0" w:line="259" w:lineRule="auto"/>
            </w:pPr>
            <w:r>
              <w:rPr>
                <w:rFonts w:ascii="Calibri" w:hAnsi="Calibri"/>
                <w:b w:val="0"/>
                <w:i w:val="0"/>
                <w:color w:val="212121"/>
                <w:sz w:val="19"/>
              </w:rPr>
              <w:t>50–80% (yellow); &lt; 50% (red — emergency)</w:t>
            </w:r>
          </w:p>
        </w:tc>
        <w:tc>
          <w:tcPr>
            <w:tcW w:type="dxa" w:w="1468"/>
            <w:vAlign w:val="top"/>
          </w:tcPr>
          <w:p>
            <w:pPr>
              <w:spacing w:after="40" w:before="0" w:line="259" w:lineRule="auto"/>
            </w:pPr>
            <w:r>
              <w:rPr>
                <w:rFonts w:ascii="Calibri" w:hAnsi="Calibri"/>
                <w:b w:val="0"/>
                <w:i w:val="0"/>
                <w:color w:val="212121"/>
                <w:sz w:val="19"/>
              </w:rPr>
              <w:t>Zone-based action plans guide self-management and escalation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FeNO (exhaled nitric oxide, ppb)</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&lt; 25 ppb</w:t>
            </w:r>
          </w:p>
        </w:tc>
        <w:tc>
          <w:tcPr>
            <w:tcW w:type="dxa" w:w="1512"/>
            <w:vAlign w:val="top"/>
          </w:tcPr>
          <w:p>
            <w:pPr>
              <w:spacing w:after="40" w:before="0" w:line="259" w:lineRule="auto"/>
            </w:pPr>
            <w:r>
              <w:rPr>
                <w:rFonts w:ascii="Calibri" w:hAnsi="Calibri"/>
                <w:b w:val="0"/>
                <w:i w:val="0"/>
                <w:color w:val="212121"/>
                <w:sz w:val="19"/>
              </w:rPr>
              <w:t>≥ 25 ppb (≥ 50 = high)</w:t>
            </w:r>
          </w:p>
        </w:tc>
        <w:tc>
          <w:tcPr>
            <w:tcW w:type="dxa" w:w="1468"/>
            <w:vAlign w:val="top"/>
          </w:tcPr>
          <w:p>
            <w:pPr>
              <w:spacing w:after="60" w:line="259" w:lineRule="auto"/>
            </w:pPr>
            <w:r>
              <w:rPr>
                <w:rFonts w:ascii="Calibri" w:hAnsi="Calibri"/>
                <w:b w:val="0"/>
                <w:i w:val="0"/>
                <w:color w:val="212121"/>
                <w:sz w:val="19"/>
              </w:rPr>
              <w:t>Marks type-2/eosinophilic airway inflammation</w:t>
            </w:r>
          </w:p>
          <w:p>
            <w:pPr>
              <w:spacing w:after="40" w:line="252" w:lineRule="auto"/>
            </w:pPr>
            <w:hyperlink r:id="rId17">
              <w:r>
                <w:rPr>
                  <w:rFonts w:ascii="Calibri" w:hAnsi="Calibri" w:cs="Calibri"/>
                  <w:sz w:val="18"/>
                  <w:color w:val="1155CC"/>
                  <w:u w:val="single"/>
                </w:rPr>
                <w:t xml:space="preserve">https://pmc.ncbi.nlm.nih.gov/articles/PMC9907191/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Reliever (SABA) canisters per year</w:t>
            </w:r>
          </w:p>
        </w:tc>
        <w:tc>
          <w:tcPr>
            <w:tcW w:type="dxa" w:w="1655"/>
            <w:vAlign w:val="top"/>
          </w:tcPr>
          <w:p>
            <w:pPr>
              <w:spacing w:after="40" w:before="0" w:line="259" w:lineRule="auto"/>
            </w:pPr>
            <w:r>
              <w:rPr>
                <w:rFonts w:ascii="Calibri" w:hAnsi="Calibri"/>
                <w:b w:val="0"/>
                <w:i w:val="0"/>
                <w:color w:val="212121"/>
                <w:sz w:val="19"/>
              </w:rPr>
              <w:t>All asthmatics</w:t>
            </w:r>
          </w:p>
        </w:tc>
        <w:tc>
          <w:tcPr>
            <w:tcW w:type="dxa" w:w="1512"/>
            <w:vAlign w:val="top"/>
          </w:tcPr>
          <w:p>
            <w:pPr>
              <w:spacing w:after="40" w:before="0" w:line="259" w:lineRule="auto"/>
            </w:pPr>
            <w:r>
              <w:rPr>
                <w:rFonts w:ascii="Calibri" w:hAnsi="Calibri"/>
                <w:b w:val="0"/>
                <w:i w:val="0"/>
                <w:color w:val="212121"/>
                <w:sz w:val="19"/>
              </w:rPr>
              <w:t>0–1 canister/year</w:t>
            </w:r>
          </w:p>
        </w:tc>
        <w:tc>
          <w:tcPr>
            <w:tcW w:type="dxa" w:w="1512"/>
            <w:vAlign w:val="top"/>
          </w:tcPr>
          <w:p>
            <w:pPr>
              <w:spacing w:after="40" w:before="0" w:line="259" w:lineRule="auto"/>
            </w:pPr>
            <w:r>
              <w:rPr>
                <w:rFonts w:ascii="Calibri" w:hAnsi="Calibri"/>
                <w:b w:val="0"/>
                <w:i w:val="0"/>
                <w:color w:val="212121"/>
                <w:sz w:val="19"/>
              </w:rPr>
              <w:t>≥ 3 canisters/year (&gt; ~1.5 puffs/day)</w:t>
            </w:r>
          </w:p>
        </w:tc>
        <w:tc>
          <w:tcPr>
            <w:tcW w:type="dxa" w:w="1468"/>
            <w:vAlign w:val="top"/>
          </w:tcPr>
          <w:p>
            <w:pPr>
              <w:spacing w:after="60" w:line="259" w:lineRule="auto"/>
            </w:pPr>
            <w:r>
              <w:rPr>
                <w:rFonts w:ascii="Calibri" w:hAnsi="Calibri"/>
                <w:b w:val="0"/>
                <w:i w:val="0"/>
                <w:color w:val="212121"/>
                <w:sz w:val="19"/>
              </w:rPr>
              <w:t>High SABA use signals poor control and raises exacerbation &amp; death risk</w:t>
            </w:r>
          </w:p>
          <w:p>
            <w:pPr>
              <w:spacing w:after="40" w:line="252" w:lineRule="auto"/>
            </w:pPr>
            <w:hyperlink r:id="rId17">
              <w:r>
                <w:rPr>
                  <w:rFonts w:ascii="Calibri" w:hAnsi="Calibri" w:cs="Calibri"/>
                  <w:sz w:val="18"/>
                  <w:color w:val="1155CC"/>
                  <w:u w:val="single"/>
                </w:rPr>
                <w:t xml:space="preserve">https://pmc.ncbi.nlm.nih.gov/articles/PMC9907191/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Asthma Control Test (ACT) score</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 20 (well controlled)</w:t>
            </w:r>
          </w:p>
        </w:tc>
        <w:tc>
          <w:tcPr>
            <w:tcW w:type="dxa" w:w="1512"/>
            <w:vAlign w:val="top"/>
          </w:tcPr>
          <w:p>
            <w:pPr>
              <w:spacing w:after="40" w:before="0" w:line="259" w:lineRule="auto"/>
            </w:pPr>
            <w:r>
              <w:rPr>
                <w:rFonts w:ascii="Calibri" w:hAnsi="Calibri"/>
                <w:b w:val="0"/>
                <w:i w:val="0"/>
                <w:color w:val="212121"/>
                <w:sz w:val="19"/>
              </w:rPr>
              <w:t>&lt; 20 (not well controlled); ≤ 15 (very poor)</w:t>
            </w:r>
          </w:p>
        </w:tc>
        <w:tc>
          <w:tcPr>
            <w:tcW w:type="dxa" w:w="1468"/>
            <w:vAlign w:val="top"/>
          </w:tcPr>
          <w:p>
            <w:pPr>
              <w:spacing w:after="60" w:line="259" w:lineRule="auto"/>
            </w:pPr>
            <w:r>
              <w:rPr>
                <w:rFonts w:ascii="Calibri" w:hAnsi="Calibri"/>
                <w:b w:val="0"/>
                <w:i w:val="0"/>
                <w:color w:val="212121"/>
                <w:sz w:val="19"/>
              </w:rPr>
              <w:t>Validated control measure guiding step-up/step-down</w:t>
            </w:r>
          </w:p>
          <w:p>
            <w:pPr>
              <w:spacing w:after="40" w:line="252" w:lineRule="auto"/>
            </w:pPr>
            <w:hyperlink r:id="rId16">
              <w:r>
                <w:rPr>
                  <w:rFonts w:ascii="Calibri" w:hAnsi="Calibri" w:cs="Calibri"/>
                  <w:sz w:val="18"/>
                  <w:color w:val="1155CC"/>
                  <w:u w:val="single"/>
                </w:rPr>
                <w:t xml:space="preserve">https://www.nature.com/articles/s41598-019-48484-8</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Adolescents, adults, elderly</w:t>
            </w:r>
          </w:p>
        </w:tc>
        <w:tc>
          <w:tcPr>
            <w:tcW w:type="dxa" w:w="1512"/>
            <w:vAlign w:val="top"/>
          </w:tcPr>
          <w:p>
            <w:pPr>
              <w:spacing w:after="40" w:before="0" w:line="259" w:lineRule="auto"/>
            </w:pPr>
            <w:r>
              <w:rPr>
                <w:rFonts w:ascii="Calibri" w:hAnsi="Calibri"/>
                <w:b w:val="0"/>
                <w:i w:val="0"/>
                <w:color w:val="212121"/>
                <w:sz w:val="19"/>
              </w:rPr>
              <w:t>0 (including no second-hand smoke)</w:t>
            </w:r>
          </w:p>
        </w:tc>
        <w:tc>
          <w:tcPr>
            <w:tcW w:type="dxa" w:w="1512"/>
            <w:vAlign w:val="top"/>
          </w:tcPr>
          <w:p>
            <w:pPr>
              <w:spacing w:after="40" w:before="0" w:line="259" w:lineRule="auto"/>
            </w:pPr>
            <w:r>
              <w:rPr>
                <w:rFonts w:ascii="Calibri" w:hAnsi="Calibri"/>
                <w:b w:val="0"/>
                <w:i w:val="0"/>
                <w:color w:val="212121"/>
                <w:sz w:val="19"/>
              </w:rPr>
              <w:t>Any active or passive smoke exposure</w:t>
            </w:r>
          </w:p>
        </w:tc>
        <w:tc>
          <w:tcPr>
            <w:tcW w:type="dxa" w:w="1468"/>
            <w:vAlign w:val="top"/>
          </w:tcPr>
          <w:p>
            <w:pPr>
              <w:spacing w:after="40" w:before="0" w:line="259" w:lineRule="auto"/>
            </w:pPr>
            <w:r>
              <w:rPr>
                <w:rFonts w:ascii="Calibri" w:hAnsi="Calibri"/>
                <w:b w:val="0"/>
                <w:i w:val="0"/>
                <w:color w:val="212121"/>
                <w:sz w:val="19"/>
              </w:rPr>
              <w:t>Smoke worsens control and induces steroid resistance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Night-waking due to asthma (per week)</w:t>
            </w:r>
          </w:p>
        </w:tc>
        <w:tc>
          <w:tcPr>
            <w:tcW w:type="dxa" w:w="1655"/>
            <w:vAlign w:val="top"/>
          </w:tcPr>
          <w:p>
            <w:pPr>
              <w:spacing w:after="40" w:before="0" w:line="259" w:lineRule="auto"/>
            </w:pPr>
            <w:r>
              <w:rPr>
                <w:rFonts w:ascii="Calibri" w:hAnsi="Calibri"/>
                <w:b w:val="0"/>
                <w:i w:val="0"/>
                <w:color w:val="212121"/>
                <w:sz w:val="19"/>
              </w:rPr>
              <w:t>All asthmatics</w:t>
            </w:r>
          </w:p>
        </w:tc>
        <w:tc>
          <w:tcPr>
            <w:tcW w:type="dxa" w:w="1512"/>
            <w:vAlign w:val="top"/>
          </w:tcPr>
          <w:p>
            <w:pPr>
              <w:spacing w:after="40" w:before="0" w:line="259" w:lineRule="auto"/>
            </w:pPr>
            <w:r>
              <w:rPr>
                <w:rFonts w:ascii="Calibri" w:hAnsi="Calibri"/>
                <w:b w:val="0"/>
                <w:i w:val="0"/>
                <w:color w:val="212121"/>
                <w:sz w:val="19"/>
              </w:rPr>
              <w:t>0 nights/week</w:t>
            </w:r>
          </w:p>
        </w:tc>
        <w:tc>
          <w:tcPr>
            <w:tcW w:type="dxa" w:w="1512"/>
            <w:vAlign w:val="top"/>
          </w:tcPr>
          <w:p>
            <w:pPr>
              <w:spacing w:after="40" w:before="0" w:line="259" w:lineRule="auto"/>
            </w:pPr>
            <w:r>
              <w:rPr>
                <w:rFonts w:ascii="Calibri" w:hAnsi="Calibri"/>
                <w:b w:val="0"/>
                <w:i w:val="0"/>
                <w:color w:val="212121"/>
                <w:sz w:val="19"/>
              </w:rPr>
              <w:t>≥ 1 night/week</w:t>
            </w:r>
          </w:p>
        </w:tc>
        <w:tc>
          <w:tcPr>
            <w:tcW w:type="dxa" w:w="1468"/>
            <w:vAlign w:val="top"/>
          </w:tcPr>
          <w:p>
            <w:pPr>
              <w:spacing w:after="60" w:line="259" w:lineRule="auto"/>
            </w:pPr>
            <w:r>
              <w:rPr>
                <w:rFonts w:ascii="Calibri" w:hAnsi="Calibri"/>
                <w:b w:val="0"/>
                <w:i w:val="0"/>
                <w:color w:val="212121"/>
                <w:sz w:val="19"/>
              </w:rPr>
              <w:t>Nocturnal waking indicates uncontrolled asthma</w:t>
            </w:r>
          </w:p>
          <w:p>
            <w:pPr>
              <w:spacing w:after="40" w:line="252" w:lineRule="auto"/>
            </w:pPr>
            <w:hyperlink r:id="rId17">
              <w:r>
                <w:rPr>
                  <w:rFonts w:ascii="Calibri" w:hAnsi="Calibri" w:cs="Calibri"/>
                  <w:sz w:val="18"/>
                  <w:color w:val="1155CC"/>
                  <w:u w:val="single"/>
                </w:rPr>
                <w:t xml:space="preserve">https://pmc.ncbi.nlm.nih.gov/articles/PMC9907191/</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Anxiety/depression screen (e.g. GAD-7 / PHQ-9)</w:t>
            </w:r>
          </w:p>
        </w:tc>
        <w:tc>
          <w:tcPr>
            <w:tcW w:type="dxa" w:w="1655"/>
            <w:vAlign w:val="top"/>
          </w:tcPr>
          <w:p>
            <w:pPr>
              <w:spacing w:after="40" w:before="0" w:line="259" w:lineRule="auto"/>
            </w:pPr>
            <w:r>
              <w:rPr>
                <w:rFonts w:ascii="Calibri" w:hAnsi="Calibri"/>
                <w:b w:val="0"/>
                <w:i w:val="0"/>
                <w:color w:val="212121"/>
                <w:sz w:val="19"/>
              </w:rPr>
              <w:t>Adults with asthma</w:t>
            </w:r>
          </w:p>
        </w:tc>
        <w:tc>
          <w:tcPr>
            <w:tcW w:type="dxa" w:w="1512"/>
            <w:vAlign w:val="top"/>
          </w:tcPr>
          <w:p>
            <w:pPr>
              <w:spacing w:after="40" w:before="0" w:line="259" w:lineRule="auto"/>
            </w:pPr>
            <w:r>
              <w:rPr>
                <w:rFonts w:ascii="Calibri" w:hAnsi="Calibri"/>
                <w:b w:val="0"/>
                <w:i w:val="0"/>
                <w:color w:val="212121"/>
                <w:sz w:val="19"/>
              </w:rPr>
              <w:t>Below clinical threshold</w:t>
            </w:r>
          </w:p>
        </w:tc>
        <w:tc>
          <w:tcPr>
            <w:tcW w:type="dxa" w:w="1512"/>
            <w:vAlign w:val="top"/>
          </w:tcPr>
          <w:p>
            <w:pPr>
              <w:spacing w:after="40" w:before="0" w:line="259" w:lineRule="auto"/>
            </w:pPr>
            <w:r>
              <w:rPr>
                <w:rFonts w:ascii="Calibri" w:hAnsi="Calibri"/>
                <w:b w:val="0"/>
                <w:i w:val="0"/>
                <w:color w:val="212121"/>
                <w:sz w:val="19"/>
              </w:rPr>
              <w:t>Above threshold (screen positive)</w:t>
            </w:r>
          </w:p>
        </w:tc>
        <w:tc>
          <w:tcPr>
            <w:tcW w:type="dxa" w:w="1468"/>
            <w:vAlign w:val="top"/>
          </w:tcPr>
          <w:p>
            <w:pPr>
              <w:spacing w:after="60" w:line="259" w:lineRule="auto"/>
            </w:pPr>
            <w:r>
              <w:rPr>
                <w:rFonts w:ascii="Calibri" w:hAnsi="Calibri"/>
                <w:b w:val="0"/>
                <w:i w:val="0"/>
                <w:color w:val="212121"/>
                <w:sz w:val="19"/>
              </w:rPr>
              <w:t>Anxiety affects ~32% and worsens control and adherence</w:t>
            </w:r>
          </w:p>
          <w:p>
            <w:pPr>
              <w:spacing w:after="40" w:line="252" w:lineRule="auto"/>
            </w:pPr>
            <w:hyperlink r:id="rId15">
              <w:r>
                <w:rPr>
                  <w:rFonts w:ascii="Calibri" w:hAnsi="Calibri" w:cs="Calibri"/>
                  <w:sz w:val="18"/>
                  <w:color w:val="1155CC"/>
                  <w:u w:val="single"/>
                </w:rPr>
                <w:t xml:space="preserve">https://www.cambridge.org/core/journals/psychological-medicine/article/abs/anxiety-in-asthma-a-systematic-review-and-metaanalysis/D846B1405D4FC9971376A02C0CFE530F</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Lung function</w:t>
            </w:r>
          </w:p>
        </w:tc>
        <w:tc>
          <w:tcPr>
            <w:tcW w:type="dxa" w:w="1036"/>
            <w:vAlign w:val="top"/>
          </w:tcPr>
          <w:p>
            <w:pPr>
              <w:spacing w:after="40" w:before="0" w:line="259" w:lineRule="auto"/>
            </w:pPr>
            <w:r>
              <w:rPr>
                <w:rFonts w:ascii="Calibri" w:hAnsi="Calibri"/>
                <w:b w:val="0"/>
                <w:i w:val="0"/>
                <w:color w:val="212121"/>
                <w:sz w:val="16"/>
              </w:rPr>
              <w:t>FEV1, FVC, FEV1/FVC + bronchodilator reversibility</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FEV1/FVC &gt; 0.75–0.80 (adults); &gt; 0.90 (children)</w:t>
            </w:r>
          </w:p>
        </w:tc>
        <w:tc>
          <w:tcPr>
            <w:tcW w:type="dxa" w:w="950"/>
            <w:vAlign w:val="top"/>
          </w:tcPr>
          <w:p>
            <w:pPr>
              <w:spacing w:after="40" w:before="0" w:line="259" w:lineRule="auto"/>
            </w:pPr>
            <w:r>
              <w:rPr>
                <w:rFonts w:ascii="Calibri" w:hAnsi="Calibri"/>
                <w:b w:val="0"/>
                <w:i w:val="0"/>
                <w:color w:val="212121"/>
                <w:sz w:val="16"/>
              </w:rPr>
              <w:t>Reduced FEV1/FVC with post-bronchodilator FEV1 rise &gt; 12% and &gt; 200 mL (adults)</w:t>
            </w:r>
          </w:p>
        </w:tc>
        <w:tc>
          <w:tcPr>
            <w:tcW w:type="dxa" w:w="1036"/>
            <w:vAlign w:val="top"/>
          </w:tcPr>
          <w:p>
            <w:pPr>
              <w:spacing w:after="40" w:before="0" w:line="259" w:lineRule="auto"/>
            </w:pPr>
            <w:r>
              <w:rPr>
                <w:rFonts w:ascii="Calibri" w:hAnsi="Calibri"/>
                <w:b w:val="0"/>
                <w:i w:val="0"/>
                <w:color w:val="212121"/>
                <w:sz w:val="16"/>
              </w:rPr>
              <w:t>Confirms variable, reversible expiratory airflow limitation — the diagnostic hallmark</w:t>
            </w:r>
          </w:p>
        </w:tc>
        <w:tc>
          <w:tcPr>
            <w:tcW w:type="dxa" w:w="1036"/>
            <w:vAlign w:val="top"/>
          </w:tcPr>
          <w:p>
            <w:pPr>
              <w:spacing w:after="40" w:before="0" w:line="259" w:lineRule="auto"/>
            </w:pPr>
            <w:r>
              <w:rPr>
                <w:rFonts w:ascii="Calibri" w:hAnsi="Calibri"/>
                <w:b w:val="0"/>
                <w:i w:val="0"/>
                <w:color w:val="212121"/>
                <w:sz w:val="16"/>
              </w:rPr>
              <w:t>Adults &amp; children with suspected asthma</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Withhold bronchodilators before testing; normal spirometry does not exclude asthma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Lung function</w:t>
            </w:r>
          </w:p>
        </w:tc>
        <w:tc>
          <w:tcPr>
            <w:tcW w:type="dxa" w:w="1036"/>
            <w:vAlign w:val="top"/>
          </w:tcPr>
          <w:p>
            <w:pPr>
              <w:spacing w:after="40" w:before="0" w:line="259" w:lineRule="auto"/>
            </w:pPr>
            <w:r>
              <w:rPr>
                <w:rFonts w:ascii="Calibri" w:hAnsi="Calibri"/>
                <w:b w:val="0"/>
                <w:i w:val="0"/>
                <w:color w:val="212121"/>
                <w:sz w:val="16"/>
              </w:rPr>
              <w:t>Diurnal PEF variability</w:t>
            </w:r>
          </w:p>
        </w:tc>
        <w:tc>
          <w:tcPr>
            <w:tcW w:type="dxa" w:w="892"/>
            <w:vAlign w:val="top"/>
          </w:tcPr>
          <w:p>
            <w:pPr>
              <w:spacing w:after="40" w:before="0" w:line="259" w:lineRule="auto"/>
            </w:pPr>
            <w:r>
              <w:rPr>
                <w:rFonts w:ascii="Calibri" w:hAnsi="Calibri"/>
                <w:b w:val="0"/>
                <w:i w:val="0"/>
                <w:color w:val="212121"/>
                <w:sz w:val="16"/>
              </w:rPr>
              <w:t>Peak flow monitoring</w:t>
            </w:r>
          </w:p>
        </w:tc>
        <w:tc>
          <w:tcPr>
            <w:tcW w:type="dxa" w:w="950"/>
            <w:vAlign w:val="top"/>
          </w:tcPr>
          <w:p>
            <w:pPr>
              <w:spacing w:after="40" w:before="0" w:line="259" w:lineRule="auto"/>
            </w:pPr>
            <w:r>
              <w:rPr>
                <w:rFonts w:ascii="Calibri" w:hAnsi="Calibri"/>
                <w:b w:val="0"/>
                <w:i w:val="0"/>
                <w:color w:val="212121"/>
                <w:sz w:val="16"/>
              </w:rPr>
              <w:t>Variability &lt; 10% (adults)</w:t>
            </w:r>
          </w:p>
        </w:tc>
        <w:tc>
          <w:tcPr>
            <w:tcW w:type="dxa" w:w="950"/>
            <w:vAlign w:val="top"/>
          </w:tcPr>
          <w:p>
            <w:pPr>
              <w:spacing w:after="40" w:before="0" w:line="259" w:lineRule="auto"/>
            </w:pPr>
            <w:r>
              <w:rPr>
                <w:rFonts w:ascii="Calibri" w:hAnsi="Calibri"/>
                <w:b w:val="0"/>
                <w:i w:val="0"/>
                <w:color w:val="212121"/>
                <w:sz w:val="16"/>
              </w:rPr>
              <w:t>Variability &gt; 10% (adults); &gt; 13% (children)</w:t>
            </w:r>
          </w:p>
        </w:tc>
        <w:tc>
          <w:tcPr>
            <w:tcW w:type="dxa" w:w="1036"/>
            <w:vAlign w:val="top"/>
          </w:tcPr>
          <w:p>
            <w:pPr>
              <w:spacing w:after="40" w:before="0" w:line="259" w:lineRule="auto"/>
            </w:pPr>
            <w:r>
              <w:rPr>
                <w:rFonts w:ascii="Calibri" w:hAnsi="Calibri"/>
                <w:b w:val="0"/>
                <w:i w:val="0"/>
                <w:color w:val="212121"/>
                <w:sz w:val="16"/>
              </w:rPr>
              <w:t>Documents day-to-day variable airflow limitation; supports home monitoring &amp; action plans</w:t>
            </w:r>
          </w:p>
        </w:tc>
        <w:tc>
          <w:tcPr>
            <w:tcW w:type="dxa" w:w="1036"/>
            <w:vAlign w:val="top"/>
          </w:tcPr>
          <w:p>
            <w:pPr>
              <w:spacing w:after="40" w:before="0" w:line="259" w:lineRule="auto"/>
            </w:pPr>
            <w:r>
              <w:rPr>
                <w:rFonts w:ascii="Calibri" w:hAnsi="Calibri"/>
                <w:b w:val="0"/>
                <w:i w:val="0"/>
                <w:color w:val="212121"/>
                <w:sz w:val="16"/>
              </w:rPr>
              <w:t>Diagnosed &amp; suspected asthmatics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&amp; monitoring</w:t>
            </w:r>
          </w:p>
        </w:tc>
        <w:tc>
          <w:tcPr>
            <w:tcW w:type="dxa" w:w="720"/>
            <w:vAlign w:val="top"/>
          </w:tcPr>
          <w:p>
            <w:pPr>
              <w:spacing w:after="40" w:before="0" w:line="259" w:lineRule="auto"/>
            </w:pPr>
            <w:r>
              <w:rPr>
                <w:rFonts w:ascii="Calibri" w:hAnsi="Calibri"/>
                <w:b w:val="0"/>
                <w:i w:val="0"/>
                <w:color w:val="212121"/>
                <w:sz w:val="16"/>
              </w:rPr>
              <w:t>Twice-daily readings over 1–2 weeks; effort-dependent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Airway inflammation</w:t>
            </w:r>
          </w:p>
        </w:tc>
        <w:tc>
          <w:tcPr>
            <w:tcW w:type="dxa" w:w="1036"/>
            <w:vAlign w:val="top"/>
          </w:tcPr>
          <w:p>
            <w:pPr>
              <w:spacing w:after="40" w:before="0" w:line="259" w:lineRule="auto"/>
            </w:pPr>
            <w:r>
              <w:rPr>
                <w:rFonts w:ascii="Calibri" w:hAnsi="Calibri"/>
                <w:b w:val="0"/>
                <w:i w:val="0"/>
                <w:color w:val="212121"/>
                <w:sz w:val="16"/>
              </w:rPr>
              <w:t>Fractional exhaled nitric oxide (FeNO)</w:t>
            </w:r>
          </w:p>
        </w:tc>
        <w:tc>
          <w:tcPr>
            <w:tcW w:type="dxa" w:w="892"/>
            <w:vAlign w:val="top"/>
          </w:tcPr>
          <w:p>
            <w:pPr>
              <w:spacing w:after="40" w:before="0" w:line="259" w:lineRule="auto"/>
            </w:pPr>
            <w:r>
              <w:rPr>
                <w:rFonts w:ascii="Calibri" w:hAnsi="Calibri"/>
                <w:b w:val="0"/>
                <w:i w:val="0"/>
                <w:color w:val="212121"/>
                <w:sz w:val="16"/>
              </w:rPr>
              <w:t>FeNO test</w:t>
            </w:r>
          </w:p>
        </w:tc>
        <w:tc>
          <w:tcPr>
            <w:tcW w:type="dxa" w:w="950"/>
            <w:vAlign w:val="top"/>
          </w:tcPr>
          <w:p>
            <w:pPr>
              <w:spacing w:after="40" w:before="0" w:line="259" w:lineRule="auto"/>
            </w:pPr>
            <w:r>
              <w:rPr>
                <w:rFonts w:ascii="Calibri" w:hAnsi="Calibri"/>
                <w:b w:val="0"/>
                <w:i w:val="0"/>
                <w:color w:val="212121"/>
                <w:sz w:val="16"/>
              </w:rPr>
              <w:t>&lt; 25 ppb</w:t>
            </w:r>
          </w:p>
        </w:tc>
        <w:tc>
          <w:tcPr>
            <w:tcW w:type="dxa" w:w="950"/>
            <w:vAlign w:val="top"/>
          </w:tcPr>
          <w:p>
            <w:pPr>
              <w:spacing w:after="40" w:before="0" w:line="259" w:lineRule="auto"/>
            </w:pPr>
            <w:r>
              <w:rPr>
                <w:rFonts w:ascii="Calibri" w:hAnsi="Calibri"/>
                <w:b w:val="0"/>
                <w:i w:val="0"/>
                <w:color w:val="212121"/>
                <w:sz w:val="16"/>
              </w:rPr>
              <w:t>≥ 25 ppb (≥ 50 ppb high)</w:t>
            </w:r>
          </w:p>
        </w:tc>
        <w:tc>
          <w:tcPr>
            <w:tcW w:type="dxa" w:w="1036"/>
            <w:vAlign w:val="top"/>
          </w:tcPr>
          <w:p>
            <w:pPr>
              <w:spacing w:after="40" w:before="0" w:line="259" w:lineRule="auto"/>
            </w:pPr>
            <w:r>
              <w:rPr>
                <w:rFonts w:ascii="Calibri" w:hAnsi="Calibri"/>
                <w:b w:val="0"/>
                <w:i w:val="0"/>
                <w:color w:val="212121"/>
                <w:sz w:val="16"/>
              </w:rPr>
              <w:t>Indicates type-2/eosinophilic inflammation and likely ICS responsiveness</w:t>
            </w:r>
          </w:p>
        </w:tc>
        <w:tc>
          <w:tcPr>
            <w:tcW w:type="dxa" w:w="1036"/>
            <w:vAlign w:val="top"/>
          </w:tcPr>
          <w:p>
            <w:pPr>
              <w:spacing w:after="40" w:before="0" w:line="259" w:lineRule="auto"/>
            </w:pPr>
            <w:r>
              <w:rPr>
                <w:rFonts w:ascii="Calibri" w:hAnsi="Calibri"/>
                <w:b w:val="0"/>
                <w:i w:val="0"/>
                <w:color w:val="212121"/>
                <w:sz w:val="16"/>
              </w:rPr>
              <w:t>Adults &amp; adolescents; eosinophilic phenotype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Cannot alone confirm or exclude asthma; affected by smoking &amp; steroids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Blood eosinophil count</w:t>
            </w:r>
          </w:p>
        </w:tc>
        <w:tc>
          <w:tcPr>
            <w:tcW w:type="dxa" w:w="892"/>
            <w:vAlign w:val="top"/>
          </w:tcPr>
          <w:p>
            <w:pPr>
              <w:spacing w:after="40" w:before="0" w:line="259" w:lineRule="auto"/>
            </w:pPr>
            <w:r>
              <w:rPr>
                <w:rFonts w:ascii="Calibri" w:hAnsi="Calibri"/>
                <w:b w:val="0"/>
                <w:i w:val="0"/>
                <w:color w:val="212121"/>
                <w:sz w:val="16"/>
              </w:rPr>
              <w:t>Complete blood count with differential</w:t>
            </w:r>
          </w:p>
        </w:tc>
        <w:tc>
          <w:tcPr>
            <w:tcW w:type="dxa" w:w="950"/>
            <w:vAlign w:val="top"/>
          </w:tcPr>
          <w:p>
            <w:pPr>
              <w:spacing w:after="40" w:before="0" w:line="259" w:lineRule="auto"/>
            </w:pPr>
            <w:r>
              <w:rPr>
                <w:rFonts w:ascii="Calibri" w:hAnsi="Calibri"/>
                <w:b w:val="0"/>
                <w:i w:val="0"/>
                <w:color w:val="212121"/>
                <w:sz w:val="16"/>
              </w:rPr>
              <w:t>&lt; 300 cells/µL</w:t>
            </w:r>
          </w:p>
        </w:tc>
        <w:tc>
          <w:tcPr>
            <w:tcW w:type="dxa" w:w="950"/>
            <w:vAlign w:val="top"/>
          </w:tcPr>
          <w:p>
            <w:pPr>
              <w:spacing w:after="40" w:before="0" w:line="259" w:lineRule="auto"/>
            </w:pPr>
            <w:r>
              <w:rPr>
                <w:rFonts w:ascii="Calibri" w:hAnsi="Calibri"/>
                <w:b w:val="0"/>
                <w:i w:val="0"/>
                <w:color w:val="212121"/>
                <w:sz w:val="16"/>
              </w:rPr>
              <w:t>≥ 300 cells/µL (marked ≥ 500)</w:t>
            </w:r>
          </w:p>
        </w:tc>
        <w:tc>
          <w:tcPr>
            <w:tcW w:type="dxa" w:w="1036"/>
            <w:vAlign w:val="top"/>
          </w:tcPr>
          <w:p>
            <w:pPr>
              <w:spacing w:after="40" w:before="0" w:line="259" w:lineRule="auto"/>
            </w:pPr>
            <w:r>
              <w:rPr>
                <w:rFonts w:ascii="Calibri" w:hAnsi="Calibri"/>
                <w:b w:val="0"/>
                <w:i w:val="0"/>
                <w:color w:val="212121"/>
                <w:sz w:val="16"/>
              </w:rPr>
              <w:t>Eosinophilia supports type-2 asthma and helps select biologic/ICS therapy</w:t>
            </w:r>
          </w:p>
        </w:tc>
        <w:tc>
          <w:tcPr>
            <w:tcW w:type="dxa" w:w="1036"/>
            <w:vAlign w:val="top"/>
          </w:tcPr>
          <w:p>
            <w:pPr>
              <w:spacing w:after="40" w:before="0" w:line="259" w:lineRule="auto"/>
            </w:pPr>
            <w:r>
              <w:rPr>
                <w:rFonts w:ascii="Calibri" w:hAnsi="Calibri"/>
                <w:b w:val="0"/>
                <w:i w:val="0"/>
                <w:color w:val="212121"/>
                <w:sz w:val="16"/>
              </w:rPr>
              <w:t>Eosinophilic &amp; allergic asthma, severe asthma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phenotyping</w:t>
            </w:r>
          </w:p>
        </w:tc>
        <w:tc>
          <w:tcPr>
            <w:tcW w:type="dxa" w:w="720"/>
            <w:vAlign w:val="top"/>
          </w:tcPr>
          <w:p>
            <w:pPr>
              <w:spacing w:after="40" w:before="0" w:line="259" w:lineRule="auto"/>
            </w:pPr>
            <w:r>
              <w:rPr>
                <w:rFonts w:ascii="Calibri" w:hAnsi="Calibri"/>
                <w:b w:val="0"/>
                <w:i w:val="0"/>
                <w:color w:val="212121"/>
                <w:sz w:val="16"/>
              </w:rPr>
              <w:t>Also raised in parasitic infection &amp; ABPA — interpret in context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Allergy</w:t>
            </w:r>
          </w:p>
        </w:tc>
        <w:tc>
          <w:tcPr>
            <w:tcW w:type="dxa" w:w="1036"/>
            <w:vAlign w:val="top"/>
          </w:tcPr>
          <w:p>
            <w:pPr>
              <w:spacing w:after="40" w:before="0" w:line="259" w:lineRule="auto"/>
            </w:pPr>
            <w:r>
              <w:rPr>
                <w:rFonts w:ascii="Calibri" w:hAnsi="Calibri"/>
                <w:b w:val="0"/>
                <w:i w:val="0"/>
                <w:color w:val="212121"/>
                <w:sz w:val="16"/>
              </w:rPr>
              <w:t>Total &amp; allergen-specific IgE / skin-prick test</w:t>
            </w:r>
          </w:p>
        </w:tc>
        <w:tc>
          <w:tcPr>
            <w:tcW w:type="dxa" w:w="892"/>
            <w:vAlign w:val="top"/>
          </w:tcPr>
          <w:p>
            <w:pPr>
              <w:spacing w:after="40" w:before="0" w:line="259" w:lineRule="auto"/>
            </w:pPr>
            <w:r>
              <w:rPr>
                <w:rFonts w:ascii="Calibri" w:hAnsi="Calibri"/>
                <w:b w:val="0"/>
                <w:i w:val="0"/>
                <w:color w:val="212121"/>
                <w:sz w:val="16"/>
              </w:rPr>
              <w:t>Allergen sensitisation testing</w:t>
            </w:r>
          </w:p>
        </w:tc>
        <w:tc>
          <w:tcPr>
            <w:tcW w:type="dxa" w:w="950"/>
            <w:vAlign w:val="top"/>
          </w:tcPr>
          <w:p>
            <w:pPr>
              <w:spacing w:after="40" w:before="0" w:line="259" w:lineRule="auto"/>
            </w:pPr>
            <w:r>
              <w:rPr>
                <w:rFonts w:ascii="Calibri" w:hAnsi="Calibri"/>
                <w:b w:val="0"/>
                <w:i w:val="0"/>
                <w:color w:val="212121"/>
                <w:sz w:val="16"/>
              </w:rPr>
              <w:t>No specific sensitisation</w:t>
            </w:r>
          </w:p>
        </w:tc>
        <w:tc>
          <w:tcPr>
            <w:tcW w:type="dxa" w:w="950"/>
            <w:vAlign w:val="top"/>
          </w:tcPr>
          <w:p>
            <w:pPr>
              <w:spacing w:after="40" w:before="0" w:line="259" w:lineRule="auto"/>
            </w:pPr>
            <w:r>
              <w:rPr>
                <w:rFonts w:ascii="Calibri" w:hAnsi="Calibri"/>
                <w:b w:val="0"/>
                <w:i w:val="0"/>
                <w:color w:val="212121"/>
                <w:sz w:val="16"/>
              </w:rPr>
              <w:t>Positive specific IgE / wheal to aeroallergens</w:t>
            </w:r>
          </w:p>
        </w:tc>
        <w:tc>
          <w:tcPr>
            <w:tcW w:type="dxa" w:w="1036"/>
            <w:vAlign w:val="top"/>
          </w:tcPr>
          <w:p>
            <w:pPr>
              <w:spacing w:after="40" w:before="0" w:line="259" w:lineRule="auto"/>
            </w:pPr>
            <w:r>
              <w:rPr>
                <w:rFonts w:ascii="Calibri" w:hAnsi="Calibri"/>
                <w:b w:val="0"/>
                <w:i w:val="0"/>
                <w:color w:val="212121"/>
                <w:sz w:val="16"/>
              </w:rPr>
              <w:t>Confirms atopic (allergic) phenotype and identifies triggers for avoidance/immunotherapy</w:t>
            </w:r>
          </w:p>
        </w:tc>
        <w:tc>
          <w:tcPr>
            <w:tcW w:type="dxa" w:w="1036"/>
            <w:vAlign w:val="top"/>
          </w:tcPr>
          <w:p>
            <w:pPr>
              <w:spacing w:after="40" w:before="0" w:line="259" w:lineRule="auto"/>
            </w:pPr>
            <w:r>
              <w:rPr>
                <w:rFonts w:ascii="Calibri" w:hAnsi="Calibri"/>
                <w:b w:val="0"/>
                <w:i w:val="0"/>
                <w:color w:val="212121"/>
                <w:sz w:val="16"/>
              </w:rPr>
              <w:t>Allergic asthma, coexisting rhinitis/eczema</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Phenotyping</w:t>
            </w:r>
          </w:p>
        </w:tc>
        <w:tc>
          <w:tcPr>
            <w:tcW w:type="dxa" w:w="720"/>
            <w:vAlign w:val="top"/>
          </w:tcPr>
          <w:p>
            <w:pPr>
              <w:spacing w:after="40" w:before="0" w:line="259" w:lineRule="auto"/>
            </w:pPr>
            <w:r>
              <w:rPr>
                <w:rFonts w:ascii="Calibri" w:hAnsi="Calibri"/>
                <w:b w:val="0"/>
                <w:i w:val="0"/>
                <w:color w:val="212121"/>
                <w:sz w:val="16"/>
              </w:rPr>
              <w:t>Very high IgE with Aspergillus sensitisation suggests ABPA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radiograph</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Normal or mild hyperinflation</w:t>
            </w:r>
          </w:p>
        </w:tc>
        <w:tc>
          <w:tcPr>
            <w:tcW w:type="dxa" w:w="950"/>
            <w:vAlign w:val="top"/>
          </w:tcPr>
          <w:p>
            <w:pPr>
              <w:spacing w:after="40" w:before="0" w:line="259" w:lineRule="auto"/>
            </w:pPr>
            <w:r>
              <w:rPr>
                <w:rFonts w:ascii="Calibri" w:hAnsi="Calibri"/>
                <w:b w:val="0"/>
                <w:i w:val="0"/>
                <w:color w:val="212121"/>
                <w:sz w:val="16"/>
              </w:rPr>
              <w:t>Hyperinflation; focal changes suggest an alternative/complication</w:t>
            </w:r>
          </w:p>
        </w:tc>
        <w:tc>
          <w:tcPr>
            <w:tcW w:type="dxa" w:w="1036"/>
            <w:vAlign w:val="top"/>
          </w:tcPr>
          <w:p>
            <w:pPr>
              <w:spacing w:after="40" w:before="0" w:line="259" w:lineRule="auto"/>
            </w:pPr>
            <w:r>
              <w:rPr>
                <w:rFonts w:ascii="Calibri" w:hAnsi="Calibri"/>
                <w:b w:val="0"/>
                <w:i w:val="0"/>
                <w:color w:val="212121"/>
                <w:sz w:val="16"/>
              </w:rPr>
              <w:t>Not diagnostic for asthma but excludes mimics (pneumonia, foreign body, cardiac, mass) and detects complications</w:t>
            </w:r>
          </w:p>
        </w:tc>
        <w:tc>
          <w:tcPr>
            <w:tcW w:type="dxa" w:w="1036"/>
            <w:vAlign w:val="top"/>
          </w:tcPr>
          <w:p>
            <w:pPr>
              <w:spacing w:after="40" w:before="0" w:line="259" w:lineRule="auto"/>
            </w:pPr>
            <w:r>
              <w:rPr>
                <w:rFonts w:ascii="Calibri" w:hAnsi="Calibri"/>
                <w:b w:val="0"/>
                <w:i w:val="0"/>
                <w:color w:val="212121"/>
                <w:sz w:val="16"/>
              </w:rPr>
              <w:t>Atypical presentation, severe/first attack, diagnostic doubt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Reserve for uncertain diagnosis or severe/complicated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Acute assessment</w:t>
            </w:r>
          </w:p>
        </w:tc>
        <w:tc>
          <w:tcPr>
            <w:tcW w:type="dxa" w:w="1036"/>
            <w:vAlign w:val="top"/>
          </w:tcPr>
          <w:p>
            <w:pPr>
              <w:spacing w:after="40" w:before="0" w:line="259" w:lineRule="auto"/>
            </w:pPr>
            <w:r>
              <w:rPr>
                <w:rFonts w:ascii="Calibri" w:hAnsi="Calibri"/>
                <w:b w:val="0"/>
                <w:i w:val="0"/>
                <w:color w:val="212121"/>
                <w:sz w:val="16"/>
              </w:rPr>
              <w:t>Arterial blood gas / SpO2</w:t>
            </w:r>
          </w:p>
        </w:tc>
        <w:tc>
          <w:tcPr>
            <w:tcW w:type="dxa" w:w="892"/>
            <w:vAlign w:val="top"/>
          </w:tcPr>
          <w:p>
            <w:pPr>
              <w:spacing w:after="40" w:before="0" w:line="259" w:lineRule="auto"/>
            </w:pPr>
            <w:r>
              <w:rPr>
                <w:rFonts w:ascii="Calibri" w:hAnsi="Calibri"/>
                <w:b w:val="0"/>
                <w:i w:val="0"/>
                <w:color w:val="212121"/>
                <w:sz w:val="16"/>
              </w:rPr>
              <w:t>Pulse oximetry &amp; ABG</w:t>
            </w:r>
          </w:p>
        </w:tc>
        <w:tc>
          <w:tcPr>
            <w:tcW w:type="dxa" w:w="950"/>
            <w:vAlign w:val="top"/>
          </w:tcPr>
          <w:p>
            <w:pPr>
              <w:spacing w:after="40" w:before="0" w:line="259" w:lineRule="auto"/>
            </w:pPr>
            <w:r>
              <w:rPr>
                <w:rFonts w:ascii="Calibri" w:hAnsi="Calibri"/>
                <w:b w:val="0"/>
                <w:i w:val="0"/>
                <w:color w:val="212121"/>
                <w:sz w:val="16"/>
              </w:rPr>
              <w:t>SpO2 ≥ 95%; normal/low PaCO2 in mild attack</w:t>
            </w:r>
          </w:p>
        </w:tc>
        <w:tc>
          <w:tcPr>
            <w:tcW w:type="dxa" w:w="950"/>
            <w:vAlign w:val="top"/>
          </w:tcPr>
          <w:p>
            <w:pPr>
              <w:spacing w:after="40" w:before="0" w:line="259" w:lineRule="auto"/>
            </w:pPr>
            <w:r>
              <w:rPr>
                <w:rFonts w:ascii="Calibri" w:hAnsi="Calibri"/>
                <w:b w:val="0"/>
                <w:i w:val="0"/>
                <w:color w:val="212121"/>
                <w:sz w:val="16"/>
              </w:rPr>
              <w:t>SpO2 &lt; 92%; normalising or rising PaCO2 in a distressed patient</w:t>
            </w:r>
          </w:p>
        </w:tc>
        <w:tc>
          <w:tcPr>
            <w:tcW w:type="dxa" w:w="1036"/>
            <w:vAlign w:val="top"/>
          </w:tcPr>
          <w:p>
            <w:pPr>
              <w:spacing w:after="40" w:before="0" w:line="259" w:lineRule="auto"/>
            </w:pPr>
            <w:r>
              <w:rPr>
                <w:rFonts w:ascii="Calibri" w:hAnsi="Calibri"/>
                <w:b w:val="0"/>
                <w:i w:val="0"/>
                <w:color w:val="212121"/>
                <w:sz w:val="16"/>
              </w:rPr>
              <w:t>A 'normal' or rising CO2 during severe bronchospasm signals fatigue and impending respiratory failure</w:t>
            </w:r>
          </w:p>
        </w:tc>
        <w:tc>
          <w:tcPr>
            <w:tcW w:type="dxa" w:w="1036"/>
            <w:vAlign w:val="top"/>
          </w:tcPr>
          <w:p>
            <w:pPr>
              <w:spacing w:after="40" w:before="0" w:line="259" w:lineRule="auto"/>
            </w:pPr>
            <w:r>
              <w:rPr>
                <w:rFonts w:ascii="Calibri" w:hAnsi="Calibri"/>
                <w:b w:val="0"/>
                <w:i w:val="0"/>
                <w:color w:val="212121"/>
                <w:sz w:val="16"/>
              </w:rPr>
              <w:t>Acute severe / life-threatening asthma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in acute care</w:t>
            </w:r>
          </w:p>
        </w:tc>
        <w:tc>
          <w:tcPr>
            <w:tcW w:type="dxa" w:w="720"/>
            <w:vAlign w:val="top"/>
          </w:tcPr>
          <w:p>
            <w:pPr>
              <w:spacing w:after="40" w:before="0" w:line="259" w:lineRule="auto"/>
            </w:pPr>
            <w:r>
              <w:rPr>
                <w:rFonts w:ascii="Calibri" w:hAnsi="Calibri"/>
                <w:b w:val="0"/>
                <w:i w:val="0"/>
                <w:color w:val="212121"/>
                <w:sz w:val="16"/>
              </w:rPr>
              <w:t>Rising PaCO2 mandates urgent escalation / ICU</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Episodic wheeze, breathlessness, chest tightness, cough</w:t>
            </w:r>
          </w:p>
        </w:tc>
        <w:tc>
          <w:tcPr>
            <w:tcW w:type="dxa" w:w="950"/>
            <w:vAlign w:val="top"/>
          </w:tcPr>
          <w:p>
            <w:pPr>
              <w:spacing w:after="40" w:before="0" w:line="259" w:lineRule="auto"/>
            </w:pPr>
            <w:r>
              <w:rPr>
                <w:rFonts w:ascii="Calibri" w:hAnsi="Calibri"/>
                <w:b w:val="0"/>
                <w:i w:val="0"/>
                <w:color w:val="212121"/>
                <w:sz w:val="16"/>
              </w:rPr>
              <w:t>No episodic respiratory symptoms</w:t>
            </w:r>
          </w:p>
        </w:tc>
        <w:tc>
          <w:tcPr>
            <w:tcW w:type="dxa" w:w="950"/>
            <w:vAlign w:val="top"/>
          </w:tcPr>
          <w:p>
            <w:pPr>
              <w:spacing w:after="40" w:before="0" w:line="259" w:lineRule="auto"/>
            </w:pPr>
            <w:r>
              <w:rPr>
                <w:rFonts w:ascii="Calibri" w:hAnsi="Calibri"/>
                <w:b w:val="0"/>
                <w:i w:val="0"/>
                <w:color w:val="212121"/>
                <w:sz w:val="16"/>
              </w:rPr>
              <w:t>Recurrent symptoms varying over time, worse at night/early morning</w:t>
            </w:r>
          </w:p>
        </w:tc>
        <w:tc>
          <w:tcPr>
            <w:tcW w:type="dxa" w:w="1036"/>
            <w:vAlign w:val="top"/>
          </w:tcPr>
          <w:p>
            <w:pPr>
              <w:spacing w:after="40" w:before="0" w:line="259" w:lineRule="auto"/>
            </w:pPr>
            <w:r>
              <w:rPr>
                <w:rFonts w:ascii="Calibri" w:hAnsi="Calibri"/>
                <w:b w:val="0"/>
                <w:i w:val="0"/>
                <w:color w:val="212121"/>
                <w:sz w:val="16"/>
              </w:rPr>
              <w:t>Characteristic variable symptom pattern is the clinical cornerstone of diagnosis</w:t>
            </w:r>
          </w:p>
        </w:tc>
        <w:tc>
          <w:tcPr>
            <w:tcW w:type="dxa" w:w="1036"/>
            <w:vAlign w:val="top"/>
          </w:tcPr>
          <w:p>
            <w:pPr>
              <w:spacing w:after="40" w:before="0" w:line="259" w:lineRule="auto"/>
            </w:pPr>
            <w:r>
              <w:rPr>
                <w:rFonts w:ascii="Calibri" w:hAnsi="Calibri"/>
                <w:b w:val="0"/>
                <w:i w:val="0"/>
                <w:color w:val="212121"/>
                <w:sz w:val="16"/>
              </w:rPr>
              <w:t>All age groups with suspected asthma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Cough may be the sole symptom in cough-variant asthma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Atopy &amp; family history</w:t>
            </w:r>
          </w:p>
        </w:tc>
        <w:tc>
          <w:tcPr>
            <w:tcW w:type="dxa" w:w="979"/>
            <w:vAlign w:val="top"/>
          </w:tcPr>
          <w:p>
            <w:pPr>
              <w:spacing w:after="40" w:before="0" w:line="259" w:lineRule="auto"/>
            </w:pPr>
            <w:r>
              <w:rPr>
                <w:rFonts w:ascii="Calibri" w:hAnsi="Calibri"/>
                <w:b w:val="0"/>
                <w:i w:val="0"/>
                <w:color w:val="212121"/>
                <w:sz w:val="16"/>
              </w:rPr>
              <w:t>Personal/family asthma, allergic rhinitis, eczema</w:t>
            </w:r>
          </w:p>
        </w:tc>
        <w:tc>
          <w:tcPr>
            <w:tcW w:type="dxa" w:w="950"/>
            <w:vAlign w:val="top"/>
          </w:tcPr>
          <w:p>
            <w:pPr>
              <w:spacing w:after="40" w:before="0" w:line="259" w:lineRule="auto"/>
            </w:pPr>
            <w:r>
              <w:rPr>
                <w:rFonts w:ascii="Calibri" w:hAnsi="Calibri"/>
                <w:b w:val="0"/>
                <w:i w:val="0"/>
                <w:color w:val="212121"/>
                <w:sz w:val="16"/>
              </w:rPr>
              <w:t>No personal or family atopy</w:t>
            </w:r>
          </w:p>
        </w:tc>
        <w:tc>
          <w:tcPr>
            <w:tcW w:type="dxa" w:w="950"/>
            <w:vAlign w:val="top"/>
          </w:tcPr>
          <w:p>
            <w:pPr>
              <w:spacing w:after="40" w:before="0" w:line="259" w:lineRule="auto"/>
            </w:pPr>
            <w:r>
              <w:rPr>
                <w:rFonts w:ascii="Calibri" w:hAnsi="Calibri"/>
                <w:b w:val="0"/>
                <w:i w:val="0"/>
                <w:color w:val="212121"/>
                <w:sz w:val="16"/>
              </w:rPr>
              <w:t>Personal atopy or first-degree relative with asthma/atopy</w:t>
            </w:r>
          </w:p>
        </w:tc>
        <w:tc>
          <w:tcPr>
            <w:tcW w:type="dxa" w:w="1036"/>
            <w:vAlign w:val="top"/>
          </w:tcPr>
          <w:p>
            <w:pPr>
              <w:spacing w:after="40" w:before="0" w:line="259" w:lineRule="auto"/>
            </w:pPr>
            <w:r>
              <w:rPr>
                <w:rFonts w:ascii="Calibri" w:hAnsi="Calibri"/>
                <w:b w:val="0"/>
                <w:i w:val="0"/>
                <w:color w:val="212121"/>
                <w:sz w:val="16"/>
              </w:rPr>
              <w:t>Atopic background raises pre-test probability and defines the allergic phenotype</w:t>
            </w:r>
          </w:p>
        </w:tc>
        <w:tc>
          <w:tcPr>
            <w:tcW w:type="dxa" w:w="1036"/>
            <w:vAlign w:val="top"/>
          </w:tcPr>
          <w:p>
            <w:pPr>
              <w:spacing w:after="40" w:before="0" w:line="259" w:lineRule="auto"/>
            </w:pPr>
            <w:r>
              <w:rPr>
                <w:rFonts w:ascii="Calibri" w:hAnsi="Calibri"/>
                <w:b w:val="0"/>
                <w:i w:val="0"/>
                <w:color w:val="212121"/>
                <w:sz w:val="16"/>
              </w:rPr>
              <w:t>Children, allergic asthma, coexisting rhinitis/eczema</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Prognostic / phenotyping</w:t>
            </w:r>
          </w:p>
        </w:tc>
        <w:tc>
          <w:tcPr>
            <w:tcW w:type="dxa" w:w="720"/>
            <w:vAlign w:val="top"/>
          </w:tcPr>
          <w:p>
            <w:pPr>
              <w:spacing w:after="40" w:before="0" w:line="259" w:lineRule="auto"/>
            </w:pPr>
            <w:r>
              <w:rPr>
                <w:rFonts w:ascii="Calibri" w:hAnsi="Calibri"/>
                <w:b w:val="0"/>
                <w:i w:val="0"/>
                <w:color w:val="212121"/>
                <w:sz w:val="16"/>
              </w:rPr>
              <w:t>Ask about the 'atopic march' sequence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&amp; exposure history</w:t>
            </w:r>
          </w:p>
        </w:tc>
        <w:tc>
          <w:tcPr>
            <w:tcW w:type="dxa" w:w="979"/>
            <w:vAlign w:val="top"/>
          </w:tcPr>
          <w:p>
            <w:pPr>
              <w:spacing w:after="40" w:before="0" w:line="259" w:lineRule="auto"/>
            </w:pPr>
            <w:r>
              <w:rPr>
                <w:rFonts w:ascii="Calibri" w:hAnsi="Calibri"/>
                <w:b w:val="0"/>
                <w:i w:val="0"/>
                <w:color w:val="212121"/>
                <w:sz w:val="16"/>
              </w:rPr>
              <w:t>Allergens, smoke, biomass, pollution, occupation, drugs (NSAIDs/beta-blockers)</w:t>
            </w:r>
          </w:p>
        </w:tc>
        <w:tc>
          <w:tcPr>
            <w:tcW w:type="dxa" w:w="950"/>
            <w:vAlign w:val="top"/>
          </w:tcPr>
          <w:p>
            <w:pPr>
              <w:spacing w:after="40" w:before="0" w:line="259" w:lineRule="auto"/>
            </w:pPr>
            <w:r>
              <w:rPr>
                <w:rFonts w:ascii="Calibri" w:hAnsi="Calibri"/>
                <w:b w:val="0"/>
                <w:i w:val="0"/>
                <w:color w:val="212121"/>
                <w:sz w:val="16"/>
              </w:rPr>
              <w:t>No identifiable triggers</w:t>
            </w:r>
          </w:p>
        </w:tc>
        <w:tc>
          <w:tcPr>
            <w:tcW w:type="dxa" w:w="950"/>
            <w:vAlign w:val="top"/>
          </w:tcPr>
          <w:p>
            <w:pPr>
              <w:spacing w:after="40" w:before="0" w:line="259" w:lineRule="auto"/>
            </w:pPr>
            <w:r>
              <w:rPr>
                <w:rFonts w:ascii="Calibri" w:hAnsi="Calibri"/>
                <w:b w:val="0"/>
                <w:i w:val="0"/>
                <w:color w:val="212121"/>
                <w:sz w:val="16"/>
              </w:rPr>
              <w:t>Clear symptom-trigger relationship; workplace or seasonal pattern</w:t>
            </w:r>
          </w:p>
        </w:tc>
        <w:tc>
          <w:tcPr>
            <w:tcW w:type="dxa" w:w="1036"/>
            <w:vAlign w:val="top"/>
          </w:tcPr>
          <w:p>
            <w:pPr>
              <w:spacing w:after="40" w:before="0" w:line="259" w:lineRule="auto"/>
            </w:pPr>
            <w:r>
              <w:rPr>
                <w:rFonts w:ascii="Calibri" w:hAnsi="Calibri"/>
                <w:b w:val="0"/>
                <w:i w:val="0"/>
                <w:color w:val="212121"/>
                <w:sz w:val="16"/>
              </w:rPr>
              <w:t>Identifies modifiable triggers and occupational/aspirin-exacerbated sub-types</w:t>
            </w:r>
          </w:p>
        </w:tc>
        <w:tc>
          <w:tcPr>
            <w:tcW w:type="dxa" w:w="1036"/>
            <w:vAlign w:val="top"/>
          </w:tcPr>
          <w:p>
            <w:pPr>
              <w:spacing w:after="40" w:before="0" w:line="259" w:lineRule="auto"/>
            </w:pPr>
            <w:r>
              <w:rPr>
                <w:rFonts w:ascii="Calibri" w:hAnsi="Calibri"/>
                <w:b w:val="0"/>
                <w:i w:val="0"/>
                <w:color w:val="212121"/>
                <w:sz w:val="16"/>
              </w:rPr>
              <w:t>Occupational, allergic, AERD, biomass-exposed patients</w:t>
            </w:r>
          </w:p>
        </w:tc>
        <w:tc>
          <w:tcPr>
            <w:tcW w:type="dxa" w:w="720"/>
            <w:vAlign w:val="top"/>
          </w:tcPr>
          <w:p>
            <w:pPr>
              <w:spacing w:after="40" w:before="0" w:line="259" w:lineRule="auto"/>
            </w:pPr>
            <w:r>
              <w:rPr>
                <w:rFonts w:ascii="Calibri" w:hAnsi="Calibri"/>
                <w:b w:val="0"/>
                <w:i w:val="0"/>
                <w:color w:val="212121"/>
                <w:sz w:val="16"/>
              </w:rPr>
              <w:t>Provoking factors; Smoking</w:t>
            </w:r>
          </w:p>
        </w:tc>
        <w:tc>
          <w:tcPr>
            <w:tcW w:type="dxa" w:w="720"/>
            <w:vAlign w:val="top"/>
          </w:tcPr>
          <w:p>
            <w:pPr>
              <w:spacing w:after="40" w:before="0" w:line="259" w:lineRule="auto"/>
            </w:pPr>
            <w:r>
              <w:rPr>
                <w:rFonts w:ascii="Calibri" w:hAnsi="Calibri"/>
                <w:b w:val="0"/>
                <w:i w:val="0"/>
                <w:color w:val="212121"/>
                <w:sz w:val="16"/>
              </w:rPr>
              <w:t>Management-guiding</w:t>
            </w:r>
          </w:p>
        </w:tc>
        <w:tc>
          <w:tcPr>
            <w:tcW w:type="dxa" w:w="720"/>
            <w:vAlign w:val="top"/>
          </w:tcPr>
          <w:p>
            <w:pPr>
              <w:spacing w:after="40" w:before="0" w:line="259" w:lineRule="auto"/>
            </w:pPr>
            <w:r>
              <w:rPr>
                <w:rFonts w:ascii="Calibri" w:hAnsi="Calibri"/>
                <w:b w:val="0"/>
                <w:i w:val="0"/>
                <w:color w:val="212121"/>
                <w:sz w:val="16"/>
              </w:rPr>
              <w:t>Improvement on holidays/away from work suggests occupational asthma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Chest auscultation</w:t>
            </w:r>
          </w:p>
        </w:tc>
        <w:tc>
          <w:tcPr>
            <w:tcW w:type="dxa" w:w="979"/>
            <w:vAlign w:val="top"/>
          </w:tcPr>
          <w:p>
            <w:pPr>
              <w:spacing w:after="40" w:before="0" w:line="259" w:lineRule="auto"/>
            </w:pPr>
            <w:r>
              <w:rPr>
                <w:rFonts w:ascii="Calibri" w:hAnsi="Calibri"/>
                <w:b w:val="0"/>
                <w:i w:val="0"/>
                <w:color w:val="212121"/>
                <w:sz w:val="16"/>
              </w:rPr>
              <w:t>Bilateral expiratory polyphonic wheeze / rhonchi, prolonged expiration</w:t>
            </w:r>
          </w:p>
        </w:tc>
        <w:tc>
          <w:tcPr>
            <w:tcW w:type="dxa" w:w="950"/>
            <w:vAlign w:val="top"/>
          </w:tcPr>
          <w:p>
            <w:pPr>
              <w:spacing w:after="40" w:before="0" w:line="259" w:lineRule="auto"/>
            </w:pPr>
            <w:r>
              <w:rPr>
                <w:rFonts w:ascii="Calibri" w:hAnsi="Calibri"/>
                <w:b w:val="0"/>
                <w:i w:val="0"/>
                <w:color w:val="212121"/>
                <w:sz w:val="16"/>
              </w:rPr>
              <w:t>Clear breath sounds between episodes</w:t>
            </w:r>
          </w:p>
        </w:tc>
        <w:tc>
          <w:tcPr>
            <w:tcW w:type="dxa" w:w="950"/>
            <w:vAlign w:val="top"/>
          </w:tcPr>
          <w:p>
            <w:pPr>
              <w:spacing w:after="40" w:before="0" w:line="259" w:lineRule="auto"/>
            </w:pPr>
            <w:r>
              <w:rPr>
                <w:rFonts w:ascii="Calibri" w:hAnsi="Calibri"/>
                <w:b w:val="0"/>
                <w:i w:val="0"/>
                <w:color w:val="212121"/>
                <w:sz w:val="16"/>
              </w:rPr>
              <w:t>Expiratory wheeze, prolonged expiratory phase; silent chest if severe</w:t>
            </w:r>
          </w:p>
        </w:tc>
        <w:tc>
          <w:tcPr>
            <w:tcW w:type="dxa" w:w="1036"/>
            <w:vAlign w:val="top"/>
          </w:tcPr>
          <w:p>
            <w:pPr>
              <w:spacing w:after="40" w:before="0" w:line="259" w:lineRule="auto"/>
            </w:pPr>
            <w:r>
              <w:rPr>
                <w:rFonts w:ascii="Calibri" w:hAnsi="Calibri"/>
                <w:b w:val="0"/>
                <w:i w:val="0"/>
                <w:color w:val="212121"/>
                <w:sz w:val="16"/>
              </w:rPr>
              <w:t>Supports airflow obstruction; a silent chest signals life-threatening obstruction</w:t>
            </w:r>
          </w:p>
        </w:tc>
        <w:tc>
          <w:tcPr>
            <w:tcW w:type="dxa" w:w="1036"/>
            <w:vAlign w:val="top"/>
          </w:tcPr>
          <w:p>
            <w:pPr>
              <w:spacing w:after="40" w:before="0" w:line="259" w:lineRule="auto"/>
            </w:pPr>
            <w:r>
              <w:rPr>
                <w:rFonts w:ascii="Calibri" w:hAnsi="Calibri"/>
                <w:b w:val="0"/>
                <w:i w:val="0"/>
                <w:color w:val="212121"/>
                <w:sz w:val="16"/>
              </w:rPr>
              <w:t>Symptomatic &amp; acute asthmatics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severity</w:t>
            </w:r>
          </w:p>
        </w:tc>
        <w:tc>
          <w:tcPr>
            <w:tcW w:type="dxa" w:w="720"/>
            <w:vAlign w:val="top"/>
          </w:tcPr>
          <w:p>
            <w:pPr>
              <w:spacing w:after="40" w:before="0" w:line="259" w:lineRule="auto"/>
            </w:pPr>
            <w:r>
              <w:rPr>
                <w:rFonts w:ascii="Calibri" w:hAnsi="Calibri"/>
                <w:b w:val="0"/>
                <w:i w:val="0"/>
                <w:color w:val="212121"/>
                <w:sz w:val="16"/>
              </w:rPr>
              <w:t>Chest is often normal between attacks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Control assessment</w:t>
            </w:r>
          </w:p>
        </w:tc>
        <w:tc>
          <w:tcPr>
            <w:tcW w:type="dxa" w:w="950"/>
            <w:vAlign w:val="top"/>
          </w:tcPr>
          <w:p>
            <w:pPr>
              <w:spacing w:after="40" w:before="0" w:line="259" w:lineRule="auto"/>
            </w:pPr>
            <w:r>
              <w:rPr>
                <w:rFonts w:ascii="Calibri" w:hAnsi="Calibri"/>
                <w:b w:val="0"/>
                <w:i w:val="0"/>
                <w:color w:val="212121"/>
                <w:sz w:val="16"/>
              </w:rPr>
              <w:t>Symptom-control review</w:t>
            </w:r>
          </w:p>
        </w:tc>
        <w:tc>
          <w:tcPr>
            <w:tcW w:type="dxa" w:w="979"/>
            <w:vAlign w:val="top"/>
          </w:tcPr>
          <w:p>
            <w:pPr>
              <w:spacing w:after="40" w:before="0" w:line="259" w:lineRule="auto"/>
            </w:pPr>
            <w:r>
              <w:rPr>
                <w:rFonts w:ascii="Calibri" w:hAnsi="Calibri"/>
                <w:b w:val="0"/>
                <w:i w:val="0"/>
                <w:color w:val="212121"/>
                <w:sz w:val="16"/>
              </w:rPr>
              <w:t>Daytime symptoms, night-waking, reliever use, activity limitation (ACT/GINA tool)</w:t>
            </w:r>
          </w:p>
        </w:tc>
        <w:tc>
          <w:tcPr>
            <w:tcW w:type="dxa" w:w="950"/>
            <w:vAlign w:val="top"/>
          </w:tcPr>
          <w:p>
            <w:pPr>
              <w:spacing w:after="40" w:before="0" w:line="259" w:lineRule="auto"/>
            </w:pPr>
            <w:r>
              <w:rPr>
                <w:rFonts w:ascii="Calibri" w:hAnsi="Calibri"/>
                <w:b w:val="0"/>
                <w:i w:val="0"/>
                <w:color w:val="212121"/>
                <w:sz w:val="16"/>
              </w:rPr>
              <w:t>Well controlled (ACT ≥ 20; GINA well-controlled)</w:t>
            </w:r>
          </w:p>
        </w:tc>
        <w:tc>
          <w:tcPr>
            <w:tcW w:type="dxa" w:w="950"/>
            <w:vAlign w:val="top"/>
          </w:tcPr>
          <w:p>
            <w:pPr>
              <w:spacing w:after="40" w:before="0" w:line="259" w:lineRule="auto"/>
            </w:pPr>
            <w:r>
              <w:rPr>
                <w:rFonts w:ascii="Calibri" w:hAnsi="Calibri"/>
                <w:b w:val="0"/>
                <w:i w:val="0"/>
                <w:color w:val="212121"/>
                <w:sz w:val="16"/>
              </w:rPr>
              <w:t>Partly / uncontrolled (ACT &lt; 20)</w:t>
            </w:r>
          </w:p>
        </w:tc>
        <w:tc>
          <w:tcPr>
            <w:tcW w:type="dxa" w:w="1036"/>
            <w:vAlign w:val="top"/>
          </w:tcPr>
          <w:p>
            <w:pPr>
              <w:spacing w:after="40" w:before="0" w:line="259" w:lineRule="auto"/>
            </w:pPr>
            <w:r>
              <w:rPr>
                <w:rFonts w:ascii="Calibri" w:hAnsi="Calibri"/>
                <w:b w:val="0"/>
                <w:i w:val="0"/>
                <w:color w:val="212121"/>
                <w:sz w:val="16"/>
              </w:rPr>
              <w:t>Grades control and drives step-up/step-down of therapy and exacerbation-risk assessment</w:t>
            </w:r>
          </w:p>
        </w:tc>
        <w:tc>
          <w:tcPr>
            <w:tcW w:type="dxa" w:w="1036"/>
            <w:vAlign w:val="top"/>
          </w:tcPr>
          <w:p>
            <w:pPr>
              <w:spacing w:after="40" w:before="0" w:line="259" w:lineRule="auto"/>
            </w:pPr>
            <w:r>
              <w:rPr>
                <w:rFonts w:ascii="Calibri" w:hAnsi="Calibri"/>
                <w:b w:val="0"/>
                <w:i w:val="0"/>
                <w:color w:val="212121"/>
                <w:sz w:val="16"/>
              </w:rPr>
              <w:t>All diagnosed asthmatics at every review</w:t>
            </w:r>
          </w:p>
        </w:tc>
        <w:tc>
          <w:tcPr>
            <w:tcW w:type="dxa" w:w="720"/>
            <w:vAlign w:val="top"/>
          </w:tcPr>
          <w:p>
            <w:pPr>
              <w:spacing w:after="40" w:before="0" w:line="259" w:lineRule="auto"/>
            </w:pPr>
            <w:r>
              <w:rPr>
                <w:rFonts w:ascii="Calibri" w:hAnsi="Calibri"/>
                <w:b w:val="0"/>
                <w:i w:val="0"/>
                <w:color w:val="212121"/>
                <w:sz w:val="16"/>
              </w:rPr>
              <w:t>Provoking factors; Sleep</w:t>
            </w:r>
          </w:p>
        </w:tc>
        <w:tc>
          <w:tcPr>
            <w:tcW w:type="dxa" w:w="720"/>
            <w:vAlign w:val="top"/>
          </w:tcPr>
          <w:p>
            <w:pPr>
              <w:spacing w:after="40" w:before="0" w:line="259" w:lineRule="auto"/>
            </w:pPr>
            <w:r>
              <w:rPr>
                <w:rFonts w:ascii="Calibri" w:hAnsi="Calibri"/>
                <w:b w:val="0"/>
                <w:i w:val="0"/>
                <w:color w:val="212121"/>
                <w:sz w:val="16"/>
              </w:rPr>
              <w:t>Core to ongoing care</w:t>
            </w:r>
          </w:p>
        </w:tc>
        <w:tc>
          <w:tcPr>
            <w:tcW w:type="dxa" w:w="720"/>
            <w:vAlign w:val="top"/>
          </w:tcPr>
          <w:p>
            <w:pPr>
              <w:spacing w:after="40" w:before="0" w:line="259" w:lineRule="auto"/>
            </w:pPr>
            <w:r>
              <w:rPr>
                <w:rFonts w:ascii="Calibri" w:hAnsi="Calibri"/>
                <w:b w:val="0"/>
                <w:i w:val="0"/>
                <w:color w:val="212121"/>
                <w:sz w:val="16"/>
              </w:rPr>
              <w:t>Assess over the preceding 4 weeks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Treatment review</w:t>
            </w:r>
          </w:p>
        </w:tc>
        <w:tc>
          <w:tcPr>
            <w:tcW w:type="dxa" w:w="950"/>
            <w:vAlign w:val="top"/>
          </w:tcPr>
          <w:p>
            <w:pPr>
              <w:spacing w:after="40" w:before="0" w:line="259" w:lineRule="auto"/>
            </w:pPr>
            <w:r>
              <w:rPr>
                <w:rFonts w:ascii="Calibri" w:hAnsi="Calibri"/>
                <w:b w:val="0"/>
                <w:i w:val="0"/>
                <w:color w:val="212121"/>
                <w:sz w:val="16"/>
              </w:rPr>
              <w:t>Inhaler technique, adherence &amp; comorbidity screen</w:t>
            </w:r>
          </w:p>
        </w:tc>
        <w:tc>
          <w:tcPr>
            <w:tcW w:type="dxa" w:w="979"/>
            <w:vAlign w:val="top"/>
          </w:tcPr>
          <w:p>
            <w:pPr>
              <w:spacing w:after="40" w:before="0" w:line="259" w:lineRule="auto"/>
            </w:pPr>
            <w:r>
              <w:rPr>
                <w:rFonts w:ascii="Calibri" w:hAnsi="Calibri"/>
                <w:b w:val="0"/>
                <w:i w:val="0"/>
                <w:color w:val="212121"/>
                <w:sz w:val="16"/>
              </w:rPr>
              <w:t>Device technique, adherence, and AR/GERD/OSA/obesity/anxiety</w:t>
            </w:r>
          </w:p>
        </w:tc>
        <w:tc>
          <w:tcPr>
            <w:tcW w:type="dxa" w:w="950"/>
            <w:vAlign w:val="top"/>
          </w:tcPr>
          <w:p>
            <w:pPr>
              <w:spacing w:after="40" w:before="0" w:line="259" w:lineRule="auto"/>
            </w:pPr>
            <w:r>
              <w:rPr>
                <w:rFonts w:ascii="Calibri" w:hAnsi="Calibri"/>
                <w:b w:val="0"/>
                <w:i w:val="0"/>
                <w:color w:val="212121"/>
                <w:sz w:val="16"/>
              </w:rPr>
              <w:t>Correct technique, good adherence, no active comorbidity</w:t>
            </w:r>
          </w:p>
        </w:tc>
        <w:tc>
          <w:tcPr>
            <w:tcW w:type="dxa" w:w="950"/>
            <w:vAlign w:val="top"/>
          </w:tcPr>
          <w:p>
            <w:pPr>
              <w:spacing w:after="40" w:before="0" w:line="259" w:lineRule="auto"/>
            </w:pPr>
            <w:r>
              <w:rPr>
                <w:rFonts w:ascii="Calibri" w:hAnsi="Calibri"/>
                <w:b w:val="0"/>
                <w:i w:val="0"/>
                <w:color w:val="212121"/>
                <w:sz w:val="16"/>
              </w:rPr>
              <w:t>Poor technique/adherence or uncontrolled comorbidity</w:t>
            </w:r>
          </w:p>
        </w:tc>
        <w:tc>
          <w:tcPr>
            <w:tcW w:type="dxa" w:w="1036"/>
            <w:vAlign w:val="top"/>
          </w:tcPr>
          <w:p>
            <w:pPr>
              <w:spacing w:after="40" w:before="0" w:line="259" w:lineRule="auto"/>
            </w:pPr>
            <w:r>
              <w:rPr>
                <w:rFonts w:ascii="Calibri" w:hAnsi="Calibri"/>
                <w:b w:val="0"/>
                <w:i w:val="0"/>
                <w:color w:val="212121"/>
                <w:sz w:val="16"/>
              </w:rPr>
              <w:t>Corrects the commonest reasons for 'difficult' asthma before escalating therapy</w:t>
            </w:r>
          </w:p>
        </w:tc>
        <w:tc>
          <w:tcPr>
            <w:tcW w:type="dxa" w:w="1036"/>
            <w:vAlign w:val="top"/>
          </w:tcPr>
          <w:p>
            <w:pPr>
              <w:spacing w:after="40" w:before="0" w:line="259" w:lineRule="auto"/>
            </w:pPr>
            <w:r>
              <w:rPr>
                <w:rFonts w:ascii="Calibri" w:hAnsi="Calibri"/>
                <w:b w:val="0"/>
                <w:i w:val="0"/>
                <w:color w:val="212121"/>
                <w:sz w:val="16"/>
              </w:rPr>
              <w:t>Uncontrolled / difficult-to-treat asthma</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High-yield</w:t>
            </w:r>
          </w:p>
        </w:tc>
        <w:tc>
          <w:tcPr>
            <w:tcW w:type="dxa" w:w="720"/>
            <w:vAlign w:val="top"/>
          </w:tcPr>
          <w:p>
            <w:pPr>
              <w:spacing w:after="40" w:before="0" w:line="259" w:lineRule="auto"/>
            </w:pPr>
            <w:r>
              <w:rPr>
                <w:rFonts w:ascii="Calibri" w:hAnsi="Calibri"/>
                <w:b w:val="0"/>
                <w:i w:val="0"/>
                <w:color w:val="212121"/>
                <w:sz w:val="16"/>
              </w:rPr>
              <w:t>Treating coexisting rhinitis and reflux improves control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Wheezing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High-pitched, mainly expiratory whistling produced by turbulent flow through narrowed airways.</w:t>
            </w:r>
          </w:p>
        </w:tc>
      </w:tr>
      <w:tr>
        <w:trPr>
          <w:cantSplit/>
        </w:trPr>
        <w:tc>
          <w:tcPr>
            <w:tcW w:type="dxa" w:w="2304"/>
            <w:vAlign w:val="top"/>
          </w:tcPr>
          <w:p>
            <w:pPr>
              <w:spacing w:after="40" w:before="0" w:line="259" w:lineRule="auto"/>
            </w:pPr>
            <w:r>
              <w:rPr>
                <w:rFonts w:ascii="Calibri" w:hAnsi="Calibri"/>
                <w:b/>
                <w:i w:val="0"/>
                <w:color w:val="212121"/>
                <w:sz w:val="19"/>
              </w:rPr>
              <w:t>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Episodic difficulty breathing, often exertional or nocturnal, from reversible airflow limitation.</w:t>
            </w:r>
          </w:p>
        </w:tc>
      </w:tr>
      <w:tr>
        <w:trPr>
          <w:cantSplit/>
        </w:trPr>
        <w:tc>
          <w:tcPr>
            <w:tcW w:type="dxa" w:w="2304"/>
            <w:vAlign w:val="top"/>
          </w:tcPr>
          <w:p>
            <w:pPr>
              <w:spacing w:after="40" w:before="0" w:line="259" w:lineRule="auto"/>
            </w:pPr>
            <w:r>
              <w:rPr>
                <w:rFonts w:ascii="Calibri" w:hAnsi="Calibri"/>
                <w:b/>
                <w:i w:val="0"/>
                <w:color w:val="212121"/>
                <w:sz w:val="19"/>
              </w:rPr>
              <w:t>Chest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constricting or heavy sensation reflecting bronchoconstriction and hyperinflation.</w:t>
            </w:r>
          </w:p>
        </w:tc>
      </w:tr>
      <w:tr>
        <w:trPr>
          <w:cantSplit/>
        </w:trPr>
        <w:tc>
          <w:tcPr>
            <w:tcW w:type="dxa" w:w="2304"/>
            <w:vAlign w:val="top"/>
          </w:tcPr>
          <w:p>
            <w:pPr>
              <w:spacing w:after="40" w:before="0" w:line="259" w:lineRule="auto"/>
            </w:pPr>
            <w:r>
              <w:rPr>
                <w:rFonts w:ascii="Calibri" w:hAnsi="Calibri"/>
                <w:b/>
                <w:i w:val="0"/>
                <w:color w:val="212121"/>
                <w:sz w:val="19"/>
              </w:rPr>
              <w:t>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Typically dry and worse at night/early morning; may be the only symptom in cough-variant asthma.</w:t>
            </w:r>
          </w:p>
        </w:tc>
      </w:tr>
      <w:tr>
        <w:trPr>
          <w:cantSplit/>
        </w:trPr>
        <w:tc>
          <w:tcPr>
            <w:tcW w:type="dxa" w:w="2304"/>
            <w:vAlign w:val="top"/>
          </w:tcPr>
          <w:p>
            <w:pPr>
              <w:spacing w:after="40" w:before="0" w:line="259" w:lineRule="auto"/>
            </w:pPr>
            <w:r>
              <w:rPr>
                <w:rFonts w:ascii="Calibri" w:hAnsi="Calibri"/>
                <w:b/>
                <w:i w:val="0"/>
                <w:color w:val="212121"/>
                <w:sz w:val="19"/>
              </w:rPr>
              <w:t>Nocturnal / early-morning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Waking with wheeze, cough or breathlessness — a key marker of poor control.</w:t>
            </w:r>
          </w:p>
        </w:tc>
      </w:tr>
      <w:tr>
        <w:trPr>
          <w:cantSplit/>
        </w:trPr>
        <w:tc>
          <w:tcPr>
            <w:tcW w:type="dxa" w:w="2304"/>
            <w:vAlign w:val="top"/>
          </w:tcPr>
          <w:p>
            <w:pPr>
              <w:spacing w:after="40" w:before="0" w:line="259" w:lineRule="auto"/>
            </w:pPr>
            <w:r>
              <w:rPr>
                <w:rFonts w:ascii="Calibri" w:hAnsi="Calibri"/>
                <w:b/>
                <w:i w:val="0"/>
                <w:color w:val="212121"/>
                <w:sz w:val="19"/>
              </w:rPr>
              <w:t>Exercise-induced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Cough, wheeze or breathlessness during or shortly after exertion (exercise-induced bronchoconstriction).</w:t>
            </w:r>
          </w:p>
        </w:tc>
      </w:tr>
      <w:tr>
        <w:trPr>
          <w:cantSplit/>
        </w:trPr>
        <w:tc>
          <w:tcPr>
            <w:tcW w:type="dxa" w:w="2304"/>
            <w:vAlign w:val="top"/>
          </w:tcPr>
          <w:p>
            <w:pPr>
              <w:spacing w:after="40" w:before="0" w:line="259" w:lineRule="auto"/>
            </w:pPr>
            <w:r>
              <w:rPr>
                <w:rFonts w:ascii="Calibri" w:hAnsi="Calibri"/>
                <w:b/>
                <w:i w:val="0"/>
                <w:color w:val="212121"/>
                <w:sz w:val="19"/>
              </w:rPr>
              <w:t>Symptoms triggered by allergens/irritants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Provoked by dust, pollen, smoke, cold air, strong odours or viral colds.</w:t>
            </w:r>
          </w:p>
        </w:tc>
      </w:tr>
      <w:tr>
        <w:trPr>
          <w:cantSplit/>
        </w:trPr>
        <w:tc>
          <w:tcPr>
            <w:tcW w:type="dxa" w:w="2304"/>
            <w:vAlign w:val="top"/>
          </w:tcPr>
          <w:p>
            <w:pPr>
              <w:spacing w:after="40" w:before="0" w:line="259" w:lineRule="auto"/>
            </w:pPr>
            <w:r>
              <w:rPr>
                <w:rFonts w:ascii="Calibri" w:hAnsi="Calibri"/>
                <w:b/>
                <w:i w:val="0"/>
                <w:color w:val="212121"/>
                <w:sz w:val="19"/>
              </w:rPr>
              <w:t>Difficulty sleeping from 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Frequent night-waking indicates inadequate control and higher exacerbation risk.</w:t>
            </w:r>
          </w:p>
        </w:tc>
      </w:tr>
      <w:tr>
        <w:trPr>
          <w:cantSplit/>
        </w:trPr>
        <w:tc>
          <w:tcPr>
            <w:tcW w:type="dxa" w:w="2304"/>
            <w:vAlign w:val="top"/>
          </w:tcPr>
          <w:p>
            <w:pPr>
              <w:spacing w:after="40" w:before="0" w:line="259" w:lineRule="auto"/>
            </w:pPr>
            <w:r>
              <w:rPr>
                <w:rFonts w:ascii="Calibri" w:hAnsi="Calibri"/>
                <w:b/>
                <w:i w:val="0"/>
                <w:color w:val="212121"/>
                <w:sz w:val="19"/>
              </w:rPr>
              <w:t>Scanty tenacious sputum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Small amounts of thick, mucoid or (in AERD/ABPA) plug-like sputum.</w:t>
            </w:r>
          </w:p>
        </w:tc>
      </w:tr>
      <w:tr>
        <w:trPr>
          <w:cantSplit/>
        </w:trPr>
        <w:tc>
          <w:tcPr>
            <w:tcW w:type="dxa" w:w="2304"/>
            <w:vAlign w:val="top"/>
          </w:tcPr>
          <w:p>
            <w:pPr>
              <w:spacing w:after="40" w:before="0" w:line="259" w:lineRule="auto"/>
            </w:pPr>
            <w:r>
              <w:rPr>
                <w:rFonts w:ascii="Calibri" w:hAnsi="Calibri"/>
                <w:b/>
                <w:i w:val="0"/>
                <w:color w:val="212121"/>
                <w:sz w:val="19"/>
              </w:rPr>
              <w:t>Recurrent prolonged 'chest colds'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Lingering post-infective cough/wheeze, often the presenting pattern in children.</w:t>
            </w:r>
          </w:p>
        </w:tc>
      </w:tr>
      <w:tr>
        <w:trPr>
          <w:cantSplit/>
        </w:trPr>
        <w:tc>
          <w:tcPr>
            <w:tcW w:type="dxa" w:w="2304"/>
            <w:vAlign w:val="top"/>
          </w:tcPr>
          <w:p>
            <w:pPr>
              <w:spacing w:after="40" w:before="0" w:line="259" w:lineRule="auto"/>
            </w:pPr>
            <w:r>
              <w:rPr>
                <w:rFonts w:ascii="Calibri" w:hAnsi="Calibri"/>
                <w:b/>
                <w:i w:val="0"/>
                <w:color w:val="212121"/>
                <w:sz w:val="19"/>
              </w:rPr>
              <w:t>Inability to speak in full sentences / severe distress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feature of acute severe or life-threatening asthma requiring emergency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Bilateral expiratory polyphonic wheeze / rhonchi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Widespread musical expiratory sounds on auscultation from diffuse airway narrowing.</w:t>
            </w:r>
          </w:p>
        </w:tc>
      </w:tr>
      <w:tr>
        <w:trPr>
          <w:cantSplit/>
        </w:trPr>
        <w:tc>
          <w:tcPr>
            <w:tcW w:type="dxa" w:w="3456"/>
            <w:vAlign w:val="top"/>
          </w:tcPr>
          <w:p>
            <w:pPr>
              <w:spacing w:after="40" w:before="0" w:line="259" w:lineRule="auto"/>
            </w:pPr>
            <w:r>
              <w:rPr>
                <w:rFonts w:ascii="Calibri" w:hAnsi="Calibri"/>
                <w:b/>
                <w:i w:val="0"/>
                <w:color w:val="212121"/>
                <w:sz w:val="19"/>
              </w:rPr>
              <w:t>Prolonged expiratory phase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Expiration takes longer than inspiration, reflecting expiratory airflow obstruction.</w:t>
            </w:r>
          </w:p>
        </w:tc>
      </w:tr>
      <w:tr>
        <w:trPr>
          <w:cantSplit/>
        </w:trPr>
        <w:tc>
          <w:tcPr>
            <w:tcW w:type="dxa" w:w="3456"/>
            <w:vAlign w:val="top"/>
          </w:tcPr>
          <w:p>
            <w:pPr>
              <w:spacing w:after="40" w:before="0" w:line="259" w:lineRule="auto"/>
            </w:pPr>
            <w:r>
              <w:rPr>
                <w:rFonts w:ascii="Calibri" w:hAnsi="Calibri"/>
                <w:b/>
                <w:i w:val="0"/>
                <w:color w:val="212121"/>
                <w:sz w:val="19"/>
              </w:rPr>
              <w:t>Reduced peak expiratory flow</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Lower PEF than personal best objectively confirms airflow limitation during symptoms.</w:t>
            </w:r>
          </w:p>
        </w:tc>
      </w:tr>
      <w:tr>
        <w:trPr>
          <w:cantSplit/>
        </w:trPr>
        <w:tc>
          <w:tcPr>
            <w:tcW w:type="dxa" w:w="3456"/>
            <w:vAlign w:val="top"/>
          </w:tcPr>
          <w:p>
            <w:pPr>
              <w:spacing w:after="40" w:before="0" w:line="259" w:lineRule="auto"/>
            </w:pPr>
            <w:r>
              <w:rPr>
                <w:rFonts w:ascii="Calibri" w:hAnsi="Calibri"/>
                <w:b/>
                <w:i w:val="0"/>
                <w:color w:val="212121"/>
                <w:sz w:val="19"/>
              </w:rPr>
              <w:t>Tachypnoea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Raised respiratory rate during exacerbations as work of breathing increases.</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Fast heart rate from hypoxaemia, distress and beta-agonist use during attacks.</w:t>
            </w:r>
          </w:p>
        </w:tc>
      </w:tr>
      <w:tr>
        <w:trPr>
          <w:cantSplit/>
        </w:trPr>
        <w:tc>
          <w:tcPr>
            <w:tcW w:type="dxa" w:w="3456"/>
            <w:vAlign w:val="top"/>
          </w:tcPr>
          <w:p>
            <w:pPr>
              <w:spacing w:after="40" w:before="0" w:line="259" w:lineRule="auto"/>
            </w:pPr>
            <w:r>
              <w:rPr>
                <w:rFonts w:ascii="Calibri" w:hAnsi="Calibri"/>
                <w:b/>
                <w:i w:val="0"/>
                <w:color w:val="212121"/>
                <w:sz w:val="19"/>
              </w:rPr>
              <w:t>Use of accessory muscles / intercostal recession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Sternocleidomastoid and intercostal use signal moderate-to-severe obstruction.</w:t>
            </w:r>
          </w:p>
        </w:tc>
      </w:tr>
      <w:tr>
        <w:trPr>
          <w:cantSplit/>
        </w:trPr>
        <w:tc>
          <w:tcPr>
            <w:tcW w:type="dxa" w:w="3456"/>
            <w:vAlign w:val="top"/>
          </w:tcPr>
          <w:p>
            <w:pPr>
              <w:spacing w:after="40" w:before="0" w:line="259" w:lineRule="auto"/>
            </w:pPr>
            <w:r>
              <w:rPr>
                <w:rFonts w:ascii="Calibri" w:hAnsi="Calibri"/>
                <w:b/>
                <w:i w:val="0"/>
                <w:color w:val="212121"/>
                <w:sz w:val="19"/>
              </w:rPr>
              <w:t>Hyperinflated, hyperresonant chest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Increased chest volume with hyperresonant percussion during acute or chronic disease.</w:t>
            </w:r>
          </w:p>
        </w:tc>
      </w:tr>
      <w:tr>
        <w:trPr>
          <w:cantSplit/>
        </w:trPr>
        <w:tc>
          <w:tcPr>
            <w:tcW w:type="dxa" w:w="3456"/>
            <w:vAlign w:val="top"/>
          </w:tcPr>
          <w:p>
            <w:pPr>
              <w:spacing w:after="40" w:before="0" w:line="259" w:lineRule="auto"/>
            </w:pPr>
            <w:r>
              <w:rPr>
                <w:rFonts w:ascii="Calibri" w:hAnsi="Calibri"/>
                <w:b/>
                <w:i w:val="0"/>
                <w:color w:val="212121"/>
                <w:sz w:val="19"/>
              </w:rPr>
              <w:t>Pulsus paradoxus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An exaggerated inspiratory fall in systolic BP (&gt; 10 mmHg) marks severe airflow obstruction.</w:t>
            </w:r>
          </w:p>
        </w:tc>
      </w:tr>
      <w:tr>
        <w:trPr>
          <w:cantSplit/>
        </w:trPr>
        <w:tc>
          <w:tcPr>
            <w:tcW w:type="dxa" w:w="3456"/>
            <w:vAlign w:val="top"/>
          </w:tcPr>
          <w:p>
            <w:pPr>
              <w:spacing w:after="40" w:before="0" w:line="259" w:lineRule="auto"/>
            </w:pPr>
            <w:r>
              <w:rPr>
                <w:rFonts w:ascii="Calibri" w:hAnsi="Calibri"/>
                <w:b/>
                <w:i w:val="0"/>
                <w:color w:val="212121"/>
                <w:sz w:val="19"/>
              </w:rPr>
              <w:t>Silent chest, cyanosis, drowsiness/exhaustion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Ominous signs of life-threatening asthma with impending respiratory failure — a medical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severe asthma / status asthmaticus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Life-threatening bronchospasm with hypoxaemia and respiratory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Pneumothorax / pneumomediastinum from air-trapping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Mucus plugging with lobar collapse (atelectasis)</w:t>
            </w:r>
          </w:p>
        </w:tc>
        <w:tc>
          <w:tcPr>
            <w:tcW w:type="dxa" w:w="2980"/>
            <w:vAlign w:val="top"/>
          </w:tcPr>
          <w:p>
            <w:pPr>
              <w:spacing w:after="40" w:before="0" w:line="259" w:lineRule="auto"/>
            </w:pPr>
            <w:r>
              <w:rPr>
                <w:rFonts w:ascii="Calibri" w:hAnsi="Calibri"/>
                <w:b w:val="0"/>
                <w:i w:val="0"/>
                <w:color w:val="212121"/>
                <w:sz w:val="19"/>
              </w:rPr>
              <w:t>Acute consequences of severe, uncontrolled bronchoconstriction and air-trapping.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exacerbations, emergency visits and hospitalisations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Airway remodelling with persistent / fixed airflow limitation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Inhaled/oral-steroid effects (oral candidiasis, dysphonia; with systemic steroids — osteoporosis, adrenal suppression, hyperglycaemia)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effects, school absence and reduced activity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Asthma-COPD overlap in smokers and older patients</w:t>
            </w:r>
          </w:p>
        </w:tc>
        <w:tc>
          <w:tcPr>
            <w:tcW w:type="dxa" w:w="2980"/>
            <w:vAlign w:val="top"/>
          </w:tcPr>
          <w:p>
            <w:pPr>
              <w:spacing w:after="40" w:before="0" w:line="259" w:lineRule="auto"/>
            </w:pPr>
            <w:r>
              <w:rPr>
                <w:rFonts w:ascii="Calibri" w:hAnsi="Calibri"/>
                <w:b w:val="0"/>
                <w:i w:val="0"/>
                <w:color w:val="212121"/>
                <w:sz w:val="19"/>
              </w:rPr>
              <w:t>Result from chronic inflammation, recurrent attacks and long-term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failure and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depression and social/occupational limitation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Asthma death — India bears ~42% of global asthma mortality</w:t>
            </w:r>
          </w:p>
        </w:tc>
        <w:tc>
          <w:tcPr>
            <w:tcW w:type="dxa" w:w="2980"/>
            <w:vAlign w:val="top"/>
          </w:tcPr>
          <w:p>
            <w:pPr>
              <w:spacing w:after="40" w:before="0" w:line="259" w:lineRule="auto"/>
            </w:pPr>
            <w:r>
              <w:rPr>
                <w:rFonts w:ascii="Calibri" w:hAnsi="Calibri"/>
                <w:b w:val="0"/>
                <w:i w:val="0"/>
                <w:color w:val="212121"/>
                <w:sz w:val="19"/>
              </w:rPr>
              <w:t>Irreversible, disabling or fatal outcomes of longstanding, poorly 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Allergic rhinitis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Part of the 'united airway' with shared type-2 inflammation; untreated rhinitis worsens asthma control. In the Indian CARAS survey 65.24% of adult asthmatics had concomitant allergic rhinitis.</w:t>
            </w:r>
          </w:p>
          <w:p>
            <w:pPr>
              <w:spacing w:after="40" w:before="0" w:line="259" w:lineRule="auto"/>
            </w:pPr>
            <w:r>
              <w:rPr>
                <w:rFonts w:ascii="Calibri" w:hAnsi="Calibri"/>
                <w:b/>
                <w:i w:val="0"/>
                <w:color w:val="212121"/>
                <w:sz w:val="19"/>
              </w:rPr>
              <w:t>Up to ~65%</w:t>
            </w:r>
          </w:p>
        </w:tc>
      </w:tr>
      <w:tr>
        <w:trPr>
          <w:cantSplit/>
        </w:trPr>
        <w:tc>
          <w:tcPr>
            <w:tcW w:type="dxa" w:w="2232"/>
            <w:vAlign w:val="top"/>
          </w:tcPr>
          <w:p>
            <w:pPr>
              <w:spacing w:after="40" w:before="0" w:line="259" w:lineRule="auto"/>
            </w:pPr>
            <w:r>
              <w:rPr>
                <w:rFonts w:ascii="Calibri" w:hAnsi="Calibri"/>
                <w:b/>
                <w:i w:val="0"/>
                <w:color w:val="212121"/>
                <w:sz w:val="19"/>
              </w:rPr>
              <w:t>Chronic rhinosinusitis / nasal polyps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eosinophilic type-2 inflammation of the upper airway; coexisting sinus disease and polyps worsen asthma severity and control.</w:t>
            </w:r>
          </w:p>
        </w:tc>
      </w:tr>
      <w:tr>
        <w:trPr>
          <w:cantSplit/>
        </w:trPr>
        <w:tc>
          <w:tcPr>
            <w:tcW w:type="dxa" w:w="2232"/>
            <w:vAlign w:val="top"/>
          </w:tcPr>
          <w:p>
            <w:pPr>
              <w:spacing w:after="40" w:before="0" w:line="259" w:lineRule="auto"/>
            </w:pPr>
            <w:r>
              <w:rPr>
                <w:rFonts w:ascii="Calibri" w:hAnsi="Calibri"/>
                <w:b/>
                <w:i w:val="0"/>
                <w:color w:val="212121"/>
                <w:sz w:val="19"/>
              </w:rPr>
              <w:t>Atopic dermatitis / eczema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Part of the atopic march reflecting a common IgE-mediated type-2 mechanism; often precedes childhood asthma. GAN India found eczema in ~9.9% of adults.</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Micro-aspiration and a vagal bronchoconstrictor reflex trigger asthma, while asthma and its drugs worsen reflux; a common, often silent cause of poor control.</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Predisposes to a harder-to-control asthma phenotype via mechanical loading and adipokine-driven inflammation; overweight OR 1.38 and obesity OR 1.92 for incident asthma.</w:t>
            </w:r>
          </w:p>
        </w:tc>
      </w:tr>
      <w:tr>
        <w:trPr>
          <w:cantSplit/>
        </w:trPr>
        <w:tc>
          <w:tcPr>
            <w:tcW w:type="dxa" w:w="2232"/>
            <w:vAlign w:val="top"/>
          </w:tcPr>
          <w:p>
            <w:pPr>
              <w:spacing w:after="40" w:before="0" w:line="259" w:lineRule="auto"/>
            </w:pPr>
            <w:r>
              <w:rPr>
                <w:rFonts w:ascii="Calibri" w:hAnsi="Calibri"/>
                <w:b/>
                <w:i w:val="0"/>
                <w:color w:val="212121"/>
                <w:sz w:val="19"/>
              </w:rPr>
              <w:t>Obstructive sleep apnoea (OSA)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link — OSA worsens nocturnal asthma control and vice versa; both aggravated by obesity and reflux.</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interaction worsening symptom perception, adherence and control; anxiety symptoms affect ~32% and anxiety disorders ~24% of adults with asthma.</w:t>
            </w:r>
          </w:p>
          <w:p>
            <w:pPr>
              <w:spacing w:after="40" w:before="0" w:line="259" w:lineRule="auto"/>
            </w:pPr>
            <w:r>
              <w:rPr>
                <w:rFonts w:ascii="Calibri" w:hAnsi="Calibri"/>
                <w:b/>
                <w:i w:val="0"/>
                <w:color w:val="212121"/>
                <w:sz w:val="19"/>
              </w:rPr>
              <w:t>~24–32%</w:t>
            </w:r>
          </w:p>
        </w:tc>
      </w:tr>
      <w:tr>
        <w:trPr>
          <w:cantSplit/>
        </w:trPr>
        <w:tc>
          <w:tcPr>
            <w:tcW w:type="dxa" w:w="2232"/>
            <w:vAlign w:val="top"/>
          </w:tcPr>
          <w:p>
            <w:pPr>
              <w:spacing w:after="40" w:before="0" w:line="259" w:lineRule="auto"/>
            </w:pPr>
            <w:r>
              <w:rPr>
                <w:rFonts w:ascii="Calibri" w:hAnsi="Calibri"/>
                <w:b/>
                <w:i w:val="0"/>
                <w:color w:val="212121"/>
                <w:sz w:val="19"/>
              </w:rPr>
              <w:t>Aspirin-exacerbated respiratory disease (AERD)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Aspirin/NSAID sensitivity with nasal polyps and asthma (Samter's triad) via dysregulated arachidonic-acid/leukotriene metabolism; NSAIDs can precipitate severe bronchospasm.</w:t>
            </w:r>
          </w:p>
        </w:tc>
      </w:tr>
      <w:tr>
        <w:trPr>
          <w:cantSplit/>
        </w:trPr>
        <w:tc>
          <w:tcPr>
            <w:tcW w:type="dxa" w:w="2232"/>
            <w:vAlign w:val="top"/>
          </w:tcPr>
          <w:p>
            <w:pPr>
              <w:spacing w:after="40" w:before="0" w:line="259" w:lineRule="auto"/>
            </w:pPr>
            <w:r>
              <w:rPr>
                <w:rFonts w:ascii="Calibri" w:hAnsi="Calibri"/>
                <w:b/>
                <w:i w:val="0"/>
                <w:color w:val="212121"/>
                <w:sz w:val="19"/>
              </w:rPr>
              <w:t>Asthma-COPD overlap (ACO)</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 older or smoking patients, features of asthma and COPD coexist with persistent airflow limitation, altering treatment and prognosis.</w:t>
            </w:r>
          </w:p>
        </w:tc>
      </w:tr>
      <w:tr>
        <w:trPr>
          <w:cantSplit/>
        </w:trPr>
        <w:tc>
          <w:tcPr>
            <w:tcW w:type="dxa" w:w="2232"/>
            <w:vAlign w:val="top"/>
          </w:tcPr>
          <w:p>
            <w:pPr>
              <w:spacing w:after="40" w:before="0" w:line="259" w:lineRule="auto"/>
            </w:pPr>
            <w:r>
              <w:rPr>
                <w:rFonts w:ascii="Calibri" w:hAnsi="Calibri"/>
                <w:b/>
                <w:i w:val="0"/>
                <w:color w:val="212121"/>
                <w:sz w:val="19"/>
              </w:rPr>
              <w:t>Allergic bronchopulmonary aspergillosis (ABPA)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Aspergillus hypersensitivity complicating asthma with very high IgE, fleeting infiltrates and bronchiectasis; drives refractory symptoms and needs steroids/antifungals.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asthma is a controllable chronic airway inflammation — the aim is few/no symptoms and normal activity, not just relief of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and regularly re-check correct inhaler/spacer technique — poor technique is a leading cause of 'uncontrolled'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written asthma action plan with PEF/symptom green–yellow–red zones to guide daily treatment and early escalation.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worsening control (rising reliever use, night-waking, falling PEF) and seek care early rather than relying on repeated SABA.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avoid personal triggers — house-dust mite, smoke, biomass, pollen, pets, cold air, NSAIDs and strong odours.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vaccinations up to date (influenza, pneumococcal, COVID-19) to reduce infective exacerbations.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asthmatics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Parents/carers of asthmatic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High-SABA-use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controller (inhaled-corticosteroid-based) therapy as prescribed even when well — most asthma deaths follow ICS under-use and SABA over-use.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an ICS-formoterol reliever/maintenance regimen where advised, and avoid SABA-only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scheduled reviews to step therapy up or down against the Asthma Control Test / GINA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Rinse the mouth after ICS to prevent oral thrush and hoarseness.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coexisting rhinitis, reflux, obesity, OSA and anxiety, which commonly undermine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asthmatics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Difficult-to-control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ICS/ICS-formoterol</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 regular aerobic exercise improves asthma control, symptoms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 150 minutes/week of moderate activity (brisk walking, cycling, swimming), building up gradually.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exercise-induced symptoms with a warm-up and, where advised, a pre-exercise inhaled reliever.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Pursue gradual weight loss if overweight/obese, as this measurably improves control and lung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Well-controlled asthma should not limit sport — optimise controller therapy rather than avoiding exercise.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asthmatics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Exercise-induced asthma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diet rich in fresh fruit, vegetables and whole grains for antioxidants that support airway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energy-dense foods to prevent obesity, which worsens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avoid genuine food-allergen and sulphite triggers (e.g. some wines, dried fruit, processed foods) if clearly linked to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hydration to keep airway secretions loose.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and general nutritional deficiencies as part of overall respiratory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asthmatics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Atopic/food-sensitive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high-processed-diet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night-waking from asthma as a red flag for poor control and seek treatment step-up.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bedroom allergens — wash bedding in hot water, use mite-proof covers, control damp and mould, keep pets out of the bedroom.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especially in obese or snoring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sleeping area smoke-free and away from mosquito-coil and biomass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 timing and elevate the head of the bed if reflux worsens nocturnal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asthmatics /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Allergic asthmatics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GERD-associated asthma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 active smoking worsens asthma control, accelerates lung-function loss and blunts steroid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second-hand smoke at home, especially around children and 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and use structured cessation support (counselling plus pharmacotherapy) to smokers with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other inhaled combustion exposures — biomass cooking smoke, mosquito coils and incense.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against vaping/e-cigarettes, which can also trigger bronchial irritation.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smokers with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Passively-exposed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Biomass-exposed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sulphite- and histamine-containing drinks (wine, beer) can provoke wheeze in sensitive people, and avoid the offending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general safe limits, as heavy use worsens reflux and sleep quality that can aggravate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as a coping mechanism for breathlessness or anxiety.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Alcohol-sensitive (sulphite-reactive) asthmatics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GERD-associated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anxiety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anxiety and depression, which are about twice as common in asthma and worsen control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breathing-retraining and relaxation techniques to reduce dysfunctional breathing and panic-related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which is a recognised exacerbation trigger, through structured coping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psychological support or referral for patients with severe/uncontrolled asthma and mood or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that good asthma control itself reduces fear and improves mental well-being.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Asthmatics with 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Difficult-to-control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Frequent-exacerbation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res.ersjournals.com/content/8/2/00528-2021" TargetMode="External"/><Relationship Id="rId10" Type="http://schemas.openxmlformats.org/officeDocument/2006/relationships/hyperlink" Target="https://pmc.ncbi.nlm.nih.gov/articles/PMC9390302/" TargetMode="External"/><Relationship Id="rId11" Type="http://schemas.openxmlformats.org/officeDocument/2006/relationships/hyperlink" Target="https://pmc.ncbi.nlm.nih.gov/articles/PMC9390309/" TargetMode="External"/><Relationship Id="rId12" Type="http://schemas.openxmlformats.org/officeDocument/2006/relationships/hyperlink" Target="https://pubmed.ncbi.nlm.nih.gov/17234901/" TargetMode="External"/><Relationship Id="rId13" Type="http://schemas.openxmlformats.org/officeDocument/2006/relationships/hyperlink" Target="https://pmc.ncbi.nlm.nih.gov/articles/PMC10509898/" TargetMode="External"/><Relationship Id="rId14" Type="http://schemas.openxmlformats.org/officeDocument/2006/relationships/hyperlink" Target="https://link.springer.com/article/10.1007/s41030-024-00273-z" TargetMode="External"/><Relationship Id="rId15" Type="http://schemas.openxmlformats.org/officeDocument/2006/relationships/hyperlink" Target="https://www.cambridge.org/core/journals/psychological-medicine/article/abs/anxiety-in-asthma-a-systematic-review-and-metaanalysis/D846B1405D4FC9971376A02C0CFE530F" TargetMode="External"/><Relationship Id="rId16" Type="http://schemas.openxmlformats.org/officeDocument/2006/relationships/hyperlink" Target="https://www.nature.com/articles/s41598-019-48484-8" TargetMode="External"/><Relationship Id="rId17" Type="http://schemas.openxmlformats.org/officeDocument/2006/relationships/hyperlink" Target="https://pmc.ncbi.nlm.nih.gov/articles/PMC99071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