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Chronic Obstructive Pulmonary Disease</w:t>
      </w:r>
    </w:p>
    <w:p>
      <w:pPr>
        <w:spacing w:before="0" w:after="160"/>
      </w:pPr>
      <w:r>
        <w:rPr>
          <w:rFonts w:ascii="Calibri" w:hAnsi="Calibri"/>
          <w:b/>
          <w:i w:val="0"/>
          <w:color w:val="212121"/>
          <w:sz w:val="22"/>
        </w:rPr>
        <w:t xml:space="preserve">AKA </w:t>
      </w:r>
      <w:r>
        <w:rPr>
          <w:rFonts w:ascii="Calibri" w:hAnsi="Calibri"/>
          <w:b w:val="0"/>
          <w:i w:val="0"/>
          <w:color w:val="212121"/>
          <w:sz w:val="22"/>
        </w:rPr>
        <w:t>i.e., COPD, Chronic Bronchitis and Emphysema (COAD/COLD), Smoker's Lung, ‘Dama’/‘Saans ki bimari’ (lay Hindi)</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Chronic Obstructive Pulmonary Disease (COPD) is a common, preventable and treatable chronic respiratory condition characterised by persistent respiratory symptoms and airflow limitation that is not fully reversible. It results from chronic inflammation and structural damage to the airways (chronic bronchitis) and lung parenchyma (emphysema), usually caused by significant exposure to noxious particles or gases — most often tobacco smoke, but in India also household biomass smoke and ambient air pollution. The airflow obstruction is confirmed on spirometry by a post-bronchodilator FEV1/FVC ratio below 0.70 and typically progresses over years, punctuated by acute exacerbations.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COPD is a leading cause of death and disability in India — reported as the second highest killer of Indians after ischaemic heart disease. The Global Burden of Disease work estimated roughly 55.3 million people living with COPD in India, accounting for about 8.7% of all deaths and 4.8% of DALYs, with crude prevalence rising ~29% between 1990 and 2016. Indian systematic reviews place adult prevalence at about 7% (pooled 7.4%, 95% CI 5.0–9.8%), and higher (~13%) in spirometry-confirmed meta-analyses, with a strong male, older-age, smoking, urban-pollution and rural-biomass gradient (e.g. Northern India ~10.4% vs Southern India ~3.7%).</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COPD is diagnosed in a patient with characteristic symptoms (chronic dyspnoea, cough, sputum) and a relevant exposure history, and is CONFIRMED by spirometry. Diagnosis rests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post-bronchodilator FEV1/FVC &lt; 0.70 on spirometry, confirming persistent (not fully reversible) airflow limitation — the mandatory objective criterion;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presence of characteristic symptoms — progressive exertional dyspnoea, chronic cough and chronic sputum production — often with a history of exacerbations;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history of significant exposure to risk factors (tobacco/bidi smoke ≥10 pack-years, biomass/solid-fuel cooking smoke, occupational dust/fumes, heavy ambient air pollution, or prior pulmonary tuberculosis);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GOLD grading of severity by post-bronchodilator FEV1 % predicted — GOLD 1 (mild, ≥80%), GOLD 2 (moderate, 50–79%), GOLD 3 (severe, 30–49%), GOLD 4 (very severe, &lt;30%);</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symptom and exacerbation-risk assessment (mMRC dyspnoea scale and CAT score, plus exacerbation history) to assign GOLD groups A, B or E, which guides therapy;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mimics — asthma, bronchiectasis, heart failure, post-TB fibrocavitary disease and interstitial lung disease — with chest imaging where indicated.</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COPD is described by its clinical phenotype, its physiological severity and its symptom/exacerbation burden, which together direct management:</w:t>
      </w:r>
    </w:p>
    <w:p>
      <w:pPr>
        <w:spacing w:before="0" w:after="80"/>
      </w:pPr>
      <w:r>
        <w:rPr>
          <w:rFonts w:ascii="Calibri" w:hAnsi="Calibri"/>
          <w:b w:val="0"/>
          <w:i w:val="0"/>
          <w:color w:val="212121"/>
          <w:sz w:val="21"/>
        </w:rPr>
        <w:t>(1) Clinical/pathological phenotypes — chronic bronchitis (cough with sputum on most days for ≥3 months in 2 consecutive years; the ‘blue bloater’ pattern with hypoxaemia and cor pulmonale) and emphysema (parenchymal/alveolar destruction; the ‘pink puffer’ pattern with hyperinflation and cachexia); most patients have overlapping features.</w:t>
      </w:r>
    </w:p>
    <w:p>
      <w:pPr>
        <w:spacing w:before="0" w:after="80"/>
      </w:pPr>
      <w:r>
        <w:rPr>
          <w:rFonts w:ascii="Calibri" w:hAnsi="Calibri"/>
          <w:b w:val="0"/>
          <w:i w:val="0"/>
          <w:color w:val="212121"/>
          <w:sz w:val="21"/>
        </w:rPr>
        <w:t>(2) GOLD spirometric grades of airflow limitation by post-bronchodilator FEV1 % predicted — GOLD 1 mild (≥80%), GOLD 2 moderate (50–79%), GOLD 3 severe (30–49%) and GOLD 4 very severe (&lt;30%).</w:t>
      </w:r>
    </w:p>
    <w:p>
      <w:pPr>
        <w:spacing w:before="0" w:after="80"/>
      </w:pPr>
      <w:r>
        <w:rPr>
          <w:rFonts w:ascii="Calibri" w:hAnsi="Calibri"/>
          <w:b w:val="0"/>
          <w:i w:val="0"/>
          <w:color w:val="212121"/>
          <w:sz w:val="21"/>
        </w:rPr>
        <w:t>(3) GOLD ABE symptom/risk groups — Group A (low symptoms, low exacerbation risk), Group B (high symptoms, low risk), and Group E (any patient with a high exacerbation history: ≥2 moderate or ≥1 hospitalised exacerbation/year), which determine initial pharmacotherapy.</w:t>
      </w:r>
    </w:p>
    <w:p>
      <w:pPr>
        <w:spacing w:before="0" w:after="80"/>
      </w:pPr>
      <w:r>
        <w:rPr>
          <w:rFonts w:ascii="Calibri" w:hAnsi="Calibri"/>
          <w:b w:val="0"/>
          <w:i w:val="0"/>
          <w:color w:val="212121"/>
          <w:sz w:val="21"/>
        </w:rPr>
        <w:t>(4) Special/overlap forms — Asthma-COPD overlap (ACO) with prominent eosinophilic/reversible features; alpha-1 antitrypsin deficiency COPD (early-onset, basal emphysema, familial — rare in India); and post-tuberculosis obstructive airway disease, an important non-smoking phenotype in India.</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Tobacco smoke: The single strongest cause worldwide; cigarette AND bidi/hookah smoking drive airway inflammation, mucus hypersecretion and alveolar destruction. Risk is cumulative (pack-years); bidis, common in India, deliver high tar and carbon monoxide.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Household air pollution (biomass smoke): Long-term exposure to smoke from burning wood, dung cake and crop residue for cooking/heating is a major cause of COPD in Indian women and non-smokers, via chronic small-airway inflammation.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Ambient (outdoor) air pollution: Chronic exposure to fine particulate matter (PM2.5), vehicular and industrial emissions — very high in many Indian cities — accelerates lung function decline and exacerbations.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Occupational exposures: Inhaled dusts, fumes, silica, cotton dust, welding fumes and chemical vapours (mining, construction, textiles, stone-crushing) independently cause and worsen COPD.</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Prior pulmonary tuberculosis: Post-TB airway and parenchymal damage is a highly prevalent, distinctly Indian cause of fixed airflow obstruction, even in never-smokers.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Host and developmental factors: Alpha-1 antitrypsin deficiency (rare), airway hyperresponsiveness/asthma, low birth weight, childhood respiratory infections and impaired lung growth increase lifelong susceptibility.</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Ageing and oxidative stress: Cumulative oxidant burden, protease–antiprotease imbalance and reduced lung elastic recoil with age drive progressive, irreversible airflow limitation.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(40+ years)</w:t>
            </w:r>
          </w:p>
        </w:tc>
        <w:tc>
          <w:tcPr>
            <w:tcW w:type="dxa" w:w="4276"/>
            <w:vAlign w:val="top"/>
          </w:tcPr>
          <w:p>
            <w:pPr>
              <w:spacing w:after="60" w:line="259" w:lineRule="auto"/>
            </w:pPr>
            <w:r>
              <w:rPr>
                <w:rFonts w:ascii="Calibri" w:hAnsi="Calibri"/>
                <w:b w:val="0"/>
                <w:i w:val="0"/>
                <w:color w:val="212121"/>
                <w:sz w:val="19"/>
              </w:rPr>
              <w:t>COPD typically becomes clinically apparent after age 40 once cumulative exposure (smoking, biomass, pollution) has produced enough airway inflammation and lung-function decline to cause symptoms; disease is under-diagnosed until moderate airflow limitation is reached.</w:t>
            </w:r>
          </w:p>
          <w:p>
            <w:pPr>
              <w:spacing w:after="40" w:before="60" w:line="259" w:lineRule="auto"/>
            </w:pPr>
            <w:r>
              <w:rPr>
                <w:rFonts w:ascii="Calibri" w:hAnsi="Calibri"/>
                <w:b w:val="0"/>
                <w:i w:val="0"/>
                <w:color w:val="212121"/>
                <w:sz w:val="19"/>
              </w:rPr>
              <w:t>Spirometry-confirmed Indian meta-analysis found COPD prevalence of ~17% in adults aged 18–59, rising sharply with age.</w:t>
            </w:r>
          </w:p>
          <w:p>
            <w:pPr>
              <w:spacing w:after="40" w:line="252" w:lineRule="auto"/>
            </w:pPr>
            <w:hyperlink r:id="rId9">
              <w:r>
                <w:rPr>
                  <w:rFonts w:ascii="Calibri" w:hAnsi="Calibri" w:cs="Calibri"/>
                  <w:sz w:val="18"/>
                  <w:color w:val="1155CC"/>
                  <w:u w:val="single"/>
                </w:rPr>
                <w:t xml:space="preserve">link.springer.com — Burden of COPD among Indian adults (BMC Pulm Med)</w:t>
              </w:r>
            </w:hyperlink>
          </w:p>
          <w:p>
            <w:pPr>
              <w:spacing w:before="60" w:after="40"/>
            </w:pPr>
            <w:r>
              <w:rPr>
                <w:rFonts w:ascii="Calibri" w:hAnsi="Calibri"/>
                <w:b w:val="0"/>
                <w:i w:val="0"/>
                <w:color w:val="5A5A5A"/>
                <w:sz w:val="18"/>
              </w:rPr>
              <w:t>#COPD  #airflowlimitation  #lungfunction  #middleage  #underdiagnosis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(≥60 years)</w:t>
            </w:r>
          </w:p>
        </w:tc>
        <w:tc>
          <w:tcPr>
            <w:tcW w:type="dxa" w:w="4276"/>
            <w:vAlign w:val="top"/>
          </w:tcPr>
          <w:p>
            <w:pPr>
              <w:spacing w:after="60" w:line="259" w:lineRule="auto"/>
            </w:pPr>
            <w:r>
              <w:rPr>
                <w:rFonts w:ascii="Calibri" w:hAnsi="Calibri"/>
                <w:b w:val="0"/>
                <w:i w:val="0"/>
                <w:color w:val="212121"/>
                <w:sz w:val="19"/>
              </w:rPr>
              <w:t>Highest risk. Decades of exposure plus age-related loss of lung elastic recoil, weaker respiratory muscles and impaired immunity make the elderly most affected and most prone to severe exacerbations and cor pulmonale.</w:t>
            </w:r>
          </w:p>
          <w:p>
            <w:pPr>
              <w:spacing w:after="40" w:before="60" w:line="259" w:lineRule="auto"/>
            </w:pPr>
            <w:r>
              <w:rPr>
                <w:rFonts w:ascii="Calibri" w:hAnsi="Calibri"/>
                <w:b w:val="0"/>
                <w:i w:val="0"/>
                <w:color w:val="212121"/>
                <w:sz w:val="19"/>
              </w:rPr>
              <w:t>Pooled COPD prevalence in Indians aged ≥60 was ~27% in a spirometry-confirmed meta-analysis.</w:t>
            </w:r>
          </w:p>
          <w:p>
            <w:pPr>
              <w:spacing w:after="40" w:line="252" w:lineRule="auto"/>
            </w:pPr>
            <w:hyperlink r:id="rId9">
              <w:r>
                <w:rPr>
                  <w:rFonts w:ascii="Calibri" w:hAnsi="Calibri" w:cs="Calibri"/>
                  <w:sz w:val="18"/>
                  <w:color w:val="1155CC"/>
                  <w:u w:val="single"/>
                </w:rPr>
                <w:t xml:space="preserve">link.springer.com — Burden of COPD among Indian adults (BMC Pulm Med)</w:t>
              </w:r>
            </w:hyperlink>
          </w:p>
          <w:p>
            <w:pPr>
              <w:spacing w:before="60" w:after="40"/>
            </w:pPr>
            <w:r>
              <w:rPr>
                <w:rFonts w:ascii="Calibri" w:hAnsi="Calibri"/>
                <w:b w:val="0"/>
                <w:i w:val="0"/>
                <w:color w:val="5A5A5A"/>
                <w:sz w:val="18"/>
              </w:rPr>
              <w:t>#elderly  #ageing  #severeCOPD  #corpulmonale  #frailty</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Higher measured prevalence, driven largely by far higher rates of cigarette and bidi smoking and outdoor occupational exposures among Indian men.</w:t>
            </w:r>
          </w:p>
          <w:p>
            <w:pPr>
              <w:spacing w:after="40" w:before="60" w:line="259" w:lineRule="auto"/>
            </w:pPr>
            <w:r>
              <w:rPr>
                <w:rFonts w:ascii="Calibri" w:hAnsi="Calibri"/>
                <w:b w:val="0"/>
                <w:i w:val="0"/>
                <w:color w:val="212121"/>
                <w:sz w:val="19"/>
              </w:rPr>
              <w:t>Pooled COPD prevalence in Indian males ~11.4% vs ~7.4% in females (systematic review); meta-analysis 16% (M) vs 9% (F).</w:t>
            </w:r>
          </w:p>
          <w:p>
            <w:pPr>
              <w:spacing w:after="40" w:line="252" w:lineRule="auto"/>
            </w:pPr>
            <w:hyperlink r:id="rId10">
              <w:r>
                <w:rPr>
                  <w:rFonts w:ascii="Calibri" w:hAnsi="Calibri" w:cs="Calibri"/>
                  <w:sz w:val="18"/>
                  <w:color w:val="1155CC"/>
                  <w:u w:val="single"/>
                </w:rPr>
                <w:t xml:space="preserve">pmc.ncbi.nlm.nih.gov/PMC8614617 — COPD prevalence in India review</w:t>
              </w:r>
            </w:hyperlink>
          </w:p>
          <w:p>
            <w:pPr>
              <w:spacing w:before="60" w:after="40"/>
            </w:pPr>
            <w:r>
              <w:rPr>
                <w:rFonts w:ascii="Calibri" w:hAnsi="Calibri"/>
                <w:b w:val="0"/>
                <w:i w:val="0"/>
                <w:color w:val="5A5A5A"/>
                <w:sz w:val="18"/>
              </w:rPr>
              <w:t>#male  #smoking  #bidi  #occupational</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Female (biomass-exposed, non-smoker)</w:t>
            </w:r>
          </w:p>
        </w:tc>
        <w:tc>
          <w:tcPr>
            <w:tcW w:type="dxa" w:w="4276"/>
            <w:vAlign w:val="top"/>
          </w:tcPr>
          <w:p>
            <w:pPr>
              <w:spacing w:after="60" w:line="259" w:lineRule="auto"/>
            </w:pPr>
            <w:r>
              <w:rPr>
                <w:rFonts w:ascii="Calibri" w:hAnsi="Calibri"/>
                <w:b w:val="0"/>
                <w:i w:val="0"/>
                <w:color w:val="212121"/>
                <w:sz w:val="19"/>
              </w:rPr>
              <w:t>Indian women who cook daily over wood/dung/crop-residue fires inhale high concentrations of particulate smoke for years, producing a large burden of non-smoking COPD despite low tobacco use.</w:t>
            </w:r>
          </w:p>
          <w:p>
            <w:pPr>
              <w:spacing w:after="40" w:before="60" w:line="259" w:lineRule="auto"/>
            </w:pPr>
            <w:r>
              <w:rPr>
                <w:rFonts w:ascii="Calibri" w:hAnsi="Calibri"/>
                <w:b w:val="0"/>
                <w:i w:val="0"/>
                <w:color w:val="212121"/>
                <w:sz w:val="19"/>
              </w:rPr>
              <w:t>Rural Indian women exposed to biomass smoke had ~5-fold higher odds of respiratory symptoms (OR 5.04, 95% CI 2.52–10.07) than unexposed women.</w:t>
            </w:r>
          </w:p>
          <w:p>
            <w:pPr>
              <w:spacing w:after="40" w:line="252" w:lineRule="auto"/>
            </w:pPr>
            <w:hyperlink r:id="rId11">
              <w:r>
                <w:rPr>
                  <w:rFonts w:ascii="Calibri" w:hAnsi="Calibri" w:cs="Calibri"/>
                  <w:sz w:val="18"/>
                  <w:color w:val="1155CC"/>
                  <w:u w:val="single"/>
                </w:rPr>
                <w:t xml:space="preserve">journals.plos.org — Household cooking fuel &amp; health in rural Indian women</w:t>
              </w:r>
            </w:hyperlink>
          </w:p>
          <w:p>
            <w:pPr>
              <w:spacing w:before="60" w:after="40"/>
            </w:pPr>
            <w:r>
              <w:rPr>
                <w:rFonts w:ascii="Calibri" w:hAnsi="Calibri"/>
                <w:b w:val="0"/>
                <w:i w:val="0"/>
                <w:color w:val="5A5A5A"/>
                <w:sz w:val="18"/>
              </w:rPr>
              <w:t>#biomass  #householdairpollution  #nonsmokerCOPD  #women  #chulha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 low-education households</w:t>
            </w:r>
          </w:p>
        </w:tc>
        <w:tc>
          <w:tcPr>
            <w:tcW w:type="dxa" w:w="4276"/>
            <w:vAlign w:val="top"/>
          </w:tcPr>
          <w:p>
            <w:pPr>
              <w:spacing w:after="60" w:line="259" w:lineRule="auto"/>
            </w:pPr>
            <w:r>
              <w:rPr>
                <w:rFonts w:ascii="Calibri" w:hAnsi="Calibri"/>
                <w:b w:val="0"/>
                <w:i w:val="0"/>
                <w:color w:val="212121"/>
                <w:sz w:val="19"/>
              </w:rPr>
              <w:t>Poverty concentrates COPD risk — reliance on solid cooking fuels, crowded poorly-ventilated housing, high-tar bidis, occupational dust exposure, untreated TB and delayed care combine to raise incidence and mortality.</w:t>
            </w:r>
          </w:p>
          <w:p>
            <w:pPr>
              <w:spacing w:after="40" w:before="60" w:line="259" w:lineRule="auto"/>
            </w:pPr>
            <w:r>
              <w:rPr>
                <w:rFonts w:ascii="Calibri" w:hAnsi="Calibri"/>
                <w:b w:val="0"/>
                <w:i w:val="0"/>
                <w:color w:val="212121"/>
                <w:sz w:val="19"/>
              </w:rPr>
              <w:t>Indian states with low per-capita income (e.g., Rajasthan, Uttar Pradesh) show the highest COPD death rates (Rajasthan ~111/100,000).</w:t>
            </w:r>
          </w:p>
          <w:p>
            <w:pPr>
              <w:spacing w:after="40" w:line="252" w:lineRule="auto"/>
            </w:pPr>
            <w:hyperlink r:id="rId12">
              <w:r>
                <w:rPr>
                  <w:rFonts w:ascii="Calibri" w:hAnsi="Calibri" w:cs="Calibri"/>
                  <w:sz w:val="18"/>
                  <w:color w:val="1155CC"/>
                  <w:u w:val="single"/>
                </w:rPr>
                <w:t xml:space="preserve">ceghonline.com — Socio-demographic factors of COPD mortality in India</w:t>
              </w:r>
            </w:hyperlink>
          </w:p>
          <w:p>
            <w:pPr>
              <w:spacing w:before="60" w:after="40"/>
            </w:pPr>
            <w:r>
              <w:rPr>
                <w:rFonts w:ascii="Calibri" w:hAnsi="Calibri"/>
                <w:b w:val="0"/>
                <w:i w:val="0"/>
                <w:color w:val="5A5A5A"/>
                <w:sz w:val="18"/>
              </w:rPr>
              <w:t>#poverty  #solidfuel  #bidi  #healthinequity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North Indian states (e.g., Rajasthan, J&amp;K, UP)</w:t>
            </w:r>
          </w:p>
        </w:tc>
        <w:tc>
          <w:tcPr>
            <w:tcW w:type="dxa" w:w="4276"/>
            <w:vAlign w:val="top"/>
          </w:tcPr>
          <w:p>
            <w:pPr>
              <w:spacing w:after="60" w:line="259" w:lineRule="auto"/>
            </w:pPr>
            <w:r>
              <w:rPr>
                <w:rFonts w:ascii="Calibri" w:hAnsi="Calibri"/>
                <w:b w:val="0"/>
                <w:i w:val="0"/>
                <w:color w:val="212121"/>
                <w:sz w:val="19"/>
              </w:rPr>
              <w:t>Northern India carries a higher COPD burden through a combination of heavy smoking/hookah use, extensive biomass cooking, dust, and seasonal high ambient particulate pollution.</w:t>
            </w:r>
          </w:p>
          <w:p>
            <w:pPr>
              <w:spacing w:after="40" w:before="60" w:line="259" w:lineRule="auto"/>
            </w:pPr>
            <w:r>
              <w:rPr>
                <w:rFonts w:ascii="Calibri" w:hAnsi="Calibri"/>
                <w:b w:val="0"/>
                <w:i w:val="0"/>
                <w:color w:val="212121"/>
                <w:sz w:val="19"/>
              </w:rPr>
              <w:t>Pooled prevalence Northern India ~10.4% vs Southern India ~3.7%; Rajasthan had the highest state COPD mortality (~111/100,000), Nagaland the lowest (~18/100,000).</w:t>
            </w:r>
          </w:p>
          <w:p>
            <w:pPr>
              <w:spacing w:after="40" w:line="252" w:lineRule="auto"/>
            </w:pPr>
            <w:hyperlink r:id="rId12">
              <w:r>
                <w:rPr>
                  <w:rFonts w:ascii="Calibri" w:hAnsi="Calibri" w:cs="Calibri"/>
                  <w:sz w:val="18"/>
                  <w:color w:val="1155CC"/>
                  <w:u w:val="single"/>
                </w:rPr>
                <w:t xml:space="preserve">ceghonline.com — Socio-demographic factors of COPD mortality in India</w:t>
              </w:r>
            </w:hyperlink>
          </w:p>
          <w:p>
            <w:pPr>
              <w:spacing w:before="60" w:after="40"/>
            </w:pPr>
            <w:r>
              <w:rPr>
                <w:rFonts w:ascii="Calibri" w:hAnsi="Calibri"/>
                <w:b w:val="0"/>
                <w:i w:val="0"/>
                <w:color w:val="5A5A5A"/>
                <w:sz w:val="18"/>
              </w:rPr>
              <w:t>#NorthIndia  #Rajasthan  #regionalburden  #hookah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Urban air pollution</w:t>
            </w:r>
          </w:p>
        </w:tc>
        <w:tc>
          <w:tcPr>
            <w:tcW w:type="dxa" w:w="2160"/>
            <w:vAlign w:val="top"/>
          </w:tcPr>
          <w:p>
            <w:pPr>
              <w:spacing w:after="40" w:before="0" w:line="259" w:lineRule="auto"/>
            </w:pPr>
            <w:r>
              <w:rPr>
                <w:rFonts w:ascii="Calibri" w:hAnsi="Calibri"/>
                <w:b w:val="0"/>
                <w:i w:val="0"/>
                <w:color w:val="212121"/>
                <w:sz w:val="19"/>
              </w:rPr>
              <w:t>Residents of highly polluted cities (Delhi-NCR, Kanpur)</w:t>
            </w:r>
          </w:p>
        </w:tc>
        <w:tc>
          <w:tcPr>
            <w:tcW w:type="dxa" w:w="4276"/>
            <w:vAlign w:val="top"/>
          </w:tcPr>
          <w:p>
            <w:pPr>
              <w:spacing w:after="60" w:line="259" w:lineRule="auto"/>
            </w:pPr>
            <w:r>
              <w:rPr>
                <w:rFonts w:ascii="Calibri" w:hAnsi="Calibri"/>
                <w:b w:val="0"/>
                <w:i w:val="0"/>
                <w:color w:val="212121"/>
                <w:sz w:val="19"/>
              </w:rPr>
              <w:t>Chronic exposure to very high urban PM2.5 from vehicular, industrial and construction sources sustains airway inflammation, accelerates FEV1 decline and precipitates exacerbations, including in never-smokers.</w:t>
            </w:r>
          </w:p>
          <w:p>
            <w:pPr>
              <w:spacing w:after="40" w:before="60" w:line="259" w:lineRule="auto"/>
            </w:pPr>
            <w:r>
              <w:rPr>
                <w:rFonts w:ascii="Calibri" w:hAnsi="Calibri"/>
                <w:b w:val="0"/>
                <w:i w:val="0"/>
                <w:color w:val="212121"/>
                <w:sz w:val="19"/>
              </w:rPr>
              <w:t>Urban COPD prevalence in India (~11.4%) exceeds rural (~5.6%) in pooled analysis, reflecting outdoor pollution and occupational exposures.</w:t>
            </w:r>
          </w:p>
          <w:p>
            <w:pPr>
              <w:spacing w:after="40" w:line="252" w:lineRule="auto"/>
            </w:pPr>
            <w:hyperlink r:id="rId10">
              <w:r>
                <w:rPr>
                  <w:rFonts w:ascii="Calibri" w:hAnsi="Calibri" w:cs="Calibri"/>
                  <w:sz w:val="18"/>
                  <w:color w:val="1155CC"/>
                  <w:u w:val="single"/>
                </w:rPr>
                <w:t xml:space="preserve">pmc.ncbi.nlm.nih.gov/PMC8614617 — COPD prevalence in India review</w:t>
              </w:r>
            </w:hyperlink>
          </w:p>
          <w:p>
            <w:pPr>
              <w:spacing w:before="60" w:after="40"/>
            </w:pPr>
            <w:r>
              <w:rPr>
                <w:rFonts w:ascii="Calibri" w:hAnsi="Calibri"/>
                <w:b w:val="0"/>
                <w:i w:val="0"/>
                <w:color w:val="5A5A5A"/>
                <w:sz w:val="18"/>
              </w:rPr>
              <w:t>#PM2point5  #airpollution  #Delhi  #urbanCOPD</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Cigarette / bidi / hookah smokers</w:t>
            </w:r>
          </w:p>
        </w:tc>
        <w:tc>
          <w:tcPr>
            <w:tcW w:type="dxa" w:w="4276"/>
            <w:vAlign w:val="top"/>
          </w:tcPr>
          <w:p>
            <w:pPr>
              <w:spacing w:after="60" w:line="259" w:lineRule="auto"/>
            </w:pPr>
            <w:r>
              <w:rPr>
                <w:rFonts w:ascii="Calibri" w:hAnsi="Calibri"/>
                <w:b w:val="0"/>
                <w:i w:val="0"/>
                <w:color w:val="212121"/>
                <w:sz w:val="19"/>
              </w:rPr>
              <w:t>Tobacco smoke is the dominant cause of COPD; bidis (widely used in India) deliver high tar and carbon monoxide. Risk rises with pack-years and duration; passive smoking adds further risk.</w:t>
            </w:r>
          </w:p>
          <w:p>
            <w:pPr>
              <w:spacing w:after="40" w:before="60" w:line="259" w:lineRule="auto"/>
            </w:pPr>
            <w:r>
              <w:rPr>
                <w:rFonts w:ascii="Calibri" w:hAnsi="Calibri"/>
                <w:b w:val="0"/>
                <w:i w:val="0"/>
                <w:color w:val="212121"/>
                <w:sz w:val="19"/>
              </w:rPr>
              <w:t>Pooled COPD prevalence among Indian smokers was ~37% (95% CI 18–56%); globally tobacco accounts for over 70% of COPD in high-income settings.</w:t>
            </w:r>
          </w:p>
          <w:p>
            <w:pPr>
              <w:spacing w:after="40" w:line="252" w:lineRule="auto"/>
            </w:pPr>
            <w:hyperlink r:id="rId9">
              <w:r>
                <w:rPr>
                  <w:rFonts w:ascii="Calibri" w:hAnsi="Calibri" w:cs="Calibri"/>
                  <w:sz w:val="18"/>
                  <w:color w:val="1155CC"/>
                  <w:u w:val="single"/>
                </w:rPr>
                <w:t xml:space="preserve">link.springer.com — Burden of COPD among Indian adults (BMC Pulm Med)</w:t>
              </w:r>
            </w:hyperlink>
          </w:p>
          <w:p>
            <w:pPr>
              <w:spacing w:before="60" w:after="40"/>
            </w:pPr>
            <w:r>
              <w:rPr>
                <w:rFonts w:ascii="Calibri" w:hAnsi="Calibri"/>
                <w:b w:val="0"/>
                <w:i w:val="0"/>
                <w:color w:val="5A5A5A"/>
                <w:sz w:val="18"/>
              </w:rPr>
              <w:t>#smoking  #bidi  #packyears  #tobacco  #hookah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Occupational exposure</w:t>
            </w:r>
          </w:p>
        </w:tc>
        <w:tc>
          <w:tcPr>
            <w:tcW w:type="dxa" w:w="2160"/>
            <w:vAlign w:val="top"/>
          </w:tcPr>
          <w:p>
            <w:pPr>
              <w:spacing w:after="40" w:before="0" w:line="259" w:lineRule="auto"/>
            </w:pPr>
            <w:r>
              <w:rPr>
                <w:rFonts w:ascii="Calibri" w:hAnsi="Calibri"/>
                <w:b w:val="0"/>
                <w:i w:val="0"/>
                <w:color w:val="212121"/>
                <w:sz w:val="19"/>
              </w:rPr>
              <w:t>Stone-crushers, miners, textile, construction, welders</w:t>
            </w:r>
          </w:p>
        </w:tc>
        <w:tc>
          <w:tcPr>
            <w:tcW w:type="dxa" w:w="4276"/>
            <w:vAlign w:val="top"/>
          </w:tcPr>
          <w:p>
            <w:pPr>
              <w:spacing w:after="60" w:line="259" w:lineRule="auto"/>
            </w:pPr>
            <w:r>
              <w:rPr>
                <w:rFonts w:ascii="Calibri" w:hAnsi="Calibri"/>
                <w:b w:val="0"/>
                <w:i w:val="0"/>
                <w:color w:val="212121"/>
                <w:sz w:val="19"/>
              </w:rPr>
              <w:t>Inhaled silica, cotton dust, welding fumes, and chemical vapours cause and accelerate airflow obstruction independent of smoking, and are common in India's informal and industrial workforce.</w:t>
            </w:r>
          </w:p>
          <w:p>
            <w:pPr>
              <w:spacing w:after="40" w:before="60" w:line="259" w:lineRule="auto"/>
            </w:pPr>
            <w:r>
              <w:rPr>
                <w:rFonts w:ascii="Calibri" w:hAnsi="Calibri"/>
                <w:b w:val="0"/>
                <w:i w:val="0"/>
                <w:color w:val="212121"/>
                <w:sz w:val="19"/>
              </w:rPr>
              <w:t>WHO notes occupational dusts, fumes and chemicals as a significant COPD cause; in low-income settings non-tobacco factors (biomass, occupation, pollution) may account for 60–70% of cases.</w:t>
            </w:r>
          </w:p>
          <w:p>
            <w:pPr>
              <w:spacing w:after="40" w:line="252" w:lineRule="auto"/>
            </w:pPr>
            <w:hyperlink r:id="rId13">
              <w:r>
                <w:rPr>
                  <w:rFonts w:ascii="Calibri" w:hAnsi="Calibri" w:cs="Calibri"/>
                  <w:sz w:val="18"/>
                  <w:color w:val="1155CC"/>
                  <w:u w:val="single"/>
                </w:rPr>
                <w:t xml:space="preserve">who.int — COPD fact sheet</w:t>
              </w:r>
            </w:hyperlink>
          </w:p>
          <w:p>
            <w:pPr>
              <w:spacing w:before="60" w:after="40"/>
            </w:pPr>
            <w:r>
              <w:rPr>
                <w:rFonts w:ascii="Calibri" w:hAnsi="Calibri"/>
                <w:b w:val="0"/>
                <w:i w:val="0"/>
                <w:color w:val="5A5A5A"/>
                <w:sz w:val="18"/>
              </w:rPr>
              <w:t>#occupational  #silica  #dust  #weldingfumes  #informalsector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Sedentary / physical inactivity</w:t>
            </w:r>
          </w:p>
        </w:tc>
        <w:tc>
          <w:tcPr>
            <w:tcW w:type="dxa" w:w="2160"/>
            <w:vAlign w:val="top"/>
          </w:tcPr>
          <w:p>
            <w:pPr>
              <w:spacing w:after="40" w:before="0" w:line="259" w:lineRule="auto"/>
            </w:pPr>
            <w:r>
              <w:rPr>
                <w:rFonts w:ascii="Calibri" w:hAnsi="Calibri"/>
                <w:b w:val="0"/>
                <w:i w:val="0"/>
                <w:color w:val="212121"/>
                <w:sz w:val="19"/>
              </w:rPr>
              <w:t>Deconditioned, housebound patients</w:t>
            </w:r>
          </w:p>
        </w:tc>
        <w:tc>
          <w:tcPr>
            <w:tcW w:type="dxa" w:w="4276"/>
            <w:vAlign w:val="top"/>
          </w:tcPr>
          <w:p>
            <w:pPr>
              <w:spacing w:after="60" w:line="259" w:lineRule="auto"/>
            </w:pPr>
            <w:r>
              <w:rPr>
                <w:rFonts w:ascii="Calibri" w:hAnsi="Calibri"/>
                <w:b w:val="0"/>
                <w:i w:val="0"/>
                <w:color w:val="212121"/>
                <w:sz w:val="19"/>
              </w:rPr>
              <w:t>Breathlessness leads to activity avoidance, causing skeletal-muscle deconditioning and a downward spiral of worsening dyspnoea, reduced exercise capacity and higher exacerbation/mortality risk.</w:t>
            </w:r>
          </w:p>
          <w:p>
            <w:pPr>
              <w:spacing w:after="40" w:before="60" w:line="259" w:lineRule="auto"/>
            </w:pPr>
            <w:r>
              <w:rPr>
                <w:rFonts w:ascii="Calibri" w:hAnsi="Calibri"/>
                <w:b w:val="0"/>
                <w:i w:val="0"/>
                <w:color w:val="212121"/>
                <w:sz w:val="19"/>
              </w:rPr>
              <w:t>Low physical activity independently predicts hospitalisation and mortality in COPD; pulmonary rehabilitation reverses much of this deconditioning.</w:t>
            </w:r>
          </w:p>
          <w:p>
            <w:pPr>
              <w:spacing w:before="60" w:after="40"/>
            </w:pPr>
            <w:r>
              <w:rPr>
                <w:rFonts w:ascii="Calibri" w:hAnsi="Calibri"/>
                <w:b w:val="0"/>
                <w:i w:val="0"/>
                <w:color w:val="5A5A5A"/>
                <w:sz w:val="18"/>
              </w:rPr>
              <w:t>#deconditioning  #dyspnoeaspiral  #inactivity  #pulmonaryrehab</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Undernutrition / low BMI</w:t>
            </w:r>
          </w:p>
        </w:tc>
        <w:tc>
          <w:tcPr>
            <w:tcW w:type="dxa" w:w="2160"/>
            <w:vAlign w:val="top"/>
          </w:tcPr>
          <w:p>
            <w:pPr>
              <w:spacing w:after="40" w:before="0" w:line="259" w:lineRule="auto"/>
            </w:pPr>
            <w:r>
              <w:rPr>
                <w:rFonts w:ascii="Calibri" w:hAnsi="Calibri"/>
                <w:b w:val="0"/>
                <w:i w:val="0"/>
                <w:color w:val="212121"/>
                <w:sz w:val="19"/>
              </w:rPr>
              <w:t>Underweight, cachectic COPD patients</w:t>
            </w:r>
          </w:p>
        </w:tc>
        <w:tc>
          <w:tcPr>
            <w:tcW w:type="dxa" w:w="4276"/>
            <w:vAlign w:val="top"/>
          </w:tcPr>
          <w:p>
            <w:pPr>
              <w:spacing w:after="60" w:line="259" w:lineRule="auto"/>
            </w:pPr>
            <w:r>
              <w:rPr>
                <w:rFonts w:ascii="Calibri" w:hAnsi="Calibri"/>
                <w:b w:val="0"/>
                <w:i w:val="0"/>
                <w:color w:val="212121"/>
                <w:sz w:val="19"/>
              </w:rPr>
              <w:t>Unlike many chronic diseases, LOW body weight worsens COPD — systemic inflammation and increased work of breathing cause muscle wasting (including respiratory muscles), predicting worse survival. Diets low in antioxidants/protein add risk.</w:t>
            </w:r>
          </w:p>
          <w:p>
            <w:pPr>
              <w:spacing w:after="40" w:before="60" w:line="259" w:lineRule="auto"/>
            </w:pPr>
            <w:r>
              <w:rPr>
                <w:rFonts w:ascii="Calibri" w:hAnsi="Calibri"/>
                <w:b w:val="0"/>
                <w:i w:val="0"/>
                <w:color w:val="212121"/>
                <w:sz w:val="19"/>
              </w:rPr>
              <w:t>Low BMI and fat-free-mass depletion are independent predictors of mortality in COPD and a key component of the BODE prognostic index.</w:t>
            </w:r>
          </w:p>
          <w:p>
            <w:pPr>
              <w:spacing w:before="60" w:after="40"/>
            </w:pPr>
            <w:r>
              <w:rPr>
                <w:rFonts w:ascii="Calibri" w:hAnsi="Calibri"/>
                <w:b w:val="0"/>
                <w:i w:val="0"/>
                <w:color w:val="5A5A5A"/>
                <w:sz w:val="18"/>
              </w:rPr>
              <w:t>#cachexia  #lowBMI  #musclewasting  #antioxidants  #BODEindex</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of COPD patients</w:t>
            </w:r>
          </w:p>
        </w:tc>
        <w:tc>
          <w:tcPr>
            <w:tcW w:type="dxa" w:w="4276"/>
            <w:vAlign w:val="top"/>
          </w:tcPr>
          <w:p>
            <w:pPr>
              <w:spacing w:after="60" w:line="259" w:lineRule="auto"/>
            </w:pPr>
            <w:r>
              <w:rPr>
                <w:rFonts w:ascii="Calibri" w:hAnsi="Calibri"/>
                <w:b w:val="0"/>
                <w:i w:val="0"/>
                <w:color w:val="212121"/>
                <w:sz w:val="19"/>
              </w:rPr>
              <w:t>Familial clustering reflects shared genetic susceptibility (airway responsiveness, antiprotease capacity) plus shared household smoke/biomass exposure, raising individual risk.</w:t>
            </w:r>
          </w:p>
          <w:p>
            <w:pPr>
              <w:spacing w:after="40" w:before="60" w:line="259" w:lineRule="auto"/>
            </w:pPr>
            <w:r>
              <w:rPr>
                <w:rFonts w:ascii="Calibri" w:hAnsi="Calibri"/>
                <w:b w:val="0"/>
                <w:i w:val="0"/>
                <w:color w:val="212121"/>
                <w:sz w:val="19"/>
              </w:rPr>
              <w:t>Family history of COPD/chronic bronchitis is a recognised independent risk factor for airflow obstruction, over and above shared smoking exposure.</w:t>
            </w:r>
          </w:p>
          <w:p>
            <w:pPr>
              <w:spacing w:before="60" w:after="40"/>
            </w:pPr>
            <w:r>
              <w:rPr>
                <w:rFonts w:ascii="Calibri" w:hAnsi="Calibri"/>
                <w:b w:val="0"/>
                <w:i w:val="0"/>
                <w:color w:val="5A5A5A"/>
                <w:sz w:val="18"/>
              </w:rPr>
              <w:t>#familyhistory  #genetics  #susceptibility  #sharedexposure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Alpha-1 antitrypsin deficiency</w:t>
            </w:r>
          </w:p>
        </w:tc>
        <w:tc>
          <w:tcPr>
            <w:tcW w:type="dxa" w:w="2160"/>
            <w:vAlign w:val="top"/>
          </w:tcPr>
          <w:p>
            <w:pPr>
              <w:spacing w:after="40" w:before="0" w:line="259" w:lineRule="auto"/>
            </w:pPr>
            <w:r>
              <w:rPr>
                <w:rFonts w:ascii="Calibri" w:hAnsi="Calibri"/>
                <w:b w:val="0"/>
                <w:i w:val="0"/>
                <w:color w:val="212121"/>
                <w:sz w:val="19"/>
              </w:rPr>
              <w:t>Young patients with early basal emphysema</w:t>
            </w:r>
          </w:p>
        </w:tc>
        <w:tc>
          <w:tcPr>
            <w:tcW w:type="dxa" w:w="4276"/>
            <w:vAlign w:val="top"/>
          </w:tcPr>
          <w:p>
            <w:pPr>
              <w:spacing w:after="60" w:line="259" w:lineRule="auto"/>
            </w:pPr>
            <w:r>
              <w:rPr>
                <w:rFonts w:ascii="Calibri" w:hAnsi="Calibri"/>
                <w:b w:val="0"/>
                <w:i w:val="0"/>
                <w:color w:val="212121"/>
                <w:sz w:val="19"/>
              </w:rPr>
              <w:t>Inherited deficiency of the antiprotease alpha-1 antitrypsin permits unchecked elastase damage to the lung, causing early-onset (often &lt;45 years) lower-zone emphysema, especially with smoking. Rare in Indians but important to recognise.</w:t>
            </w:r>
          </w:p>
          <w:p>
            <w:pPr>
              <w:spacing w:after="40" w:before="60" w:line="259" w:lineRule="auto"/>
            </w:pPr>
            <w:r>
              <w:rPr>
                <w:rFonts w:ascii="Calibri" w:hAnsi="Calibri"/>
                <w:b w:val="0"/>
                <w:i w:val="0"/>
                <w:color w:val="212121"/>
                <w:sz w:val="19"/>
              </w:rPr>
              <w:t>Alpha-1 antitrypsin deficiency should be considered in early-onset COPD, basal-predominant emphysema, or COPD with minimal smoking/family history (GOLD recommendation).</w:t>
            </w:r>
          </w:p>
          <w:p>
            <w:pPr>
              <w:spacing w:before="60" w:after="40"/>
            </w:pPr>
            <w:r>
              <w:rPr>
                <w:rFonts w:ascii="Calibri" w:hAnsi="Calibri"/>
                <w:b w:val="0"/>
                <w:i w:val="0"/>
                <w:color w:val="5A5A5A"/>
                <w:sz w:val="18"/>
              </w:rPr>
              <w:t>#alpha1antitrypsin  #earlyonset  #emphysema  #hereditary  #elastase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Prior pulmonary tuberculosis</w:t>
            </w:r>
          </w:p>
        </w:tc>
        <w:tc>
          <w:tcPr>
            <w:tcW w:type="dxa" w:w="2160"/>
            <w:vAlign w:val="top"/>
          </w:tcPr>
          <w:p>
            <w:pPr>
              <w:spacing w:after="40" w:before="0" w:line="259" w:lineRule="auto"/>
            </w:pPr>
            <w:r>
              <w:rPr>
                <w:rFonts w:ascii="Calibri" w:hAnsi="Calibri"/>
                <w:b w:val="0"/>
                <w:i w:val="0"/>
                <w:color w:val="212121"/>
                <w:sz w:val="19"/>
              </w:rPr>
              <w:t>Post-TB patients</w:t>
            </w:r>
          </w:p>
        </w:tc>
        <w:tc>
          <w:tcPr>
            <w:tcW w:type="dxa" w:w="4276"/>
            <w:vAlign w:val="top"/>
          </w:tcPr>
          <w:p>
            <w:pPr>
              <w:spacing w:after="60" w:line="259" w:lineRule="auto"/>
            </w:pPr>
            <w:r>
              <w:rPr>
                <w:rFonts w:ascii="Calibri" w:hAnsi="Calibri"/>
                <w:b w:val="0"/>
                <w:i w:val="0"/>
                <w:color w:val="212121"/>
                <w:sz w:val="19"/>
              </w:rPr>
              <w:t>Healed tuberculosis leaves fibrosis, bronchial distortion and parenchymal destruction, producing fixed airflow obstruction — a major, distinctly Indian cause of COPD in never-smokers.</w:t>
            </w:r>
          </w:p>
          <w:p>
            <w:pPr>
              <w:spacing w:after="40" w:before="60" w:line="259" w:lineRule="auto"/>
            </w:pPr>
            <w:r>
              <w:rPr>
                <w:rFonts w:ascii="Calibri" w:hAnsi="Calibri"/>
                <w:b w:val="0"/>
                <w:i w:val="0"/>
                <w:color w:val="212121"/>
                <w:sz w:val="19"/>
              </w:rPr>
              <w:t>Prior pulmonary TB roughly triples COPD risk (pooled OR 2.59, 95% CI 2.12–3.15); pooled COPD prevalence among people with past TB is ~21%.</w:t>
            </w:r>
          </w:p>
          <w:p>
            <w:pPr>
              <w:spacing w:after="40" w:line="252" w:lineRule="auto"/>
            </w:pPr>
            <w:hyperlink r:id="rId14">
              <w:r>
                <w:rPr>
                  <w:rFonts w:ascii="Calibri" w:hAnsi="Calibri" w:cs="Calibri"/>
                  <w:sz w:val="18"/>
                  <w:color w:val="1155CC"/>
                  <w:u w:val="single"/>
                </w:rPr>
                <w:t xml:space="preserve">atm.amegroups.org — Pulmonary TB as a risk factor for COPD (meta-analysis)</w:t>
              </w:r>
            </w:hyperlink>
          </w:p>
          <w:p>
            <w:pPr>
              <w:spacing w:before="60" w:after="40"/>
            </w:pPr>
            <w:r>
              <w:rPr>
                <w:rFonts w:ascii="Calibri" w:hAnsi="Calibri"/>
                <w:b w:val="0"/>
                <w:i w:val="0"/>
                <w:color w:val="5A5A5A"/>
                <w:sz w:val="18"/>
              </w:rPr>
              <w:t>#postTB  #tuberculosis  #fixedobstruction  #nonsmokerCOPD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Asthma / airway hyperresponsiveness</w:t>
            </w:r>
          </w:p>
        </w:tc>
        <w:tc>
          <w:tcPr>
            <w:tcW w:type="dxa" w:w="2160"/>
            <w:vAlign w:val="top"/>
          </w:tcPr>
          <w:p>
            <w:pPr>
              <w:spacing w:after="40" w:before="0" w:line="259" w:lineRule="auto"/>
            </w:pPr>
            <w:r>
              <w:rPr>
                <w:rFonts w:ascii="Calibri" w:hAnsi="Calibri"/>
                <w:b w:val="0"/>
                <w:i w:val="0"/>
                <w:color w:val="212121"/>
                <w:sz w:val="19"/>
              </w:rPr>
              <w:t>Long-standing or poorly controlled asthmatics</w:t>
            </w:r>
          </w:p>
        </w:tc>
        <w:tc>
          <w:tcPr>
            <w:tcW w:type="dxa" w:w="4276"/>
            <w:vAlign w:val="top"/>
          </w:tcPr>
          <w:p>
            <w:pPr>
              <w:spacing w:after="60" w:line="259" w:lineRule="auto"/>
            </w:pPr>
            <w:r>
              <w:rPr>
                <w:rFonts w:ascii="Calibri" w:hAnsi="Calibri"/>
                <w:b w:val="0"/>
                <w:i w:val="0"/>
                <w:color w:val="212121"/>
                <w:sz w:val="19"/>
              </w:rPr>
              <w:t>Chronic asthma with airway remodelling can evolve into fixed obstruction (asthma-COPD overlap); airway hyperresponsiveness accelerates lung-function decline, especially with smoking.</w:t>
            </w:r>
          </w:p>
          <w:p>
            <w:pPr>
              <w:spacing w:after="40" w:before="60" w:line="259" w:lineRule="auto"/>
            </w:pPr>
            <w:r>
              <w:rPr>
                <w:rFonts w:ascii="Calibri" w:hAnsi="Calibri"/>
                <w:b w:val="0"/>
                <w:i w:val="0"/>
                <w:color w:val="212121"/>
                <w:sz w:val="19"/>
              </w:rPr>
              <w:t>Asthma-COPD overlap patients have more frequent exacerbations and faster FEV1 decline than either condition alone.</w:t>
            </w:r>
          </w:p>
          <w:p>
            <w:pPr>
              <w:spacing w:before="60" w:after="40"/>
            </w:pPr>
            <w:r>
              <w:rPr>
                <w:rFonts w:ascii="Calibri" w:hAnsi="Calibri"/>
                <w:b w:val="0"/>
                <w:i w:val="0"/>
                <w:color w:val="5A5A5A"/>
                <w:sz w:val="18"/>
              </w:rPr>
              <w:t>#asthmaCOPDoverlap  #ACO  #airwayremodelling  #hyperresponsiveness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Recurrent respiratory infections</w:t>
            </w:r>
          </w:p>
        </w:tc>
        <w:tc>
          <w:tcPr>
            <w:tcW w:type="dxa" w:w="2160"/>
            <w:vAlign w:val="top"/>
          </w:tcPr>
          <w:p>
            <w:pPr>
              <w:spacing w:after="40" w:before="0" w:line="259" w:lineRule="auto"/>
            </w:pPr>
            <w:r>
              <w:rPr>
                <w:rFonts w:ascii="Calibri" w:hAnsi="Calibri"/>
                <w:b w:val="0"/>
                <w:i w:val="0"/>
                <w:color w:val="212121"/>
                <w:sz w:val="19"/>
              </w:rPr>
              <w:t>Patients with bronchiectasis / childhood infections</w:t>
            </w:r>
          </w:p>
        </w:tc>
        <w:tc>
          <w:tcPr>
            <w:tcW w:type="dxa" w:w="4276"/>
            <w:vAlign w:val="top"/>
          </w:tcPr>
          <w:p>
            <w:pPr>
              <w:spacing w:after="60" w:line="259" w:lineRule="auto"/>
            </w:pPr>
            <w:r>
              <w:rPr>
                <w:rFonts w:ascii="Calibri" w:hAnsi="Calibri"/>
                <w:b w:val="0"/>
                <w:i w:val="0"/>
                <w:color w:val="212121"/>
                <w:sz w:val="19"/>
              </w:rPr>
              <w:t>Repeated lower-respiratory infections and coexisting bronchiectasis perpetuate airway inflammation, mucus retention and structural damage, driving obstruction and frequent exacerbations.</w:t>
            </w:r>
          </w:p>
          <w:p>
            <w:pPr>
              <w:spacing w:after="40" w:before="60" w:line="259" w:lineRule="auto"/>
            </w:pPr>
            <w:r>
              <w:rPr>
                <w:rFonts w:ascii="Calibri" w:hAnsi="Calibri"/>
                <w:b w:val="0"/>
                <w:i w:val="0"/>
                <w:color w:val="212121"/>
                <w:sz w:val="19"/>
              </w:rPr>
              <w:t>Coexisting bronchiectasis in COPD (the ‘COPD-bronchiectasis overlap’) is associated with more exacerbations, more Pseudomonas colonisation and higher mortality.</w:t>
            </w:r>
          </w:p>
          <w:p>
            <w:pPr>
              <w:spacing w:before="60" w:after="40"/>
            </w:pPr>
            <w:r>
              <w:rPr>
                <w:rFonts w:ascii="Calibri" w:hAnsi="Calibri"/>
                <w:b w:val="0"/>
                <w:i w:val="0"/>
                <w:color w:val="5A5A5A"/>
                <w:sz w:val="18"/>
              </w:rPr>
              <w:t>#bronchiectasis  #recurrentinfection  #mucus  #exacerbations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Cardiovascular disease</w:t>
            </w:r>
          </w:p>
        </w:tc>
        <w:tc>
          <w:tcPr>
            <w:tcW w:type="dxa" w:w="2160"/>
            <w:vAlign w:val="top"/>
          </w:tcPr>
          <w:p>
            <w:pPr>
              <w:spacing w:after="40" w:before="0" w:line="259" w:lineRule="auto"/>
            </w:pPr>
            <w:r>
              <w:rPr>
                <w:rFonts w:ascii="Calibri" w:hAnsi="Calibri"/>
                <w:b w:val="0"/>
                <w:i w:val="0"/>
                <w:color w:val="212121"/>
                <w:sz w:val="19"/>
              </w:rPr>
              <w:t>Patients with IHD / heart failure</w:t>
            </w:r>
          </w:p>
        </w:tc>
        <w:tc>
          <w:tcPr>
            <w:tcW w:type="dxa" w:w="4276"/>
            <w:vAlign w:val="top"/>
          </w:tcPr>
          <w:p>
            <w:pPr>
              <w:spacing w:after="60" w:line="259" w:lineRule="auto"/>
            </w:pPr>
            <w:r>
              <w:rPr>
                <w:rFonts w:ascii="Calibri" w:hAnsi="Calibri"/>
                <w:b w:val="0"/>
                <w:i w:val="0"/>
                <w:color w:val="212121"/>
                <w:sz w:val="19"/>
              </w:rPr>
              <w:t>COPD and cardiovascular disease share smoking and systemic inflammation; coexisting heart disease worsens breathlessness, complicates management and markedly increases mortality.</w:t>
            </w:r>
          </w:p>
          <w:p>
            <w:pPr>
              <w:spacing w:after="40" w:before="60" w:line="259" w:lineRule="auto"/>
            </w:pPr>
            <w:r>
              <w:rPr>
                <w:rFonts w:ascii="Calibri" w:hAnsi="Calibri"/>
                <w:b w:val="0"/>
                <w:i w:val="0"/>
                <w:color w:val="212121"/>
                <w:sz w:val="19"/>
              </w:rPr>
              <w:t>Cardiovascular disease is among the commonest and deadliest comorbidities of COPD and a leading cause of death in COPD patients.</w:t>
            </w:r>
          </w:p>
          <w:p>
            <w:pPr>
              <w:spacing w:after="40" w:line="252" w:lineRule="auto"/>
            </w:pPr>
            <w:hyperlink r:id="rId15">
              <w:r>
                <w:rPr>
                  <w:rFonts w:ascii="Calibri" w:hAnsi="Calibri" w:cs="Calibri"/>
                  <w:sz w:val="18"/>
                  <w:color w:val="1155CC"/>
                  <w:u w:val="single"/>
                </w:rPr>
                <w:t xml:space="preserve">pmc.ncbi.nlm.nih.gov/PMC7166051 — COPD as a risk factor for CVD</w:t>
              </w:r>
            </w:hyperlink>
          </w:p>
          <w:p>
            <w:pPr>
              <w:spacing w:before="60" w:after="40"/>
            </w:pPr>
            <w:r>
              <w:rPr>
                <w:rFonts w:ascii="Calibri" w:hAnsi="Calibri"/>
                <w:b w:val="0"/>
                <w:i w:val="0"/>
                <w:color w:val="5A5A5A"/>
                <w:sz w:val="18"/>
              </w:rPr>
              <w:t>#cardiovascular  #IHD  #heartfailure  #systemicinflammation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Physical inactivity and deconditioning drive a dyspnoea–inactivity spiral and independently predict hospitalisation and death in COPD. Structured pulmonary rehabilitation (aerobic + resistance training) improves exercise capacity, breathlessness, quality of life and reduces readmissions.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Undernutrition and low fat-free mass worsen respiratory-muscle function and survival (a component of the BODE index), while diets rich in fruit, vegetables, fibre and antioxidants are associated with better lung function and fewer exacerbations.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Nocturnal hypoxaemia and coexisting obstructive sleep apnoea (‘overlap syndrome’) worsen pulmonary hypertension and daytime symptoms; poor sleep quality is common and linked to more frequent exacerbations.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Tobacco (cigarette and bidi) smoke is the leading cause of COPD and the single most important modifiable factor; smoking cessation is the only intervention proven to slow FEV1 decline and reduce mortality. Passive smoke and hookah add risk.</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has a limited direct role in COPD; heavy use may impair immune defence, mucociliary clearance and increase aspiration/pneumonia risk, and interacts with sedative effects of some medications.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Depression and anxiety are highly prevalent in COPD (depression ~10–57%, anxiety ~7–50%) and predict more exacerbations, poorer adherence, worse quality of life and higher mortality (comorbid depression/anxiety mortality RR up to 2.29).</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helps keep airway secretions thin and aids mucociliary clearance, easing expectoration; evidence is largely supportive/physiological rather than from strong trials, and over-hydration must be avoided in cor pulmonale.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is chemically related to theophylline and can produce mild bronchodilation and modest short-term improvement in airway function, but the clinical effect is small and not a treatment substitute.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Hand hygiene, oral hygiene and vaccination (influenza, pneumococcal, COVID-19) reduce respiratory infections that trigger the exacerbations responsible for much COPD morbidity, hospitalisation and lung-function loss.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Acute exacerbations are provoked by respiratory viral/bacterial infections, ambient and indoor air pollution, biomass and tobacco smoke, cold air, dust and allergens; avoiding these triggers directly reduces exacerbation frequency.</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Body positioning modifies breathing mechanics — forward-leaning ‘tripod’ posture and pursed-lip breathing recruit accessory muscles and reduce dynamic hyperinflation, relieving breathlessness during exertion and exacerbations.</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Six-minute walk distance (6MWD)</w:t>
            </w:r>
          </w:p>
        </w:tc>
        <w:tc>
          <w:tcPr>
            <w:tcW w:type="dxa" w:w="1655"/>
            <w:vAlign w:val="top"/>
          </w:tcPr>
          <w:p>
            <w:pPr>
              <w:spacing w:after="40" w:before="0" w:line="259" w:lineRule="auto"/>
            </w:pPr>
            <w:r>
              <w:rPr>
                <w:rFonts w:ascii="Calibri" w:hAnsi="Calibri"/>
                <w:b w:val="0"/>
                <w:i w:val="0"/>
                <w:color w:val="212121"/>
                <w:sz w:val="19"/>
              </w:rPr>
              <w:t>COPD patients, elderly</w:t>
            </w:r>
          </w:p>
        </w:tc>
        <w:tc>
          <w:tcPr>
            <w:tcW w:type="dxa" w:w="1512"/>
            <w:vAlign w:val="top"/>
          </w:tcPr>
          <w:p>
            <w:pPr>
              <w:spacing w:after="40" w:before="0" w:line="259" w:lineRule="auto"/>
            </w:pPr>
            <w:r>
              <w:rPr>
                <w:rFonts w:ascii="Calibri" w:hAnsi="Calibri"/>
                <w:b w:val="0"/>
                <w:i w:val="0"/>
                <w:color w:val="212121"/>
                <w:sz w:val="19"/>
              </w:rPr>
              <w:t>&gt; 350–400 m</w:t>
            </w:r>
          </w:p>
        </w:tc>
        <w:tc>
          <w:tcPr>
            <w:tcW w:type="dxa" w:w="1512"/>
            <w:vAlign w:val="top"/>
          </w:tcPr>
          <w:p>
            <w:pPr>
              <w:spacing w:after="40" w:before="0" w:line="259" w:lineRule="auto"/>
            </w:pPr>
            <w:r>
              <w:rPr>
                <w:rFonts w:ascii="Calibri" w:hAnsi="Calibri"/>
                <w:b w:val="0"/>
                <w:i w:val="0"/>
                <w:color w:val="212121"/>
                <w:sz w:val="19"/>
              </w:rPr>
              <w:t>&lt; 350 m (poorer prognosis)</w:t>
            </w:r>
          </w:p>
        </w:tc>
        <w:tc>
          <w:tcPr>
            <w:tcW w:type="dxa" w:w="1468"/>
            <w:vAlign w:val="top"/>
          </w:tcPr>
          <w:p>
            <w:pPr>
              <w:spacing w:after="40" w:before="0" w:line="259" w:lineRule="auto"/>
            </w:pPr>
            <w:r>
              <w:rPr>
                <w:rFonts w:ascii="Calibri" w:hAnsi="Calibri"/>
                <w:b w:val="0"/>
                <w:i w:val="0"/>
                <w:color w:val="212121"/>
                <w:sz w:val="19"/>
              </w:rPr>
              <w:t>Objective exercise-capacity and prognostic marker; component of the BODE index</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mMRC dyspnoea grade</w:t>
            </w:r>
          </w:p>
        </w:tc>
        <w:tc>
          <w:tcPr>
            <w:tcW w:type="dxa" w:w="1655"/>
            <w:vAlign w:val="top"/>
          </w:tcPr>
          <w:p>
            <w:pPr>
              <w:spacing w:after="40" w:before="0" w:line="259" w:lineRule="auto"/>
            </w:pPr>
            <w:r>
              <w:rPr>
                <w:rFonts w:ascii="Calibri" w:hAnsi="Calibri"/>
                <w:b w:val="0"/>
                <w:i w:val="0"/>
                <w:color w:val="212121"/>
                <w:sz w:val="19"/>
              </w:rPr>
              <w:t>All COPD patients</w:t>
            </w:r>
          </w:p>
        </w:tc>
        <w:tc>
          <w:tcPr>
            <w:tcW w:type="dxa" w:w="1512"/>
            <w:vAlign w:val="top"/>
          </w:tcPr>
          <w:p>
            <w:pPr>
              <w:spacing w:after="40" w:before="0" w:line="259" w:lineRule="auto"/>
            </w:pPr>
            <w:r>
              <w:rPr>
                <w:rFonts w:ascii="Calibri" w:hAnsi="Calibri"/>
                <w:b w:val="0"/>
                <w:i w:val="0"/>
                <w:color w:val="212121"/>
                <w:sz w:val="19"/>
              </w:rPr>
              <w:t>Grade 0–1</w:t>
            </w:r>
          </w:p>
        </w:tc>
        <w:tc>
          <w:tcPr>
            <w:tcW w:type="dxa" w:w="1512"/>
            <w:vAlign w:val="top"/>
          </w:tcPr>
          <w:p>
            <w:pPr>
              <w:spacing w:after="40" w:before="0" w:line="259" w:lineRule="auto"/>
            </w:pPr>
            <w:r>
              <w:rPr>
                <w:rFonts w:ascii="Calibri" w:hAnsi="Calibri"/>
                <w:b w:val="0"/>
                <w:i w:val="0"/>
                <w:color w:val="212121"/>
                <w:sz w:val="19"/>
              </w:rPr>
              <w:t>≥ Grade 2 (breathless walking on the flat)</w:t>
            </w:r>
          </w:p>
        </w:tc>
        <w:tc>
          <w:tcPr>
            <w:tcW w:type="dxa" w:w="1468"/>
            <w:vAlign w:val="top"/>
          </w:tcPr>
          <w:p>
            <w:pPr>
              <w:spacing w:after="40" w:before="0" w:line="259" w:lineRule="auto"/>
            </w:pPr>
            <w:r>
              <w:rPr>
                <w:rFonts w:ascii="Calibri" w:hAnsi="Calibri"/>
                <w:b w:val="0"/>
                <w:i w:val="0"/>
                <w:color w:val="212121"/>
                <w:sz w:val="19"/>
              </w:rPr>
              <w:t>Symptom burden; guides GOLD A/B/E grouping and rehab referral</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COPD patients</w:t>
            </w:r>
          </w:p>
        </w:tc>
        <w:tc>
          <w:tcPr>
            <w:tcW w:type="dxa" w:w="1512"/>
            <w:vAlign w:val="top"/>
          </w:tcPr>
          <w:p>
            <w:pPr>
              <w:spacing w:after="40" w:before="0" w:line="259" w:lineRule="auto"/>
            </w:pPr>
            <w:r>
              <w:rPr>
                <w:rFonts w:ascii="Calibri" w:hAnsi="Calibri"/>
                <w:b w:val="0"/>
                <w:i w:val="0"/>
                <w:color w:val="212121"/>
                <w:sz w:val="19"/>
              </w:rPr>
              <w:t>21–25 kg/m² (avoid underweight)</w:t>
            </w:r>
          </w:p>
        </w:tc>
        <w:tc>
          <w:tcPr>
            <w:tcW w:type="dxa" w:w="1512"/>
            <w:vAlign w:val="top"/>
          </w:tcPr>
          <w:p>
            <w:pPr>
              <w:spacing w:after="40" w:before="0" w:line="259" w:lineRule="auto"/>
            </w:pPr>
            <w:r>
              <w:rPr>
                <w:rFonts w:ascii="Calibri" w:hAnsi="Calibri"/>
                <w:b w:val="0"/>
                <w:i w:val="0"/>
                <w:color w:val="212121"/>
                <w:sz w:val="19"/>
              </w:rPr>
              <w:t>&lt; 21 kg/m² (undernutrition) or &gt; 30 (obesity)</w:t>
            </w:r>
          </w:p>
        </w:tc>
        <w:tc>
          <w:tcPr>
            <w:tcW w:type="dxa" w:w="1468"/>
            <w:vAlign w:val="top"/>
          </w:tcPr>
          <w:p>
            <w:pPr>
              <w:spacing w:after="40" w:before="0" w:line="259" w:lineRule="auto"/>
            </w:pPr>
            <w:r>
              <w:rPr>
                <w:rFonts w:ascii="Calibri" w:hAnsi="Calibri"/>
                <w:b w:val="0"/>
                <w:i w:val="0"/>
                <w:color w:val="212121"/>
                <w:sz w:val="19"/>
              </w:rPr>
              <w:t>Low BMI/fat-free mass predicts worse survival — opposite pattern to diabetes</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Smoking exposure (pack-years / bidi-years)</w:t>
            </w:r>
          </w:p>
        </w:tc>
        <w:tc>
          <w:tcPr>
            <w:tcW w:type="dxa" w:w="1655"/>
            <w:vAlign w:val="top"/>
          </w:tcPr>
          <w:p>
            <w:pPr>
              <w:spacing w:after="40" w:before="0" w:line="259" w:lineRule="auto"/>
            </w:pPr>
            <w:r>
              <w:rPr>
                <w:rFonts w:ascii="Calibri" w:hAnsi="Calibri"/>
                <w:b w:val="0"/>
                <w:i w:val="0"/>
                <w:color w:val="212121"/>
                <w:sz w:val="19"/>
              </w:rPr>
              <w:t>Smokers, ex-smokers</w:t>
            </w:r>
          </w:p>
        </w:tc>
        <w:tc>
          <w:tcPr>
            <w:tcW w:type="dxa" w:w="1512"/>
            <w:vAlign w:val="top"/>
          </w:tcPr>
          <w:p>
            <w:pPr>
              <w:spacing w:after="40" w:before="0" w:line="259" w:lineRule="auto"/>
            </w:pPr>
            <w:r>
              <w:rPr>
                <w:rFonts w:ascii="Calibri" w:hAnsi="Calibri"/>
                <w:b w:val="0"/>
                <w:i w:val="0"/>
                <w:color w:val="212121"/>
                <w:sz w:val="19"/>
              </w:rPr>
              <w:t>0 (never smoker / quit)</w:t>
            </w:r>
          </w:p>
        </w:tc>
        <w:tc>
          <w:tcPr>
            <w:tcW w:type="dxa" w:w="1512"/>
            <w:vAlign w:val="top"/>
          </w:tcPr>
          <w:p>
            <w:pPr>
              <w:spacing w:after="40" w:before="0" w:line="259" w:lineRule="auto"/>
            </w:pPr>
            <w:r>
              <w:rPr>
                <w:rFonts w:ascii="Calibri" w:hAnsi="Calibri"/>
                <w:b w:val="0"/>
                <w:i w:val="0"/>
                <w:color w:val="212121"/>
                <w:sz w:val="19"/>
              </w:rPr>
              <w:t>≥ 10 pack-years (or heavy bidi use)</w:t>
            </w:r>
          </w:p>
        </w:tc>
        <w:tc>
          <w:tcPr>
            <w:tcW w:type="dxa" w:w="1468"/>
            <w:vAlign w:val="top"/>
          </w:tcPr>
          <w:p>
            <w:pPr>
              <w:spacing w:after="40" w:before="0" w:line="259" w:lineRule="auto"/>
            </w:pPr>
            <w:r>
              <w:rPr>
                <w:rFonts w:ascii="Calibri" w:hAnsi="Calibri"/>
                <w:b w:val="0"/>
                <w:i w:val="0"/>
                <w:color w:val="212121"/>
                <w:sz w:val="19"/>
              </w:rPr>
              <w:t>Cumulative exposure central to diagnosis and progression; cessation is first-line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Exacerbations in past 12 months</w:t>
            </w:r>
          </w:p>
        </w:tc>
        <w:tc>
          <w:tcPr>
            <w:tcW w:type="dxa" w:w="1655"/>
            <w:vAlign w:val="top"/>
          </w:tcPr>
          <w:p>
            <w:pPr>
              <w:spacing w:after="40" w:before="0" w:line="259" w:lineRule="auto"/>
            </w:pPr>
            <w:r>
              <w:rPr>
                <w:rFonts w:ascii="Calibri" w:hAnsi="Calibri"/>
                <w:b w:val="0"/>
                <w:i w:val="0"/>
                <w:color w:val="212121"/>
                <w:sz w:val="19"/>
              </w:rPr>
              <w:t>All COPD patients</w:t>
            </w:r>
          </w:p>
        </w:tc>
        <w:tc>
          <w:tcPr>
            <w:tcW w:type="dxa" w:w="1512"/>
            <w:vAlign w:val="top"/>
          </w:tcPr>
          <w:p>
            <w:pPr>
              <w:spacing w:after="40" w:before="0" w:line="259" w:lineRule="auto"/>
            </w:pPr>
            <w:r>
              <w:rPr>
                <w:rFonts w:ascii="Calibri" w:hAnsi="Calibri"/>
                <w:b w:val="0"/>
                <w:i w:val="0"/>
                <w:color w:val="212121"/>
                <w:sz w:val="19"/>
              </w:rPr>
              <w:t>0 exacerbations</w:t>
            </w:r>
          </w:p>
        </w:tc>
        <w:tc>
          <w:tcPr>
            <w:tcW w:type="dxa" w:w="1512"/>
            <w:vAlign w:val="top"/>
          </w:tcPr>
          <w:p>
            <w:pPr>
              <w:spacing w:after="40" w:before="0" w:line="259" w:lineRule="auto"/>
            </w:pPr>
            <w:r>
              <w:rPr>
                <w:rFonts w:ascii="Calibri" w:hAnsi="Calibri"/>
                <w:b w:val="0"/>
                <w:i w:val="0"/>
                <w:color w:val="212121"/>
                <w:sz w:val="19"/>
              </w:rPr>
              <w:t>≥ 2 moderate OR ≥ 1 hospitalised</w:t>
            </w:r>
          </w:p>
        </w:tc>
        <w:tc>
          <w:tcPr>
            <w:tcW w:type="dxa" w:w="1468"/>
            <w:vAlign w:val="top"/>
          </w:tcPr>
          <w:p>
            <w:pPr>
              <w:spacing w:after="40" w:before="0" w:line="259" w:lineRule="auto"/>
            </w:pPr>
            <w:r>
              <w:rPr>
                <w:rFonts w:ascii="Calibri" w:hAnsi="Calibri"/>
                <w:b w:val="0"/>
                <w:i w:val="0"/>
                <w:color w:val="212121"/>
                <w:sz w:val="19"/>
              </w:rPr>
              <w:t>Defines GOLD Group E and high-risk phenotype; drives escalation of therapy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Resting oxygen saturation (SpO2)</w:t>
            </w:r>
          </w:p>
        </w:tc>
        <w:tc>
          <w:tcPr>
            <w:tcW w:type="dxa" w:w="1655"/>
            <w:vAlign w:val="top"/>
          </w:tcPr>
          <w:p>
            <w:pPr>
              <w:spacing w:after="40" w:before="0" w:line="259" w:lineRule="auto"/>
            </w:pPr>
            <w:r>
              <w:rPr>
                <w:rFonts w:ascii="Calibri" w:hAnsi="Calibri"/>
                <w:b w:val="0"/>
                <w:i w:val="0"/>
                <w:color w:val="212121"/>
                <w:sz w:val="19"/>
              </w:rPr>
              <w:t>Moderate–severe COPD</w:t>
            </w:r>
          </w:p>
        </w:tc>
        <w:tc>
          <w:tcPr>
            <w:tcW w:type="dxa" w:w="1512"/>
            <w:vAlign w:val="top"/>
          </w:tcPr>
          <w:p>
            <w:pPr>
              <w:spacing w:after="40" w:before="0" w:line="259" w:lineRule="auto"/>
            </w:pPr>
            <w:r>
              <w:rPr>
                <w:rFonts w:ascii="Calibri" w:hAnsi="Calibri"/>
                <w:b w:val="0"/>
                <w:i w:val="0"/>
                <w:color w:val="212121"/>
                <w:sz w:val="19"/>
              </w:rPr>
              <w:t>≥ 92% on room air</w:t>
            </w:r>
          </w:p>
        </w:tc>
        <w:tc>
          <w:tcPr>
            <w:tcW w:type="dxa" w:w="1512"/>
            <w:vAlign w:val="top"/>
          </w:tcPr>
          <w:p>
            <w:pPr>
              <w:spacing w:after="40" w:before="0" w:line="259" w:lineRule="auto"/>
            </w:pPr>
            <w:r>
              <w:rPr>
                <w:rFonts w:ascii="Calibri" w:hAnsi="Calibri"/>
                <w:b w:val="0"/>
                <w:i w:val="0"/>
                <w:color w:val="212121"/>
                <w:sz w:val="19"/>
              </w:rPr>
              <w:t>≤ 88% (assess for long-term oxygen)</w:t>
            </w:r>
          </w:p>
        </w:tc>
        <w:tc>
          <w:tcPr>
            <w:tcW w:type="dxa" w:w="1468"/>
            <w:vAlign w:val="top"/>
          </w:tcPr>
          <w:p>
            <w:pPr>
              <w:spacing w:after="40" w:before="0" w:line="259" w:lineRule="auto"/>
            </w:pPr>
            <w:r>
              <w:rPr>
                <w:rFonts w:ascii="Calibri" w:hAnsi="Calibri"/>
                <w:b w:val="0"/>
                <w:i w:val="0"/>
                <w:color w:val="212121"/>
                <w:sz w:val="19"/>
              </w:rPr>
              <w:t>Screens for chronic hypoxaemia and need for LTOT assessment (ABG confirmation)</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CAT (COPD Assessment Test) score</w:t>
            </w:r>
          </w:p>
        </w:tc>
        <w:tc>
          <w:tcPr>
            <w:tcW w:type="dxa" w:w="1655"/>
            <w:vAlign w:val="top"/>
          </w:tcPr>
          <w:p>
            <w:pPr>
              <w:spacing w:after="40" w:before="0" w:line="259" w:lineRule="auto"/>
            </w:pPr>
            <w:r>
              <w:rPr>
                <w:rFonts w:ascii="Calibri" w:hAnsi="Calibri"/>
                <w:b w:val="0"/>
                <w:i w:val="0"/>
                <w:color w:val="212121"/>
                <w:sz w:val="19"/>
              </w:rPr>
              <w:t>All COPD patients</w:t>
            </w:r>
          </w:p>
        </w:tc>
        <w:tc>
          <w:tcPr>
            <w:tcW w:type="dxa" w:w="1512"/>
            <w:vAlign w:val="top"/>
          </w:tcPr>
          <w:p>
            <w:pPr>
              <w:spacing w:after="40" w:before="0" w:line="259" w:lineRule="auto"/>
            </w:pPr>
            <w:r>
              <w:rPr>
                <w:rFonts w:ascii="Calibri" w:hAnsi="Calibri"/>
                <w:b w:val="0"/>
                <w:i w:val="0"/>
                <w:color w:val="212121"/>
                <w:sz w:val="19"/>
              </w:rPr>
              <w:t>&lt; 10</w:t>
            </w:r>
          </w:p>
        </w:tc>
        <w:tc>
          <w:tcPr>
            <w:tcW w:type="dxa" w:w="1512"/>
            <w:vAlign w:val="top"/>
          </w:tcPr>
          <w:p>
            <w:pPr>
              <w:spacing w:after="40" w:before="0" w:line="259" w:lineRule="auto"/>
            </w:pPr>
            <w:r>
              <w:rPr>
                <w:rFonts w:ascii="Calibri" w:hAnsi="Calibri"/>
                <w:b w:val="0"/>
                <w:i w:val="0"/>
                <w:color w:val="212121"/>
                <w:sz w:val="19"/>
              </w:rPr>
              <w:t>≥ 10 (high symptom burden)</w:t>
            </w:r>
          </w:p>
        </w:tc>
        <w:tc>
          <w:tcPr>
            <w:tcW w:type="dxa" w:w="1468"/>
            <w:vAlign w:val="top"/>
          </w:tcPr>
          <w:p>
            <w:pPr>
              <w:spacing w:after="40" w:before="0" w:line="259" w:lineRule="auto"/>
            </w:pPr>
            <w:r>
              <w:rPr>
                <w:rFonts w:ascii="Calibri" w:hAnsi="Calibri"/>
                <w:b w:val="0"/>
                <w:i w:val="0"/>
                <w:color w:val="212121"/>
                <w:sz w:val="19"/>
              </w:rPr>
              <w:t>Health-status score guiding GOLD group and response to rehabilitation/therapy</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&amp; nocturnal SpO2</w:t>
            </w:r>
          </w:p>
        </w:tc>
        <w:tc>
          <w:tcPr>
            <w:tcW w:type="dxa" w:w="1655"/>
            <w:vAlign w:val="top"/>
          </w:tcPr>
          <w:p>
            <w:pPr>
              <w:spacing w:after="40" w:before="0" w:line="259" w:lineRule="auto"/>
            </w:pPr>
            <w:r>
              <w:rPr>
                <w:rFonts w:ascii="Calibri" w:hAnsi="Calibri"/>
                <w:b w:val="0"/>
                <w:i w:val="0"/>
                <w:color w:val="212121"/>
                <w:sz w:val="19"/>
              </w:rPr>
              <w:t>COPD, suspected overlap syndrome</w:t>
            </w:r>
          </w:p>
        </w:tc>
        <w:tc>
          <w:tcPr>
            <w:tcW w:type="dxa" w:w="1512"/>
            <w:vAlign w:val="top"/>
          </w:tcPr>
          <w:p>
            <w:pPr>
              <w:spacing w:after="40" w:before="0" w:line="259" w:lineRule="auto"/>
            </w:pPr>
            <w:r>
              <w:rPr>
                <w:rFonts w:ascii="Calibri" w:hAnsi="Calibri"/>
                <w:b w:val="0"/>
                <w:i w:val="0"/>
                <w:color w:val="212121"/>
                <w:sz w:val="19"/>
              </w:rPr>
              <w:t>7–8 h; SpO2 &gt; 90% overnight</w:t>
            </w:r>
          </w:p>
        </w:tc>
        <w:tc>
          <w:tcPr>
            <w:tcW w:type="dxa" w:w="1512"/>
            <w:vAlign w:val="top"/>
          </w:tcPr>
          <w:p>
            <w:pPr>
              <w:spacing w:after="40" w:before="0" w:line="259" w:lineRule="auto"/>
            </w:pPr>
            <w:r>
              <w:rPr>
                <w:rFonts w:ascii="Calibri" w:hAnsi="Calibri"/>
                <w:b w:val="0"/>
                <w:i w:val="0"/>
                <w:color w:val="212121"/>
                <w:sz w:val="19"/>
              </w:rPr>
              <w:t>Nocturnal desaturation / OSA symptoms</w:t>
            </w:r>
          </w:p>
        </w:tc>
        <w:tc>
          <w:tcPr>
            <w:tcW w:type="dxa" w:w="1468"/>
            <w:vAlign w:val="top"/>
          </w:tcPr>
          <w:p>
            <w:pPr>
              <w:spacing w:after="40" w:before="0" w:line="259" w:lineRule="auto"/>
            </w:pPr>
            <w:r>
              <w:rPr>
                <w:rFonts w:ascii="Calibri" w:hAnsi="Calibri"/>
                <w:b w:val="0"/>
                <w:i w:val="0"/>
                <w:color w:val="212121"/>
                <w:sz w:val="19"/>
              </w:rPr>
              <w:t>Overlap syndrome (COPD+OSA) worsens pulmonary hypertension — screen if snoring/daytime sleepiness</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Depression/anxiety screen (PHQ-9 / GAD-7)</w:t>
            </w:r>
          </w:p>
        </w:tc>
        <w:tc>
          <w:tcPr>
            <w:tcW w:type="dxa" w:w="1655"/>
            <w:vAlign w:val="top"/>
          </w:tcPr>
          <w:p>
            <w:pPr>
              <w:spacing w:after="40" w:before="0" w:line="259" w:lineRule="auto"/>
            </w:pPr>
            <w:r>
              <w:rPr>
                <w:rFonts w:ascii="Calibri" w:hAnsi="Calibri"/>
                <w:b w:val="0"/>
                <w:i w:val="0"/>
                <w:color w:val="212121"/>
                <w:sz w:val="19"/>
              </w:rPr>
              <w:t>All COPD patients</w:t>
            </w:r>
          </w:p>
        </w:tc>
        <w:tc>
          <w:tcPr>
            <w:tcW w:type="dxa" w:w="1512"/>
            <w:vAlign w:val="top"/>
          </w:tcPr>
          <w:p>
            <w:pPr>
              <w:spacing w:after="40" w:before="0" w:line="259" w:lineRule="auto"/>
            </w:pPr>
            <w:r>
              <w:rPr>
                <w:rFonts w:ascii="Calibri" w:hAnsi="Calibri"/>
                <w:b w:val="0"/>
                <w:i w:val="0"/>
                <w:color w:val="212121"/>
                <w:sz w:val="19"/>
              </w:rPr>
              <w:t>Below clinical threshold</w:t>
            </w:r>
          </w:p>
        </w:tc>
        <w:tc>
          <w:tcPr>
            <w:tcW w:type="dxa" w:w="1512"/>
            <w:vAlign w:val="top"/>
          </w:tcPr>
          <w:p>
            <w:pPr>
              <w:spacing w:after="40" w:before="0" w:line="259" w:lineRule="auto"/>
            </w:pPr>
            <w:r>
              <w:rPr>
                <w:rFonts w:ascii="Calibri" w:hAnsi="Calibri"/>
                <w:b w:val="0"/>
                <w:i w:val="0"/>
                <w:color w:val="212121"/>
                <w:sz w:val="19"/>
              </w:rPr>
              <w:t>PHQ-9 ≥ 10 or GAD-7 ≥ 10</w:t>
            </w:r>
          </w:p>
        </w:tc>
        <w:tc>
          <w:tcPr>
            <w:tcW w:type="dxa" w:w="1468"/>
            <w:vAlign w:val="top"/>
          </w:tcPr>
          <w:p>
            <w:pPr>
              <w:spacing w:after="40" w:before="0" w:line="259" w:lineRule="auto"/>
            </w:pPr>
            <w:r>
              <w:rPr>
                <w:rFonts w:ascii="Calibri" w:hAnsi="Calibri"/>
                <w:b w:val="0"/>
                <w:i w:val="0"/>
                <w:color w:val="212121"/>
                <w:sz w:val="19"/>
              </w:rPr>
              <w:t>Common, under-treated, and predicts exacerbations and mortality — screen routinely</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(units/week)</w:t>
            </w:r>
          </w:p>
        </w:tc>
        <w:tc>
          <w:tcPr>
            <w:tcW w:type="dxa" w:w="1655"/>
            <w:vAlign w:val="top"/>
          </w:tcPr>
          <w:p>
            <w:pPr>
              <w:spacing w:after="40" w:before="0" w:line="259" w:lineRule="auto"/>
            </w:pPr>
            <w:r>
              <w:rPr>
                <w:rFonts w:ascii="Calibri" w:hAnsi="Calibri"/>
                <w:b w:val="0"/>
                <w:i w:val="0"/>
                <w:color w:val="212121"/>
                <w:sz w:val="19"/>
              </w:rPr>
              <w:t>Adults with COPD</w:t>
            </w:r>
          </w:p>
        </w:tc>
        <w:tc>
          <w:tcPr>
            <w:tcW w:type="dxa" w:w="1512"/>
            <w:vAlign w:val="top"/>
          </w:tcPr>
          <w:p>
            <w:pPr>
              <w:spacing w:after="40" w:before="0" w:line="259" w:lineRule="auto"/>
            </w:pPr>
            <w:r>
              <w:rPr>
                <w:rFonts w:ascii="Calibri" w:hAnsi="Calibri"/>
                <w:b w:val="0"/>
                <w:i w:val="0"/>
                <w:color w:val="212121"/>
                <w:sz w:val="19"/>
              </w:rPr>
              <w:t>≤ 14 units/week or none</w:t>
            </w:r>
          </w:p>
        </w:tc>
        <w:tc>
          <w:tcPr>
            <w:tcW w:type="dxa" w:w="1512"/>
            <w:vAlign w:val="top"/>
          </w:tcPr>
          <w:p>
            <w:pPr>
              <w:spacing w:after="40" w:before="0" w:line="259" w:lineRule="auto"/>
            </w:pPr>
            <w:r>
              <w:rPr>
                <w:rFonts w:ascii="Calibri" w:hAnsi="Calibri"/>
                <w:b w:val="0"/>
                <w:i w:val="0"/>
                <w:color w:val="212121"/>
                <w:sz w:val="19"/>
              </w:rPr>
              <w:t>&gt; 14 units/week</w:t>
            </w:r>
          </w:p>
        </w:tc>
        <w:tc>
          <w:tcPr>
            <w:tcW w:type="dxa" w:w="1468"/>
            <w:vAlign w:val="top"/>
          </w:tcPr>
          <w:p>
            <w:pPr>
              <w:spacing w:after="40" w:before="0" w:line="259" w:lineRule="auto"/>
            </w:pPr>
            <w:r>
              <w:rPr>
                <w:rFonts w:ascii="Calibri" w:hAnsi="Calibri"/>
                <w:b w:val="0"/>
                <w:i w:val="0"/>
                <w:color w:val="212121"/>
                <w:sz w:val="19"/>
              </w:rPr>
              <w:t>Heavy use impairs immune defence and mucociliary clearance; interacts with sedatives</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Pulmonary function</w:t>
            </w:r>
          </w:p>
        </w:tc>
        <w:tc>
          <w:tcPr>
            <w:tcW w:type="dxa" w:w="1036"/>
            <w:vAlign w:val="top"/>
          </w:tcPr>
          <w:p>
            <w:pPr>
              <w:spacing w:after="40" w:before="0" w:line="259" w:lineRule="auto"/>
            </w:pPr>
            <w:r>
              <w:rPr>
                <w:rFonts w:ascii="Calibri" w:hAnsi="Calibri"/>
                <w:b w:val="0"/>
                <w:i w:val="0"/>
                <w:color w:val="212121"/>
                <w:sz w:val="16"/>
              </w:rPr>
              <w:t>Post-bronchodilator FEV1/FVC ratio</w:t>
            </w:r>
          </w:p>
        </w:tc>
        <w:tc>
          <w:tcPr>
            <w:tcW w:type="dxa" w:w="892"/>
            <w:vAlign w:val="top"/>
          </w:tcPr>
          <w:p>
            <w:pPr>
              <w:spacing w:after="40" w:before="0" w:line="259" w:lineRule="auto"/>
            </w:pPr>
            <w:r>
              <w:rPr>
                <w:rFonts w:ascii="Calibri" w:hAnsi="Calibri"/>
                <w:b w:val="0"/>
                <w:i w:val="0"/>
                <w:color w:val="212121"/>
                <w:sz w:val="16"/>
              </w:rPr>
              <w:t>Spirometry</w:t>
            </w:r>
          </w:p>
        </w:tc>
        <w:tc>
          <w:tcPr>
            <w:tcW w:type="dxa" w:w="950"/>
            <w:vAlign w:val="top"/>
          </w:tcPr>
          <w:p>
            <w:pPr>
              <w:spacing w:after="40" w:before="0" w:line="259" w:lineRule="auto"/>
            </w:pPr>
            <w:r>
              <w:rPr>
                <w:rFonts w:ascii="Calibri" w:hAnsi="Calibri"/>
                <w:b w:val="0"/>
                <w:i w:val="0"/>
                <w:color w:val="212121"/>
                <w:sz w:val="16"/>
              </w:rPr>
              <w:t>≥ 0.70</w:t>
            </w:r>
          </w:p>
        </w:tc>
        <w:tc>
          <w:tcPr>
            <w:tcW w:type="dxa" w:w="950"/>
            <w:vAlign w:val="top"/>
          </w:tcPr>
          <w:p>
            <w:pPr>
              <w:spacing w:after="40" w:before="0" w:line="259" w:lineRule="auto"/>
            </w:pPr>
            <w:r>
              <w:rPr>
                <w:rFonts w:ascii="Calibri" w:hAnsi="Calibri"/>
                <w:b w:val="0"/>
                <w:i w:val="0"/>
                <w:color w:val="212121"/>
                <w:sz w:val="16"/>
              </w:rPr>
              <w:t>&lt; 0.70</w:t>
            </w:r>
          </w:p>
        </w:tc>
        <w:tc>
          <w:tcPr>
            <w:tcW w:type="dxa" w:w="1036"/>
            <w:vAlign w:val="top"/>
          </w:tcPr>
          <w:p>
            <w:pPr>
              <w:spacing w:after="40" w:before="0" w:line="259" w:lineRule="auto"/>
            </w:pPr>
            <w:r>
              <w:rPr>
                <w:rFonts w:ascii="Calibri" w:hAnsi="Calibri"/>
                <w:b w:val="0"/>
                <w:i w:val="0"/>
                <w:color w:val="212121"/>
                <w:sz w:val="16"/>
              </w:rPr>
              <w:t>Confirms persistent, not fully reversible airflow limitation — the diagnostic criterion for COPD</w:t>
            </w:r>
          </w:p>
        </w:tc>
        <w:tc>
          <w:tcPr>
            <w:tcW w:type="dxa" w:w="1036"/>
            <w:vAlign w:val="top"/>
          </w:tcPr>
          <w:p>
            <w:pPr>
              <w:spacing w:after="40" w:before="0" w:line="259" w:lineRule="auto"/>
            </w:pPr>
            <w:r>
              <w:rPr>
                <w:rFonts w:ascii="Calibri" w:hAnsi="Calibri"/>
                <w:b w:val="0"/>
                <w:i w:val="0"/>
                <w:color w:val="212121"/>
                <w:sz w:val="16"/>
              </w:rPr>
              <w:t>Symptomatic smokers, biomass-exposed, post-TB, occupational exposure</w:t>
            </w:r>
          </w:p>
        </w:tc>
        <w:tc>
          <w:tcPr>
            <w:tcW w:type="dxa" w:w="720"/>
            <w:vAlign w:val="top"/>
          </w:tcPr>
          <w:p>
            <w:pPr>
              <w:spacing w:after="40" w:before="0" w:line="259" w:lineRule="auto"/>
            </w:pPr>
            <w:r>
              <w:rPr>
                <w:rFonts w:ascii="Calibri" w:hAnsi="Calibri"/>
                <w:b w:val="0"/>
                <w:i w:val="0"/>
                <w:color w:val="212121"/>
                <w:sz w:val="16"/>
              </w:rPr>
              <w:t>Smoking; 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Must be post-bronchodilator; performed when clinically stable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Pulmonary function</w:t>
            </w:r>
          </w:p>
        </w:tc>
        <w:tc>
          <w:tcPr>
            <w:tcW w:type="dxa" w:w="1036"/>
            <w:vAlign w:val="top"/>
          </w:tcPr>
          <w:p>
            <w:pPr>
              <w:spacing w:after="40" w:before="0" w:line="259" w:lineRule="auto"/>
            </w:pPr>
            <w:r>
              <w:rPr>
                <w:rFonts w:ascii="Calibri" w:hAnsi="Calibri"/>
                <w:b w:val="0"/>
                <w:i w:val="0"/>
                <w:color w:val="212121"/>
                <w:sz w:val="16"/>
              </w:rPr>
              <w:t>FEV1 % predicted</w:t>
            </w:r>
          </w:p>
        </w:tc>
        <w:tc>
          <w:tcPr>
            <w:tcW w:type="dxa" w:w="892"/>
            <w:vAlign w:val="top"/>
          </w:tcPr>
          <w:p>
            <w:pPr>
              <w:spacing w:after="40" w:before="0" w:line="259" w:lineRule="auto"/>
            </w:pPr>
            <w:r>
              <w:rPr>
                <w:rFonts w:ascii="Calibri" w:hAnsi="Calibri"/>
                <w:b w:val="0"/>
                <w:i w:val="0"/>
                <w:color w:val="212121"/>
                <w:sz w:val="16"/>
              </w:rPr>
              <w:t>Spirometry</w:t>
            </w:r>
          </w:p>
        </w:tc>
        <w:tc>
          <w:tcPr>
            <w:tcW w:type="dxa" w:w="950"/>
            <w:vAlign w:val="top"/>
          </w:tcPr>
          <w:p>
            <w:pPr>
              <w:spacing w:after="40" w:before="0" w:line="259" w:lineRule="auto"/>
            </w:pPr>
            <w:r>
              <w:rPr>
                <w:rFonts w:ascii="Calibri" w:hAnsi="Calibri"/>
                <w:b w:val="0"/>
                <w:i w:val="0"/>
                <w:color w:val="212121"/>
                <w:sz w:val="16"/>
              </w:rPr>
              <w:t>≥ 80% predicted</w:t>
            </w:r>
          </w:p>
        </w:tc>
        <w:tc>
          <w:tcPr>
            <w:tcW w:type="dxa" w:w="950"/>
            <w:vAlign w:val="top"/>
          </w:tcPr>
          <w:p>
            <w:pPr>
              <w:spacing w:after="40" w:before="0" w:line="259" w:lineRule="auto"/>
            </w:pPr>
            <w:r>
              <w:rPr>
                <w:rFonts w:ascii="Calibri" w:hAnsi="Calibri"/>
                <w:b w:val="0"/>
                <w:i w:val="0"/>
                <w:color w:val="212121"/>
                <w:sz w:val="16"/>
              </w:rPr>
              <w:t>&lt; 80% predicted (graded 1–4)</w:t>
            </w:r>
          </w:p>
        </w:tc>
        <w:tc>
          <w:tcPr>
            <w:tcW w:type="dxa" w:w="1036"/>
            <w:vAlign w:val="top"/>
          </w:tcPr>
          <w:p>
            <w:pPr>
              <w:spacing w:after="40" w:before="0" w:line="259" w:lineRule="auto"/>
            </w:pPr>
            <w:r>
              <w:rPr>
                <w:rFonts w:ascii="Calibri" w:hAnsi="Calibri"/>
                <w:b w:val="0"/>
                <w:i w:val="0"/>
                <w:color w:val="212121"/>
                <w:sz w:val="16"/>
              </w:rPr>
              <w:t>Grades severity of airflow limitation (GOLD 1–4) and tracks progression</w:t>
            </w:r>
          </w:p>
        </w:tc>
        <w:tc>
          <w:tcPr>
            <w:tcW w:type="dxa" w:w="1036"/>
            <w:vAlign w:val="top"/>
          </w:tcPr>
          <w:p>
            <w:pPr>
              <w:spacing w:after="40" w:before="0" w:line="259" w:lineRule="auto"/>
            </w:pPr>
            <w:r>
              <w:rPr>
                <w:rFonts w:ascii="Calibri" w:hAnsi="Calibri"/>
                <w:b w:val="0"/>
                <w:i w:val="0"/>
                <w:color w:val="212121"/>
                <w:sz w:val="16"/>
              </w:rPr>
              <w:t>All confirmed COPD patients</w:t>
            </w:r>
          </w:p>
        </w:tc>
        <w:tc>
          <w:tcPr>
            <w:tcW w:type="dxa" w:w="720"/>
            <w:vAlign w:val="top"/>
          </w:tcPr>
          <w:p>
            <w:pPr>
              <w:spacing w:after="40" w:before="0" w:line="259" w:lineRule="auto"/>
            </w:pPr>
            <w:r>
              <w:rPr>
                <w:rFonts w:ascii="Calibri" w:hAnsi="Calibri"/>
                <w:b w:val="0"/>
                <w:i w:val="0"/>
                <w:color w:val="212121"/>
                <w:sz w:val="16"/>
              </w:rPr>
              <w:t>Smoking; Physical activity</w:t>
            </w:r>
          </w:p>
        </w:tc>
        <w:tc>
          <w:tcPr>
            <w:tcW w:type="dxa" w:w="720"/>
            <w:vAlign w:val="top"/>
          </w:tcPr>
          <w:p>
            <w:pPr>
              <w:spacing w:after="40" w:before="0" w:line="259" w:lineRule="auto"/>
            </w:pPr>
            <w:r>
              <w:rPr>
                <w:rFonts w:ascii="Calibri" w:hAnsi="Calibri"/>
                <w:b w:val="0"/>
                <w:i w:val="0"/>
                <w:color w:val="212121"/>
                <w:sz w:val="16"/>
              </w:rPr>
              <w:t>Diagnostic &amp; monitoring</w:t>
            </w:r>
          </w:p>
        </w:tc>
        <w:tc>
          <w:tcPr>
            <w:tcW w:type="dxa" w:w="720"/>
            <w:vAlign w:val="top"/>
          </w:tcPr>
          <w:p>
            <w:pPr>
              <w:spacing w:after="40" w:before="0" w:line="259" w:lineRule="auto"/>
            </w:pPr>
            <w:r>
              <w:rPr>
                <w:rFonts w:ascii="Calibri" w:hAnsi="Calibri"/>
                <w:b w:val="0"/>
                <w:i w:val="0"/>
                <w:color w:val="212121"/>
                <w:sz w:val="16"/>
              </w:rPr>
              <w:t>GOLD1 ≥80, GOLD2 50–79, GOLD3 30–49, GOLD4 &lt;30</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Bedside</w:t>
            </w:r>
          </w:p>
        </w:tc>
        <w:tc>
          <w:tcPr>
            <w:tcW w:type="dxa" w:w="1036"/>
            <w:vAlign w:val="top"/>
          </w:tcPr>
          <w:p>
            <w:pPr>
              <w:spacing w:after="40" w:before="0" w:line="259" w:lineRule="auto"/>
            </w:pPr>
            <w:r>
              <w:rPr>
                <w:rFonts w:ascii="Calibri" w:hAnsi="Calibri"/>
                <w:b w:val="0"/>
                <w:i w:val="0"/>
                <w:color w:val="212121"/>
                <w:sz w:val="16"/>
              </w:rPr>
              <w:t>Oxygen saturation (SpO2)</w:t>
            </w:r>
          </w:p>
        </w:tc>
        <w:tc>
          <w:tcPr>
            <w:tcW w:type="dxa" w:w="892"/>
            <w:vAlign w:val="top"/>
          </w:tcPr>
          <w:p>
            <w:pPr>
              <w:spacing w:after="40" w:before="0" w:line="259" w:lineRule="auto"/>
            </w:pPr>
            <w:r>
              <w:rPr>
                <w:rFonts w:ascii="Calibri" w:hAnsi="Calibri"/>
                <w:b w:val="0"/>
                <w:i w:val="0"/>
                <w:color w:val="212121"/>
                <w:sz w:val="16"/>
              </w:rPr>
              <w:t>Pulse oximetry</w:t>
            </w:r>
          </w:p>
        </w:tc>
        <w:tc>
          <w:tcPr>
            <w:tcW w:type="dxa" w:w="950"/>
            <w:vAlign w:val="top"/>
          </w:tcPr>
          <w:p>
            <w:pPr>
              <w:spacing w:after="40" w:before="0" w:line="259" w:lineRule="auto"/>
            </w:pPr>
            <w:r>
              <w:rPr>
                <w:rFonts w:ascii="Calibri" w:hAnsi="Calibri"/>
                <w:b w:val="0"/>
                <w:i w:val="0"/>
                <w:color w:val="212121"/>
                <w:sz w:val="16"/>
              </w:rPr>
              <w:t>≥ 95% room air</w:t>
            </w:r>
          </w:p>
        </w:tc>
        <w:tc>
          <w:tcPr>
            <w:tcW w:type="dxa" w:w="950"/>
            <w:vAlign w:val="top"/>
          </w:tcPr>
          <w:p>
            <w:pPr>
              <w:spacing w:after="40" w:before="0" w:line="259" w:lineRule="auto"/>
            </w:pPr>
            <w:r>
              <w:rPr>
                <w:rFonts w:ascii="Calibri" w:hAnsi="Calibri"/>
                <w:b w:val="0"/>
                <w:i w:val="0"/>
                <w:color w:val="212121"/>
                <w:sz w:val="16"/>
              </w:rPr>
              <w:t>≤ 88% (chronic hypoxaemia)</w:t>
            </w:r>
          </w:p>
        </w:tc>
        <w:tc>
          <w:tcPr>
            <w:tcW w:type="dxa" w:w="1036"/>
            <w:vAlign w:val="top"/>
          </w:tcPr>
          <w:p>
            <w:pPr>
              <w:spacing w:after="40" w:before="0" w:line="259" w:lineRule="auto"/>
            </w:pPr>
            <w:r>
              <w:rPr>
                <w:rFonts w:ascii="Calibri" w:hAnsi="Calibri"/>
                <w:b w:val="0"/>
                <w:i w:val="0"/>
                <w:color w:val="212121"/>
                <w:sz w:val="16"/>
              </w:rPr>
              <w:t>Screens for hypoxaemia; SpO2 ≤ 92% prompts arterial blood gas and LTOT assessment</w:t>
            </w:r>
          </w:p>
        </w:tc>
        <w:tc>
          <w:tcPr>
            <w:tcW w:type="dxa" w:w="1036"/>
            <w:vAlign w:val="top"/>
          </w:tcPr>
          <w:p>
            <w:pPr>
              <w:spacing w:after="40" w:before="0" w:line="259" w:lineRule="auto"/>
            </w:pPr>
            <w:r>
              <w:rPr>
                <w:rFonts w:ascii="Calibri" w:hAnsi="Calibri"/>
                <w:b w:val="0"/>
                <w:i w:val="0"/>
                <w:color w:val="212121"/>
                <w:sz w:val="16"/>
              </w:rPr>
              <w:t>Moderate–severe COPD, exacerbations, cor pulmonale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Non-invasive; unreliable in poor perfusion/dark nail polish</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Arterial blood gas (PaO2, PaCO2, pH)</w:t>
            </w:r>
          </w:p>
        </w:tc>
        <w:tc>
          <w:tcPr>
            <w:tcW w:type="dxa" w:w="892"/>
            <w:vAlign w:val="top"/>
          </w:tcPr>
          <w:p>
            <w:pPr>
              <w:spacing w:after="40" w:before="0" w:line="259" w:lineRule="auto"/>
            </w:pPr>
            <w:r>
              <w:rPr>
                <w:rFonts w:ascii="Calibri" w:hAnsi="Calibri"/>
                <w:b w:val="0"/>
                <w:i w:val="0"/>
                <w:color w:val="212121"/>
                <w:sz w:val="16"/>
              </w:rPr>
              <w:t>ABG analysis</w:t>
            </w:r>
          </w:p>
        </w:tc>
        <w:tc>
          <w:tcPr>
            <w:tcW w:type="dxa" w:w="950"/>
            <w:vAlign w:val="top"/>
          </w:tcPr>
          <w:p>
            <w:pPr>
              <w:spacing w:after="40" w:before="0" w:line="259" w:lineRule="auto"/>
            </w:pPr>
            <w:r>
              <w:rPr>
                <w:rFonts w:ascii="Calibri" w:hAnsi="Calibri"/>
                <w:b w:val="0"/>
                <w:i w:val="0"/>
                <w:color w:val="212121"/>
                <w:sz w:val="16"/>
              </w:rPr>
              <w:t>PaO2 80–100, PaCO2 35–45 mmHg, pH 7.35–7.45</w:t>
            </w:r>
          </w:p>
        </w:tc>
        <w:tc>
          <w:tcPr>
            <w:tcW w:type="dxa" w:w="950"/>
            <w:vAlign w:val="top"/>
          </w:tcPr>
          <w:p>
            <w:pPr>
              <w:spacing w:after="40" w:before="0" w:line="259" w:lineRule="auto"/>
            </w:pPr>
            <w:r>
              <w:rPr>
                <w:rFonts w:ascii="Calibri" w:hAnsi="Calibri"/>
                <w:b w:val="0"/>
                <w:i w:val="0"/>
                <w:color w:val="212121"/>
                <w:sz w:val="16"/>
              </w:rPr>
              <w:t>PaO2 &lt; 60 (type 1) / raised PaCO2 with low pH (type 2 failure)</w:t>
            </w:r>
          </w:p>
        </w:tc>
        <w:tc>
          <w:tcPr>
            <w:tcW w:type="dxa" w:w="1036"/>
            <w:vAlign w:val="top"/>
          </w:tcPr>
          <w:p>
            <w:pPr>
              <w:spacing w:after="40" w:before="0" w:line="259" w:lineRule="auto"/>
            </w:pPr>
            <w:r>
              <w:rPr>
                <w:rFonts w:ascii="Calibri" w:hAnsi="Calibri"/>
                <w:b w:val="0"/>
                <w:i w:val="0"/>
                <w:color w:val="212121"/>
                <w:sz w:val="16"/>
              </w:rPr>
              <w:t>Defines respiratory failure and CO2 retention; guides oxygen/NIV</w:t>
            </w:r>
          </w:p>
        </w:tc>
        <w:tc>
          <w:tcPr>
            <w:tcW w:type="dxa" w:w="1036"/>
            <w:vAlign w:val="top"/>
          </w:tcPr>
          <w:p>
            <w:pPr>
              <w:spacing w:after="40" w:before="0" w:line="259" w:lineRule="auto"/>
            </w:pPr>
            <w:r>
              <w:rPr>
                <w:rFonts w:ascii="Calibri" w:hAnsi="Calibri"/>
                <w:b w:val="0"/>
                <w:i w:val="0"/>
                <w:color w:val="212121"/>
                <w:sz w:val="16"/>
              </w:rPr>
              <w:t>Severe COPD, acute exacerbations, LTOT assessment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Critical in exacerbation</w:t>
            </w:r>
          </w:p>
        </w:tc>
        <w:tc>
          <w:tcPr>
            <w:tcW w:type="dxa" w:w="720"/>
            <w:vAlign w:val="top"/>
          </w:tcPr>
          <w:p>
            <w:pPr>
              <w:spacing w:after="40" w:before="0" w:line="259" w:lineRule="auto"/>
            </w:pPr>
            <w:r>
              <w:rPr>
                <w:rFonts w:ascii="Calibri" w:hAnsi="Calibri"/>
                <w:b w:val="0"/>
                <w:i w:val="0"/>
                <w:color w:val="212121"/>
                <w:sz w:val="16"/>
              </w:rPr>
              <w:t>Interpret with FiO2; watch oxygen-induced hypercapnia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Haemoglobin / Haematocrit &amp; Eosinophils</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Hb 12–16 g/dL; eosinophils &lt; 300/µL</w:t>
            </w:r>
          </w:p>
        </w:tc>
        <w:tc>
          <w:tcPr>
            <w:tcW w:type="dxa" w:w="950"/>
            <w:vAlign w:val="top"/>
          </w:tcPr>
          <w:p>
            <w:pPr>
              <w:spacing w:after="40" w:before="0" w:line="259" w:lineRule="auto"/>
            </w:pPr>
            <w:r>
              <w:rPr>
                <w:rFonts w:ascii="Calibri" w:hAnsi="Calibri"/>
                <w:b w:val="0"/>
                <w:i w:val="0"/>
                <w:color w:val="212121"/>
                <w:sz w:val="16"/>
              </w:rPr>
              <w:t>Secondary polycythaemia (raised Hb/Hct); eosinophils ≥ 300/µL</w:t>
            </w:r>
          </w:p>
        </w:tc>
        <w:tc>
          <w:tcPr>
            <w:tcW w:type="dxa" w:w="1036"/>
            <w:vAlign w:val="top"/>
          </w:tcPr>
          <w:p>
            <w:pPr>
              <w:spacing w:after="40" w:before="0" w:line="259" w:lineRule="auto"/>
            </w:pPr>
            <w:r>
              <w:rPr>
                <w:rFonts w:ascii="Calibri" w:hAnsi="Calibri"/>
                <w:b w:val="0"/>
                <w:i w:val="0"/>
                <w:color w:val="212121"/>
                <w:sz w:val="16"/>
              </w:rPr>
              <w:t>Polycythaemia signals chronic hypoxaemia; high eosinophils predict inhaled-steroid benefit</w:t>
            </w:r>
          </w:p>
        </w:tc>
        <w:tc>
          <w:tcPr>
            <w:tcW w:type="dxa" w:w="1036"/>
            <w:vAlign w:val="top"/>
          </w:tcPr>
          <w:p>
            <w:pPr>
              <w:spacing w:after="40" w:before="0" w:line="259" w:lineRule="auto"/>
            </w:pPr>
            <w:r>
              <w:rPr>
                <w:rFonts w:ascii="Calibri" w:hAnsi="Calibri"/>
                <w:b w:val="0"/>
                <w:i w:val="0"/>
                <w:color w:val="212121"/>
                <w:sz w:val="16"/>
              </w:rPr>
              <w:t>Hypoxaemic COPD, frequent exacerbators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 &amp; therapeutic</w:t>
            </w:r>
          </w:p>
        </w:tc>
        <w:tc>
          <w:tcPr>
            <w:tcW w:type="dxa" w:w="720"/>
            <w:vAlign w:val="top"/>
          </w:tcPr>
          <w:p>
            <w:pPr>
              <w:spacing w:after="40" w:before="0" w:line="259" w:lineRule="auto"/>
            </w:pPr>
            <w:r>
              <w:rPr>
                <w:rFonts w:ascii="Calibri" w:hAnsi="Calibri"/>
                <w:b w:val="0"/>
                <w:i w:val="0"/>
                <w:color w:val="212121"/>
                <w:sz w:val="16"/>
              </w:rPr>
              <w:t>Also detects anaemia, which worsens dyspnoea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Hyperinflation, bullae, flattened diaphragm</w:t>
            </w:r>
          </w:p>
        </w:tc>
        <w:tc>
          <w:tcPr>
            <w:tcW w:type="dxa" w:w="892"/>
            <w:vAlign w:val="top"/>
          </w:tcPr>
          <w:p>
            <w:pPr>
              <w:spacing w:after="40" w:before="0" w:line="259" w:lineRule="auto"/>
            </w:pPr>
            <w:r>
              <w:rPr>
                <w:rFonts w:ascii="Calibri" w:hAnsi="Calibri"/>
                <w:b w:val="0"/>
                <w:i w:val="0"/>
                <w:color w:val="212121"/>
                <w:sz w:val="16"/>
              </w:rPr>
              <w:t>Chest X-ray</w:t>
            </w:r>
          </w:p>
        </w:tc>
        <w:tc>
          <w:tcPr>
            <w:tcW w:type="dxa" w:w="950"/>
            <w:vAlign w:val="top"/>
          </w:tcPr>
          <w:p>
            <w:pPr>
              <w:spacing w:after="40" w:before="0" w:line="259" w:lineRule="auto"/>
            </w:pPr>
            <w:r>
              <w:rPr>
                <w:rFonts w:ascii="Calibri" w:hAnsi="Calibri"/>
                <w:b w:val="0"/>
                <w:i w:val="0"/>
                <w:color w:val="212121"/>
                <w:sz w:val="16"/>
              </w:rPr>
              <w:t>Normal lung fields</w:t>
            </w:r>
          </w:p>
        </w:tc>
        <w:tc>
          <w:tcPr>
            <w:tcW w:type="dxa" w:w="950"/>
            <w:vAlign w:val="top"/>
          </w:tcPr>
          <w:p>
            <w:pPr>
              <w:spacing w:after="40" w:before="0" w:line="259" w:lineRule="auto"/>
            </w:pPr>
            <w:r>
              <w:rPr>
                <w:rFonts w:ascii="Calibri" w:hAnsi="Calibri"/>
                <w:b w:val="0"/>
                <w:i w:val="0"/>
                <w:color w:val="212121"/>
                <w:sz w:val="16"/>
              </w:rPr>
              <w:t>Hyperinflation, flat diaphragms, bullae, ‘tram-track’ markings</w:t>
            </w:r>
          </w:p>
        </w:tc>
        <w:tc>
          <w:tcPr>
            <w:tcW w:type="dxa" w:w="1036"/>
            <w:vAlign w:val="top"/>
          </w:tcPr>
          <w:p>
            <w:pPr>
              <w:spacing w:after="40" w:before="0" w:line="259" w:lineRule="auto"/>
            </w:pPr>
            <w:r>
              <w:rPr>
                <w:rFonts w:ascii="Calibri" w:hAnsi="Calibri"/>
                <w:b w:val="0"/>
                <w:i w:val="0"/>
                <w:color w:val="212121"/>
                <w:sz w:val="16"/>
              </w:rPr>
              <w:t>Supports diagnosis and, importantly, excludes mimics (TB, cancer, heart failure, pneumothorax)</w:t>
            </w:r>
          </w:p>
        </w:tc>
        <w:tc>
          <w:tcPr>
            <w:tcW w:type="dxa" w:w="1036"/>
            <w:vAlign w:val="top"/>
          </w:tcPr>
          <w:p>
            <w:pPr>
              <w:spacing w:after="40" w:before="0" w:line="259" w:lineRule="auto"/>
            </w:pPr>
            <w:r>
              <w:rPr>
                <w:rFonts w:ascii="Calibri" w:hAnsi="Calibri"/>
                <w:b w:val="0"/>
                <w:i w:val="0"/>
                <w:color w:val="212121"/>
                <w:sz w:val="16"/>
              </w:rPr>
              <w:t>All new COPD, any exacerbation with red flags</w:t>
            </w:r>
          </w:p>
        </w:tc>
        <w:tc>
          <w:tcPr>
            <w:tcW w:type="dxa" w:w="720"/>
            <w:vAlign w:val="top"/>
          </w:tcPr>
          <w:p>
            <w:pPr>
              <w:spacing w:after="40" w:before="0" w:line="259" w:lineRule="auto"/>
            </w:pPr>
            <w:r>
              <w:rPr>
                <w:rFonts w:ascii="Calibri" w:hAnsi="Calibri"/>
                <w:b w:val="0"/>
                <w:i w:val="0"/>
                <w:color w:val="212121"/>
                <w:sz w:val="16"/>
              </w:rPr>
              <w:t>Smoking; Provoking factors</w:t>
            </w:r>
          </w:p>
        </w:tc>
        <w:tc>
          <w:tcPr>
            <w:tcW w:type="dxa" w:w="720"/>
            <w:vAlign w:val="top"/>
          </w:tcPr>
          <w:p>
            <w:pPr>
              <w:spacing w:after="40" w:before="0" w:line="259" w:lineRule="auto"/>
            </w:pPr>
            <w:r>
              <w:rPr>
                <w:rFonts w:ascii="Calibri" w:hAnsi="Calibri"/>
                <w:b w:val="0"/>
                <w:i w:val="0"/>
                <w:color w:val="212121"/>
                <w:sz w:val="16"/>
              </w:rPr>
              <w:t>Exclusionary</w:t>
            </w:r>
          </w:p>
        </w:tc>
        <w:tc>
          <w:tcPr>
            <w:tcW w:type="dxa" w:w="720"/>
            <w:vAlign w:val="top"/>
          </w:tcPr>
          <w:p>
            <w:pPr>
              <w:spacing w:after="40" w:before="0" w:line="259" w:lineRule="auto"/>
            </w:pPr>
            <w:r>
              <w:rPr>
                <w:rFonts w:ascii="Calibri" w:hAnsi="Calibri"/>
                <w:b w:val="0"/>
                <w:i w:val="0"/>
                <w:color w:val="212121"/>
                <w:sz w:val="16"/>
              </w:rPr>
              <w:t>Essential in India to exclude/identify active or prior TB</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Emphysema extent, bronchiectasis, nodules</w:t>
            </w:r>
          </w:p>
        </w:tc>
        <w:tc>
          <w:tcPr>
            <w:tcW w:type="dxa" w:w="892"/>
            <w:vAlign w:val="top"/>
          </w:tcPr>
          <w:p>
            <w:pPr>
              <w:spacing w:after="40" w:before="0" w:line="259" w:lineRule="auto"/>
            </w:pPr>
            <w:r>
              <w:rPr>
                <w:rFonts w:ascii="Calibri" w:hAnsi="Calibri"/>
                <w:b w:val="0"/>
                <w:i w:val="0"/>
                <w:color w:val="212121"/>
                <w:sz w:val="16"/>
              </w:rPr>
              <w:t>HRCT chest</w:t>
            </w:r>
          </w:p>
        </w:tc>
        <w:tc>
          <w:tcPr>
            <w:tcW w:type="dxa" w:w="950"/>
            <w:vAlign w:val="top"/>
          </w:tcPr>
          <w:p>
            <w:pPr>
              <w:spacing w:after="40" w:before="0" w:line="259" w:lineRule="auto"/>
            </w:pPr>
            <w:r>
              <w:rPr>
                <w:rFonts w:ascii="Calibri" w:hAnsi="Calibri"/>
                <w:b w:val="0"/>
                <w:i w:val="0"/>
                <w:color w:val="212121"/>
                <w:sz w:val="16"/>
              </w:rPr>
              <w:t>No parenchymal destruction</w:t>
            </w:r>
          </w:p>
        </w:tc>
        <w:tc>
          <w:tcPr>
            <w:tcW w:type="dxa" w:w="950"/>
            <w:vAlign w:val="top"/>
          </w:tcPr>
          <w:p>
            <w:pPr>
              <w:spacing w:after="40" w:before="0" w:line="259" w:lineRule="auto"/>
            </w:pPr>
            <w:r>
              <w:rPr>
                <w:rFonts w:ascii="Calibri" w:hAnsi="Calibri"/>
                <w:b w:val="0"/>
                <w:i w:val="0"/>
                <w:color w:val="212121"/>
                <w:sz w:val="16"/>
              </w:rPr>
              <w:t>Emphysema, bullae, bronchiectasis, suspicious nodules</w:t>
            </w:r>
          </w:p>
        </w:tc>
        <w:tc>
          <w:tcPr>
            <w:tcW w:type="dxa" w:w="1036"/>
            <w:vAlign w:val="top"/>
          </w:tcPr>
          <w:p>
            <w:pPr>
              <w:spacing w:after="40" w:before="0" w:line="259" w:lineRule="auto"/>
            </w:pPr>
            <w:r>
              <w:rPr>
                <w:rFonts w:ascii="Calibri" w:hAnsi="Calibri"/>
                <w:b w:val="0"/>
                <w:i w:val="0"/>
                <w:color w:val="212121"/>
                <w:sz w:val="16"/>
              </w:rPr>
              <w:t>Characterises phenotype, detects overlap bronchiectasis and screens for lung cancer</w:t>
            </w:r>
          </w:p>
        </w:tc>
        <w:tc>
          <w:tcPr>
            <w:tcW w:type="dxa" w:w="1036"/>
            <w:vAlign w:val="top"/>
          </w:tcPr>
          <w:p>
            <w:pPr>
              <w:spacing w:after="40" w:before="0" w:line="259" w:lineRule="auto"/>
            </w:pPr>
            <w:r>
              <w:rPr>
                <w:rFonts w:ascii="Calibri" w:hAnsi="Calibri"/>
                <w:b w:val="0"/>
                <w:i w:val="0"/>
                <w:color w:val="212121"/>
                <w:sz w:val="16"/>
              </w:rPr>
              <w:t>Diagnostic doubt, pre-surgical, suspected cancer/bronchiectasis</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Not routine; reserved for specific indications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Cardiac</w:t>
            </w:r>
          </w:p>
        </w:tc>
        <w:tc>
          <w:tcPr>
            <w:tcW w:type="dxa" w:w="1036"/>
            <w:vAlign w:val="top"/>
          </w:tcPr>
          <w:p>
            <w:pPr>
              <w:spacing w:after="40" w:before="0" w:line="259" w:lineRule="auto"/>
            </w:pPr>
            <w:r>
              <w:rPr>
                <w:rFonts w:ascii="Calibri" w:hAnsi="Calibri"/>
                <w:b w:val="0"/>
                <w:i w:val="0"/>
                <w:color w:val="212121"/>
                <w:sz w:val="16"/>
              </w:rPr>
              <w:t>P pulmonale, RVH, right-axis deviation / BNP</w:t>
            </w:r>
          </w:p>
        </w:tc>
        <w:tc>
          <w:tcPr>
            <w:tcW w:type="dxa" w:w="892"/>
            <w:vAlign w:val="top"/>
          </w:tcPr>
          <w:p>
            <w:pPr>
              <w:spacing w:after="40" w:before="0" w:line="259" w:lineRule="auto"/>
            </w:pPr>
            <w:r>
              <w:rPr>
                <w:rFonts w:ascii="Calibri" w:hAnsi="Calibri"/>
                <w:b w:val="0"/>
                <w:i w:val="0"/>
                <w:color w:val="212121"/>
                <w:sz w:val="16"/>
              </w:rPr>
              <w:t>ECG ± echocardiography</w:t>
            </w:r>
          </w:p>
        </w:tc>
        <w:tc>
          <w:tcPr>
            <w:tcW w:type="dxa" w:w="950"/>
            <w:vAlign w:val="top"/>
          </w:tcPr>
          <w:p>
            <w:pPr>
              <w:spacing w:after="40" w:before="0" w:line="259" w:lineRule="auto"/>
            </w:pPr>
            <w:r>
              <w:rPr>
                <w:rFonts w:ascii="Calibri" w:hAnsi="Calibri"/>
                <w:b w:val="0"/>
                <w:i w:val="0"/>
                <w:color w:val="212121"/>
                <w:sz w:val="16"/>
              </w:rPr>
              <w:t>Normal ECG/echo</w:t>
            </w:r>
          </w:p>
        </w:tc>
        <w:tc>
          <w:tcPr>
            <w:tcW w:type="dxa" w:w="950"/>
            <w:vAlign w:val="top"/>
          </w:tcPr>
          <w:p>
            <w:pPr>
              <w:spacing w:after="40" w:before="0" w:line="259" w:lineRule="auto"/>
            </w:pPr>
            <w:r>
              <w:rPr>
                <w:rFonts w:ascii="Calibri" w:hAnsi="Calibri"/>
                <w:b w:val="0"/>
                <w:i w:val="0"/>
                <w:color w:val="212121"/>
                <w:sz w:val="16"/>
              </w:rPr>
              <w:t>Signs of cor pulmonale, pulmonary hypertension, raised BNP</w:t>
            </w:r>
          </w:p>
        </w:tc>
        <w:tc>
          <w:tcPr>
            <w:tcW w:type="dxa" w:w="1036"/>
            <w:vAlign w:val="top"/>
          </w:tcPr>
          <w:p>
            <w:pPr>
              <w:spacing w:after="40" w:before="0" w:line="259" w:lineRule="auto"/>
            </w:pPr>
            <w:r>
              <w:rPr>
                <w:rFonts w:ascii="Calibri" w:hAnsi="Calibri"/>
                <w:b w:val="0"/>
                <w:i w:val="0"/>
                <w:color w:val="212121"/>
                <w:sz w:val="16"/>
              </w:rPr>
              <w:t>Detects right-heart strain/failure and coexisting cardiovascular disease</w:t>
            </w:r>
          </w:p>
        </w:tc>
        <w:tc>
          <w:tcPr>
            <w:tcW w:type="dxa" w:w="1036"/>
            <w:vAlign w:val="top"/>
          </w:tcPr>
          <w:p>
            <w:pPr>
              <w:spacing w:after="40" w:before="0" w:line="259" w:lineRule="auto"/>
            </w:pPr>
            <w:r>
              <w:rPr>
                <w:rFonts w:ascii="Calibri" w:hAnsi="Calibri"/>
                <w:b w:val="0"/>
                <w:i w:val="0"/>
                <w:color w:val="212121"/>
                <w:sz w:val="16"/>
              </w:rPr>
              <w:t>Severe/hypoxaemic COPD, oedema, suspected cor pulmonale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Echo estimates pulmonary artery pressure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Exposure history</w:t>
            </w:r>
          </w:p>
        </w:tc>
        <w:tc>
          <w:tcPr>
            <w:tcW w:type="dxa" w:w="979"/>
            <w:vAlign w:val="top"/>
          </w:tcPr>
          <w:p>
            <w:pPr>
              <w:spacing w:after="40" w:before="0" w:line="259" w:lineRule="auto"/>
            </w:pPr>
            <w:r>
              <w:rPr>
                <w:rFonts w:ascii="Calibri" w:hAnsi="Calibri"/>
                <w:b w:val="0"/>
                <w:i w:val="0"/>
                <w:color w:val="212121"/>
                <w:sz w:val="16"/>
              </w:rPr>
              <w:t>Tobacco/bidi, biomass, occupation, TB, pollution</w:t>
            </w:r>
          </w:p>
        </w:tc>
        <w:tc>
          <w:tcPr>
            <w:tcW w:type="dxa" w:w="950"/>
            <w:vAlign w:val="top"/>
          </w:tcPr>
          <w:p>
            <w:pPr>
              <w:spacing w:after="40" w:before="0" w:line="259" w:lineRule="auto"/>
            </w:pPr>
            <w:r>
              <w:rPr>
                <w:rFonts w:ascii="Calibri" w:hAnsi="Calibri"/>
                <w:b w:val="0"/>
                <w:i w:val="0"/>
                <w:color w:val="212121"/>
                <w:sz w:val="16"/>
              </w:rPr>
              <w:t>No significant exposure</w:t>
            </w:r>
          </w:p>
        </w:tc>
        <w:tc>
          <w:tcPr>
            <w:tcW w:type="dxa" w:w="950"/>
            <w:vAlign w:val="top"/>
          </w:tcPr>
          <w:p>
            <w:pPr>
              <w:spacing w:after="40" w:before="0" w:line="259" w:lineRule="auto"/>
            </w:pPr>
            <w:r>
              <w:rPr>
                <w:rFonts w:ascii="Calibri" w:hAnsi="Calibri"/>
                <w:b w:val="0"/>
                <w:i w:val="0"/>
                <w:color w:val="212121"/>
                <w:sz w:val="16"/>
              </w:rPr>
              <w:t>Significant smoking (≥10 pack-years), biomass, dust or prior TB</w:t>
            </w:r>
          </w:p>
        </w:tc>
        <w:tc>
          <w:tcPr>
            <w:tcW w:type="dxa" w:w="1036"/>
            <w:vAlign w:val="top"/>
          </w:tcPr>
          <w:p>
            <w:pPr>
              <w:spacing w:after="40" w:before="0" w:line="259" w:lineRule="auto"/>
            </w:pPr>
            <w:r>
              <w:rPr>
                <w:rFonts w:ascii="Calibri" w:hAnsi="Calibri"/>
                <w:b w:val="0"/>
                <w:i w:val="0"/>
                <w:color w:val="212121"/>
                <w:sz w:val="16"/>
              </w:rPr>
              <w:t>Establishes causative risk and pre-test probability of COPD</w:t>
            </w:r>
          </w:p>
        </w:tc>
        <w:tc>
          <w:tcPr>
            <w:tcW w:type="dxa" w:w="1036"/>
            <w:vAlign w:val="top"/>
          </w:tcPr>
          <w:p>
            <w:pPr>
              <w:spacing w:after="40" w:before="0" w:line="259" w:lineRule="auto"/>
            </w:pPr>
            <w:r>
              <w:rPr>
                <w:rFonts w:ascii="Calibri" w:hAnsi="Calibri"/>
                <w:b w:val="0"/>
                <w:i w:val="0"/>
                <w:color w:val="212121"/>
                <w:sz w:val="16"/>
              </w:rPr>
              <w:t>Smokers, rural women cooking on biomass, post-TB, industrial workers</w:t>
            </w:r>
          </w:p>
        </w:tc>
        <w:tc>
          <w:tcPr>
            <w:tcW w:type="dxa" w:w="720"/>
            <w:vAlign w:val="top"/>
          </w:tcPr>
          <w:p>
            <w:pPr>
              <w:spacing w:after="40" w:before="0" w:line="259" w:lineRule="auto"/>
            </w:pPr>
            <w:r>
              <w:rPr>
                <w:rFonts w:ascii="Calibri" w:hAnsi="Calibri"/>
                <w:b w:val="0"/>
                <w:i w:val="0"/>
                <w:color w:val="212121"/>
                <w:sz w:val="16"/>
              </w:rPr>
              <w:t>Smoking;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Quantify pack-years and years of biomass cooking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Chronic cough, sputum, progressive exertional dyspnoea</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Persistent cough/sputum and worsening breathlessness</w:t>
            </w:r>
          </w:p>
        </w:tc>
        <w:tc>
          <w:tcPr>
            <w:tcW w:type="dxa" w:w="1036"/>
            <w:vAlign w:val="top"/>
          </w:tcPr>
          <w:p>
            <w:pPr>
              <w:spacing w:after="40" w:before="0" w:line="259" w:lineRule="auto"/>
            </w:pPr>
            <w:r>
              <w:rPr>
                <w:rFonts w:ascii="Calibri" w:hAnsi="Calibri"/>
                <w:b w:val="0"/>
                <w:i w:val="0"/>
                <w:color w:val="212121"/>
                <w:sz w:val="16"/>
              </w:rPr>
              <w:t>Characteristic symptom cluster prompting spirometry</w:t>
            </w:r>
          </w:p>
        </w:tc>
        <w:tc>
          <w:tcPr>
            <w:tcW w:type="dxa" w:w="1036"/>
            <w:vAlign w:val="top"/>
          </w:tcPr>
          <w:p>
            <w:pPr>
              <w:spacing w:after="40" w:before="0" w:line="259" w:lineRule="auto"/>
            </w:pPr>
            <w:r>
              <w:rPr>
                <w:rFonts w:ascii="Calibri" w:hAnsi="Calibri"/>
                <w:b w:val="0"/>
                <w:i w:val="0"/>
                <w:color w:val="212121"/>
                <w:sz w:val="16"/>
              </w:rPr>
              <w:t>Adults &gt;40 with exposure, chronic bronchitic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Assess mMRC dyspnoea grade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Exacerbation history</w:t>
            </w:r>
          </w:p>
        </w:tc>
        <w:tc>
          <w:tcPr>
            <w:tcW w:type="dxa" w:w="979"/>
            <w:vAlign w:val="top"/>
          </w:tcPr>
          <w:p>
            <w:pPr>
              <w:spacing w:after="40" w:before="0" w:line="259" w:lineRule="auto"/>
            </w:pPr>
            <w:r>
              <w:rPr>
                <w:rFonts w:ascii="Calibri" w:hAnsi="Calibri"/>
                <w:b w:val="0"/>
                <w:i w:val="0"/>
                <w:color w:val="212121"/>
                <w:sz w:val="16"/>
              </w:rPr>
              <w:t>Frequency &amp; severity of exacerbations</w:t>
            </w:r>
          </w:p>
        </w:tc>
        <w:tc>
          <w:tcPr>
            <w:tcW w:type="dxa" w:w="950"/>
            <w:vAlign w:val="top"/>
          </w:tcPr>
          <w:p>
            <w:pPr>
              <w:spacing w:after="40" w:before="0" w:line="259" w:lineRule="auto"/>
            </w:pPr>
            <w:r>
              <w:rPr>
                <w:rFonts w:ascii="Calibri" w:hAnsi="Calibri"/>
                <w:b w:val="0"/>
                <w:i w:val="0"/>
                <w:color w:val="212121"/>
                <w:sz w:val="16"/>
              </w:rPr>
              <w:t>None in past year</w:t>
            </w:r>
          </w:p>
        </w:tc>
        <w:tc>
          <w:tcPr>
            <w:tcW w:type="dxa" w:w="950"/>
            <w:vAlign w:val="top"/>
          </w:tcPr>
          <w:p>
            <w:pPr>
              <w:spacing w:after="40" w:before="0" w:line="259" w:lineRule="auto"/>
            </w:pPr>
            <w:r>
              <w:rPr>
                <w:rFonts w:ascii="Calibri" w:hAnsi="Calibri"/>
                <w:b w:val="0"/>
                <w:i w:val="0"/>
                <w:color w:val="212121"/>
                <w:sz w:val="16"/>
              </w:rPr>
              <w:t>≥2 moderate or ≥1 hospitalised/year</w:t>
            </w:r>
          </w:p>
        </w:tc>
        <w:tc>
          <w:tcPr>
            <w:tcW w:type="dxa" w:w="1036"/>
            <w:vAlign w:val="top"/>
          </w:tcPr>
          <w:p>
            <w:pPr>
              <w:spacing w:after="40" w:before="0" w:line="259" w:lineRule="auto"/>
            </w:pPr>
            <w:r>
              <w:rPr>
                <w:rFonts w:ascii="Calibri" w:hAnsi="Calibri"/>
                <w:b w:val="0"/>
                <w:i w:val="0"/>
                <w:color w:val="212121"/>
                <w:sz w:val="16"/>
              </w:rPr>
              <w:t>Defines high-risk (GOLD E) phenotype and need for escalation</w:t>
            </w:r>
          </w:p>
        </w:tc>
        <w:tc>
          <w:tcPr>
            <w:tcW w:type="dxa" w:w="1036"/>
            <w:vAlign w:val="top"/>
          </w:tcPr>
          <w:p>
            <w:pPr>
              <w:spacing w:after="40" w:before="0" w:line="259" w:lineRule="auto"/>
            </w:pPr>
            <w:r>
              <w:rPr>
                <w:rFonts w:ascii="Calibri" w:hAnsi="Calibri"/>
                <w:b w:val="0"/>
                <w:i w:val="0"/>
                <w:color w:val="212121"/>
                <w:sz w:val="16"/>
              </w:rPr>
              <w:t>Frequent exacerbators, severe COPD</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Best single predictor of future exacerbations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Chest inspection, percussion &amp; auscultation</w:t>
            </w:r>
          </w:p>
        </w:tc>
        <w:tc>
          <w:tcPr>
            <w:tcW w:type="dxa" w:w="979"/>
            <w:vAlign w:val="top"/>
          </w:tcPr>
          <w:p>
            <w:pPr>
              <w:spacing w:after="40" w:before="0" w:line="259" w:lineRule="auto"/>
            </w:pPr>
            <w:r>
              <w:rPr>
                <w:rFonts w:ascii="Calibri" w:hAnsi="Calibri"/>
                <w:b w:val="0"/>
                <w:i w:val="0"/>
                <w:color w:val="212121"/>
                <w:sz w:val="16"/>
              </w:rPr>
              <w:t>Barrel chest, hyper-resonance, prolonged expiration, wheeze/rhonchi</w:t>
            </w:r>
          </w:p>
        </w:tc>
        <w:tc>
          <w:tcPr>
            <w:tcW w:type="dxa" w:w="950"/>
            <w:vAlign w:val="top"/>
          </w:tcPr>
          <w:p>
            <w:pPr>
              <w:spacing w:after="40" w:before="0" w:line="259" w:lineRule="auto"/>
            </w:pPr>
            <w:r>
              <w:rPr>
                <w:rFonts w:ascii="Calibri" w:hAnsi="Calibri"/>
                <w:b w:val="0"/>
                <w:i w:val="0"/>
                <w:color w:val="212121"/>
                <w:sz w:val="16"/>
              </w:rPr>
              <w:t>Normal chest, vesicular breath sounds</w:t>
            </w:r>
          </w:p>
        </w:tc>
        <w:tc>
          <w:tcPr>
            <w:tcW w:type="dxa" w:w="950"/>
            <w:vAlign w:val="top"/>
          </w:tcPr>
          <w:p>
            <w:pPr>
              <w:spacing w:after="40" w:before="0" w:line="259" w:lineRule="auto"/>
            </w:pPr>
            <w:r>
              <w:rPr>
                <w:rFonts w:ascii="Calibri" w:hAnsi="Calibri"/>
                <w:b w:val="0"/>
                <w:i w:val="0"/>
                <w:color w:val="212121"/>
                <w:sz w:val="16"/>
              </w:rPr>
              <w:t>Hyperinflated barrel chest, hyper-resonant percussion, reduced breath sounds, expiratory wheeze</w:t>
            </w:r>
          </w:p>
        </w:tc>
        <w:tc>
          <w:tcPr>
            <w:tcW w:type="dxa" w:w="1036"/>
            <w:vAlign w:val="top"/>
          </w:tcPr>
          <w:p>
            <w:pPr>
              <w:spacing w:after="40" w:before="0" w:line="259" w:lineRule="auto"/>
            </w:pPr>
            <w:r>
              <w:rPr>
                <w:rFonts w:ascii="Calibri" w:hAnsi="Calibri"/>
                <w:b w:val="0"/>
                <w:i w:val="0"/>
                <w:color w:val="212121"/>
                <w:sz w:val="16"/>
              </w:rPr>
              <w:t>Signs of hyperinflation and airflow obstruction</w:t>
            </w:r>
          </w:p>
        </w:tc>
        <w:tc>
          <w:tcPr>
            <w:tcW w:type="dxa" w:w="1036"/>
            <w:vAlign w:val="top"/>
          </w:tcPr>
          <w:p>
            <w:pPr>
              <w:spacing w:after="40" w:before="0" w:line="259" w:lineRule="auto"/>
            </w:pPr>
            <w:r>
              <w:rPr>
                <w:rFonts w:ascii="Calibri" w:hAnsi="Calibri"/>
                <w:b w:val="0"/>
                <w:i w:val="0"/>
                <w:color w:val="212121"/>
                <w:sz w:val="16"/>
              </w:rPr>
              <w:t>Emphysema-predominant, advanced COPD</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Findings may be subtle in early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General &amp; work-of-breathing assessment</w:t>
            </w:r>
          </w:p>
        </w:tc>
        <w:tc>
          <w:tcPr>
            <w:tcW w:type="dxa" w:w="979"/>
            <w:vAlign w:val="top"/>
          </w:tcPr>
          <w:p>
            <w:pPr>
              <w:spacing w:after="40" w:before="0" w:line="259" w:lineRule="auto"/>
            </w:pPr>
            <w:r>
              <w:rPr>
                <w:rFonts w:ascii="Calibri" w:hAnsi="Calibri"/>
                <w:b w:val="0"/>
                <w:i w:val="0"/>
                <w:color w:val="212121"/>
                <w:sz w:val="16"/>
              </w:rPr>
              <w:t>Accessory-muscle use, pursed-lip breathing, tripod posture, cyanosis</w:t>
            </w:r>
          </w:p>
        </w:tc>
        <w:tc>
          <w:tcPr>
            <w:tcW w:type="dxa" w:w="950"/>
            <w:vAlign w:val="top"/>
          </w:tcPr>
          <w:p>
            <w:pPr>
              <w:spacing w:after="40" w:before="0" w:line="259" w:lineRule="auto"/>
            </w:pPr>
            <w:r>
              <w:rPr>
                <w:rFonts w:ascii="Calibri" w:hAnsi="Calibri"/>
                <w:b w:val="0"/>
                <w:i w:val="0"/>
                <w:color w:val="212121"/>
                <w:sz w:val="16"/>
              </w:rPr>
              <w:t>Comfortable at rest</w:t>
            </w:r>
          </w:p>
        </w:tc>
        <w:tc>
          <w:tcPr>
            <w:tcW w:type="dxa" w:w="950"/>
            <w:vAlign w:val="top"/>
          </w:tcPr>
          <w:p>
            <w:pPr>
              <w:spacing w:after="40" w:before="0" w:line="259" w:lineRule="auto"/>
            </w:pPr>
            <w:r>
              <w:rPr>
                <w:rFonts w:ascii="Calibri" w:hAnsi="Calibri"/>
                <w:b w:val="0"/>
                <w:i w:val="0"/>
                <w:color w:val="212121"/>
                <w:sz w:val="16"/>
              </w:rPr>
              <w:t>Accessory-muscle use, pursed-lip breathing, central cyanosis</w:t>
            </w:r>
          </w:p>
        </w:tc>
        <w:tc>
          <w:tcPr>
            <w:tcW w:type="dxa" w:w="1036"/>
            <w:vAlign w:val="top"/>
          </w:tcPr>
          <w:p>
            <w:pPr>
              <w:spacing w:after="40" w:before="0" w:line="259" w:lineRule="auto"/>
            </w:pPr>
            <w:r>
              <w:rPr>
                <w:rFonts w:ascii="Calibri" w:hAnsi="Calibri"/>
                <w:b w:val="0"/>
                <w:i w:val="0"/>
                <w:color w:val="212121"/>
                <w:sz w:val="16"/>
              </w:rPr>
              <w:t>Marks increased work of breathing and hypoxaemia</w:t>
            </w:r>
          </w:p>
        </w:tc>
        <w:tc>
          <w:tcPr>
            <w:tcW w:type="dxa" w:w="1036"/>
            <w:vAlign w:val="top"/>
          </w:tcPr>
          <w:p>
            <w:pPr>
              <w:spacing w:after="40" w:before="0" w:line="259" w:lineRule="auto"/>
            </w:pPr>
            <w:r>
              <w:rPr>
                <w:rFonts w:ascii="Calibri" w:hAnsi="Calibri"/>
                <w:b w:val="0"/>
                <w:i w:val="0"/>
                <w:color w:val="212121"/>
                <w:sz w:val="16"/>
              </w:rPr>
              <w:t>Severe COPD, exacerbations</w:t>
            </w:r>
          </w:p>
        </w:tc>
        <w:tc>
          <w:tcPr>
            <w:tcW w:type="dxa" w:w="720"/>
            <w:vAlign w:val="top"/>
          </w:tcPr>
          <w:p>
            <w:pPr>
              <w:spacing w:after="40" w:before="0" w:line="259" w:lineRule="auto"/>
            </w:pPr>
            <w:r>
              <w:rPr>
                <w:rFonts w:ascii="Calibri" w:hAnsi="Calibri"/>
                <w:b w:val="0"/>
                <w:i w:val="0"/>
                <w:color w:val="212121"/>
                <w:sz w:val="16"/>
              </w:rPr>
              <w:t>Posture; Provoking factors</w:t>
            </w:r>
          </w:p>
        </w:tc>
        <w:tc>
          <w:tcPr>
            <w:tcW w:type="dxa" w:w="720"/>
            <w:vAlign w:val="top"/>
          </w:tcPr>
          <w:p>
            <w:pPr>
              <w:spacing w:after="40" w:before="0" w:line="259" w:lineRule="auto"/>
            </w:pPr>
            <w:r>
              <w:rPr>
                <w:rFonts w:ascii="Calibri" w:hAnsi="Calibri"/>
                <w:b w:val="0"/>
                <w:i w:val="0"/>
                <w:color w:val="212121"/>
                <w:sz w:val="16"/>
              </w:rPr>
              <w:t>Severity marker</w:t>
            </w:r>
          </w:p>
        </w:tc>
        <w:tc>
          <w:tcPr>
            <w:tcW w:type="dxa" w:w="720"/>
            <w:vAlign w:val="top"/>
          </w:tcPr>
          <w:p>
            <w:pPr>
              <w:spacing w:after="40" w:before="0" w:line="259" w:lineRule="auto"/>
            </w:pPr>
            <w:r>
              <w:rPr>
                <w:rFonts w:ascii="Calibri" w:hAnsi="Calibri"/>
                <w:b w:val="0"/>
                <w:i w:val="0"/>
                <w:color w:val="212121"/>
                <w:sz w:val="16"/>
              </w:rPr>
              <w:t>Tripod position relieves dyspnoea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Cardiovascular / cor pulmonale assessment</w:t>
            </w:r>
          </w:p>
        </w:tc>
        <w:tc>
          <w:tcPr>
            <w:tcW w:type="dxa" w:w="979"/>
            <w:vAlign w:val="top"/>
          </w:tcPr>
          <w:p>
            <w:pPr>
              <w:spacing w:after="40" w:before="0" w:line="259" w:lineRule="auto"/>
            </w:pPr>
            <w:r>
              <w:rPr>
                <w:rFonts w:ascii="Calibri" w:hAnsi="Calibri"/>
                <w:b w:val="0"/>
                <w:i w:val="0"/>
                <w:color w:val="212121"/>
                <w:sz w:val="16"/>
              </w:rPr>
              <w:t>Raised JVP, pedal oedema, hepatomegaly, loud P2</w:t>
            </w:r>
          </w:p>
        </w:tc>
        <w:tc>
          <w:tcPr>
            <w:tcW w:type="dxa" w:w="950"/>
            <w:vAlign w:val="top"/>
          </w:tcPr>
          <w:p>
            <w:pPr>
              <w:spacing w:after="40" w:before="0" w:line="259" w:lineRule="auto"/>
            </w:pPr>
            <w:r>
              <w:rPr>
                <w:rFonts w:ascii="Calibri" w:hAnsi="Calibri"/>
                <w:b w:val="0"/>
                <w:i w:val="0"/>
                <w:color w:val="212121"/>
                <w:sz w:val="16"/>
              </w:rPr>
              <w:t>No right-heart signs</w:t>
            </w:r>
          </w:p>
        </w:tc>
        <w:tc>
          <w:tcPr>
            <w:tcW w:type="dxa" w:w="950"/>
            <w:vAlign w:val="top"/>
          </w:tcPr>
          <w:p>
            <w:pPr>
              <w:spacing w:after="40" w:before="0" w:line="259" w:lineRule="auto"/>
            </w:pPr>
            <w:r>
              <w:rPr>
                <w:rFonts w:ascii="Calibri" w:hAnsi="Calibri"/>
                <w:b w:val="0"/>
                <w:i w:val="0"/>
                <w:color w:val="212121"/>
                <w:sz w:val="16"/>
              </w:rPr>
              <w:t>Signs of right heart failure (cor pulmonale)</w:t>
            </w:r>
          </w:p>
        </w:tc>
        <w:tc>
          <w:tcPr>
            <w:tcW w:type="dxa" w:w="1036"/>
            <w:vAlign w:val="top"/>
          </w:tcPr>
          <w:p>
            <w:pPr>
              <w:spacing w:after="40" w:before="0" w:line="259" w:lineRule="auto"/>
            </w:pPr>
            <w:r>
              <w:rPr>
                <w:rFonts w:ascii="Calibri" w:hAnsi="Calibri"/>
                <w:b w:val="0"/>
                <w:i w:val="0"/>
                <w:color w:val="212121"/>
                <w:sz w:val="16"/>
              </w:rPr>
              <w:t>Indicates pulmonary hypertension complicating advanced COPD</w:t>
            </w:r>
          </w:p>
        </w:tc>
        <w:tc>
          <w:tcPr>
            <w:tcW w:type="dxa" w:w="1036"/>
            <w:vAlign w:val="top"/>
          </w:tcPr>
          <w:p>
            <w:pPr>
              <w:spacing w:after="40" w:before="0" w:line="259" w:lineRule="auto"/>
            </w:pPr>
            <w:r>
              <w:rPr>
                <w:rFonts w:ascii="Calibri" w:hAnsi="Calibri"/>
                <w:b w:val="0"/>
                <w:i w:val="0"/>
                <w:color w:val="212121"/>
                <w:sz w:val="16"/>
              </w:rPr>
              <w:t>Chronic hypoxaemic ‘blue bloater’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Prompts oxygenation and cardiac evaluation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Progressive exertional dyspnoea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hallmark symptom — breathlessness that worsens over years and limits daily activity; graded by the mMRC scale.</w:t>
            </w:r>
          </w:p>
        </w:tc>
      </w:tr>
      <w:tr>
        <w:trPr>
          <w:cantSplit/>
        </w:trPr>
        <w:tc>
          <w:tcPr>
            <w:tcW w:type="dxa" w:w="2304"/>
            <w:vAlign w:val="top"/>
          </w:tcPr>
          <w:p>
            <w:pPr>
              <w:spacing w:after="40" w:before="0" w:line="259" w:lineRule="auto"/>
            </w:pPr>
            <w:r>
              <w:rPr>
                <w:rFonts w:ascii="Calibri" w:hAnsi="Calibri"/>
                <w:b/>
                <w:i w:val="0"/>
                <w:color w:val="212121"/>
                <w:sz w:val="19"/>
              </w:rPr>
              <w:t>Chronic cough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Often the first symptom; initially intermittent, later daily, and may precede airflow limitation.</w:t>
            </w:r>
          </w:p>
        </w:tc>
      </w:tr>
      <w:tr>
        <w:trPr>
          <w:cantSplit/>
        </w:trPr>
        <w:tc>
          <w:tcPr>
            <w:tcW w:type="dxa" w:w="2304"/>
            <w:vAlign w:val="top"/>
          </w:tcPr>
          <w:p>
            <w:pPr>
              <w:spacing w:after="40" w:before="0" w:line="259" w:lineRule="auto"/>
            </w:pPr>
            <w:r>
              <w:rPr>
                <w:rFonts w:ascii="Calibri" w:hAnsi="Calibri"/>
                <w:b/>
                <w:i w:val="0"/>
                <w:color w:val="212121"/>
                <w:sz w:val="19"/>
              </w:rPr>
              <w:t>Chronic sputum production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Regular mucus expectoration (chronic bronchitis if ≥3 months/year for 2 years); typically worse in the mornings.</w:t>
            </w:r>
          </w:p>
        </w:tc>
      </w:tr>
      <w:tr>
        <w:trPr>
          <w:cantSplit/>
        </w:trPr>
        <w:tc>
          <w:tcPr>
            <w:tcW w:type="dxa" w:w="2304"/>
            <w:vAlign w:val="top"/>
          </w:tcPr>
          <w:p>
            <w:pPr>
              <w:spacing w:after="40" w:before="0" w:line="259" w:lineRule="auto"/>
            </w:pPr>
            <w:r>
              <w:rPr>
                <w:rFonts w:ascii="Calibri" w:hAnsi="Calibri"/>
                <w:b/>
                <w:i w:val="0"/>
                <w:color w:val="212121"/>
                <w:sz w:val="19"/>
              </w:rPr>
              <w:t>Wheezing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Musical expiratory sound from airflow through narrowed airways; may be intermittent.</w:t>
            </w:r>
          </w:p>
        </w:tc>
      </w:tr>
      <w:tr>
        <w:trPr>
          <w:cantSplit/>
        </w:trPr>
        <w:tc>
          <w:tcPr>
            <w:tcW w:type="dxa" w:w="2304"/>
            <w:vAlign w:val="top"/>
          </w:tcPr>
          <w:p>
            <w:pPr>
              <w:spacing w:after="40" w:before="0" w:line="259" w:lineRule="auto"/>
            </w:pPr>
            <w:r>
              <w:rPr>
                <w:rFonts w:ascii="Calibri" w:hAnsi="Calibri"/>
                <w:b/>
                <w:i w:val="0"/>
                <w:color w:val="212121"/>
                <w:sz w:val="19"/>
              </w:rPr>
              <w:t>Chest tightness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Often follows exertion; arises from dynamic hyperinflation and increased work of breathing.</w:t>
            </w:r>
          </w:p>
        </w:tc>
      </w:tr>
      <w:tr>
        <w:trPr>
          <w:cantSplit/>
        </w:trPr>
        <w:tc>
          <w:tcPr>
            <w:tcW w:type="dxa" w:w="2304"/>
            <w:vAlign w:val="top"/>
          </w:tcPr>
          <w:p>
            <w:pPr>
              <w:spacing w:after="40" w:before="0" w:line="259" w:lineRule="auto"/>
            </w:pPr>
            <w:r>
              <w:rPr>
                <w:rFonts w:ascii="Calibri" w:hAnsi="Calibri"/>
                <w:b/>
                <w:i w:val="0"/>
                <w:color w:val="212121"/>
                <w:sz w:val="19"/>
              </w:rPr>
              <w:t>Fatigue and reduced exercise tolerance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From hypoxaemia, increased respiratory effort, deconditioning and systemic inflammation.</w:t>
            </w:r>
          </w:p>
        </w:tc>
      </w:tr>
      <w:tr>
        <w:trPr>
          <w:cantSplit/>
        </w:trPr>
        <w:tc>
          <w:tcPr>
            <w:tcW w:type="dxa" w:w="2304"/>
            <w:vAlign w:val="top"/>
          </w:tcPr>
          <w:p>
            <w:pPr>
              <w:spacing w:after="40" w:before="0" w:line="259" w:lineRule="auto"/>
            </w:pPr>
            <w:r>
              <w:rPr>
                <w:rFonts w:ascii="Calibri" w:hAnsi="Calibri"/>
                <w:b/>
                <w:i w:val="0"/>
                <w:color w:val="212121"/>
                <w:sz w:val="19"/>
              </w:rPr>
              <w:t>Frequent chest infections / exacerbations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Episodes of acutely worse cough, sputum (often purulent) and breathlessness, commonly triggered by infection or pollution.</w:t>
            </w:r>
          </w:p>
        </w:tc>
      </w:tr>
      <w:tr>
        <w:trPr>
          <w:cantSplit/>
        </w:trPr>
        <w:tc>
          <w:tcPr>
            <w:tcW w:type="dxa" w:w="2304"/>
            <w:vAlign w:val="top"/>
          </w:tcPr>
          <w:p>
            <w:pPr>
              <w:spacing w:after="40" w:before="0" w:line="259" w:lineRule="auto"/>
            </w:pPr>
            <w:r>
              <w:rPr>
                <w:rFonts w:ascii="Calibri" w:hAnsi="Calibri"/>
                <w:b/>
                <w:i w:val="0"/>
                <w:color w:val="212121"/>
                <w:sz w:val="19"/>
              </w:rPr>
              <w:t>Unintentional weight loss and muscle wasting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Reflects systemic inflammation and high energy cost of breathing in advanced (emphysema-predominant) disease.</w:t>
            </w:r>
          </w:p>
        </w:tc>
      </w:tr>
      <w:tr>
        <w:trPr>
          <w:cantSplit/>
        </w:trPr>
        <w:tc>
          <w:tcPr>
            <w:tcW w:type="dxa" w:w="2304"/>
            <w:vAlign w:val="top"/>
          </w:tcPr>
          <w:p>
            <w:pPr>
              <w:spacing w:after="40" w:before="0" w:line="259" w:lineRule="auto"/>
            </w:pPr>
            <w:r>
              <w:rPr>
                <w:rFonts w:ascii="Calibri" w:hAnsi="Calibri"/>
                <w:b/>
                <w:i w:val="0"/>
                <w:color w:val="212121"/>
                <w:sz w:val="19"/>
              </w:rPr>
              <w:t>Ankle/leg swelling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fluid retention from cor pulmonale (right heart failure) in advanced disease.</w:t>
            </w:r>
          </w:p>
        </w:tc>
      </w:tr>
      <w:tr>
        <w:trPr>
          <w:cantSplit/>
        </w:trPr>
        <w:tc>
          <w:tcPr>
            <w:tcW w:type="dxa" w:w="2304"/>
            <w:vAlign w:val="top"/>
          </w:tcPr>
          <w:p>
            <w:pPr>
              <w:spacing w:after="40" w:before="0" w:line="259" w:lineRule="auto"/>
            </w:pPr>
            <w:r>
              <w:rPr>
                <w:rFonts w:ascii="Calibri" w:hAnsi="Calibri"/>
                <w:b/>
                <w:i w:val="0"/>
                <w:color w:val="212121"/>
                <w:sz w:val="19"/>
              </w:rPr>
              <w:t>Morning headache and drowsiness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Points to CO2 retention (hypercapnia) and nocturnal hypoventilation in severe disease.</w:t>
            </w:r>
          </w:p>
        </w:tc>
      </w:tr>
      <w:tr>
        <w:trPr>
          <w:cantSplit/>
        </w:trPr>
        <w:tc>
          <w:tcPr>
            <w:tcW w:type="dxa" w:w="2304"/>
            <w:vAlign w:val="top"/>
          </w:tcPr>
          <w:p>
            <w:pPr>
              <w:spacing w:after="40" w:before="0" w:line="259" w:lineRule="auto"/>
            </w:pPr>
            <w:r>
              <w:rPr>
                <w:rFonts w:ascii="Calibri" w:hAnsi="Calibri"/>
                <w:b/>
                <w:i w:val="0"/>
                <w:color w:val="212121"/>
                <w:sz w:val="19"/>
              </w:rPr>
              <w:t>Haemoptysis (blood-streaked sputum)</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May occur with exacerbations but ALWAYS warrants exclusion of TB, bronchiectasis or lung cancer, especially in India.</w:t>
            </w:r>
          </w:p>
        </w:tc>
      </w:tr>
      <w:tr>
        <w:trPr>
          <w:cantSplit/>
        </w:trPr>
        <w:tc>
          <w:tcPr>
            <w:tcW w:type="dxa" w:w="2304"/>
            <w:vAlign w:val="top"/>
          </w:tcPr>
          <w:p>
            <w:pPr>
              <w:spacing w:after="40" w:before="0" w:line="259" w:lineRule="auto"/>
            </w:pPr>
            <w:r>
              <w:rPr>
                <w:rFonts w:ascii="Calibri" w:hAnsi="Calibri"/>
                <w:b/>
                <w:i w:val="0"/>
                <w:color w:val="212121"/>
                <w:sz w:val="19"/>
              </w:rPr>
              <w:t>Confusion / flapping tremor</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Indicates severe hypercapnia (CO2 narcosis) during respiratory failure — a medical emergency.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Barrel-shaped (hyperinflated) chest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Increased antero-posterior diameter from chronic air trapping, prominent in emphysema.</w:t>
            </w:r>
          </w:p>
        </w:tc>
      </w:tr>
      <w:tr>
        <w:trPr>
          <w:cantSplit/>
        </w:trPr>
        <w:tc>
          <w:tcPr>
            <w:tcW w:type="dxa" w:w="3456"/>
            <w:vAlign w:val="top"/>
          </w:tcPr>
          <w:p>
            <w:pPr>
              <w:spacing w:after="40" w:before="0" w:line="259" w:lineRule="auto"/>
            </w:pPr>
            <w:r>
              <w:rPr>
                <w:rFonts w:ascii="Calibri" w:hAnsi="Calibri"/>
                <w:b/>
                <w:i w:val="0"/>
                <w:color w:val="212121"/>
                <w:sz w:val="19"/>
              </w:rPr>
              <w:t>Prolonged expiratory phase with expiratory wheeze/rhonchi</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Audible sign of airflow obstruction on auscultation.</w:t>
            </w:r>
          </w:p>
        </w:tc>
      </w:tr>
      <w:tr>
        <w:trPr>
          <w:cantSplit/>
        </w:trPr>
        <w:tc>
          <w:tcPr>
            <w:tcW w:type="dxa" w:w="3456"/>
            <w:vAlign w:val="top"/>
          </w:tcPr>
          <w:p>
            <w:pPr>
              <w:spacing w:after="40" w:before="0" w:line="259" w:lineRule="auto"/>
            </w:pPr>
            <w:r>
              <w:rPr>
                <w:rFonts w:ascii="Calibri" w:hAnsi="Calibri"/>
                <w:b/>
                <w:i w:val="0"/>
                <w:color w:val="212121"/>
                <w:sz w:val="19"/>
              </w:rPr>
              <w:t>Reduced breath sounds and hyper-resonant percussion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Diminished air entry over hyperinflated, emphysematous lung.</w:t>
            </w:r>
          </w:p>
        </w:tc>
      </w:tr>
      <w:tr>
        <w:trPr>
          <w:cantSplit/>
        </w:trPr>
        <w:tc>
          <w:tcPr>
            <w:tcW w:type="dxa" w:w="3456"/>
            <w:vAlign w:val="top"/>
          </w:tcPr>
          <w:p>
            <w:pPr>
              <w:spacing w:after="40" w:before="0" w:line="259" w:lineRule="auto"/>
            </w:pPr>
            <w:r>
              <w:rPr>
                <w:rFonts w:ascii="Calibri" w:hAnsi="Calibri"/>
                <w:b/>
                <w:i w:val="0"/>
                <w:color w:val="212121"/>
                <w:sz w:val="19"/>
              </w:rPr>
              <w:t>Pursed-lip breathing and accessory-muscle use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Compensatory manoeuvre that generates positive airway pressure and reduces dynamic hyperinflation.</w:t>
            </w:r>
          </w:p>
        </w:tc>
      </w:tr>
      <w:tr>
        <w:trPr>
          <w:cantSplit/>
        </w:trPr>
        <w:tc>
          <w:tcPr>
            <w:tcW w:type="dxa" w:w="3456"/>
            <w:vAlign w:val="top"/>
          </w:tcPr>
          <w:p>
            <w:pPr>
              <w:spacing w:after="40" w:before="0" w:line="259" w:lineRule="auto"/>
            </w:pPr>
            <w:r>
              <w:rPr>
                <w:rFonts w:ascii="Calibri" w:hAnsi="Calibri"/>
                <w:b/>
                <w:i w:val="0"/>
                <w:color w:val="212121"/>
                <w:sz w:val="19"/>
              </w:rPr>
              <w:t>Tachypnoea and prolonged forced expiratory time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Rapid, laboured breathing reflecting increased work of breathing.</w:t>
            </w:r>
          </w:p>
        </w:tc>
      </w:tr>
      <w:tr>
        <w:trPr>
          <w:cantSplit/>
        </w:trPr>
        <w:tc>
          <w:tcPr>
            <w:tcW w:type="dxa" w:w="3456"/>
            <w:vAlign w:val="top"/>
          </w:tcPr>
          <w:p>
            <w:pPr>
              <w:spacing w:after="40" w:before="0" w:line="259" w:lineRule="auto"/>
            </w:pPr>
            <w:r>
              <w:rPr>
                <w:rFonts w:ascii="Calibri" w:hAnsi="Calibri"/>
                <w:b/>
                <w:i w:val="0"/>
                <w:color w:val="212121"/>
                <w:sz w:val="19"/>
              </w:rPr>
              <w:t>Central cyanosis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Bluish tongue/lips from chronic hypoxaemia in the ‘blue bloater’ pattern.</w:t>
            </w:r>
          </w:p>
        </w:tc>
      </w:tr>
      <w:tr>
        <w:trPr>
          <w:cantSplit/>
        </w:trPr>
        <w:tc>
          <w:tcPr>
            <w:tcW w:type="dxa" w:w="3456"/>
            <w:vAlign w:val="top"/>
          </w:tcPr>
          <w:p>
            <w:pPr>
              <w:spacing w:after="40" w:before="0" w:line="259" w:lineRule="auto"/>
            </w:pPr>
            <w:r>
              <w:rPr>
                <w:rFonts w:ascii="Calibri" w:hAnsi="Calibri"/>
                <w:b/>
                <w:i w:val="0"/>
                <w:color w:val="212121"/>
                <w:sz w:val="19"/>
              </w:rPr>
              <w:t>Signs of cor pulmonale (raised JVP, pedal oedema, hepatomegaly, loud P2)</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Right heart strain/failure secondary to pulmonary hypertension in advanced disease.</w:t>
            </w:r>
          </w:p>
        </w:tc>
      </w:tr>
      <w:tr>
        <w:trPr>
          <w:cantSplit/>
        </w:trPr>
        <w:tc>
          <w:tcPr>
            <w:tcW w:type="dxa" w:w="3456"/>
            <w:vAlign w:val="top"/>
          </w:tcPr>
          <w:p>
            <w:pPr>
              <w:spacing w:after="40" w:before="0" w:line="259" w:lineRule="auto"/>
            </w:pPr>
            <w:r>
              <w:rPr>
                <w:rFonts w:ascii="Calibri" w:hAnsi="Calibri"/>
                <w:b/>
                <w:i w:val="0"/>
                <w:color w:val="212121"/>
                <w:sz w:val="19"/>
              </w:rPr>
              <w:t>Hoover's sign (paradoxical inward movement of lower ribs)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Indicates severe hyperinflation and flattened diaphragm.</w:t>
            </w:r>
          </w:p>
        </w:tc>
      </w:tr>
      <w:tr>
        <w:trPr>
          <w:cantSplit/>
        </w:trPr>
        <w:tc>
          <w:tcPr>
            <w:tcW w:type="dxa" w:w="3456"/>
            <w:vAlign w:val="top"/>
          </w:tcPr>
          <w:p>
            <w:pPr>
              <w:spacing w:after="40" w:before="0" w:line="259" w:lineRule="auto"/>
            </w:pPr>
            <w:r>
              <w:rPr>
                <w:rFonts w:ascii="Calibri" w:hAnsi="Calibri"/>
                <w:b/>
                <w:i w:val="0"/>
                <w:color w:val="212121"/>
                <w:sz w:val="19"/>
              </w:rPr>
              <w:t>Cachexia / peripheral muscle wasting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Loss of fat-free mass in advanced disease; an adverse prognostic sign.</w:t>
            </w:r>
          </w:p>
        </w:tc>
      </w:tr>
      <w:tr>
        <w:trPr>
          <w:cantSplit/>
        </w:trPr>
        <w:tc>
          <w:tcPr>
            <w:tcW w:type="dxa" w:w="3456"/>
            <w:vAlign w:val="top"/>
          </w:tcPr>
          <w:p>
            <w:pPr>
              <w:spacing w:after="40" w:before="0" w:line="259" w:lineRule="auto"/>
            </w:pPr>
            <w:r>
              <w:rPr>
                <w:rFonts w:ascii="Calibri" w:hAnsi="Calibri"/>
                <w:b/>
                <w:i w:val="0"/>
                <w:color w:val="212121"/>
                <w:sz w:val="19"/>
              </w:rPr>
              <w:t>Asterixis (flapping tremor) and drowsiness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Sign of hypercapnia/CO2 narcosis in type 2 respiratory failure.</w:t>
            </w:r>
          </w:p>
        </w:tc>
      </w:tr>
      <w:tr>
        <w:trPr>
          <w:cantSplit/>
        </w:trPr>
        <w:tc>
          <w:tcPr>
            <w:tcW w:type="dxa" w:w="3456"/>
            <w:vAlign w:val="top"/>
          </w:tcPr>
          <w:p>
            <w:pPr>
              <w:spacing w:after="40" w:before="0" w:line="259" w:lineRule="auto"/>
            </w:pPr>
            <w:r>
              <w:rPr>
                <w:rFonts w:ascii="Calibri" w:hAnsi="Calibri"/>
                <w:b/>
                <w:i w:val="0"/>
                <w:color w:val="212121"/>
                <w:sz w:val="19"/>
              </w:rPr>
              <w:t>Digital clubbing</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NOT typical of COPD itself — its presence should prompt a search for lung cancer, bronchiectasis or fibrosis.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exacerbations of COPD (AECOPD) — infective or pollution-triggered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Lower respiratory tract infections / pneumonia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hypoxaemic and hypercapnic (type 2) respiratory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Pneumothorax from ruptured emphysematous bullae</w:t>
            </w:r>
          </w:p>
        </w:tc>
        <w:tc>
          <w:tcPr>
            <w:tcW w:type="dxa" w:w="2980"/>
            <w:vAlign w:val="top"/>
          </w:tcPr>
          <w:p>
            <w:pPr>
              <w:spacing w:after="40" w:before="0" w:line="259" w:lineRule="auto"/>
            </w:pPr>
            <w:r>
              <w:rPr>
                <w:rFonts w:ascii="Calibri" w:hAnsi="Calibri"/>
                <w:b w:val="0"/>
                <w:i w:val="0"/>
                <w:color w:val="212121"/>
                <w:sz w:val="19"/>
              </w:rPr>
              <w:t>Direct consequences of airflow obstruction, hyperinflation and impaired gas exchange, often precipitated by infection or air pollution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Pulmonary hypertension and cor pulmonale (right heart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polycythaemia from chronic hypoxaemia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Coexisting cardiovascular disease (IHD, arrhythmias/atrial fibrillation, heart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Skeletal-muscle wasting, cachexia and osteoporosis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Anxiety and depression</w:t>
            </w:r>
          </w:p>
        </w:tc>
        <w:tc>
          <w:tcPr>
            <w:tcW w:type="dxa" w:w="2980"/>
            <w:vAlign w:val="top"/>
          </w:tcPr>
          <w:p>
            <w:pPr>
              <w:spacing w:after="40" w:before="0" w:line="259" w:lineRule="auto"/>
            </w:pPr>
            <w:r>
              <w:rPr>
                <w:rFonts w:ascii="Calibri" w:hAnsi="Calibri"/>
                <w:b w:val="0"/>
                <w:i w:val="0"/>
                <w:color w:val="212121"/>
                <w:sz w:val="19"/>
              </w:rPr>
              <w:t>Systemic and cardiopulmonary consequences of sustained hypoxaemia, systemic inflammation and shared risk factors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respiratory failure requiring long-term oxygen therapy (LTOT) or home NIV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right heart failure and refractory cor pulmonale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disability, housebound state and loss of independence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hospitalisation and increased lung-cancer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Premature death — COPD is a leading cause of mortality in India</w:t>
            </w:r>
          </w:p>
        </w:tc>
        <w:tc>
          <w:tcPr>
            <w:tcW w:type="dxa" w:w="2980"/>
            <w:vAlign w:val="top"/>
          </w:tcPr>
          <w:p>
            <w:pPr>
              <w:spacing w:after="40" w:before="0" w:line="259" w:lineRule="auto"/>
            </w:pPr>
            <w:r>
              <w:rPr>
                <w:rFonts w:ascii="Calibri" w:hAnsi="Calibri"/>
                <w:b w:val="0"/>
                <w:i w:val="0"/>
                <w:color w:val="212121"/>
                <w:sz w:val="19"/>
              </w:rPr>
              <w:t>Irreversible, disabling end-stage outcomes of longstanding, poorly controlled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Cardiovascular disease (ischaemic heart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smoking and systemic inflammation with COPD; a leading cause of death in COPD patients and often under-diagnosed because breathlessness is attributed to the lungs.</w:t>
            </w:r>
          </w:p>
          <w:p>
            <w:pPr>
              <w:spacing w:after="40" w:before="0" w:line="259" w:lineRule="auto"/>
            </w:pPr>
            <w:r>
              <w:rPr>
                <w:rFonts w:ascii="Calibri" w:hAnsi="Calibri"/>
                <w:b/>
                <w:i w:val="0"/>
                <w:color w:val="212121"/>
                <w:sz w:val="19"/>
              </w:rPr>
              <w:t>Up to ~30%</w:t>
            </w:r>
          </w:p>
        </w:tc>
      </w:tr>
      <w:tr>
        <w:trPr>
          <w:cantSplit/>
        </w:trPr>
        <w:tc>
          <w:tcPr>
            <w:tcW w:type="dxa" w:w="2232"/>
            <w:vAlign w:val="top"/>
          </w:tcPr>
          <w:p>
            <w:pPr>
              <w:spacing w:after="40" w:before="0" w:line="259" w:lineRule="auto"/>
            </w:pPr>
            <w:r>
              <w:rPr>
                <w:rFonts w:ascii="Calibri" w:hAnsi="Calibri"/>
                <w:b/>
                <w:i w:val="0"/>
                <w:color w:val="212121"/>
                <w:sz w:val="19"/>
              </w:rPr>
              <w:t>Cor pulmonale / pulmonary hypertension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Chronic hypoxaemia causes pulmonary vasoconstriction and vascular remodelling, leading to right ventricular strain and failure in advanced COPD.</w:t>
            </w:r>
          </w:p>
        </w:tc>
      </w:tr>
      <w:tr>
        <w:trPr>
          <w:cantSplit/>
        </w:trPr>
        <w:tc>
          <w:tcPr>
            <w:tcW w:type="dxa" w:w="2232"/>
            <w:vAlign w:val="top"/>
          </w:tcPr>
          <w:p>
            <w:pPr>
              <w:spacing w:after="40" w:before="0" w:line="259" w:lineRule="auto"/>
            </w:pPr>
            <w:r>
              <w:rPr>
                <w:rFonts w:ascii="Calibri" w:hAnsi="Calibri"/>
                <w:b/>
                <w:i w:val="0"/>
                <w:color w:val="212121"/>
                <w:sz w:val="19"/>
              </w:rPr>
              <w:t>Heart failure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Frequently coexists and mimics COPD; overlapping breathlessness complicates diagnosis, and some COPD/HF drugs require careful balancing.</w:t>
            </w:r>
          </w:p>
        </w:tc>
      </w:tr>
      <w:tr>
        <w:trPr>
          <w:cantSplit/>
        </w:trPr>
        <w:tc>
          <w:tcPr>
            <w:tcW w:type="dxa" w:w="2232"/>
            <w:vAlign w:val="top"/>
          </w:tcPr>
          <w:p>
            <w:pPr>
              <w:spacing w:after="40" w:before="0" w:line="259" w:lineRule="auto"/>
            </w:pPr>
            <w:r>
              <w:rPr>
                <w:rFonts w:ascii="Calibri" w:hAnsi="Calibri"/>
                <w:b/>
                <w:i w:val="0"/>
                <w:color w:val="212121"/>
                <w:sz w:val="19"/>
              </w:rPr>
              <w:t>Atrial fibrillation &amp; arrhythmias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Hypoxaemia, hyperinflation, systemic inflammation and beta-agonist therapy raise arrhythmia risk; AF worsens exacerbation outcomes.</w:t>
            </w:r>
          </w:p>
        </w:tc>
      </w:tr>
      <w:tr>
        <w:trPr>
          <w:cantSplit/>
        </w:trPr>
        <w:tc>
          <w:tcPr>
            <w:tcW w:type="dxa" w:w="2232"/>
            <w:vAlign w:val="top"/>
          </w:tcPr>
          <w:p>
            <w:pPr>
              <w:spacing w:after="40" w:before="0" w:line="259" w:lineRule="auto"/>
            </w:pPr>
            <w:r>
              <w:rPr>
                <w:rFonts w:ascii="Calibri" w:hAnsi="Calibri"/>
                <w:b/>
                <w:i w:val="0"/>
                <w:color w:val="212121"/>
                <w:sz w:val="19"/>
              </w:rPr>
              <w:t>Depression and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Very common and bidirectional — breathlessness and disability fuel mood/anxiety disorders, which in turn worsen adherence, exacerbations and mortality.</w:t>
            </w:r>
          </w:p>
          <w:p>
            <w:pPr>
              <w:spacing w:after="40" w:before="0" w:line="259" w:lineRule="auto"/>
            </w:pPr>
            <w:r>
              <w:rPr>
                <w:rFonts w:ascii="Calibri" w:hAnsi="Calibri"/>
                <w:b/>
                <w:i w:val="0"/>
                <w:color w:val="212121"/>
                <w:sz w:val="19"/>
              </w:rPr>
              <w:t>Depression ~10–57%; anxiety ~7–50%</w:t>
            </w:r>
          </w:p>
        </w:tc>
      </w:tr>
      <w:tr>
        <w:trPr>
          <w:cantSplit/>
        </w:trPr>
        <w:tc>
          <w:tcPr>
            <w:tcW w:type="dxa" w:w="2232"/>
            <w:vAlign w:val="top"/>
          </w:tcPr>
          <w:p>
            <w:pPr>
              <w:spacing w:after="40" w:before="0" w:line="259" w:lineRule="auto"/>
            </w:pPr>
            <w:r>
              <w:rPr>
                <w:rFonts w:ascii="Calibri" w:hAnsi="Calibri"/>
                <w:b/>
                <w:i w:val="0"/>
                <w:color w:val="212121"/>
                <w:sz w:val="19"/>
              </w:rPr>
              <w:t>Lung cancer</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tobacco aetiology and airflow-obstruction/emphysema as independent risk factors; COPD substantially increases lung-cancer risk.</w:t>
            </w:r>
          </w:p>
        </w:tc>
      </w:tr>
      <w:tr>
        <w:trPr>
          <w:cantSplit/>
        </w:trPr>
        <w:tc>
          <w:tcPr>
            <w:tcW w:type="dxa" w:w="2232"/>
            <w:vAlign w:val="top"/>
          </w:tcPr>
          <w:p>
            <w:pPr>
              <w:spacing w:after="40" w:before="0" w:line="259" w:lineRule="auto"/>
            </w:pPr>
            <w:r>
              <w:rPr>
                <w:rFonts w:ascii="Calibri" w:hAnsi="Calibri"/>
                <w:b/>
                <w:i w:val="0"/>
                <w:color w:val="212121"/>
                <w:sz w:val="19"/>
              </w:rPr>
              <w:t>Osteoporosis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Driven by systemic inflammation, physical inactivity, low body weight, smoking and repeated corticosteroid courses; raises fracture risk that further limits activity.</w:t>
            </w:r>
          </w:p>
        </w:tc>
      </w:tr>
      <w:tr>
        <w:trPr>
          <w:cantSplit/>
        </w:trPr>
        <w:tc>
          <w:tcPr>
            <w:tcW w:type="dxa" w:w="2232"/>
            <w:vAlign w:val="top"/>
          </w:tcPr>
          <w:p>
            <w:pPr>
              <w:spacing w:after="40" w:before="0" w:line="259" w:lineRule="auto"/>
            </w:pPr>
            <w:r>
              <w:rPr>
                <w:rFonts w:ascii="Calibri" w:hAnsi="Calibri"/>
                <w:b/>
                <w:i w:val="0"/>
                <w:color w:val="212121"/>
                <w:sz w:val="19"/>
              </w:rPr>
              <w:t>Skeletal-muscle wasting &amp; cachexia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Low fat-free mass from inflammation and increased work of breathing is an independent predictor of mortality (BODE index).</w:t>
            </w:r>
          </w:p>
        </w:tc>
      </w:tr>
      <w:tr>
        <w:trPr>
          <w:cantSplit/>
        </w:trPr>
        <w:tc>
          <w:tcPr>
            <w:tcW w:type="dxa" w:w="2232"/>
            <w:vAlign w:val="top"/>
          </w:tcPr>
          <w:p>
            <w:pPr>
              <w:spacing w:after="40" w:before="0" w:line="259" w:lineRule="auto"/>
            </w:pPr>
            <w:r>
              <w:rPr>
                <w:rFonts w:ascii="Calibri" w:hAnsi="Calibri"/>
                <w:b/>
                <w:i w:val="0"/>
                <w:color w:val="212121"/>
                <w:sz w:val="19"/>
              </w:rPr>
              <w:t>Obstructive sleep apnoea (overlap syndrome)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COPD plus OSA amplifies nocturnal hypoxaemia and pulmonary hypertension, worsening prognosis and requiring different ventilatory support.</w:t>
            </w:r>
          </w:p>
        </w:tc>
      </w:tr>
      <w:tr>
        <w:trPr>
          <w:cantSplit/>
        </w:trPr>
        <w:tc>
          <w:tcPr>
            <w:tcW w:type="dxa" w:w="2232"/>
            <w:vAlign w:val="top"/>
          </w:tcPr>
          <w:p>
            <w:pPr>
              <w:spacing w:after="40" w:before="0" w:line="259" w:lineRule="auto"/>
            </w:pPr>
            <w:r>
              <w:rPr>
                <w:rFonts w:ascii="Calibri" w:hAnsi="Calibri"/>
                <w:b/>
                <w:i w:val="0"/>
                <w:color w:val="212121"/>
                <w:sz w:val="19"/>
              </w:rPr>
              <w:t>Type 2 diabetes &amp; metabolic syndrome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Shared systemic inflammation and frequent corticosteroid use increase dysglycaemia; diabetes worsens infection risk and outcomes.</w:t>
            </w:r>
          </w:p>
        </w:tc>
      </w:tr>
      <w:tr>
        <w:trPr>
          <w:cantSplit/>
        </w:trPr>
        <w:tc>
          <w:tcPr>
            <w:tcW w:type="dxa" w:w="2232"/>
            <w:vAlign w:val="top"/>
          </w:tcPr>
          <w:p>
            <w:pPr>
              <w:spacing w:after="40" w:before="0" w:line="259" w:lineRule="auto"/>
            </w:pPr>
            <w:r>
              <w:rPr>
                <w:rFonts w:ascii="Calibri" w:hAnsi="Calibri"/>
                <w:b/>
                <w:i w:val="0"/>
                <w:color w:val="212121"/>
                <w:sz w:val="19"/>
              </w:rPr>
              <w:t>Gastro-oesophageal reflux disease (GERD)</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Prevalent in COPD and an independent risk factor for exacerbations through micro-aspiration and vagal reflexes.</w:t>
            </w:r>
          </w:p>
        </w:tc>
      </w:tr>
      <w:tr>
        <w:trPr>
          <w:cantSplit/>
        </w:trPr>
        <w:tc>
          <w:tcPr>
            <w:tcW w:type="dxa" w:w="2232"/>
            <w:vAlign w:val="top"/>
          </w:tcPr>
          <w:p>
            <w:pPr>
              <w:spacing w:after="40" w:before="0" w:line="259" w:lineRule="auto"/>
            </w:pPr>
            <w:r>
              <w:rPr>
                <w:rFonts w:ascii="Calibri" w:hAnsi="Calibri"/>
                <w:b/>
                <w:i w:val="0"/>
                <w:color w:val="212121"/>
                <w:sz w:val="19"/>
              </w:rPr>
              <w:t>Prior pulmonary tuberculosis / post-TB lung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Healed TB is a major Indian cause of fixed airflow obstruction and coexists with, or mimics, COPD.</w:t>
            </w:r>
          </w:p>
          <w:p>
            <w:pPr>
              <w:spacing w:after="40" w:before="0" w:line="259" w:lineRule="auto"/>
            </w:pPr>
            <w:r>
              <w:rPr>
                <w:rFonts w:ascii="Calibri" w:hAnsi="Calibri"/>
                <w:b/>
                <w:i w:val="0"/>
                <w:color w:val="212121"/>
                <w:sz w:val="19"/>
              </w:rPr>
              <w:t>COPD in ~21% of past-TB patients</w:t>
            </w:r>
          </w:p>
        </w:tc>
      </w:tr>
      <w:tr>
        <w:trPr>
          <w:cantSplit/>
        </w:trPr>
        <w:tc>
          <w:tcPr>
            <w:tcW w:type="dxa" w:w="2232"/>
            <w:vAlign w:val="top"/>
          </w:tcPr>
          <w:p>
            <w:pPr>
              <w:spacing w:after="40" w:before="0" w:line="259" w:lineRule="auto"/>
            </w:pPr>
            <w:r>
              <w:rPr>
                <w:rFonts w:ascii="Calibri" w:hAnsi="Calibri"/>
                <w:b/>
                <w:i w:val="0"/>
                <w:color w:val="212121"/>
                <w:sz w:val="19"/>
              </w:rPr>
              <w:t>Bronchiectasis (COPD-bronchiectasis overlap)</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Coexisting bronchiectasis increases sputum, bacterial colonisation, exacerbations and mortality.</w:t>
            </w:r>
          </w:p>
        </w:tc>
      </w:tr>
      <w:tr>
        <w:trPr>
          <w:cantSplit/>
        </w:trPr>
        <w:tc>
          <w:tcPr>
            <w:tcW w:type="dxa" w:w="2232"/>
            <w:vAlign w:val="top"/>
          </w:tcPr>
          <w:p>
            <w:pPr>
              <w:spacing w:after="40" w:before="0" w:line="259" w:lineRule="auto"/>
            </w:pPr>
            <w:r>
              <w:rPr>
                <w:rFonts w:ascii="Calibri" w:hAnsi="Calibri"/>
                <w:b/>
                <w:i w:val="0"/>
                <w:color w:val="212121"/>
                <w:sz w:val="19"/>
              </w:rPr>
              <w:t>Secondary polycythaemia &amp; anaemia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hypoxaemia can raise haematocrit (polycythaemia); conversely anaemia of chronic disease worsens dyspnoea and exercise tolerance.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COPD is largely preventable — the biggest steps are never starting (or quitting) smoking/bidi and reducing smoke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Switch from biomass/solid cooking fuels (wood, dung, crop residue) to LPG/clean fuels and ensure kitchen ventilation and chimneys to cut household air pollution.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warning symptoms — a cough that persists, morning phlegm and breathlessness on exertion — and seek spirometry rather than dismissing them as ‘normal smoker's cough’ or ageing.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to identify an exacerbation early (more breathlessness, more/discoloured sputum, fever) and know when and where to seek urgent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influenza, pneumococcal and COVID-19 vaccinations up to date to prevent infective exacerbations.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On high-pollution days, minimise outdoor exertion, use masks where appropriate, and avoid crowded smoky environments.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and ex-smokers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women cooking on biomass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Industrial/dust-exposed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Post-TB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&gt;40 with chronic cough</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cessation of all tobacco (cigarettes, bidis, hookah) — the ONLY intervention proven to slow lung-function decline and reduce mortality.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structured cessation support: brief advice at every visit, behavioural counselling and pharmacotherapy (nicotine replacement, bupropion or varenicline) where appropriate.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Eliminate second-hand smoke exposure at home and workplace, especially around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national quit-lines/tobacco-cessation clinics and set a firm quit date with follow-up.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relapse without blame — repeated quit attempts are normal and each attempt improves the odds.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smoking COPD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Bidi/hookah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children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Enrol eligible patients in pulmonary rehabilitation — supervised aerobic plus resistance training that improves breathlessness, exercise capacity and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daily walking within tolerance, building duration gradually; use the ‘talk test’ and pace with pursed-lip breathing.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upper- and lower-limb strengthening to counter muscle wasting and improve daily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breathing techniques (pursed-lip and diaphragmatic breathing) and energy-conservation strategies for daily tasks.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Continue a home maintenance programme after formal rehab to preserve gains and reduce re-hospitalisation.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Symptomatic COPD (mMRC ≥2)</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Post-exacerbation/post-hospitalisation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Deconditioned/housebound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COPD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body weight — AVOID becoming underweight; low BMI and muscle loss worsen COPD survival.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protein intake (pulses, dairy, eggs, lean meat/fish) to preserve respiratory and skeletal muscle.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plenty of fruit, vegetables and whole grains for antioxidants and fibre, associated with better lung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smaller, more frequent meals if large meals cause bloating and breathlessness (diaphragmatic splinting).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calcium and vitamin D to protect against osteoporosis, particularly with steroid use.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Underweight/cachectic COPD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Advanced/emphysema-predominant COPD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Steroid-treated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routinely for depression and anxiety (e.g., PHQ-9/GAD-7) — they are common, under-recognised and worsen outcomes.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psychological support, breathing-control and relaxation techniques to break the breathlessness–anxiety–panic cycle.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significant depression/anxiety with counselling/CBT and antidepressants where indicated, coordinated with respiratory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peer/support groups and involve family caregivers to reduce isolation.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Integrate mental-health care within pulmonary rehabilitation for best effect.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COPD patients with low mood/anxiety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Severe/oxygen-dependent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Frequent exacerbators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Socially isolated/elderly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7–8 hours of good-quality sleep; treat night-time symptoms that fragment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obstructive sleep apnoea (snoring, daytime sleepiness) — overlap syndrome needs specific assessment and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Optimise evening inhaler timing and avoid large late meals to reduce nocturnal breathlessness and reflux.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prescribed nocturnal oxygen or non-invasive ventilation exactly as directed in advanced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sedatives/alcohol before bed, which can depress night-time breathing.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COPD with nocturnal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Suspected COPD-OSA overlap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Hypoxaemic/hypercapnic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home oxygen/NIV</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safe limits (≤14 units/week) or avoid it, as heavy use impairs immune defence and mucociliary clearance.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with sedating medications and before sleep, since combined respiratory depression is dangerous in COPD.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alcohol excess raises aspiration and pneumonia risk, a common exacerbation trigger.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support for alcohol dependence, which often coexists with heavy smoking.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COPD patients who drink heavily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sedatives/opioids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recurrent chest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coexisting liver disease</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Master correct inhaler technique and adhere to maintenance bronchodilator (± inhaled corticosteroid) therapy — poor technique is a common cause of ‘treatment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written COPD action plan for early self-management of exacerbations, including when to start rescue medication and seek help.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regular review with spirometry, symptom (CAT/mMRC) and exacerbation monitoring, and vaccination updates.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prescribed long-term oxygen therapy for the recommended ≥15 hours/day in chronic hypoxaemia to improve survival.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known triggers — tobacco and biomass smoke, dust, and high-pollution exposure.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diagnosed COPD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Frequent exacerbators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inhaled/oxygen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Recently hospitalised patients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springer.com/article/10.1186/s12890-026-04134-0" TargetMode="External"/><Relationship Id="rId10" Type="http://schemas.openxmlformats.org/officeDocument/2006/relationships/hyperlink" Target="https://pmc.ncbi.nlm.nih.gov/articles/PMC8614617/" TargetMode="External"/><Relationship Id="rId11" Type="http://schemas.openxmlformats.org/officeDocument/2006/relationships/hyperlink" Target="https://journals.plos.org/plosone/article?id=10.1371%2Fjournal.pone.0231757" TargetMode="External"/><Relationship Id="rId12" Type="http://schemas.openxmlformats.org/officeDocument/2006/relationships/hyperlink" Target="https://www.ceghonline.com/article/S2213-3984(20)30066-X/fulltext" TargetMode="External"/><Relationship Id="rId13" Type="http://schemas.openxmlformats.org/officeDocument/2006/relationships/hyperlink" Target="https://www.who.int/news-room/fact-sheets/detail/chronic-obstructive-pulmonary-disease-(COPD)" TargetMode="External"/><Relationship Id="rId14" Type="http://schemas.openxmlformats.org/officeDocument/2006/relationships/hyperlink" Target="https://atm.amegroups.org/article/view/63278/html" TargetMode="External"/><Relationship Id="rId15" Type="http://schemas.openxmlformats.org/officeDocument/2006/relationships/hyperlink" Target="https://pmc.ncbi.nlm.nih.gov/articles/PMC71660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